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rPr>
        <w:t>食品药品行政处罚文书</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autoSpaceDE w:val="0"/>
        <w:autoSpaceDN w:val="0"/>
        <w:adjustRightInd w:val="0"/>
        <w:spacing w:line="440" w:lineRule="exact"/>
        <w:jc w:val="right"/>
        <w:rPr>
          <w:rFonts w:ascii="仿宋_GB2312" w:hAnsi="仿宋" w:eastAsia="仿宋_GB2312" w:cs="仿宋"/>
          <w:color w:val="000000"/>
          <w:szCs w:val="18"/>
        </w:rPr>
      </w:pPr>
      <w:r>
        <w:rPr>
          <w:rFonts w:hint="eastAsia" w:ascii="仿宋_GB2312" w:hAnsi="仿宋" w:eastAsia="仿宋_GB2312"/>
          <w:color w:val="000000"/>
          <w:szCs w:val="18"/>
        </w:rPr>
        <w:t>（</w:t>
      </w:r>
      <w:r>
        <w:rPr>
          <w:rFonts w:hint="eastAsia" w:ascii="仿宋_GB2312" w:hAnsi="仿宋" w:eastAsia="仿宋_GB2312" w:cs="仿宋"/>
          <w:color w:val="000000"/>
          <w:szCs w:val="18"/>
        </w:rPr>
        <w:t>陆河</w:t>
      </w:r>
      <w:r>
        <w:rPr>
          <w:rFonts w:hint="eastAsia" w:ascii="仿宋_GB2312" w:hAnsi="仿宋" w:eastAsia="仿宋_GB2312"/>
          <w:color w:val="000000"/>
          <w:szCs w:val="18"/>
        </w:rPr>
        <w:t>）食药监</w:t>
      </w:r>
      <w:r>
        <w:rPr>
          <w:rFonts w:hint="eastAsia" w:ascii="仿宋_GB2312" w:hAnsi="仿宋" w:eastAsia="仿宋_GB2312" w:cs="仿宋"/>
          <w:color w:val="000000"/>
          <w:szCs w:val="18"/>
        </w:rPr>
        <w:t>食</w:t>
      </w:r>
      <w:r>
        <w:rPr>
          <w:rFonts w:hint="eastAsia" w:ascii="仿宋_GB2312" w:hAnsi="仿宋" w:eastAsia="仿宋_GB2312"/>
          <w:color w:val="000000"/>
          <w:kern w:val="0"/>
          <w:szCs w:val="18"/>
        </w:rPr>
        <w:t>罚</w:t>
      </w:r>
      <w:r>
        <w:rPr>
          <w:rFonts w:hint="eastAsia" w:ascii="仿宋_GB2312" w:hAnsi="仿宋" w:eastAsia="仿宋_GB2312"/>
          <w:color w:val="000000"/>
          <w:szCs w:val="18"/>
        </w:rPr>
        <w:t>〔2018〕10</w:t>
      </w:r>
      <w:r>
        <w:rPr>
          <w:rFonts w:hint="eastAsia" w:ascii="仿宋_GB2312" w:hAnsi="仿宋" w:eastAsia="仿宋_GB2312" w:cs="仿宋"/>
          <w:color w:val="000000"/>
          <w:szCs w:val="18"/>
        </w:rPr>
        <w:t>号</w:t>
      </w:r>
    </w:p>
    <w:p>
      <w:pPr>
        <w:spacing w:line="440" w:lineRule="exact"/>
        <w:jc w:val="left"/>
        <w:rPr>
          <w:rFonts w:ascii="仿宋_GB2312" w:hAnsi="仿宋" w:eastAsia="仿宋_GB2312"/>
          <w:color w:val="000000"/>
          <w:sz w:val="32"/>
          <w:szCs w:val="32"/>
        </w:rPr>
      </w:pPr>
      <w:r>
        <w:rPr>
          <w:rFonts w:ascii="仿宋_GB2312" w:hAnsi="仿宋" w:eastAsia="仿宋_GB2312"/>
          <w:color w:val="000000"/>
          <w:sz w:val="32"/>
          <w:szCs w:val="32"/>
        </w:rPr>
        <mc:AlternateContent>
          <mc:Choice Requires="wps">
            <w:drawing>
              <wp:anchor distT="0" distB="0" distL="114300" distR="114300" simplePos="0" relativeHeight="251649024" behindDoc="0" locked="0" layoutInCell="1" allowOverlap="1">
                <wp:simplePos x="0" y="0"/>
                <wp:positionH relativeFrom="column">
                  <wp:posOffset>-73025</wp:posOffset>
                </wp:positionH>
                <wp:positionV relativeFrom="paragraph">
                  <wp:posOffset>14605</wp:posOffset>
                </wp:positionV>
                <wp:extent cx="5615940" cy="635"/>
                <wp:effectExtent l="0" t="0" r="0" b="0"/>
                <wp:wrapNone/>
                <wp:docPr id="12" name="Line 75"/>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9050">
                          <a:solidFill>
                            <a:srgbClr val="000000"/>
                          </a:solidFill>
                          <a:round/>
                        </a:ln>
                      </wps:spPr>
                      <wps:bodyPr/>
                    </wps:wsp>
                  </a:graphicData>
                </a:graphic>
              </wp:anchor>
            </w:drawing>
          </mc:Choice>
          <mc:Fallback>
            <w:pict>
              <v:line id="Line 75" o:spid="_x0000_s1026" o:spt="20" style="position:absolute;left:0pt;margin-left:-5.75pt;margin-top:1.15pt;height:0.05pt;width:442.2pt;z-index:251649024;mso-width-relative:page;mso-height-relative:page;" filled="f" stroked="t" coordsize="21600,21600" o:gfxdata="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r23&#10;BtQAAAAHAQAADwAAAAAAAAABACAAAAAiAAAAZHJzL2Rvd25yZXYueG1sUEsBAhQAFAAAAAgAh07i&#10;QCBm6Si0AQAAVgMAAA4AAAAAAAAAAQAgAAAAIwEAAGRycy9lMm9Eb2MueG1sUEsFBgAAAAAGAAYA&#10;WQEAAEkFAAAAAA==&#10;">
                <v:fill on="f" focussize="0,0"/>
                <v:stroke weight="1.5pt" color="#000000" joinstyle="round"/>
                <v:imagedata o:title=""/>
                <o:lock v:ext="edit" aspectratio="f"/>
              </v:line>
            </w:pict>
          </mc:Fallback>
        </mc:AlternateContent>
      </w:r>
      <w:r>
        <w:rPr>
          <w:rFonts w:hint="eastAsia" w:ascii="仿宋_GB2312" w:hAnsi="仿宋" w:eastAsia="仿宋_GB2312"/>
          <w:color w:val="000000"/>
          <w:sz w:val="32"/>
          <w:szCs w:val="32"/>
        </w:rPr>
        <w:t>当事人:</w:t>
      </w:r>
      <w:r>
        <w:rPr>
          <w:rFonts w:hint="eastAsia"/>
        </w:rPr>
        <w:t xml:space="preserve"> </w:t>
      </w:r>
      <w:r>
        <w:rPr>
          <w:rFonts w:hint="eastAsia" w:ascii="仿宋_GB2312" w:hAnsi="仿宋" w:eastAsia="仿宋_GB2312"/>
          <w:color w:val="000000"/>
          <w:sz w:val="32"/>
          <w:szCs w:val="32"/>
        </w:rPr>
        <w:t>陆河县城福永土特产店</w:t>
      </w:r>
    </w:p>
    <w:p>
      <w:pPr>
        <w:spacing w:line="44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地址：陆河县河田镇人民南路砂坑村</w:t>
      </w:r>
    </w:p>
    <w:p>
      <w:pPr>
        <w:spacing w:line="440" w:lineRule="exact"/>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营业执照或其他资质证明：营业执照   </w:t>
      </w:r>
    </w:p>
    <w:p>
      <w:pPr>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统一社会信用代码 ：</w:t>
      </w:r>
      <w:r>
        <w:rPr>
          <w:rFonts w:ascii="仿宋_GB2312" w:hAnsi="仿宋" w:eastAsia="仿宋_GB2312"/>
          <w:color w:val="000000"/>
          <w:sz w:val="32"/>
          <w:szCs w:val="32"/>
        </w:rPr>
        <w:t>92441523MA4WBGGB9B</w:t>
      </w:r>
    </w:p>
    <w:p>
      <w:pPr>
        <w:spacing w:line="44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主要负责人：朱秋群                性别：女     </w:t>
      </w:r>
    </w:p>
    <w:p>
      <w:pPr>
        <w:spacing w:line="440" w:lineRule="exact"/>
        <w:jc w:val="left"/>
        <w:rPr>
          <w:rFonts w:ascii="仿宋_GB2312" w:hAnsi="仿宋" w:eastAsia="仿宋_GB2312"/>
          <w:color w:val="000000"/>
          <w:sz w:val="32"/>
          <w:szCs w:val="32"/>
        </w:rPr>
      </w:pPr>
    </w:p>
    <w:p>
      <w:pPr>
        <w:spacing w:line="440" w:lineRule="exact"/>
        <w:jc w:val="left"/>
        <w:rPr>
          <w:rFonts w:ascii="仿宋_GB2312" w:hAnsi="仿宋" w:eastAsia="仿宋_GB2312"/>
          <w:b/>
          <w:color w:val="000000"/>
          <w:sz w:val="32"/>
          <w:szCs w:val="32"/>
        </w:rPr>
      </w:pPr>
      <w:r>
        <w:rPr>
          <w:rFonts w:hint="eastAsia" w:ascii="仿宋_GB2312" w:hAnsi="仿宋" w:eastAsia="仿宋_GB2312"/>
          <w:b/>
          <w:color w:val="000000"/>
          <w:sz w:val="32"/>
          <w:szCs w:val="32"/>
        </w:rPr>
        <w:t>违法事实：</w:t>
      </w:r>
    </w:p>
    <w:p>
      <w:pPr>
        <w:spacing w:line="440" w:lineRule="exact"/>
        <w:ind w:firstLine="640" w:firstLineChars="200"/>
        <w:jc w:val="left"/>
        <w:rPr>
          <w:rFonts w:ascii="仿宋_GB2312" w:hAnsi="仿宋" w:eastAsia="仿宋_GB2312"/>
          <w:color w:val="000000"/>
          <w:sz w:val="32"/>
          <w:szCs w:val="32"/>
        </w:rPr>
      </w:pPr>
      <w:r>
        <w:rPr>
          <w:rFonts w:ascii="仿宋_GB2312" w:hAnsi="仿宋" w:eastAsia="仿宋_GB2312"/>
          <w:color w:val="000000"/>
          <w:sz w:val="32"/>
          <w:szCs w:val="32"/>
        </w:rPr>
        <w:t>你店于</w:t>
      </w:r>
      <w:r>
        <w:rPr>
          <w:rFonts w:hint="eastAsia" w:ascii="仿宋_GB2312" w:hAnsi="仿宋" w:eastAsia="仿宋_GB2312"/>
          <w:color w:val="000000"/>
          <w:sz w:val="32"/>
          <w:szCs w:val="32"/>
        </w:rPr>
        <w:t>2017年4月6日取得《食品经营许可证》，经营预包装食品，有效期至2022年4月5日。</w:t>
      </w:r>
      <w:r>
        <w:rPr>
          <w:rFonts w:ascii="仿宋_GB2312" w:hAnsi="仿宋" w:eastAsia="仿宋_GB2312"/>
          <w:color w:val="000000"/>
          <w:sz w:val="32"/>
          <w:szCs w:val="32"/>
        </w:rPr>
        <w:t>现查明</w:t>
      </w:r>
      <w:r>
        <w:rPr>
          <w:rFonts w:hint="eastAsia" w:ascii="仿宋_GB2312" w:hAnsi="仿宋" w:eastAsia="仿宋_GB2312"/>
          <w:color w:val="000000"/>
          <w:sz w:val="32"/>
          <w:szCs w:val="32"/>
        </w:rPr>
        <w:t>，你于2018年4月19日在淘宝网店销售的花生芝麻糖，外包装上没有标注生产许可证编号、执行标准。你一共购进3包花生芝麻糖，货值金额共45元。截止至执法人员到你店进行现场检查，你购进的该产品已全部销售，违法所得为45元。你2017年因违反同一规定受到行政处罚，且在本案中拒绝接受我局调查处理，情节严重。</w:t>
      </w:r>
    </w:p>
    <w:p>
      <w:pPr>
        <w:autoSpaceDE w:val="0"/>
        <w:autoSpaceDN w:val="0"/>
        <w:adjustRightInd w:val="0"/>
        <w:spacing w:line="440" w:lineRule="exact"/>
        <w:jc w:val="left"/>
        <w:rPr>
          <w:rFonts w:ascii="仿宋_GB2312" w:hAnsi="仿宋" w:eastAsia="仿宋_GB2312"/>
          <w:b/>
          <w:bCs/>
          <w:color w:val="000000"/>
          <w:sz w:val="32"/>
          <w:szCs w:val="32"/>
        </w:rPr>
      </w:pPr>
      <w:r>
        <w:rPr>
          <w:rFonts w:hint="eastAsia" w:ascii="仿宋_GB2312" w:hAnsi="仿宋" w:eastAsia="仿宋_GB2312"/>
          <w:b/>
          <w:bCs/>
          <w:color w:val="000000"/>
          <w:sz w:val="32"/>
          <w:szCs w:val="32"/>
        </w:rPr>
        <w:t>证据材料：</w:t>
      </w:r>
      <w:r>
        <w:rPr>
          <w:rFonts w:hint="eastAsia" w:ascii="仿宋_GB2312" w:hAnsi="仿宋" w:eastAsia="仿宋_GB2312"/>
          <w:bCs/>
          <w:color w:val="000000"/>
          <w:sz w:val="32"/>
          <w:szCs w:val="32"/>
        </w:rPr>
        <w:t>1.（陆河）食药监投登〔2018〕10号《投诉/举报登记表》；2.现场检查笔录；3.《营业执照》、《食品经营许可证》复印件；4.询问调查笔录；5.朱秋群身份证复印件；6. （陆河）食药监食罚〔2017〕18号《行政处罚决定书》。</w:t>
      </w:r>
    </w:p>
    <w:p>
      <w:pPr>
        <w:autoSpaceDE w:val="0"/>
        <w:autoSpaceDN w:val="0"/>
        <w:adjustRightInd w:val="0"/>
        <w:spacing w:line="440" w:lineRule="exact"/>
        <w:ind w:firstLine="624" w:firstLineChars="200"/>
        <w:jc w:val="left"/>
        <w:rPr>
          <w:rFonts w:ascii="仿宋_GB2312" w:hAnsi="仿宋" w:eastAsia="仿宋_GB2312"/>
          <w:bCs/>
          <w:color w:val="000000"/>
          <w:sz w:val="32"/>
          <w:szCs w:val="32"/>
        </w:rPr>
      </w:pPr>
      <w:r>
        <w:rPr>
          <w:rFonts w:hint="eastAsia" w:ascii="仿宋_GB2312" w:hAnsi="仿宋" w:eastAsia="仿宋_GB2312" w:cs="仿宋"/>
          <w:color w:val="000000"/>
          <w:spacing w:val="-4"/>
          <w:kern w:val="0"/>
          <w:sz w:val="32"/>
          <w:szCs w:val="32"/>
        </w:rPr>
        <w:t>你的上述行为已</w:t>
      </w:r>
      <w:r>
        <w:rPr>
          <w:rFonts w:hint="eastAsia" w:ascii="仿宋_GB2312" w:hAnsi="仿宋_GB2312" w:eastAsia="仿宋_GB2312" w:cs="仿宋_GB2312"/>
          <w:sz w:val="32"/>
          <w:szCs w:val="32"/>
        </w:rPr>
        <w:t>违反了《中华人民共和国食品安全法》第六十七条第一款第（五）、（八）项的规定</w:t>
      </w:r>
      <w:r>
        <w:rPr>
          <w:rFonts w:hint="eastAsia" w:ascii="仿宋_GB2312" w:hAnsi="仿宋" w:eastAsia="仿宋_GB2312"/>
          <w:bCs/>
          <w:color w:val="000000"/>
          <w:sz w:val="32"/>
          <w:szCs w:val="32"/>
        </w:rPr>
        <w:t>：“预包装食品的包装上应当有标签。标签应当标明下列事项：（五）产品标准代号；（八）生产许可证编号。”</w:t>
      </w:r>
    </w:p>
    <w:p>
      <w:pPr>
        <w:spacing w:line="44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行政处罚依据和种类：</w:t>
      </w:r>
    </w:p>
    <w:p>
      <w:pPr>
        <w:autoSpaceDE w:val="0"/>
        <w:autoSpaceDN w:val="0"/>
        <w:adjustRightInd w:val="0"/>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食品安全法》第一百二十五条第一款第（二）项的规定：“违反本法规定，有下列情形的，由县级以上人民政府食品药品监督管理部门没收违法所得和违法生产经营的食品、食品添加剂，并可没收用于违法生产经营的工具、设备、原料等物品；违法生产经营的食品、食品添加剂货值金额不足一万元的，并处五千元以上五万元以下罚款；货值金额一万元以上的额，并处货值金额五倍以上十倍以下罚款；情节严重的，责令停产停业，直至吊销许可证：（二）生产经营无标签的预包装食品、食品添加剂或者标签、说明书不符合本法规定的食品、食品添加剂。”</w:t>
      </w:r>
    </w:p>
    <w:p>
      <w:pPr>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种类：吊销许可证。</w:t>
      </w:r>
    </w:p>
    <w:p>
      <w:pPr>
        <w:spacing w:line="440" w:lineRule="exact"/>
        <w:ind w:firstLine="640" w:firstLineChars="200"/>
        <w:rPr>
          <w:rFonts w:ascii="仿宋" w:hAnsi="仿宋" w:eastAsia="仿宋" w:cs="仿宋"/>
          <w:color w:val="000000"/>
          <w:kern w:val="0"/>
          <w:sz w:val="32"/>
          <w:szCs w:val="32"/>
        </w:rPr>
      </w:pPr>
      <w:r>
        <w:rPr>
          <w:rFonts w:hint="eastAsia" w:ascii="仿宋_GB2312" w:hAnsi="仿宋" w:eastAsia="仿宋_GB2312" w:cs="仿宋"/>
          <w:color w:val="000000"/>
          <w:kern w:val="0"/>
          <w:sz w:val="32"/>
          <w:szCs w:val="32"/>
        </w:rPr>
        <w:t>本局决定对你（</w:t>
      </w:r>
      <w:r>
        <w:rPr>
          <w:rFonts w:hint="eastAsia" w:ascii="仿宋_GB2312" w:hAnsi="仿宋" w:eastAsia="仿宋_GB2312" w:cs="仿宋"/>
          <w:strike/>
          <w:color w:val="000000"/>
          <w:kern w:val="0"/>
          <w:sz w:val="32"/>
          <w:szCs w:val="32"/>
        </w:rPr>
        <w:t>单位</w:t>
      </w:r>
      <w:r>
        <w:rPr>
          <w:rFonts w:hint="eastAsia" w:ascii="仿宋_GB2312" w:hAnsi="仿宋" w:eastAsia="仿宋_GB2312" w:cs="仿宋"/>
          <w:color w:val="000000"/>
          <w:kern w:val="0"/>
          <w:sz w:val="32"/>
          <w:szCs w:val="32"/>
        </w:rPr>
        <w:t>）给予以下行政处罚：</w:t>
      </w:r>
      <w:r>
        <w:rPr>
          <w:rFonts w:hint="eastAsia" w:ascii="仿宋" w:hAnsi="仿宋" w:eastAsia="仿宋" w:cs="仿宋"/>
          <w:color w:val="000000"/>
          <w:kern w:val="0"/>
          <w:sz w:val="32"/>
          <w:szCs w:val="32"/>
        </w:rPr>
        <w:t>吊销《食品经营许可证》。</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如不服本处罚决定，可在接到本处罚决定书之日起60日内向</w:t>
      </w:r>
      <w:r>
        <w:rPr>
          <w:rFonts w:hint="eastAsia" w:ascii="仿宋" w:hAnsi="仿宋" w:eastAsia="仿宋" w:cs="仿宋"/>
          <w:color w:val="000000"/>
          <w:sz w:val="32"/>
          <w:szCs w:val="32"/>
        </w:rPr>
        <w:t>汕尾市</w:t>
      </w:r>
      <w:r>
        <w:rPr>
          <w:rFonts w:hint="eastAsia" w:ascii="仿宋" w:hAnsi="仿宋" w:eastAsia="仿宋" w:cs="仿宋"/>
          <w:color w:val="000000"/>
          <w:kern w:val="0"/>
          <w:sz w:val="32"/>
          <w:szCs w:val="32"/>
        </w:rPr>
        <w:t>食品药品监督管理局或者</w:t>
      </w:r>
      <w:r>
        <w:rPr>
          <w:rFonts w:hint="eastAsia" w:ascii="仿宋" w:hAnsi="仿宋" w:eastAsia="仿宋" w:cs="仿宋"/>
          <w:color w:val="000000"/>
          <w:sz w:val="32"/>
          <w:szCs w:val="32"/>
        </w:rPr>
        <w:t>陆河县</w:t>
      </w:r>
      <w:r>
        <w:rPr>
          <w:rFonts w:hint="eastAsia" w:ascii="仿宋" w:hAnsi="仿宋" w:eastAsia="仿宋" w:cs="仿宋"/>
          <w:color w:val="000000"/>
          <w:kern w:val="0"/>
          <w:sz w:val="32"/>
          <w:szCs w:val="32"/>
        </w:rPr>
        <w:t>人民政府申请行政复议，也可以于6个月内依法向</w:t>
      </w:r>
      <w:r>
        <w:rPr>
          <w:rFonts w:hint="eastAsia" w:ascii="仿宋" w:hAnsi="仿宋" w:eastAsia="仿宋" w:cs="仿宋"/>
          <w:color w:val="000000"/>
          <w:sz w:val="32"/>
          <w:szCs w:val="32"/>
        </w:rPr>
        <w:t>海丰县</w:t>
      </w:r>
      <w:r>
        <w:rPr>
          <w:rFonts w:hint="eastAsia" w:ascii="仿宋" w:hAnsi="仿宋" w:eastAsia="仿宋" w:cs="仿宋"/>
          <w:color w:val="000000"/>
          <w:kern w:val="0"/>
          <w:sz w:val="32"/>
          <w:szCs w:val="32"/>
        </w:rPr>
        <w:t>人民法院提起行政诉讼。</w:t>
      </w:r>
    </w:p>
    <w:p>
      <w:pPr>
        <w:autoSpaceDE w:val="0"/>
        <w:autoSpaceDN w:val="0"/>
        <w:adjustRightInd w:val="0"/>
        <w:spacing w:line="440" w:lineRule="exact"/>
        <w:ind w:firstLine="640" w:firstLineChars="200"/>
        <w:jc w:val="left"/>
        <w:rPr>
          <w:rFonts w:ascii="仿宋_GB2312" w:hAnsi="仿宋" w:eastAsia="仿宋_GB2312" w:cs="仿宋"/>
          <w:color w:val="000000"/>
          <w:kern w:val="0"/>
          <w:sz w:val="32"/>
          <w:szCs w:val="32"/>
        </w:rPr>
      </w:pPr>
    </w:p>
    <w:p>
      <w:pPr>
        <w:autoSpaceDE w:val="0"/>
        <w:autoSpaceDN w:val="0"/>
        <w:adjustRightInd w:val="0"/>
        <w:spacing w:line="440" w:lineRule="exact"/>
        <w:ind w:firstLine="640" w:firstLineChars="200"/>
        <w:jc w:val="left"/>
        <w:rPr>
          <w:rFonts w:ascii="仿宋_GB2312" w:hAnsi="仿宋" w:eastAsia="仿宋_GB2312"/>
          <w:color w:val="000000"/>
          <w:kern w:val="0"/>
          <w:sz w:val="32"/>
          <w:szCs w:val="32"/>
        </w:rPr>
      </w:pPr>
    </w:p>
    <w:p>
      <w:pPr>
        <w:keepNext w:val="0"/>
        <w:keepLines w:val="0"/>
        <w:pageBreakBefore w:val="0"/>
        <w:widowControl w:val="0"/>
        <w:tabs>
          <w:tab w:val="left" w:pos="8364"/>
        </w:tabs>
        <w:kinsoku/>
        <w:wordWrap/>
        <w:overflowPunct/>
        <w:topLinePunct w:val="0"/>
        <w:autoSpaceDE w:val="0"/>
        <w:autoSpaceDN w:val="0"/>
        <w:bidi w:val="0"/>
        <w:adjustRightInd w:val="0"/>
        <w:snapToGrid/>
        <w:spacing w:before="156" w:beforeLines="50" w:line="600" w:lineRule="exact"/>
        <w:ind w:left="0" w:right="420" w:hanging="6400" w:hangingChars="2000"/>
        <w:jc w:val="left"/>
        <w:textAlignment w:val="auto"/>
        <w:outlineLvl w:val="9"/>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（公   章）</w:t>
      </w:r>
    </w:p>
    <w:p>
      <w:pPr>
        <w:autoSpaceDE w:val="0"/>
        <w:autoSpaceDN w:val="0"/>
        <w:adjustRightInd w:val="0"/>
        <w:spacing w:before="156" w:beforeLines="50"/>
        <w:ind w:firstLine="4480" w:firstLineChars="1400"/>
        <w:jc w:val="center"/>
        <w:rPr>
          <w:rFonts w:ascii="仿宋_GB2312" w:hAnsi="仿宋" w:eastAsia="仿宋_GB2312"/>
          <w:color w:val="000000"/>
          <w:kern w:val="0"/>
          <w:sz w:val="32"/>
          <w:szCs w:val="32"/>
        </w:rPr>
      </w:pPr>
      <w:r>
        <w:rPr>
          <w:rFonts w:hint="eastAsia" w:ascii="仿宋_GB2312" w:hAnsi="仿宋" w:eastAsia="仿宋_GB2312" w:cs="仿宋"/>
          <w:color w:val="000000"/>
          <w:sz w:val="32"/>
          <w:szCs w:val="32"/>
        </w:rPr>
        <w:t xml:space="preserve">         2018</w:t>
      </w:r>
      <w:r>
        <w:rPr>
          <w:rFonts w:hint="eastAsia" w:ascii="仿宋_GB2312" w:hAnsi="仿宋" w:eastAsia="仿宋_GB2312"/>
          <w:color w:val="000000"/>
          <w:kern w:val="0"/>
          <w:sz w:val="32"/>
          <w:szCs w:val="32"/>
        </w:rPr>
        <w:t>年</w:t>
      </w:r>
      <w:r>
        <w:rPr>
          <w:rFonts w:hint="eastAsia" w:ascii="仿宋_GB2312" w:hAnsi="仿宋" w:eastAsia="仿宋_GB2312" w:cs="仿宋"/>
          <w:color w:val="000000"/>
          <w:sz w:val="32"/>
          <w:szCs w:val="32"/>
        </w:rPr>
        <w:t>5</w:t>
      </w:r>
      <w:r>
        <w:rPr>
          <w:rFonts w:hint="eastAsia" w:ascii="仿宋_GB2312" w:hAnsi="仿宋" w:eastAsia="仿宋_GB2312"/>
          <w:color w:val="000000"/>
          <w:kern w:val="0"/>
          <w:sz w:val="32"/>
          <w:szCs w:val="32"/>
        </w:rPr>
        <w:t>月22日</w:t>
      </w: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bookmarkStart w:id="0" w:name="_GoBack"/>
      <w:bookmarkEnd w:id="0"/>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rPr>
          <w:rFonts w:ascii="仿宋_GB2312" w:hAnsi="仿宋" w:eastAsia="仿宋_GB2312"/>
          <w:color w:val="000000"/>
          <w:kern w:val="0"/>
          <w:sz w:val="24"/>
          <w:szCs w:val="21"/>
        </w:rPr>
      </w:pPr>
    </w:p>
    <w:p>
      <w:pPr>
        <w:autoSpaceDE w:val="0"/>
        <w:autoSpaceDN w:val="0"/>
        <w:adjustRightInd w:val="0"/>
        <w:spacing w:before="156" w:beforeLines="50"/>
        <w:jc w:val="left"/>
        <w:rPr>
          <w:rFonts w:hint="eastAsia" w:ascii="仿宋_GB2312" w:hAnsi="仿宋" w:eastAsia="仿宋_GB2312"/>
          <w:color w:val="000000"/>
          <w:sz w:val="20"/>
          <w:szCs w:val="20"/>
        </w:rPr>
      </w:pPr>
      <w:r>
        <w:rPr>
          <w:rFonts w:hint="eastAsia" w:ascii="仿宋_GB2312" w:hAnsi="仿宋" w:eastAsia="仿宋_GB2312"/>
          <w:color w:val="000000"/>
          <w:sz w:val="20"/>
          <w:szCs w:val="20"/>
        </w:rPr>
        <w:t>注：正文3号仿宋体字，存档（1），必要时交</w:t>
      </w:r>
      <w:r>
        <w:rPr>
          <w:rFonts w:hint="eastAsia" w:ascii="仿宋_GB2312" w:hAnsi="仿宋" w:eastAsia="仿宋_GB2312" w:cs="仿宋"/>
          <w:color w:val="000000"/>
          <w:szCs w:val="21"/>
        </w:rPr>
        <w:t>×××</w:t>
      </w:r>
      <w:r>
        <w:rPr>
          <w:rFonts w:hint="eastAsia" w:ascii="仿宋_GB2312" w:hAnsi="仿宋" w:eastAsia="仿宋_GB2312"/>
          <w:color w:val="000000"/>
          <w:sz w:val="20"/>
          <w:szCs w:val="20"/>
        </w:rPr>
        <w:t>人民法院强制执行（1）。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2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2018-07-02T03:40:07Z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