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1745" w:tblpY="2898"/>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06"/>
        <w:gridCol w:w="1775"/>
        <w:gridCol w:w="1571"/>
        <w:gridCol w:w="1686"/>
        <w:gridCol w:w="32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i w:val="0"/>
                <w:caps w:val="0"/>
                <w:color w:val="333333"/>
                <w:spacing w:val="0"/>
                <w:kern w:val="0"/>
                <w:sz w:val="20"/>
                <w:szCs w:val="20"/>
                <w:bdr w:val="none" w:color="auto" w:sz="0" w:space="0"/>
                <w:lang w:val="en-US" w:eastAsia="zh-CN" w:bidi="ar"/>
              </w:rPr>
              <w:t>序号</w:t>
            </w:r>
          </w:p>
        </w:tc>
        <w:tc>
          <w:tcPr>
            <w:tcW w:w="17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i w:val="0"/>
                <w:caps w:val="0"/>
                <w:color w:val="333333"/>
                <w:spacing w:val="0"/>
                <w:kern w:val="0"/>
                <w:sz w:val="20"/>
                <w:szCs w:val="20"/>
                <w:bdr w:val="none" w:color="auto" w:sz="0" w:space="0"/>
                <w:lang w:val="en-US" w:eastAsia="zh-CN" w:bidi="ar"/>
              </w:rPr>
              <w:t>项目名称</w:t>
            </w:r>
          </w:p>
        </w:tc>
        <w:tc>
          <w:tcPr>
            <w:tcW w:w="157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i w:val="0"/>
                <w:caps w:val="0"/>
                <w:color w:val="333333"/>
                <w:spacing w:val="0"/>
                <w:kern w:val="0"/>
                <w:sz w:val="20"/>
                <w:szCs w:val="20"/>
                <w:bdr w:val="none" w:color="auto" w:sz="0" w:space="0"/>
                <w:lang w:val="en-US" w:eastAsia="zh-CN" w:bidi="ar"/>
              </w:rPr>
              <w:t>审批部门</w:t>
            </w:r>
          </w:p>
        </w:tc>
        <w:tc>
          <w:tcPr>
            <w:tcW w:w="16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i w:val="0"/>
                <w:caps w:val="0"/>
                <w:color w:val="333333"/>
                <w:spacing w:val="0"/>
                <w:kern w:val="0"/>
                <w:sz w:val="20"/>
                <w:szCs w:val="20"/>
                <w:bdr w:val="none" w:color="auto" w:sz="0" w:space="0"/>
                <w:lang w:val="en-US" w:eastAsia="zh-CN" w:bidi="ar"/>
              </w:rPr>
              <w:t>设定依据</w:t>
            </w:r>
          </w:p>
        </w:tc>
        <w:tc>
          <w:tcPr>
            <w:tcW w:w="323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i w:val="0"/>
                <w:caps w:val="0"/>
                <w:color w:val="333333"/>
                <w:spacing w:val="0"/>
                <w:kern w:val="0"/>
                <w:sz w:val="20"/>
                <w:szCs w:val="20"/>
                <w:bdr w:val="none" w:color="auto" w:sz="0" w:space="0"/>
                <w:lang w:val="en-US" w:eastAsia="zh-CN" w:bidi="ar"/>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kern w:val="0"/>
                <w:sz w:val="20"/>
                <w:szCs w:val="20"/>
                <w:bdr w:val="none" w:color="auto" w:sz="0" w:space="0"/>
                <w:lang w:val="en-US" w:eastAsia="zh-CN" w:bidi="ar"/>
              </w:rPr>
              <w:t>1</w:t>
            </w:r>
          </w:p>
        </w:tc>
        <w:tc>
          <w:tcPr>
            <w:tcW w:w="1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机动车维修经营许可</w:t>
            </w:r>
          </w:p>
        </w:tc>
        <w:tc>
          <w:tcPr>
            <w:tcW w:w="157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县级道路运输管理机构</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《中华人民共和国道路运输条例》</w:t>
            </w:r>
          </w:p>
        </w:tc>
        <w:tc>
          <w:tcPr>
            <w:tcW w:w="32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取消审批后，交通运输部要制定完善并公布维修业务标准，督促地方交通运输主管部门通过以下措施加强事中事后监管：</w:t>
            </w:r>
            <w:r>
              <w:rPr>
                <w:rFonts w:hint="default" w:ascii="Calibri" w:hAnsi="Calibri" w:eastAsia="宋体" w:cs="Calibri"/>
                <w:i w:val="0"/>
                <w:caps w:val="0"/>
                <w:color w:val="333333"/>
                <w:spacing w:val="0"/>
                <w:kern w:val="0"/>
                <w:sz w:val="20"/>
                <w:szCs w:val="20"/>
                <w:bdr w:val="none" w:color="auto" w:sz="0" w:space="0"/>
                <w:lang w:val="en-US" w:eastAsia="zh-CN" w:bidi="ar"/>
              </w:rPr>
              <w:t>1</w:t>
            </w:r>
            <w:r>
              <w:rPr>
                <w:rFonts w:hint="eastAsia" w:ascii="宋体" w:hAnsi="宋体" w:eastAsia="宋体" w:cs="宋体"/>
                <w:i w:val="0"/>
                <w:caps w:val="0"/>
                <w:color w:val="333333"/>
                <w:spacing w:val="0"/>
                <w:kern w:val="0"/>
                <w:sz w:val="20"/>
                <w:szCs w:val="20"/>
                <w:bdr w:val="none" w:color="auto" w:sz="0" w:space="0"/>
                <w:lang w:val="en-US" w:eastAsia="zh-CN" w:bidi="ar"/>
              </w:rPr>
              <w:t>.建立健全机动车维修经营备案制度，及时公布相关信息。</w:t>
            </w:r>
            <w:r>
              <w:rPr>
                <w:rFonts w:hint="default" w:ascii="Calibri" w:hAnsi="Calibri" w:eastAsia="宋体" w:cs="Calibri"/>
                <w:i w:val="0"/>
                <w:caps w:val="0"/>
                <w:color w:val="333333"/>
                <w:spacing w:val="0"/>
                <w:kern w:val="0"/>
                <w:sz w:val="20"/>
                <w:szCs w:val="20"/>
                <w:bdr w:val="none" w:color="auto" w:sz="0" w:space="0"/>
                <w:lang w:val="en-US" w:eastAsia="zh-CN" w:bidi="ar"/>
              </w:rPr>
              <w:t>2</w:t>
            </w:r>
            <w:r>
              <w:rPr>
                <w:rFonts w:hint="eastAsia" w:ascii="宋体" w:hAnsi="宋体" w:eastAsia="宋体" w:cs="宋体"/>
                <w:i w:val="0"/>
                <w:caps w:val="0"/>
                <w:color w:val="333333"/>
                <w:spacing w:val="0"/>
                <w:kern w:val="0"/>
                <w:sz w:val="20"/>
                <w:szCs w:val="20"/>
                <w:bdr w:val="none" w:color="auto" w:sz="0" w:space="0"/>
                <w:lang w:val="en-US" w:eastAsia="zh-CN" w:bidi="ar"/>
              </w:rPr>
              <w:t>.要求机动车维修企业严格按照标准开展维修业务，维修服务完成后应提供明细单，作为车主追责依据。</w:t>
            </w:r>
            <w:r>
              <w:rPr>
                <w:rFonts w:hint="default" w:ascii="Calibri" w:hAnsi="Calibri" w:eastAsia="宋体" w:cs="Calibri"/>
                <w:i w:val="0"/>
                <w:caps w:val="0"/>
                <w:color w:val="333333"/>
                <w:spacing w:val="0"/>
                <w:kern w:val="0"/>
                <w:sz w:val="20"/>
                <w:szCs w:val="20"/>
                <w:bdr w:val="none" w:color="auto" w:sz="0" w:space="0"/>
                <w:lang w:val="en-US" w:eastAsia="zh-CN" w:bidi="ar"/>
              </w:rPr>
              <w:t>3</w:t>
            </w:r>
            <w:r>
              <w:rPr>
                <w:rFonts w:hint="eastAsia" w:ascii="宋体" w:hAnsi="宋体" w:eastAsia="宋体" w:cs="宋体"/>
                <w:i w:val="0"/>
                <w:caps w:val="0"/>
                <w:color w:val="333333"/>
                <w:spacing w:val="0"/>
                <w:kern w:val="0"/>
                <w:sz w:val="20"/>
                <w:szCs w:val="20"/>
                <w:bdr w:val="none" w:color="auto" w:sz="0" w:space="0"/>
                <w:lang w:val="en-US" w:eastAsia="zh-CN" w:bidi="ar"/>
              </w:rPr>
              <w:t>.加强对机动车维修行为的监管，对维修企业出现违法违规行为，依法予以处罚。</w:t>
            </w:r>
            <w:r>
              <w:rPr>
                <w:rFonts w:hint="default" w:ascii="Calibri" w:hAnsi="Calibri" w:eastAsia="宋体" w:cs="Calibri"/>
                <w:i w:val="0"/>
                <w:caps w:val="0"/>
                <w:color w:val="333333"/>
                <w:spacing w:val="0"/>
                <w:kern w:val="0"/>
                <w:sz w:val="20"/>
                <w:szCs w:val="20"/>
                <w:bdr w:val="none" w:color="auto" w:sz="0" w:space="0"/>
                <w:lang w:val="en-US" w:eastAsia="zh-CN" w:bidi="ar"/>
              </w:rPr>
              <w:t>4</w:t>
            </w:r>
            <w:r>
              <w:rPr>
                <w:rFonts w:hint="eastAsia" w:ascii="宋体" w:hAnsi="宋体" w:eastAsia="宋体" w:cs="宋体"/>
                <w:i w:val="0"/>
                <w:caps w:val="0"/>
                <w:color w:val="333333"/>
                <w:spacing w:val="0"/>
                <w:kern w:val="0"/>
                <w:sz w:val="20"/>
                <w:szCs w:val="20"/>
                <w:bdr w:val="none" w:color="auto" w:sz="0" w:space="0"/>
                <w:lang w:val="en-US" w:eastAsia="zh-CN" w:bidi="ar"/>
              </w:rPr>
              <w:t>.建立黑名单制度，深入推进维修诚信体系建设。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kern w:val="0"/>
                <w:sz w:val="20"/>
                <w:szCs w:val="20"/>
                <w:bdr w:val="none" w:color="auto" w:sz="0" w:space="0"/>
                <w:lang w:val="en-US" w:eastAsia="zh-CN" w:bidi="ar"/>
              </w:rPr>
              <w:t>2</w:t>
            </w:r>
          </w:p>
        </w:tc>
        <w:tc>
          <w:tcPr>
            <w:tcW w:w="1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外商投资道路运输业立项审批</w:t>
            </w:r>
          </w:p>
        </w:tc>
        <w:tc>
          <w:tcPr>
            <w:tcW w:w="157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省级交通运输行政主管部门</w:t>
            </w:r>
          </w:p>
        </w:tc>
        <w:tc>
          <w:tcPr>
            <w:tcW w:w="1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《国务院关于取消和下放一批行政审批项目的决定》（国发〔</w:t>
            </w:r>
            <w:r>
              <w:rPr>
                <w:rFonts w:hint="default" w:ascii="Calibri" w:hAnsi="Calibri" w:eastAsia="宋体" w:cs="Calibri"/>
                <w:i w:val="0"/>
                <w:caps w:val="0"/>
                <w:color w:val="333333"/>
                <w:spacing w:val="0"/>
                <w:kern w:val="0"/>
                <w:sz w:val="20"/>
                <w:szCs w:val="20"/>
                <w:bdr w:val="none" w:color="auto" w:sz="0" w:space="0"/>
                <w:lang w:val="en-US" w:eastAsia="zh-CN" w:bidi="ar"/>
              </w:rPr>
              <w:t>2013</w:t>
            </w:r>
            <w:r>
              <w:rPr>
                <w:rFonts w:hint="eastAsia" w:ascii="宋体" w:hAnsi="宋体" w:eastAsia="宋体" w:cs="宋体"/>
                <w:i w:val="0"/>
                <w:caps w:val="0"/>
                <w:color w:val="333333"/>
                <w:spacing w:val="0"/>
                <w:kern w:val="0"/>
                <w:sz w:val="20"/>
                <w:szCs w:val="20"/>
                <w:bdr w:val="none" w:color="auto" w:sz="0" w:space="0"/>
                <w:lang w:val="en-US" w:eastAsia="zh-CN" w:bidi="ar"/>
              </w:rPr>
              <w:t>〕</w:t>
            </w:r>
            <w:r>
              <w:rPr>
                <w:rFonts w:hint="default" w:ascii="Calibri" w:hAnsi="Calibri" w:eastAsia="宋体" w:cs="Calibri"/>
                <w:i w:val="0"/>
                <w:caps w:val="0"/>
                <w:color w:val="333333"/>
                <w:spacing w:val="0"/>
                <w:kern w:val="0"/>
                <w:sz w:val="20"/>
                <w:szCs w:val="20"/>
                <w:bdr w:val="none" w:color="auto" w:sz="0" w:space="0"/>
                <w:lang w:val="en-US" w:eastAsia="zh-CN" w:bidi="ar"/>
              </w:rPr>
              <w:t>44</w:t>
            </w:r>
            <w:r>
              <w:rPr>
                <w:rFonts w:hint="eastAsia" w:ascii="宋体" w:hAnsi="宋体" w:eastAsia="宋体" w:cs="宋体"/>
                <w:i w:val="0"/>
                <w:caps w:val="0"/>
                <w:color w:val="333333"/>
                <w:spacing w:val="0"/>
                <w:kern w:val="0"/>
                <w:sz w:val="20"/>
                <w:szCs w:val="20"/>
                <w:bdr w:val="none" w:color="auto" w:sz="0" w:space="0"/>
                <w:lang w:val="en-US" w:eastAsia="zh-CN" w:bidi="ar"/>
              </w:rPr>
              <w:t>号）</w:t>
            </w:r>
          </w:p>
        </w:tc>
        <w:tc>
          <w:tcPr>
            <w:tcW w:w="32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i w:val="0"/>
                <w:caps w:val="0"/>
                <w:color w:val="333333"/>
                <w:spacing w:val="0"/>
                <w:kern w:val="0"/>
                <w:sz w:val="20"/>
                <w:szCs w:val="20"/>
                <w:bdr w:val="none" w:color="auto" w:sz="0" w:space="0"/>
                <w:lang w:val="en-US" w:eastAsia="zh-CN" w:bidi="ar"/>
              </w:rPr>
              <w:t>取消审批后，交通运输部要督促地方交通运输主管部门通过以下措施加强事中事后监管：</w:t>
            </w:r>
            <w:r>
              <w:rPr>
                <w:rFonts w:hint="default" w:ascii="Calibri" w:hAnsi="Calibri" w:eastAsia="宋体" w:cs="Calibri"/>
                <w:i w:val="0"/>
                <w:caps w:val="0"/>
                <w:color w:val="333333"/>
                <w:spacing w:val="0"/>
                <w:kern w:val="0"/>
                <w:sz w:val="20"/>
                <w:szCs w:val="20"/>
                <w:bdr w:val="none" w:color="auto" w:sz="0" w:space="0"/>
                <w:lang w:val="en-US" w:eastAsia="zh-CN" w:bidi="ar"/>
              </w:rPr>
              <w:t>1</w:t>
            </w:r>
            <w:r>
              <w:rPr>
                <w:rFonts w:hint="eastAsia" w:ascii="宋体" w:hAnsi="宋体" w:eastAsia="宋体" w:cs="宋体"/>
                <w:i w:val="0"/>
                <w:caps w:val="0"/>
                <w:color w:val="333333"/>
                <w:spacing w:val="0"/>
                <w:kern w:val="0"/>
                <w:sz w:val="20"/>
                <w:szCs w:val="20"/>
                <w:bdr w:val="none" w:color="auto" w:sz="0" w:space="0"/>
                <w:lang w:val="en-US" w:eastAsia="zh-CN" w:bidi="ar"/>
              </w:rPr>
              <w:t>.外商投资道路运输业享受国民待遇，严格按照国内道路运输经营相关规定进行管理，依法办理“道路旅客运输经营许可”、“道路货运经营许可”等相关行政许可事项。</w:t>
            </w:r>
            <w:r>
              <w:rPr>
                <w:rFonts w:hint="default" w:ascii="Calibri" w:hAnsi="Calibri" w:eastAsia="宋体" w:cs="Calibri"/>
                <w:i w:val="0"/>
                <w:caps w:val="0"/>
                <w:color w:val="333333"/>
                <w:spacing w:val="0"/>
                <w:kern w:val="0"/>
                <w:sz w:val="20"/>
                <w:szCs w:val="20"/>
                <w:bdr w:val="none" w:color="auto" w:sz="0" w:space="0"/>
                <w:lang w:val="en-US" w:eastAsia="zh-CN" w:bidi="ar"/>
              </w:rPr>
              <w:t>2</w:t>
            </w:r>
            <w:r>
              <w:rPr>
                <w:rFonts w:hint="eastAsia" w:ascii="宋体" w:hAnsi="宋体" w:eastAsia="宋体" w:cs="宋体"/>
                <w:i w:val="0"/>
                <w:caps w:val="0"/>
                <w:color w:val="333333"/>
                <w:spacing w:val="0"/>
                <w:kern w:val="0"/>
                <w:sz w:val="20"/>
                <w:szCs w:val="20"/>
                <w:bdr w:val="none" w:color="auto" w:sz="0" w:space="0"/>
                <w:lang w:val="en-US" w:eastAsia="zh-CN" w:bidi="ar"/>
              </w:rPr>
              <w:t>.完善道路运输安全相关规定，加强安全检查，对违法违规行为，依法进行处罚。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3" w:firstLineChars="200"/>
        <w:jc w:val="center"/>
        <w:rPr>
          <w:rFonts w:hint="eastAsia" w:asciiTheme="majorEastAsia" w:hAnsiTheme="majorEastAsia" w:eastAsiaTheme="majorEastAsia" w:cstheme="majorEastAsia"/>
          <w:b/>
          <w:bCs/>
          <w:i w:val="0"/>
          <w:caps w:val="0"/>
          <w:color w:val="333333"/>
          <w:spacing w:val="0"/>
          <w:kern w:val="2"/>
          <w:sz w:val="36"/>
          <w:szCs w:val="36"/>
          <w:shd w:val="clear" w:fill="FFFFFF"/>
          <w:lang w:val="en-US" w:eastAsia="zh-CN" w:bidi="ar-SA"/>
        </w:rPr>
      </w:pPr>
      <w:r>
        <w:rPr>
          <w:rFonts w:hint="eastAsia" w:asciiTheme="majorEastAsia" w:hAnsiTheme="majorEastAsia" w:eastAsiaTheme="majorEastAsia" w:cstheme="majorEastAsia"/>
          <w:b/>
          <w:bCs/>
          <w:i w:val="0"/>
          <w:caps w:val="0"/>
          <w:color w:val="333333"/>
          <w:spacing w:val="0"/>
          <w:kern w:val="2"/>
          <w:sz w:val="36"/>
          <w:szCs w:val="36"/>
          <w:shd w:val="clear" w:fill="FFFFFF"/>
          <w:lang w:val="en-US" w:eastAsia="zh-CN" w:bidi="ar-SA"/>
        </w:rPr>
        <w:t>国务院决定取消的行政许可</w:t>
      </w:r>
      <w:bookmarkStart w:id="0" w:name="_GoBack"/>
      <w:bookmarkEnd w:id="0"/>
      <w:r>
        <w:rPr>
          <w:rFonts w:hint="eastAsia" w:asciiTheme="majorEastAsia" w:hAnsiTheme="majorEastAsia" w:eastAsiaTheme="majorEastAsia" w:cstheme="majorEastAsia"/>
          <w:b/>
          <w:bCs/>
          <w:i w:val="0"/>
          <w:caps w:val="0"/>
          <w:color w:val="333333"/>
          <w:spacing w:val="0"/>
          <w:kern w:val="2"/>
          <w:sz w:val="36"/>
          <w:szCs w:val="36"/>
          <w:shd w:val="clear" w:fill="FFFFFF"/>
          <w:lang w:val="en-US" w:eastAsia="zh-CN" w:bidi="ar-SA"/>
        </w:rPr>
        <w:t>等事项目录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91" w:firstLineChars="900"/>
        <w:jc w:val="both"/>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（交通运输部分）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85573"/>
    <w:rsid w:val="46B8557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2018-08-15T08:40:00Z</dcterms:created>
  <dc:creator>someone1401848112</dc:creator>
  <cp:lastModifiedBy>someone1401848112</cp:lastModifiedBy>
  <dcterms:modified xsi:type="dcterms:W3CDTF">2018-08-15T08:45:23Z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