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住房城乡建设部 财政部 人民银行关于改进住房公积金缴存机制进一步降低企业成本的通知</w:t>
      </w:r>
    </w:p>
    <w:p>
      <w:pPr>
        <w:jc w:val="center"/>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val="0"/>
          <w:i w:val="0"/>
          <w:caps w:val="0"/>
          <w:color w:val="333333"/>
          <w:spacing w:val="0"/>
          <w:sz w:val="28"/>
          <w:szCs w:val="28"/>
          <w:shd w:val="clear" w:fill="FFFFFF"/>
        </w:rPr>
        <w:t>建金〔2018〕45号</w:t>
      </w:r>
    </w:p>
    <w:p>
      <w:pPr>
        <w:jc w:val="left"/>
        <w:rPr>
          <w:rFonts w:hint="eastAsia" w:asciiTheme="minorEastAsia" w:hAnsiTheme="minorEastAsia" w:eastAsiaTheme="minorEastAsia" w:cstheme="minorEastAsia"/>
          <w:b w:val="0"/>
          <w:i w:val="0"/>
          <w:caps w:val="0"/>
          <w:color w:val="333333"/>
          <w:spacing w:val="0"/>
          <w:sz w:val="28"/>
          <w:szCs w:val="28"/>
          <w:shd w:val="clear" w:fill="FFFFFF"/>
        </w:rPr>
      </w:pP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各省、自治区住房城乡建设厅、财政厅，直辖市、新疆生产建设兵团财务局，中国人民银行上海总部、各分行、营业管理部、省会（首府）城市中心支行、副省级城市中心支行，直辖市、新疆生产建设兵团住房公积金管理委员会、住房公积金管理中心：</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为贯彻落实党中央、国务院决策部署，降低实体经济成本，减轻企业非税负担，现就改进住房公积金缴存机制，进一步降低企业成本有关事项通知如下：</w:t>
      </w:r>
    </w:p>
    <w:p>
      <w:pPr>
        <w:jc w:val="left"/>
        <w:rPr>
          <w:rFonts w:hint="eastAsia" w:asciiTheme="minorEastAsia" w:hAnsiTheme="minorEastAsia" w:eastAsiaTheme="minorEastAsia" w:cstheme="minorEastAsia"/>
          <w:b/>
          <w:bCs/>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w:t>
      </w:r>
      <w:r>
        <w:rPr>
          <w:rFonts w:hint="eastAsia" w:asciiTheme="minorEastAsia" w:hAnsiTheme="minorEastAsia" w:eastAsiaTheme="minorEastAsia" w:cstheme="minorEastAsia"/>
          <w:b/>
          <w:bCs/>
          <w:i w:val="0"/>
          <w:caps w:val="0"/>
          <w:color w:val="333333"/>
          <w:spacing w:val="0"/>
          <w:sz w:val="32"/>
          <w:szCs w:val="32"/>
          <w:shd w:val="clear" w:fill="FFFFFF"/>
          <w:lang w:eastAsia="zh-CN"/>
        </w:rPr>
        <w:t>　一、延长阶段性适当降低企业住房公积金缴存比例政策的期限</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各地区2016年出台的阶段性适当降低企业住房公积金缴存比例政策到期后，继续延长执行期至2020年4月30日。各地区要对政策实施效果进行评估，并可结合当地实际进一步降低企业住房公积金缴存比例。</w:t>
      </w:r>
    </w:p>
    <w:p>
      <w:pPr>
        <w:jc w:val="left"/>
        <w:rPr>
          <w:rFonts w:hint="eastAsia" w:asciiTheme="minorEastAsia" w:hAnsiTheme="minorEastAsia" w:eastAsiaTheme="minorEastAsia" w:cstheme="minorEastAsia"/>
          <w:b/>
          <w:bCs/>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w:t>
      </w:r>
      <w:r>
        <w:rPr>
          <w:rFonts w:hint="eastAsia" w:asciiTheme="minorEastAsia" w:hAnsiTheme="minorEastAsia" w:eastAsiaTheme="minorEastAsia" w:cstheme="minorEastAsia"/>
          <w:b/>
          <w:bCs/>
          <w:i w:val="0"/>
          <w:caps w:val="0"/>
          <w:color w:val="333333"/>
          <w:spacing w:val="0"/>
          <w:sz w:val="32"/>
          <w:szCs w:val="32"/>
          <w:shd w:val="clear" w:fill="FFFFFF"/>
          <w:lang w:eastAsia="zh-CN"/>
        </w:rPr>
        <w:t>二、切实规范住房公积金缴存基数上限</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缴存住房公积金的月工资基数，不得高于职工工作地所在设区城市统计部门公布的上一年度职工月平均工资的3倍。凡超过3倍的，一律予以规范调整。</w:t>
      </w:r>
    </w:p>
    <w:p>
      <w:pPr>
        <w:jc w:val="left"/>
        <w:rPr>
          <w:rFonts w:hint="eastAsia" w:asciiTheme="minorEastAsia" w:hAnsiTheme="minorEastAsia" w:eastAsiaTheme="minorEastAsia" w:cstheme="minorEastAsia"/>
          <w:b/>
          <w:bCs/>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w:t>
      </w:r>
      <w:r>
        <w:rPr>
          <w:rFonts w:hint="eastAsia" w:asciiTheme="minorEastAsia" w:hAnsiTheme="minorEastAsia" w:eastAsiaTheme="minorEastAsia" w:cstheme="minorEastAsia"/>
          <w:b/>
          <w:bCs/>
          <w:i w:val="0"/>
          <w:caps w:val="0"/>
          <w:color w:val="333333"/>
          <w:spacing w:val="0"/>
          <w:sz w:val="32"/>
          <w:szCs w:val="32"/>
          <w:shd w:val="clear" w:fill="FFFFFF"/>
          <w:lang w:eastAsia="zh-CN"/>
        </w:rPr>
        <w:t>三、扩大住房公积金缴存比例浮动区间</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住房公积金缴存比例下限为5%，上限由各地区按照《住房公积金管理条例》规定的程序确定，最高不得超过12%。缴存单位可在5%至当地规定的上限区间内，自主确定住房公积金缴存比例。</w:t>
      </w:r>
    </w:p>
    <w:p>
      <w:pPr>
        <w:jc w:val="left"/>
        <w:rPr>
          <w:rFonts w:hint="eastAsia" w:asciiTheme="minorEastAsia" w:hAnsiTheme="minorEastAsia" w:eastAsiaTheme="minorEastAsia" w:cstheme="minorEastAsia"/>
          <w:b/>
          <w:bCs/>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w:t>
      </w:r>
      <w:r>
        <w:rPr>
          <w:rFonts w:hint="eastAsia" w:asciiTheme="minorEastAsia" w:hAnsiTheme="minorEastAsia" w:eastAsiaTheme="minorEastAsia" w:cstheme="minorEastAsia"/>
          <w:b/>
          <w:bCs/>
          <w:i w:val="0"/>
          <w:caps w:val="0"/>
          <w:color w:val="333333"/>
          <w:spacing w:val="0"/>
          <w:sz w:val="32"/>
          <w:szCs w:val="32"/>
          <w:shd w:val="clear" w:fill="FFFFFF"/>
          <w:lang w:eastAsia="zh-CN"/>
        </w:rPr>
        <w:t>　四、提高降低住房公积金缴存比例和缓缴的审批效率</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生产经营困难的企业，经职工代表大会或工会讨论通过，可申请降低住房公积金缴存比例或者缓缴。住房公积金管理委员会应授权住房公积金管理中心审批，审批时限不得超过10个工作日。</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改进住</w:t>
      </w:r>
      <w:bookmarkStart w:id="0" w:name="_GoBack"/>
      <w:bookmarkEnd w:id="0"/>
      <w:r>
        <w:rPr>
          <w:rFonts w:hint="eastAsia" w:asciiTheme="minorEastAsia" w:hAnsiTheme="minorEastAsia" w:eastAsiaTheme="minorEastAsia" w:cstheme="minorEastAsia"/>
          <w:b w:val="0"/>
          <w:i w:val="0"/>
          <w:caps w:val="0"/>
          <w:color w:val="333333"/>
          <w:spacing w:val="0"/>
          <w:sz w:val="32"/>
          <w:szCs w:val="32"/>
          <w:shd w:val="clear" w:fill="FFFFFF"/>
          <w:lang w:eastAsia="zh-CN"/>
        </w:rPr>
        <w:t>房公积金缴存机制，进一步降低企业成本工作涉及面广，政策性强。各部门各单位要将思想和行动统一到党中央、国务院决策部署上来，按照职责分工，周密组织实施，加强政策解读，切实抓好落实。各省、自治区住房城乡建设厅和直辖市、新疆生产建设兵团住房公积金管理委员会要于2018年6月底前，将本通知落实情况报住房城乡建设部。</w:t>
      </w:r>
    </w:p>
    <w:p>
      <w:pPr>
        <w:jc w:val="left"/>
        <w:rPr>
          <w:rFonts w:hint="eastAsia" w:asciiTheme="minorEastAsia" w:hAnsiTheme="minorEastAsia" w:eastAsiaTheme="minorEastAsia" w:cstheme="minorEastAsia"/>
          <w:b w:val="0"/>
          <w:i w:val="0"/>
          <w:caps w:val="0"/>
          <w:color w:val="333333"/>
          <w:spacing w:val="0"/>
          <w:sz w:val="32"/>
          <w:szCs w:val="32"/>
          <w:shd w:val="clear" w:fill="FFFFFF"/>
          <w:lang w:eastAsia="zh-CN"/>
        </w:rPr>
      </w:pPr>
    </w:p>
    <w:p>
      <w:pPr>
        <w:jc w:val="right"/>
        <w:rPr>
          <w:rFonts w:hint="eastAsia" w:asciiTheme="minorEastAsia" w:hAnsiTheme="minorEastAsia" w:eastAsiaTheme="minorEastAsia" w:cstheme="minorEastAsia"/>
          <w:b w:val="0"/>
          <w:i w:val="0"/>
          <w:caps w:val="0"/>
          <w:color w:val="333333"/>
          <w:spacing w:val="0"/>
          <w:sz w:val="32"/>
          <w:szCs w:val="32"/>
          <w:shd w:val="clear" w:fill="FFFFFF"/>
          <w:lang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 xml:space="preserve"> 　　　　　　　　　　　　　　　　　　　　　　　　　　　　　　　　　　　　　　中华人民共和国住房和城乡建设部</w:t>
      </w:r>
    </w:p>
    <w:p>
      <w:pPr>
        <w:wordWrap w:val="0"/>
        <w:jc w:val="right"/>
        <w:rPr>
          <w:rFonts w:hint="eastAsia" w:asciiTheme="minorEastAsia" w:hAnsiTheme="minorEastAsia" w:eastAsiaTheme="minorEastAsia" w:cstheme="minorEastAsia"/>
          <w:b w:val="0"/>
          <w:i w:val="0"/>
          <w:caps w:val="0"/>
          <w:color w:val="333333"/>
          <w:spacing w:val="0"/>
          <w:sz w:val="32"/>
          <w:szCs w:val="32"/>
          <w:shd w:val="clear" w:fill="FFFFFF"/>
          <w:lang w:val="en-US"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中华人民共和国财政部</w:t>
      </w:r>
      <w:r>
        <w:rPr>
          <w:rFonts w:hint="eastAsia" w:asciiTheme="minorEastAsia" w:hAnsiTheme="minorEastAsia" w:cstheme="minorEastAsia"/>
          <w:b w:val="0"/>
          <w:i w:val="0"/>
          <w:caps w:val="0"/>
          <w:color w:val="333333"/>
          <w:spacing w:val="0"/>
          <w:sz w:val="32"/>
          <w:szCs w:val="32"/>
          <w:shd w:val="clear" w:fill="FFFFFF"/>
          <w:lang w:val="en-US" w:eastAsia="zh-CN"/>
        </w:rPr>
        <w:t xml:space="preserve">     </w:t>
      </w:r>
    </w:p>
    <w:p>
      <w:pPr>
        <w:wordWrap w:val="0"/>
        <w:jc w:val="right"/>
        <w:rPr>
          <w:rFonts w:hint="eastAsia" w:asciiTheme="minorEastAsia" w:hAnsiTheme="minorEastAsia" w:eastAsiaTheme="minorEastAsia" w:cstheme="minorEastAsia"/>
          <w:b w:val="0"/>
          <w:i w:val="0"/>
          <w:caps w:val="0"/>
          <w:color w:val="333333"/>
          <w:spacing w:val="0"/>
          <w:sz w:val="32"/>
          <w:szCs w:val="32"/>
          <w:shd w:val="clear" w:fill="FFFFFF"/>
          <w:lang w:val="en-US"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中国人民银行</w:t>
      </w:r>
      <w:r>
        <w:rPr>
          <w:rFonts w:hint="eastAsia" w:asciiTheme="minorEastAsia" w:hAnsiTheme="minorEastAsia" w:cstheme="minorEastAsia"/>
          <w:b w:val="0"/>
          <w:i w:val="0"/>
          <w:caps w:val="0"/>
          <w:color w:val="333333"/>
          <w:spacing w:val="0"/>
          <w:sz w:val="32"/>
          <w:szCs w:val="32"/>
          <w:shd w:val="clear" w:fill="FFFFFF"/>
          <w:lang w:val="en-US" w:eastAsia="zh-CN"/>
        </w:rPr>
        <w:t xml:space="preserve">         </w:t>
      </w:r>
    </w:p>
    <w:p>
      <w:pPr>
        <w:wordWrap w:val="0"/>
        <w:jc w:val="right"/>
        <w:rPr>
          <w:rFonts w:hint="eastAsia" w:asciiTheme="minorEastAsia" w:hAnsiTheme="minorEastAsia" w:eastAsiaTheme="minorEastAsia" w:cstheme="minorEastAsia"/>
          <w:b w:val="0"/>
          <w:i w:val="0"/>
          <w:caps w:val="0"/>
          <w:color w:val="333333"/>
          <w:spacing w:val="0"/>
          <w:sz w:val="32"/>
          <w:szCs w:val="32"/>
          <w:shd w:val="clear" w:fill="FFFFFF"/>
          <w:lang w:val="en-US" w:eastAsia="zh-CN"/>
        </w:rPr>
      </w:pPr>
      <w:r>
        <w:rPr>
          <w:rFonts w:hint="eastAsia" w:asciiTheme="minorEastAsia" w:hAnsiTheme="minorEastAsia" w:eastAsiaTheme="minorEastAsia" w:cstheme="minorEastAsia"/>
          <w:b w:val="0"/>
          <w:i w:val="0"/>
          <w:caps w:val="0"/>
          <w:color w:val="333333"/>
          <w:spacing w:val="0"/>
          <w:sz w:val="32"/>
          <w:szCs w:val="32"/>
          <w:shd w:val="clear" w:fill="FFFFFF"/>
          <w:lang w:eastAsia="zh-CN"/>
        </w:rPr>
        <w:t>2018年4月28日</w:t>
      </w:r>
      <w:r>
        <w:rPr>
          <w:rFonts w:hint="eastAsia" w:asciiTheme="minorEastAsia" w:hAnsiTheme="minorEastAsia" w:cstheme="minorEastAsia"/>
          <w:b w:val="0"/>
          <w:i w:val="0"/>
          <w:caps w:val="0"/>
          <w:color w:val="333333"/>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刘德华字体叶根友仿版">
    <w:panose1 w:val="02010601030101010101"/>
    <w:charset w:val="86"/>
    <w:family w:val="auto"/>
    <w:pitch w:val="default"/>
    <w:sig w:usb0="00000001" w:usb1="080E0000" w:usb2="00000000" w:usb3="00000000" w:csb0="00040000" w:csb1="00000000"/>
  </w:font>
  <w:font w:name="华康俪金黑W8">
    <w:panose1 w:val="020B0809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华康海报体W12">
    <w:panose1 w:val="040B0C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叶根友行书繁">
    <w:panose1 w:val="02010601030101010101"/>
    <w:charset w:val="86"/>
    <w:family w:val="auto"/>
    <w:pitch w:val="default"/>
    <w:sig w:usb0="00000001" w:usb1="080E0000" w:usb2="00000000" w:usb3="00000000" w:csb0="00040000" w:csb1="00000000"/>
  </w:font>
  <w:font w:name="叶根友蚕燕隶书(新春版)">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张海山锐线体简">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张海山锐谐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等线简体">
    <w:panose1 w:val="02010601030101010101"/>
    <w:charset w:val="86"/>
    <w:family w:val="auto"/>
    <w:pitch w:val="default"/>
    <w:sig w:usb0="00000001" w:usb1="080E0000" w:usb2="00000000" w:usb3="00000000" w:csb0="00040000" w:csb1="00000000"/>
  </w:font>
  <w:font w:name="方正兰亭特黑_GBK">
    <w:panose1 w:val="02000000000000000000"/>
    <w:charset w:val="86"/>
    <w:family w:val="auto"/>
    <w:pitch w:val="default"/>
    <w:sig w:usb0="00000001" w:usb1="08000000" w:usb2="00000000" w:usb3="00000000" w:csb0="00040000" w:csb1="00000000"/>
  </w:font>
  <w:font w:name="方正兰亭特黑扁_GBK">
    <w:panose1 w:val="02010600000000000000"/>
    <w:charset w:val="86"/>
    <w:family w:val="auto"/>
    <w:pitch w:val="default"/>
    <w:sig w:usb0="00000001" w:usb1="080E0000" w:usb2="00000000" w:usb3="00000000" w:csb0="00040000" w:csb1="00000000"/>
  </w:font>
  <w:font w:name="方正兰亭特黑扁简体">
    <w:panose1 w:val="02010600000000000000"/>
    <w:charset w:val="86"/>
    <w:family w:val="auto"/>
    <w:pitch w:val="default"/>
    <w:sig w:usb0="00000001" w:usb1="080E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方正兰亭特黑长_GBK">
    <w:panose1 w:val="02010600000000000000"/>
    <w:charset w:val="86"/>
    <w:family w:val="auto"/>
    <w:pitch w:val="default"/>
    <w:sig w:usb0="00000001" w:usb1="080E0000" w:usb2="00000000" w:usb3="00000000" w:csb0="00040000" w:csb1="00000000"/>
  </w:font>
  <w:font w:name="方正兰亭特黑长简体">
    <w:panose1 w:val="02010600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31E36"/>
    <w:rsid w:val="20F31E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2018-07-17T11:49:00Z</dcterms:created>
  <dc:creator>Bei</dc:creator>
  <cp:lastModifiedBy>Bei</cp:lastModifiedBy>
  <dcterms:modified xsi:type="dcterms:W3CDTF">2018-07-17T11:56:49Z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