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黑体"/>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《汕尾市农村建房条例</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lang w:val="en-US" w:eastAsia="zh-CN"/>
        </w:rPr>
        <w:t>草案送审稿</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rPr>
        <w:t>》</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起草说明</w:t>
      </w:r>
    </w:p>
    <w:p>
      <w:pPr>
        <w:keepNext w:val="0"/>
        <w:keepLines w:val="0"/>
        <w:pageBreakBefore w:val="0"/>
        <w:kinsoku/>
        <w:wordWrap/>
        <w:overflowPunct/>
        <w:topLinePunct w:val="0"/>
        <w:autoSpaceDE/>
        <w:autoSpaceDN/>
        <w:bidi w:val="0"/>
        <w:adjustRightInd/>
        <w:snapToGrid/>
        <w:ind w:firstLine="640" w:firstLineChars="200"/>
        <w:jc w:val="both"/>
        <w:textAlignment w:val="auto"/>
        <w:rPr>
          <w:rFonts w:hint="eastAsia" w:ascii="仿宋_GB2312" w:hAnsi="仿宋_GB2312" w:eastAsia="仿宋_GB2312" w:cs="仿宋_GB2312"/>
          <w:sz w:val="32"/>
          <w:szCs w:val="32"/>
        </w:rPr>
      </w:pP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一、立法必要性</w:t>
      </w:r>
    </w:p>
    <w:p>
      <w:pPr>
        <w:keepNext w:val="0"/>
        <w:keepLines w:val="0"/>
        <w:pageBreakBefore w:val="0"/>
        <w:numPr>
          <w:ilvl w:val="0"/>
          <w:numId w:val="0"/>
        </w:numPr>
        <w:kinsoku/>
        <w:wordWrap/>
        <w:overflowPunct/>
        <w:topLinePunct w:val="0"/>
        <w:autoSpaceDE/>
        <w:autoSpaceDN/>
        <w:bidi w:val="0"/>
        <w:adjustRightInd/>
        <w:snapToGrid/>
        <w:ind w:firstLine="640" w:firstLineChars="200"/>
        <w:jc w:val="both"/>
        <w:textAlignment w:val="auto"/>
        <w:rPr>
          <w:rFonts w:hint="default" w:ascii="仿宋_GB2312" w:eastAsia="仿宋_GB2312"/>
          <w:color w:val="auto"/>
          <w:sz w:val="32"/>
          <w:szCs w:val="32"/>
          <w:lang w:val="en-US" w:eastAsia="zh-CN"/>
        </w:rPr>
      </w:pPr>
      <w:r>
        <w:rPr>
          <w:rFonts w:hint="eastAsia" w:ascii="仿宋_GB2312" w:eastAsia="仿宋_GB2312"/>
          <w:color w:val="auto"/>
          <w:sz w:val="32"/>
          <w:szCs w:val="32"/>
          <w:lang w:val="en-US" w:eastAsia="zh-CN"/>
        </w:rPr>
        <w:t>过去，由于</w:t>
      </w:r>
      <w:r>
        <w:rPr>
          <w:rFonts w:hint="eastAsia" w:ascii="仿宋_GB2312" w:eastAsia="仿宋_GB2312"/>
          <w:color w:val="auto"/>
          <w:sz w:val="32"/>
          <w:szCs w:val="32"/>
        </w:rPr>
        <w:t>管理机制缺失</w:t>
      </w:r>
      <w:r>
        <w:rPr>
          <w:rFonts w:hint="eastAsia" w:ascii="仿宋_GB2312" w:eastAsia="仿宋_GB2312"/>
          <w:color w:val="auto"/>
          <w:sz w:val="32"/>
          <w:szCs w:val="32"/>
          <w:lang w:val="en-US" w:eastAsia="zh-CN"/>
        </w:rPr>
        <w:t>与历史征地、规划</w:t>
      </w:r>
      <w:r>
        <w:rPr>
          <w:rFonts w:hint="default" w:ascii="仿宋_GB2312" w:eastAsia="仿宋_GB2312"/>
          <w:color w:val="auto"/>
          <w:sz w:val="32"/>
          <w:szCs w:val="32"/>
          <w:lang w:eastAsia="zh-CN"/>
        </w:rPr>
        <w:t>滞后等原因</w:t>
      </w:r>
      <w:r>
        <w:rPr>
          <w:rFonts w:hint="eastAsia" w:ascii="仿宋_GB2312" w:eastAsia="仿宋_GB2312"/>
          <w:color w:val="auto"/>
          <w:sz w:val="32"/>
          <w:szCs w:val="32"/>
        </w:rPr>
        <w:t>，</w:t>
      </w:r>
      <w:r>
        <w:rPr>
          <w:rFonts w:hint="eastAsia" w:ascii="仿宋_GB2312" w:eastAsia="仿宋_GB2312"/>
          <w:color w:val="auto"/>
          <w:sz w:val="32"/>
          <w:szCs w:val="32"/>
          <w:lang w:val="en-US" w:eastAsia="zh-CN"/>
        </w:rPr>
        <w:t>导致村庄布局散乱、基础设施配套建设建设严重滞后、农村住宅建设用地规模在一定程序上失控等。特别是2019年，</w:t>
      </w:r>
      <w:r>
        <w:rPr>
          <w:rFonts w:hint="eastAsia" w:ascii="仿宋_GB2312" w:hAnsi="宋体" w:eastAsia="仿宋_GB2312" w:cs="仿宋_GB2312"/>
          <w:color w:val="auto"/>
          <w:kern w:val="0"/>
          <w:sz w:val="32"/>
          <w:szCs w:val="32"/>
          <w:lang w:val="en-US" w:eastAsia="zh-CN" w:bidi="ar"/>
        </w:rPr>
        <w:t>国家修订了《土地管理法》，在</w:t>
      </w:r>
      <w:r>
        <w:rPr>
          <w:rFonts w:hint="eastAsia" w:ascii="仿宋_GB2312" w:eastAsia="仿宋_GB2312"/>
          <w:color w:val="auto"/>
          <w:sz w:val="32"/>
          <w:szCs w:val="32"/>
          <w:lang w:val="en-US" w:eastAsia="zh-CN"/>
        </w:rPr>
        <w:t>宅基地管理职责转变移交的过程中，各地相关管理制度尚未出台、相关执法管理机构没有成立的“空档期”，即便部分县（市、区）出台了暂停审批宅基地和建房的公告，但因农村村民法律意识淡薄，加上镇街一级巡查监管力度落实不到位，导致违规违章建房现象时有发生，未批选建，不申请、不报批、不办任何手续进行偷建、抢建、突击建的行为屡见不鲜。为加强和规范农村宅基地管理与农村住房建设审批工作，有必要通过立法切实解决农村建房管理工作难题。</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（一）农村建房立法是贯彻落实新修订的《土地管理法》的必然要求。</w:t>
      </w:r>
      <w:r>
        <w:rPr>
          <w:rFonts w:hint="eastAsia" w:ascii="仿宋_GB2312" w:hAnsi="宋体" w:eastAsia="仿宋_GB2312" w:cs="仿宋_GB2312"/>
          <w:color w:val="auto"/>
          <w:kern w:val="0"/>
          <w:sz w:val="32"/>
          <w:szCs w:val="32"/>
          <w:lang w:val="en-US" w:eastAsia="zh-CN" w:bidi="ar"/>
        </w:rPr>
        <w:t>在全面总结农村土地制度改革和宅基地管理制度创新经验的基础上，《土地管理法》在宅基地管理方面做了重大修改完善。农业农村部、自然资源部也随之出台了一系列关于农村宅基地管理的政策文件，要求加强农村宅基地管理工作。为了进一步贯彻落实新修订的《土地管理法》，深化农村宅基地“三权分置”改革，明确农村村民住房建设的规划和用地的具体规范，细化申请与审批流程，加强监督管理，推动美丽乡村建设，出台条例十分必要。</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default" w:ascii="仿宋_GB2312" w:hAnsi="宋体"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（二）农村建房立法是规范我市农村村民建房行为的现实需要。</w:t>
      </w:r>
      <w:r>
        <w:rPr>
          <w:rFonts w:hint="eastAsia" w:ascii="仿宋_GB2312" w:hAnsi="宋体" w:eastAsia="仿宋_GB2312" w:cs="仿宋_GB2312"/>
          <w:color w:val="auto"/>
          <w:kern w:val="0"/>
          <w:sz w:val="32"/>
          <w:szCs w:val="32"/>
          <w:lang w:val="en-US" w:eastAsia="zh-CN" w:bidi="ar"/>
        </w:rPr>
        <w:t>随着土地资源日趋紧张和城镇化快速推进，农村宅基地供需矛盾日益明显，宅基地供给保障不足。启动农村建房立法，有助于盘活农村宅基地资源，推进宅基地资源有效利用；明确政府相关职能部门的职责，加强部门协作；完善我市农村建房管理体系，强化违法建设防控，推进村庄规划精准实施，改善农村建房风貌，促进乡村振兴。</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default" w:ascii="仿宋_GB2312" w:hAnsi="宋体"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（三）农村建房立法是加强我市农村住房建设管理的重要抓手。</w:t>
      </w:r>
      <w:r>
        <w:rPr>
          <w:rFonts w:hint="eastAsia" w:ascii="仿宋_GB2312" w:hAnsi="宋体" w:eastAsia="仿宋_GB2312" w:cs="仿宋_GB2312"/>
          <w:color w:val="auto"/>
          <w:kern w:val="0"/>
          <w:sz w:val="32"/>
          <w:szCs w:val="32"/>
          <w:lang w:val="en-US" w:eastAsia="zh-CN" w:bidi="ar"/>
        </w:rPr>
        <w:t>近年来我市农村宅基地方面出台了相关的政策文件，管理取得了一定成效，但由于缺乏专门、体系的农村建房管理法律法规，仍存在不少问题和突出矛盾。如违法乱建、一户多宅、宅基地闲置浪费等，这些问题的解决都需要我们通过立法从地方政策顶层设计角度来系统研究，统筹解决，条例的出台必将为我市推动农村建房管理提供强有力的法治保障。</w:t>
      </w:r>
    </w:p>
    <w:p>
      <w:pPr>
        <w:keepNext w:val="0"/>
        <w:keepLines w:val="0"/>
        <w:pageBreakBefore w:val="0"/>
        <w:widowControl/>
        <w:numPr>
          <w:ilvl w:val="0"/>
          <w:numId w:val="1"/>
        </w:numPr>
        <w:suppressLineNumbers w:val="0"/>
        <w:kinsoku/>
        <w:wordWrap/>
        <w:overflowPunct/>
        <w:topLinePunct w:val="0"/>
        <w:autoSpaceDE/>
        <w:autoSpaceDN/>
        <w:bidi w:val="0"/>
        <w:adjustRightInd/>
        <w:snapToGrid/>
        <w:ind w:firstLine="640" w:firstLineChars="200"/>
        <w:jc w:val="both"/>
        <w:textAlignment w:val="auto"/>
        <w:rPr>
          <w:rFonts w:hint="eastAsia" w:ascii="黑体" w:hAnsi="宋体" w:eastAsia="黑体" w:cs="黑体"/>
          <w:color w:val="auto"/>
          <w:kern w:val="0"/>
          <w:sz w:val="32"/>
          <w:szCs w:val="32"/>
          <w:lang w:val="en-US" w:eastAsia="zh-CN" w:bidi="ar"/>
        </w:rPr>
      </w:pPr>
      <w:r>
        <w:rPr>
          <w:rFonts w:hint="eastAsia" w:ascii="黑体" w:hAnsi="宋体" w:eastAsia="黑体" w:cs="黑体"/>
          <w:color w:val="auto"/>
          <w:kern w:val="0"/>
          <w:sz w:val="32"/>
          <w:szCs w:val="32"/>
          <w:lang w:val="en-US" w:eastAsia="zh-CN" w:bidi="ar"/>
        </w:rPr>
        <w:t>立法依据</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起草《汕尾市农村建房条例（草案送审稿）》所依据的法律、行政法规、广东省地方性法规、部门规章主要包括：</w:t>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eastAsia" w:ascii="仿宋_GB2312" w:hAnsi="仿宋_GB2312" w:eastAsia="仿宋_GB2312" w:cs="仿宋_GB2312"/>
          <w:i w:val="0"/>
          <w:iCs w:val="0"/>
          <w:caps w:val="0"/>
          <w:color w:val="auto"/>
          <w:spacing w:val="8"/>
          <w:sz w:val="32"/>
          <w:szCs w:val="32"/>
          <w:u w:val="none"/>
          <w:shd w:val="clear" w:fill="FFFFFF"/>
        </w:rPr>
      </w:pPr>
      <w:r>
        <w:rPr>
          <w:rStyle w:val="8"/>
          <w:rFonts w:hint="eastAsia" w:ascii="仿宋_GB2312" w:hAnsi="仿宋_GB2312" w:eastAsia="仿宋_GB2312" w:cs="仿宋_GB2312"/>
          <w:i w:val="0"/>
          <w:iCs w:val="0"/>
          <w:caps w:val="0"/>
          <w:color w:val="auto"/>
          <w:spacing w:val="8"/>
          <w:sz w:val="32"/>
          <w:szCs w:val="32"/>
          <w:u w:val="none"/>
          <w:shd w:val="clear" w:fill="FFFFFF"/>
        </w:rPr>
        <w:t>《中华人民共和国民法典》</w:t>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rPr>
        <w:fldChar w:fldCharType="begin"/>
      </w:r>
      <w:r>
        <w:rPr>
          <w:rStyle w:val="8"/>
          <w:rFonts w:hint="eastAsia" w:ascii="仿宋_GB2312" w:hAnsi="仿宋_GB2312" w:eastAsia="仿宋_GB2312" w:cs="仿宋_GB2312"/>
          <w:i w:val="0"/>
          <w:iCs w:val="0"/>
          <w:caps w:val="0"/>
          <w:color w:val="auto"/>
          <w:spacing w:val="8"/>
          <w:sz w:val="32"/>
          <w:szCs w:val="32"/>
          <w:u w:val="none"/>
          <w:shd w:val="clear" w:fill="FFFFFF"/>
        </w:rPr>
        <w:instrText xml:space="preserve"> HYPERLINK "http://mp.weixin.qq.com/s?__biz=MzI5NTA2OTMxNg==&amp;mid=2247484947&amp;idx=1&amp;sn=8181e90635132b5a03746412d811cf1e&amp;chksm=ec5875f8db2ffcee603d361bf01f8e40487a6c8dbad94bb1d84ad9dbe84b238d56a4c346ae0e&amp;scene=21" \l "wechat_redirect" \t "https://mp.weixin.qq.com/_blank" </w:instrText>
      </w:r>
      <w:r>
        <w:rPr>
          <w:rStyle w:val="8"/>
          <w:rFonts w:hint="eastAsia" w:ascii="仿宋_GB2312" w:hAnsi="仿宋_GB2312" w:eastAsia="仿宋_GB2312" w:cs="仿宋_GB2312"/>
          <w:i w:val="0"/>
          <w:iCs w:val="0"/>
          <w:caps w:val="0"/>
          <w:color w:val="auto"/>
          <w:spacing w:val="8"/>
          <w:sz w:val="32"/>
          <w:szCs w:val="32"/>
          <w:u w:val="none"/>
          <w:shd w:val="clear" w:fill="FFFFFF"/>
        </w:rPr>
        <w:fldChar w:fldCharType="separate"/>
      </w:r>
      <w:r>
        <w:rPr>
          <w:rStyle w:val="8"/>
          <w:rFonts w:hint="eastAsia" w:ascii="仿宋_GB2312" w:hAnsi="仿宋_GB2312" w:eastAsia="仿宋_GB2312" w:cs="仿宋_GB2312"/>
          <w:i w:val="0"/>
          <w:iCs w:val="0"/>
          <w:caps w:val="0"/>
          <w:color w:val="auto"/>
          <w:spacing w:val="8"/>
          <w:sz w:val="32"/>
          <w:szCs w:val="32"/>
          <w:u w:val="none"/>
          <w:shd w:val="clear" w:fill="FFFFFF"/>
        </w:rPr>
        <w:t>《中华人民共和国土地管理法》</w:t>
      </w:r>
      <w:r>
        <w:rPr>
          <w:rStyle w:val="8"/>
          <w:rFonts w:hint="eastAsia" w:ascii="仿宋_GB2312" w:hAnsi="仿宋_GB2312" w:eastAsia="仿宋_GB2312" w:cs="仿宋_GB2312"/>
          <w:i w:val="0"/>
          <w:iCs w:val="0"/>
          <w:caps w:val="0"/>
          <w:color w:val="auto"/>
          <w:spacing w:val="8"/>
          <w:sz w:val="32"/>
          <w:szCs w:val="32"/>
          <w:u w:val="none"/>
          <w:shd w:val="clear" w:fill="FFFFFF"/>
        </w:rPr>
        <w:fldChar w:fldCharType="end"/>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rPr>
        <w:fldChar w:fldCharType="begin"/>
      </w:r>
      <w:r>
        <w:rPr>
          <w:rStyle w:val="8"/>
          <w:rFonts w:hint="eastAsia" w:ascii="仿宋_GB2312" w:hAnsi="仿宋_GB2312" w:eastAsia="仿宋_GB2312" w:cs="仿宋_GB2312"/>
          <w:i w:val="0"/>
          <w:iCs w:val="0"/>
          <w:caps w:val="0"/>
          <w:color w:val="auto"/>
          <w:spacing w:val="8"/>
          <w:sz w:val="32"/>
          <w:szCs w:val="32"/>
          <w:u w:val="none"/>
          <w:shd w:val="clear" w:fill="FFFFFF"/>
        </w:rPr>
        <w:instrText xml:space="preserve"> HYPERLINK "http://mp.weixin.qq.com/s?__biz=MzI5NTA2OTMxNg==&amp;mid=2247487039&amp;idx=1&amp;sn=929b726e3c61c5e629e0a52abcb88be1&amp;chksm=ec587dd4db2ff4c2969434a3de7b4cbd42cfaa01e727a9e1762a90e899678405e120699da390&amp;scene=21" \l "wechat_redirect" \t "https://mp.weixin.qq.com/_blank" </w:instrText>
      </w:r>
      <w:r>
        <w:rPr>
          <w:rStyle w:val="8"/>
          <w:rFonts w:hint="eastAsia" w:ascii="仿宋_GB2312" w:hAnsi="仿宋_GB2312" w:eastAsia="仿宋_GB2312" w:cs="仿宋_GB2312"/>
          <w:i w:val="0"/>
          <w:iCs w:val="0"/>
          <w:caps w:val="0"/>
          <w:color w:val="auto"/>
          <w:spacing w:val="8"/>
          <w:sz w:val="32"/>
          <w:szCs w:val="32"/>
          <w:u w:val="none"/>
          <w:shd w:val="clear" w:fill="FFFFFF"/>
        </w:rPr>
        <w:fldChar w:fldCharType="separate"/>
      </w:r>
      <w:r>
        <w:rPr>
          <w:rStyle w:val="8"/>
          <w:rFonts w:hint="eastAsia" w:ascii="仿宋_GB2312" w:hAnsi="仿宋_GB2312" w:eastAsia="仿宋_GB2312" w:cs="仿宋_GB2312"/>
          <w:i w:val="0"/>
          <w:iCs w:val="0"/>
          <w:caps w:val="0"/>
          <w:color w:val="auto"/>
          <w:spacing w:val="8"/>
          <w:sz w:val="32"/>
          <w:szCs w:val="32"/>
          <w:u w:val="none"/>
          <w:shd w:val="clear" w:fill="FFFFFF"/>
        </w:rPr>
        <w:t>《中华人民共和国城乡规划法》</w:t>
      </w:r>
      <w:r>
        <w:rPr>
          <w:rStyle w:val="8"/>
          <w:rFonts w:hint="eastAsia" w:ascii="仿宋_GB2312" w:hAnsi="仿宋_GB2312" w:eastAsia="仿宋_GB2312" w:cs="仿宋_GB2312"/>
          <w:i w:val="0"/>
          <w:iCs w:val="0"/>
          <w:caps w:val="0"/>
          <w:color w:val="auto"/>
          <w:spacing w:val="8"/>
          <w:sz w:val="32"/>
          <w:szCs w:val="32"/>
          <w:u w:val="none"/>
          <w:shd w:val="clear" w:fill="FFFFFF"/>
        </w:rPr>
        <w:fldChar w:fldCharType="end"/>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rPr>
        <w:fldChar w:fldCharType="begin"/>
      </w:r>
      <w:r>
        <w:rPr>
          <w:rStyle w:val="8"/>
          <w:rFonts w:hint="eastAsia" w:ascii="仿宋_GB2312" w:hAnsi="仿宋_GB2312" w:eastAsia="仿宋_GB2312" w:cs="仿宋_GB2312"/>
          <w:i w:val="0"/>
          <w:iCs w:val="0"/>
          <w:caps w:val="0"/>
          <w:color w:val="auto"/>
          <w:spacing w:val="8"/>
          <w:sz w:val="32"/>
          <w:szCs w:val="32"/>
          <w:u w:val="none"/>
          <w:shd w:val="clear" w:fill="FFFFFF"/>
        </w:rPr>
        <w:instrText xml:space="preserve"> HYPERLINK "http://mp.weixin.qq.com/s?__biz=MzI5NTA2OTMxNg==&amp;mid=2247504557&amp;idx=1&amp;sn=95d27cd6cff0523134289ee678148ac7&amp;chksm=ec5ba146db2c2850e60711cc9030d570cea5901f7d7bfc8cdc9691e12be4645a096635f4601f&amp;scene=21" \l "wechat_redirect" \t "https://mp.weixin.qq.com/_blank" </w:instrText>
      </w:r>
      <w:r>
        <w:rPr>
          <w:rStyle w:val="8"/>
          <w:rFonts w:hint="eastAsia" w:ascii="仿宋_GB2312" w:hAnsi="仿宋_GB2312" w:eastAsia="仿宋_GB2312" w:cs="仿宋_GB2312"/>
          <w:i w:val="0"/>
          <w:iCs w:val="0"/>
          <w:caps w:val="0"/>
          <w:color w:val="auto"/>
          <w:spacing w:val="8"/>
          <w:sz w:val="32"/>
          <w:szCs w:val="32"/>
          <w:u w:val="none"/>
          <w:shd w:val="clear" w:fill="FFFFFF"/>
        </w:rPr>
        <w:fldChar w:fldCharType="separate"/>
      </w:r>
      <w:r>
        <w:rPr>
          <w:rStyle w:val="8"/>
          <w:rFonts w:hint="eastAsia" w:ascii="仿宋_GB2312" w:hAnsi="仿宋_GB2312" w:eastAsia="仿宋_GB2312" w:cs="仿宋_GB2312"/>
          <w:i w:val="0"/>
          <w:iCs w:val="0"/>
          <w:caps w:val="0"/>
          <w:color w:val="auto"/>
          <w:spacing w:val="8"/>
          <w:sz w:val="32"/>
          <w:szCs w:val="32"/>
          <w:u w:val="none"/>
          <w:shd w:val="clear" w:fill="FFFFFF"/>
        </w:rPr>
        <w:t>《中华人民共和国乡村振兴促进法》</w:t>
      </w:r>
      <w:r>
        <w:rPr>
          <w:rStyle w:val="8"/>
          <w:rFonts w:hint="eastAsia" w:ascii="仿宋_GB2312" w:hAnsi="仿宋_GB2312" w:eastAsia="仿宋_GB2312" w:cs="仿宋_GB2312"/>
          <w:i w:val="0"/>
          <w:iCs w:val="0"/>
          <w:caps w:val="0"/>
          <w:color w:val="auto"/>
          <w:spacing w:val="8"/>
          <w:sz w:val="32"/>
          <w:szCs w:val="32"/>
          <w:u w:val="none"/>
          <w:shd w:val="clear" w:fill="FFFFFF"/>
        </w:rPr>
        <w:fldChar w:fldCharType="end"/>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lang w:eastAsia="zh-CN"/>
        </w:rPr>
        <w:t>《中华人民共和国土地管理法实施条例》</w:t>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Fonts w:hint="eastAsia" w:ascii="仿宋_GB2312" w:hAnsi="仿宋_GB2312" w:eastAsia="仿宋_GB2312" w:cs="仿宋_GB2312"/>
          <w:i w:val="0"/>
          <w:iCs w:val="0"/>
          <w:caps w:val="0"/>
          <w:color w:val="auto"/>
          <w:spacing w:val="8"/>
          <w:sz w:val="32"/>
          <w:szCs w:val="32"/>
          <w:shd w:val="clear" w:fill="FFFFFF"/>
          <w:lang w:val="en-US" w:eastAsia="zh-CN"/>
        </w:rPr>
        <w:t>《建设工程质量管理条例》</w:t>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Fonts w:hint="eastAsia" w:ascii="仿宋_GB2312" w:hAnsi="仿宋_GB2312" w:eastAsia="仿宋_GB2312" w:cs="仿宋_GB2312"/>
          <w:i w:val="0"/>
          <w:iCs w:val="0"/>
          <w:caps w:val="0"/>
          <w:color w:val="auto"/>
          <w:spacing w:val="8"/>
          <w:sz w:val="32"/>
          <w:szCs w:val="32"/>
          <w:shd w:val="clear" w:fill="FFFFFF"/>
          <w:lang w:val="en-US" w:eastAsia="zh-CN"/>
        </w:rPr>
        <w:t>《广东省建设工程质量管理条例》</w:t>
      </w:r>
    </w:p>
    <w:p>
      <w:pPr>
        <w:keepNext w:val="0"/>
        <w:keepLines w:val="0"/>
        <w:pageBreakBefore w:val="0"/>
        <w:widowControl/>
        <w:numPr>
          <w:ilvl w:val="0"/>
          <w:numId w:val="2"/>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Fonts w:hint="eastAsia" w:ascii="仿宋_GB2312" w:hAnsi="仿宋_GB2312" w:eastAsia="仿宋_GB2312" w:cs="仿宋_GB2312"/>
          <w:i w:val="0"/>
          <w:iCs w:val="0"/>
          <w:caps w:val="0"/>
          <w:color w:val="auto"/>
          <w:spacing w:val="8"/>
          <w:sz w:val="32"/>
          <w:szCs w:val="32"/>
          <w:shd w:val="clear" w:fill="FFFFFF"/>
          <w:lang w:val="en-US" w:eastAsia="zh-CN"/>
        </w:rPr>
        <w:t>《广东省农村宅基地和农村村民住宅建设管理暂行规定（草案）》</w:t>
      </w:r>
    </w:p>
    <w:p>
      <w:pPr>
        <w:keepNext w:val="0"/>
        <w:keepLines w:val="0"/>
        <w:pageBreakBefore w:val="0"/>
        <w:widowControl/>
        <w:numPr>
          <w:ilvl w:val="0"/>
          <w:numId w:val="0"/>
        </w:numPr>
        <w:suppressLineNumbers w:val="0"/>
        <w:kinsoku/>
        <w:wordWrap/>
        <w:overflowPunct/>
        <w:topLinePunct w:val="0"/>
        <w:autoSpaceDE/>
        <w:autoSpaceDN/>
        <w:bidi w:val="0"/>
        <w:adjustRightInd/>
        <w:snapToGrid/>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Fonts w:hint="eastAsia" w:ascii="仿宋_GB2312" w:hAnsi="仿宋_GB2312" w:eastAsia="仿宋_GB2312" w:cs="仿宋_GB2312"/>
          <w:i w:val="0"/>
          <w:iCs w:val="0"/>
          <w:caps w:val="0"/>
          <w:color w:val="auto"/>
          <w:spacing w:val="8"/>
          <w:sz w:val="32"/>
          <w:szCs w:val="32"/>
          <w:shd w:val="clear" w:fill="FFFFFF"/>
          <w:lang w:val="en-US" w:eastAsia="zh-CN"/>
        </w:rPr>
        <w:t xml:space="preserve">    此外，还有以下国家、省政策文件和本市规范性文件为本条例提供了立法借鉴和经验参考：</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（一）《</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农业农村</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部</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 xml:space="preserve"> 自然资源</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部</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关于规范农村宅基地审批管理的通知</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农经发</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〔20</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19</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6</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号）</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（二）《</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广东省农业农村厅 广东省自然资源厅关于规范农村宅基地审批管理的通知</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（粤农农规〔2020〕3号）</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（三）《</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广东省自然资源厅 广东省农业农村厅关于疏堵结合坚决遏制农村新增乱占耕地建房行为的通知</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》（粤自然资发</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〔2020〕</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24</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号</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（四）《</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广东省自然资源厅 广东省农业农村厅关于印发保障农村村民住宅建设合理用地实施细则的通知</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粤自然资发〔2020〕29号</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（五）《汕尾市人民政府关于印发汕尾市农村宅基地和农村村民住房建设管理办法（试行）的通知》（汕府</w:t>
      </w:r>
      <w:r>
        <w:rPr>
          <w:rStyle w:val="8"/>
          <w:rFonts w:hint="default" w:ascii="仿宋_GB2312" w:hAnsi="仿宋_GB2312" w:eastAsia="仿宋_GB2312" w:cs="仿宋_GB2312"/>
          <w:i w:val="0"/>
          <w:iCs w:val="0"/>
          <w:caps w:val="0"/>
          <w:color w:val="auto"/>
          <w:spacing w:val="8"/>
          <w:sz w:val="32"/>
          <w:szCs w:val="32"/>
          <w:u w:val="none"/>
          <w:shd w:val="clear" w:fill="FFFFFF"/>
          <w:lang w:val="en-US" w:eastAsia="zh-CN"/>
        </w:rPr>
        <w:t>〔2020〕2号</w:t>
      </w: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eastAsia" w:ascii="黑体" w:hAnsi="黑体" w:eastAsia="黑体" w:cs="黑体"/>
          <w:i w:val="0"/>
          <w:iCs w:val="0"/>
          <w:caps w:val="0"/>
          <w:color w:val="auto"/>
          <w:spacing w:val="8"/>
          <w:sz w:val="32"/>
          <w:szCs w:val="32"/>
          <w:u w:val="none"/>
          <w:shd w:val="clear" w:fill="FFFFFF"/>
          <w:lang w:val="en-US" w:eastAsia="zh-CN"/>
        </w:rPr>
      </w:pPr>
      <w:r>
        <w:rPr>
          <w:rStyle w:val="8"/>
          <w:rFonts w:hint="eastAsia" w:ascii="黑体" w:hAnsi="黑体" w:eastAsia="黑体" w:cs="黑体"/>
          <w:i w:val="0"/>
          <w:iCs w:val="0"/>
          <w:caps w:val="0"/>
          <w:color w:val="auto"/>
          <w:spacing w:val="8"/>
          <w:sz w:val="32"/>
          <w:szCs w:val="32"/>
          <w:u w:val="none"/>
          <w:shd w:val="clear" w:fill="FFFFFF"/>
          <w:lang w:val="en-US" w:eastAsia="zh-CN"/>
        </w:rPr>
        <w:t>三、主要内容</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Fonts w:hint="eastAsia" w:ascii="仿宋_GB2312" w:hAnsi="宋体" w:eastAsia="仿宋_GB2312" w:cs="仿宋_GB2312"/>
          <w:color w:val="auto"/>
          <w:kern w:val="0"/>
          <w:sz w:val="32"/>
          <w:szCs w:val="32"/>
          <w:lang w:val="en-US" w:eastAsia="zh-CN" w:bidi="ar"/>
        </w:rPr>
      </w:pP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《汕尾市农村建房条例（</w:t>
      </w:r>
      <w:r>
        <w:rPr>
          <w:rFonts w:hint="eastAsia" w:ascii="仿宋_GB2312" w:hAnsi="宋体" w:eastAsia="仿宋_GB2312" w:cs="仿宋_GB2312"/>
          <w:color w:val="auto"/>
          <w:kern w:val="0"/>
          <w:sz w:val="32"/>
          <w:szCs w:val="32"/>
          <w:lang w:val="en-US" w:eastAsia="zh-CN" w:bidi="ar"/>
        </w:rPr>
        <w:t>草案送审稿）》共四十七条，整体划分为以下九个章节：</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第一章为总则（1-8条），主要包括立法目的和依据、适用范围、定义解释、基本原则、政府职责、部门职责、村民自治、社会监督等内容规定。</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第二章为规划及宅基地管理（9-12条），主要包括规划编制、用地保障、选址避让区域、占地面积及建设标准等内容规定。</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第三章为申请与审批（13-19条），主要包括用地审批、申请条件、不予批准情形、申请资料、村组审查、乡镇审批、核发建房规划许可等内容规定。</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第四章为建设管理（20-28条），主要包括建房引导、放线服务、施工要求、质量与安全监督、工匠培训、绿色节能管理、规划核实与竣工验收、不动产登记、异地建新等内容规定。</w:t>
      </w:r>
    </w:p>
    <w:p>
      <w:pPr>
        <w:keepNext w:val="0"/>
        <w:keepLines w:val="0"/>
        <w:pageBreakBefore w:val="0"/>
        <w:widowControl w:val="0"/>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第五章为集体建房（29-33条），主要包括建设主体、参与集体建房条件、集体建房要求、集体建房程序、集体建房不动产登记等内容规定。</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第六章为退出和流转（34-38条），主要包括收回与补偿、盘活利用、流转条件、流转程序、宅基地退出等内容规定。</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第七章为监督检查（39-41条），主要包括目标考核、监督主体及职责、档案与信息化管理等内容规定。</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第八章为法律责任（42-45条），主要包括责任追究、违反规划的处理、承建方的责任、法律援引等内容规定。</w:t>
      </w:r>
    </w:p>
    <w:p>
      <w:pPr>
        <w:keepNext w:val="0"/>
        <w:keepLines w:val="0"/>
        <w:pageBreakBefore w:val="0"/>
        <w:widowControl/>
        <w:numPr>
          <w:ilvl w:val="0"/>
          <w:numId w:val="3"/>
        </w:numPr>
        <w:suppressLineNumbers w:val="0"/>
        <w:kinsoku/>
        <w:wordWrap/>
        <w:overflowPunct/>
        <w:topLinePunct w:val="0"/>
        <w:autoSpaceDE/>
        <w:autoSpaceDN/>
        <w:bidi w:val="0"/>
        <w:adjustRightInd/>
        <w:snapToGrid/>
        <w:ind w:firstLine="640" w:firstLineChars="200"/>
        <w:jc w:val="both"/>
        <w:textAlignment w:val="auto"/>
        <w:rPr>
          <w:rFonts w:hint="default" w:ascii="仿宋_GB2312" w:hAnsi="宋体" w:eastAsia="仿宋_GB2312" w:cs="仿宋_GB2312"/>
          <w:color w:val="auto"/>
          <w:kern w:val="0"/>
          <w:sz w:val="31"/>
          <w:szCs w:val="31"/>
          <w:lang w:val="en-US" w:eastAsia="zh-CN" w:bidi="ar"/>
        </w:rPr>
      </w:pPr>
      <w:r>
        <w:rPr>
          <w:rFonts w:hint="eastAsia" w:ascii="仿宋_GB2312" w:hAnsi="宋体" w:eastAsia="仿宋_GB2312" w:cs="仿宋_GB2312"/>
          <w:color w:val="auto"/>
          <w:kern w:val="0"/>
          <w:sz w:val="32"/>
          <w:szCs w:val="32"/>
          <w:lang w:val="en-US" w:eastAsia="zh-CN" w:bidi="ar"/>
        </w:rPr>
        <w:t>第九章为附则（46-47条），主要包括特殊区域、生效时间等内容规定。</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20" w:firstLineChars="200"/>
        <w:jc w:val="both"/>
        <w:textAlignment w:val="auto"/>
        <w:rPr>
          <w:rFonts w:hint="eastAsia" w:ascii="黑体" w:hAnsi="黑体" w:eastAsia="黑体" w:cs="黑体"/>
          <w:color w:val="auto"/>
          <w:kern w:val="0"/>
          <w:sz w:val="31"/>
          <w:szCs w:val="31"/>
          <w:lang w:val="en-US" w:eastAsia="zh-CN" w:bidi="ar"/>
        </w:rPr>
      </w:pPr>
      <w:r>
        <w:rPr>
          <w:rFonts w:hint="eastAsia" w:ascii="黑体" w:hAnsi="黑体" w:eastAsia="黑体" w:cs="黑体"/>
          <w:color w:val="auto"/>
          <w:kern w:val="0"/>
          <w:sz w:val="31"/>
          <w:szCs w:val="31"/>
          <w:lang w:val="en-US" w:eastAsia="zh-CN" w:bidi="ar"/>
        </w:rPr>
        <w:t>四、立法解决的重点问题</w:t>
      </w:r>
    </w:p>
    <w:p>
      <w:pPr>
        <w:keepNext w:val="0"/>
        <w:keepLines w:val="0"/>
        <w:pageBreakBefore w:val="0"/>
        <w:numPr>
          <w:ilvl w:val="0"/>
          <w:numId w:val="0"/>
        </w:numPr>
        <w:kinsoku/>
        <w:wordWrap/>
        <w:overflowPunct/>
        <w:topLinePunct w:val="0"/>
        <w:autoSpaceDE/>
        <w:autoSpaceDN/>
        <w:bidi w:val="0"/>
        <w:adjustRightInd/>
        <w:snapToGrid/>
        <w:ind w:firstLine="64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通过前期调研，结合我市实际情况，本条例起草中拟解决的几个重点问题如下：</w:t>
      </w:r>
    </w:p>
    <w:p>
      <w:pPr>
        <w:keepNext w:val="0"/>
        <w:keepLines w:val="0"/>
        <w:pageBreakBefore w:val="0"/>
        <w:kinsoku/>
        <w:wordWrap/>
        <w:overflowPunct/>
        <w:topLinePunct w:val="0"/>
        <w:autoSpaceDE/>
        <w:autoSpaceDN/>
        <w:bidi w:val="0"/>
        <w:adjustRightInd/>
        <w:snapToGrid/>
        <w:ind w:firstLine="672" w:firstLineChars="200"/>
        <w:textAlignment w:val="auto"/>
        <w:rPr>
          <w:rFonts w:hint="eastAsia" w:ascii="仿宋_GB2312" w:hAnsi="仿宋_GB2312" w:eastAsia="仿宋_GB2312" w:cs="仿宋_GB2312"/>
          <w:sz w:val="32"/>
          <w:szCs w:val="32"/>
          <w:lang w:val="en-US" w:eastAsia="zh-CN"/>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（一）加强农村建房管理，杜绝“有新房、无新村”。</w:t>
      </w:r>
      <w:r>
        <w:rPr>
          <w:rFonts w:hint="eastAsia" w:ascii="仿宋_GB2312" w:hAnsi="仿宋_GB2312" w:eastAsia="仿宋_GB2312" w:cs="仿宋_GB2312"/>
          <w:sz w:val="32"/>
          <w:szCs w:val="32"/>
          <w:lang w:val="en-US" w:eastAsia="zh-CN"/>
        </w:rPr>
        <w:t>长期以来的规划缺失导致农民随意选址行为普遍存在，有的傍公路建房，乱占责任田地、侵占公路红线等现象屡见不鲜；有的居民点布局零散，哪里地势好、“风水好”、交通方便，住宅就建在那里，傍山切坡建房、侵占河道建房等势头没有得到及时遏止。相当一部分村庄呈“环状                                                                                                                                                                扩张”，新房不断向外转延伸，四周新房林立，村内破破烂烂，建新不拆旧，形成“空心村”。建房选址散乱造成农村</w:t>
      </w:r>
      <w:r>
        <w:rPr>
          <w:rFonts w:hint="eastAsia" w:ascii="仿宋_GB2312" w:eastAsia="仿宋_GB2312"/>
          <w:sz w:val="32"/>
          <w:szCs w:val="32"/>
          <w:lang w:val="en-US" w:eastAsia="zh-CN"/>
        </w:rPr>
        <w:t>废弃地、闲置宅基地及闲置房屋不断增多，公共基础设施配套难以到位，村容不整洁，“有新房，无新村”或“只有新村，没有新貌”现象较为突出。对此，</w:t>
      </w:r>
      <w:r>
        <w:rPr>
          <w:rFonts w:hint="eastAsia" w:ascii="仿宋_GB2312" w:hAnsi="仿宋_GB2312" w:eastAsia="仿宋_GB2312" w:cs="仿宋_GB2312"/>
          <w:sz w:val="32"/>
          <w:szCs w:val="32"/>
          <w:lang w:val="en-US" w:eastAsia="zh-CN"/>
        </w:rPr>
        <w:t>条例明确规定农村住房建设应当遵循规划先行、一户一宅、先批后建、节约集约用地的原则。对农户在未获取乡村建设规划许可证的，或者未按照乡村建设规划许可证的规定进行建设的，依法责令改正或强制拆除。对</w:t>
      </w: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承建方</w:t>
      </w: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向</w:t>
      </w: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未取得宅基地用地审批或者乡村建设规划许可</w:t>
      </w: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的农户</w:t>
      </w: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提供施工服务的，</w:t>
      </w: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或</w:t>
      </w: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无图施工、不按设计图纸施工处以两千元以上一万元以下的罚款</w:t>
      </w: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。同时村（居）民委员会要制定包含乡村风貌、宅基地管理、农村住房纠纷化解、村庄规划等内容的村规民约等</w:t>
      </w:r>
      <w:r>
        <w:rPr>
          <w:rFonts w:hint="eastAsia" w:ascii="仿宋_GB2312" w:hAnsi="仿宋_GB2312" w:eastAsia="仿宋_GB2312" w:cs="仿宋_GB2312"/>
          <w:sz w:val="32"/>
          <w:szCs w:val="32"/>
          <w:lang w:val="en-US" w:eastAsia="zh-CN"/>
        </w:rPr>
        <w:t>。</w:t>
      </w:r>
    </w:p>
    <w:p>
      <w:pPr>
        <w:keepNext w:val="0"/>
        <w:keepLines w:val="0"/>
        <w:pageBreakBefore w:val="0"/>
        <w:numPr>
          <w:ilvl w:val="0"/>
          <w:numId w:val="0"/>
        </w:numPr>
        <w:kinsoku/>
        <w:wordWrap/>
        <w:overflowPunct/>
        <w:topLinePunct w:val="0"/>
        <w:autoSpaceDE/>
        <w:autoSpaceDN/>
        <w:bidi w:val="0"/>
        <w:adjustRightInd/>
        <w:snapToGrid/>
        <w:ind w:firstLine="640"/>
        <w:jc w:val="both"/>
        <w:textAlignment w:val="auto"/>
        <w:rPr>
          <w:rFonts w:hint="eastAsia" w:ascii="仿宋_GB2312" w:hAnsi="仿宋_GB2312" w:eastAsia="仿宋_GB2312" w:cs="仿宋_GB2312"/>
          <w:sz w:val="32"/>
          <w:szCs w:val="32"/>
          <w:lang w:val="en-US" w:eastAsia="zh-CN"/>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（二）明确建房申请流程，规范农村建房审批管理。</w:t>
      </w:r>
      <w:r>
        <w:rPr>
          <w:rFonts w:hint="eastAsia" w:ascii="仿宋_GB2312" w:eastAsia="仿宋_GB2312"/>
          <w:sz w:val="32"/>
          <w:szCs w:val="32"/>
        </w:rPr>
        <w:t>农村宅基地取得和使用模式，具有很强的身份性、无偿使用性、永久使用性、从属性及范围的严格限制性等特点。</w:t>
      </w:r>
      <w:r>
        <w:rPr>
          <w:rFonts w:hint="eastAsia" w:ascii="仿宋_GB2312" w:eastAsia="仿宋_GB2312"/>
          <w:sz w:val="32"/>
          <w:szCs w:val="32"/>
          <w:lang w:val="en-US" w:eastAsia="zh-CN"/>
        </w:rPr>
        <w:t>农村建房申请审批工作必须从严从谨，不能丝毫马虎，否则纠正错误的代价十分巨大，但我市建房审批的基础性工作仍不扎实。因此，</w:t>
      </w:r>
      <w:r>
        <w:rPr>
          <w:rFonts w:hint="eastAsia" w:ascii="仿宋_GB2312" w:hAnsi="仿宋_GB2312" w:eastAsia="仿宋_GB2312" w:cs="仿宋_GB2312"/>
          <w:sz w:val="32"/>
          <w:szCs w:val="32"/>
          <w:lang w:val="en-US" w:eastAsia="zh-CN"/>
        </w:rPr>
        <w:t>条例对农村村民申请条件、申请资料、村组审查、乡镇审批、核发建房规划许可等申请程序和时间要求进行明确细致的规定。对在建房过程中，房屋设计引导、建房放线服务、建房施工要求、安全质量监督、完工规划核实、竣工质量验收和不动产登记等管控工作制定了工作标准和规范要求。条例的出台，将可以满足农村建房审批和管理“有法可依、有章可循”的迫切需求。</w:t>
      </w:r>
    </w:p>
    <w:p>
      <w:pPr>
        <w:keepNext w:val="0"/>
        <w:keepLines w:val="0"/>
        <w:pageBreakBefore w:val="0"/>
        <w:numPr>
          <w:ilvl w:val="0"/>
          <w:numId w:val="0"/>
        </w:numPr>
        <w:kinsoku/>
        <w:wordWrap/>
        <w:overflowPunct/>
        <w:topLinePunct w:val="0"/>
        <w:autoSpaceDE/>
        <w:autoSpaceDN/>
        <w:bidi w:val="0"/>
        <w:adjustRightInd/>
        <w:snapToGrid/>
        <w:ind w:firstLine="672" w:firstLineChars="200"/>
        <w:textAlignment w:val="auto"/>
        <w:rPr>
          <w:rFonts w:hint="default" w:ascii="仿宋_GB2312" w:hAnsi="仿宋_GB2312" w:eastAsia="仿宋_GB2312" w:cs="仿宋_GB2312"/>
          <w:sz w:val="32"/>
          <w:szCs w:val="32"/>
          <w:lang w:val="en-US" w:eastAsia="zh-CN"/>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（三）落实农村建房用地保障，保证农村村民户有所居。</w:t>
      </w:r>
      <w:r>
        <w:rPr>
          <w:rFonts w:hint="eastAsia" w:ascii="仿宋_GB2312" w:eastAsia="仿宋_GB2312"/>
          <w:sz w:val="32"/>
          <w:szCs w:val="32"/>
          <w:lang w:val="en-US" w:eastAsia="zh-CN"/>
        </w:rPr>
        <w:t>我市大部分村组已经没有集体建设用地，村庄宅基地周边多数为永久基本农田，调剂难度极大。2022年农村宅基地需求调查全市约需约9089亩，而且目前农用地征用手续尚未明确由县一级政府承担，占补平衡较难落实，新增用地指标也较难落地。我市仅能安排新增用地指标800亩。针对集体建设用地资源严重匮乏的问题，条例明确要求县级以上</w:t>
      </w: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地方人民政府应当按照国家规定安排建设用地指标，合理保障本行政区域农村村民宅基地需求。国土空间规划和村庄规划应当统筹考虑农村村民生产、生活需求，突出节约集约用地导向，科学划定宅基地范围。</w:t>
      </w: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同时，针对需要占用农用地或未利用地建设住房的情况，明确由村集体按法定程序申请办理农用地和未利用地转用审批手续。</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Fonts w:hint="eastAsia" w:ascii="仿宋_GB2312" w:hAnsi="仿宋_GB2312" w:eastAsia="仿宋_GB2312" w:cs="仿宋_GB2312"/>
          <w:i w:val="0"/>
          <w:iCs w:val="0"/>
          <w:caps w:val="0"/>
          <w:color w:val="000000" w:themeColor="text1"/>
          <w:spacing w:val="8"/>
          <w:sz w:val="32"/>
          <w:szCs w:val="32"/>
          <w:u w:val="none"/>
          <w:shd w:val="clear" w:fill="FFFFFF"/>
          <w:lang w:val="en-US" w:eastAsia="zh-CN"/>
          <w14:textFill>
            <w14:solidFill>
              <w14:schemeClr w14:val="tx1"/>
            </w14:solidFill>
          </w14:textFill>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（四）健全盘活整合利用机制，充分激发土地资源活力。</w:t>
      </w:r>
      <w:r>
        <w:rPr>
          <w:rFonts w:hint="eastAsia" w:ascii="仿宋_GB2312" w:hAnsi="仿宋_GB2312" w:eastAsia="仿宋_GB2312" w:cs="仿宋_GB2312"/>
          <w:sz w:val="32"/>
          <w:szCs w:val="32"/>
          <w:lang w:val="en-US" w:eastAsia="zh-CN"/>
        </w:rPr>
        <w:t>当前，我市有相当一部分村组处在城镇开发边界以内，农户建房用地条件受到严格限制；亦有相当一部分村组存在“空心村”现象，宅基地利用率较低。对此，</w:t>
      </w:r>
      <w:r>
        <w:rPr>
          <w:rFonts w:hint="eastAsia" w:ascii="仿宋_GB2312" w:eastAsia="仿宋_GB2312"/>
          <w:sz w:val="32"/>
          <w:szCs w:val="32"/>
          <w:lang w:val="en-US" w:eastAsia="zh-CN"/>
        </w:rPr>
        <w:t>条例专门编制了“集体建房”和“退出与流转”两个章节内容，并对相关的条件、要求和程序。“集体建房”主要解决了当前城镇开发边界内的农户的建房需求、部分村组建设用地资源匮乏等问题；“退出与流转”主要通过在集体成员之间流转宅基地资格权和使用权来实现宅基地节约利用，并鼓励</w:t>
      </w:r>
      <w:r>
        <w:rPr>
          <w:rFonts w:hint="eastAsia" w:ascii="仿宋_GB2312" w:hAnsi="仿宋_GB2312" w:eastAsia="仿宋_GB2312" w:cs="仿宋_GB2312"/>
          <w:i w:val="0"/>
          <w:iCs w:val="0"/>
          <w:caps w:val="0"/>
          <w:color w:val="000000" w:themeColor="text1"/>
          <w:spacing w:val="8"/>
          <w:sz w:val="32"/>
          <w:szCs w:val="32"/>
          <w:u w:val="none"/>
          <w:shd w:val="clear" w:fill="FFFFFF"/>
          <w14:textFill>
            <w14:solidFill>
              <w14:schemeClr w14:val="tx1"/>
            </w14:solidFill>
          </w14:textFill>
        </w:rPr>
        <w:t>村集体和</w:t>
      </w:r>
      <w:r>
        <w:rPr>
          <w:rFonts w:hint="eastAsia" w:ascii="仿宋_GB2312" w:hAnsi="仿宋_GB2312" w:eastAsia="仿宋_GB2312" w:cs="仿宋_GB2312"/>
          <w:i w:val="0"/>
          <w:iCs w:val="0"/>
          <w:caps w:val="0"/>
          <w:color w:val="000000" w:themeColor="text1"/>
          <w:spacing w:val="8"/>
          <w:sz w:val="32"/>
          <w:szCs w:val="32"/>
          <w:u w:val="none"/>
          <w:shd w:val="clear" w:fill="FFFFFF"/>
          <w:lang w:eastAsia="zh-CN"/>
          <w14:textFill>
            <w14:solidFill>
              <w14:schemeClr w14:val="tx1"/>
            </w14:solidFill>
          </w14:textFill>
        </w:rPr>
        <w:t>农户</w:t>
      </w:r>
      <w:r>
        <w:rPr>
          <w:rFonts w:hint="eastAsia" w:ascii="仿宋_GB2312" w:hAnsi="仿宋_GB2312" w:eastAsia="仿宋_GB2312" w:cs="仿宋_GB2312"/>
          <w:i w:val="0"/>
          <w:iCs w:val="0"/>
          <w:caps w:val="0"/>
          <w:color w:val="000000" w:themeColor="text1"/>
          <w:spacing w:val="8"/>
          <w:sz w:val="32"/>
          <w:szCs w:val="32"/>
          <w:u w:val="none"/>
          <w:shd w:val="clear" w:fill="FFFFFF"/>
          <w14:textFill>
            <w14:solidFill>
              <w14:schemeClr w14:val="tx1"/>
            </w14:solidFill>
          </w14:textFill>
        </w:rPr>
        <w:t>通过自主经营、合作经营、委托经营等方式，盘活利用闲置宅基地和闲置</w:t>
      </w:r>
      <w:r>
        <w:rPr>
          <w:rFonts w:hint="eastAsia" w:ascii="仿宋_GB2312" w:hAnsi="仿宋_GB2312" w:eastAsia="仿宋_GB2312" w:cs="仿宋_GB2312"/>
          <w:i w:val="0"/>
          <w:iCs w:val="0"/>
          <w:caps w:val="0"/>
          <w:color w:val="000000" w:themeColor="text1"/>
          <w:spacing w:val="8"/>
          <w:sz w:val="32"/>
          <w:szCs w:val="32"/>
          <w:u w:val="none"/>
          <w:shd w:val="clear" w:fill="FFFFFF"/>
          <w:lang w:val="en-US" w:eastAsia="zh-CN"/>
          <w14:textFill>
            <w14:solidFill>
              <w14:schemeClr w14:val="tx1"/>
            </w14:solidFill>
          </w14:textFill>
        </w:rPr>
        <w:t>房屋。</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Fonts w:hint="eastAsia" w:ascii="黑体" w:hAnsi="黑体" w:eastAsia="黑体" w:cs="黑体"/>
          <w:i w:val="0"/>
          <w:iCs w:val="0"/>
          <w:caps w:val="0"/>
          <w:color w:val="000000" w:themeColor="text1"/>
          <w:spacing w:val="8"/>
          <w:sz w:val="32"/>
          <w:szCs w:val="32"/>
          <w:u w:val="none"/>
          <w:shd w:val="clear" w:fill="FFFFFF"/>
          <w:lang w:val="en-US" w:eastAsia="zh-CN"/>
          <w14:textFill>
            <w14:solidFill>
              <w14:schemeClr w14:val="tx1"/>
            </w14:solidFill>
          </w14:textFill>
        </w:rPr>
      </w:pPr>
      <w:r>
        <w:rPr>
          <w:rFonts w:hint="eastAsia" w:ascii="黑体" w:hAnsi="黑体" w:eastAsia="黑体" w:cs="黑体"/>
          <w:i w:val="0"/>
          <w:iCs w:val="0"/>
          <w:caps w:val="0"/>
          <w:color w:val="000000" w:themeColor="text1"/>
          <w:spacing w:val="8"/>
          <w:sz w:val="32"/>
          <w:szCs w:val="32"/>
          <w:u w:val="none"/>
          <w:shd w:val="clear" w:fill="FFFFFF"/>
          <w:lang w:val="en-US" w:eastAsia="zh-CN"/>
          <w14:textFill>
            <w14:solidFill>
              <w14:schemeClr w14:val="tx1"/>
            </w14:solidFill>
          </w14:textFill>
        </w:rPr>
        <w:t>五、征求意见及分歧意见协调情况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（一）征求相关单位及社会公众意见</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Fonts w:hint="eastAsia" w:ascii="仿宋_GB2312" w:hAnsi="仿宋_GB2312" w:eastAsia="仿宋_GB2312" w:cs="仿宋_GB2312"/>
          <w:sz w:val="32"/>
          <w:szCs w:val="32"/>
          <w:lang w:val="en-US" w:eastAsia="zh-CN"/>
        </w:rPr>
      </w:pPr>
      <w:r>
        <w:rPr>
          <w:rStyle w:val="8"/>
          <w:rFonts w:hint="eastAsia" w:ascii="仿宋_GB2312" w:hAnsi="仿宋_GB2312" w:eastAsia="仿宋_GB2312" w:cs="仿宋_GB2312"/>
          <w:i w:val="0"/>
          <w:iCs w:val="0"/>
          <w:caps w:val="0"/>
          <w:color w:val="auto"/>
          <w:spacing w:val="8"/>
          <w:sz w:val="32"/>
          <w:szCs w:val="32"/>
          <w:u w:val="none"/>
          <w:shd w:val="clear" w:fill="FFFFFF"/>
          <w:lang w:val="en-US" w:eastAsia="zh-CN"/>
        </w:rPr>
        <w:t>《汕尾市农村建房条例（初稿）</w:t>
      </w:r>
      <w:r>
        <w:rPr>
          <w:rFonts w:hint="eastAsia" w:ascii="仿宋_GB2312" w:hAnsi="宋体" w:eastAsia="仿宋_GB2312" w:cs="仿宋_GB2312"/>
          <w:color w:val="auto"/>
          <w:kern w:val="0"/>
          <w:sz w:val="32"/>
          <w:szCs w:val="32"/>
          <w:lang w:val="en-US" w:eastAsia="zh-CN" w:bidi="ar"/>
        </w:rPr>
        <w:t>》</w:t>
      </w:r>
      <w:r>
        <w:rPr>
          <w:rFonts w:hint="eastAsia" w:ascii="仿宋_GB2312" w:hAnsi="仿宋_GB2312" w:eastAsia="仿宋_GB2312" w:cs="仿宋_GB2312"/>
          <w:sz w:val="32"/>
          <w:szCs w:val="32"/>
          <w:lang w:val="en-US" w:eastAsia="zh-CN"/>
        </w:rPr>
        <w:t>于3月中旬完成起草工作，于3月16日至4月15日在汕尾市人民政府门户网站公开征求社会公众意见，无反馈修改意见；于3月17日至3月23日第一次征求各县（市、区）人民政府、市直各相关单位意见，收到意见反馈共57条，采纳31条。</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（二）召开征求意见座谈会</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于4月7日召开各县（市、区）人民政府、市直各相关单位、有关商会与协会等参加的征求意见座谈会，收到意见建议共31条，采纳19条。对于第一次征求各地各单位意见产生的分歧，已在征求意见座谈会上进行深入研究探讨，并达到一致意见。</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（三）组织开展专家论证会</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4月11日组织开展《汕尾市农村建房条例（征求意见稿）》专家论证会，会议邀请了华南农业大学地方法制研究中心和华南农业大学乡村振兴法治研究中心陈亚平、邓定远、江保国、顾方愉、商家宝等专家、广东广和（深汕）律师事务所姜泽洪律师及市司法局参加论证会，就条例的合法性、可行性等进行研究讨论。</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72" w:firstLineChars="200"/>
        <w:jc w:val="both"/>
        <w:textAlignment w:val="auto"/>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pPr>
      <w:r>
        <w:rPr>
          <w:rStyle w:val="8"/>
          <w:rFonts w:hint="eastAsia" w:ascii="楷体_GB2312" w:hAnsi="楷体_GB2312" w:eastAsia="楷体_GB2312" w:cs="楷体_GB2312"/>
          <w:i w:val="0"/>
          <w:iCs w:val="0"/>
          <w:caps w:val="0"/>
          <w:color w:val="auto"/>
          <w:spacing w:val="8"/>
          <w:sz w:val="32"/>
          <w:szCs w:val="32"/>
          <w:u w:val="none"/>
          <w:shd w:val="clear" w:fill="FFFFFF"/>
          <w:lang w:val="en-US" w:eastAsia="zh-CN"/>
        </w:rPr>
        <w:t>（四）召开立法听证会</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eastAsia" w:ascii="仿宋_GB2312" w:hAnsi="宋体" w:eastAsia="仿宋_GB2312" w:cs="仿宋_GB2312"/>
          <w:color w:val="000000"/>
          <w:kern w:val="0"/>
          <w:sz w:val="31"/>
          <w:szCs w:val="31"/>
          <w:lang w:val="en-US" w:eastAsia="zh-CN" w:bidi="ar"/>
        </w:rPr>
      </w:pPr>
      <w:r>
        <w:rPr>
          <w:rFonts w:hint="eastAsia" w:ascii="仿宋_GB2312" w:hAnsi="仿宋_GB2312" w:eastAsia="仿宋_GB2312" w:cs="仿宋_GB2312"/>
          <w:kern w:val="2"/>
          <w:sz w:val="32"/>
          <w:szCs w:val="32"/>
          <w:lang w:val="en-US" w:eastAsia="zh-CN" w:bidi="ar-SA"/>
        </w:rPr>
        <w:t>2022年4月15日上午在汕尾市农业农村局七楼会议室举行了</w:t>
      </w:r>
      <w:r>
        <w:rPr>
          <w:rFonts w:hint="eastAsia" w:ascii="仿宋_GB2312" w:hAnsi="Times New Roman" w:eastAsia="仿宋_GB2312" w:cs="Times New Roman"/>
          <w:sz w:val="32"/>
          <w:szCs w:val="32"/>
          <w:lang w:val="en-US" w:eastAsia="zh-CN"/>
        </w:rPr>
        <w:t>《汕尾市农村建房条例（草案送审稿）》立法听证会，</w:t>
      </w:r>
      <w:r>
        <w:rPr>
          <w:rFonts w:ascii="仿宋_GB2312" w:hAnsi="宋体" w:eastAsia="仿宋_GB2312" w:cs="仿宋_GB2312"/>
          <w:color w:val="000000"/>
          <w:kern w:val="0"/>
          <w:sz w:val="31"/>
          <w:szCs w:val="31"/>
          <w:lang w:val="en-US" w:eastAsia="zh-CN" w:bidi="ar"/>
        </w:rPr>
        <w:t>听取了社会各方的意见、建议，回应了各方问</w:t>
      </w:r>
      <w:r>
        <w:rPr>
          <w:rFonts w:hint="eastAsia" w:ascii="仿宋_GB2312" w:hAnsi="宋体" w:eastAsia="仿宋_GB2312" w:cs="仿宋_GB2312"/>
          <w:color w:val="000000"/>
          <w:kern w:val="0"/>
          <w:sz w:val="31"/>
          <w:szCs w:val="31"/>
          <w:lang w:val="en-US" w:eastAsia="zh-CN" w:bidi="ar"/>
        </w:rPr>
        <w:t>询。</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640" w:firstLineChars="200"/>
        <w:jc w:val="both"/>
        <w:textAlignment w:val="auto"/>
        <w:rPr>
          <w:rFonts w:hint="default" w:ascii="仿宋_GB2312" w:hAnsi="仿宋_GB2312" w:eastAsia="仿宋_GB2312" w:cs="仿宋_GB2312"/>
          <w:kern w:val="2"/>
          <w:sz w:val="32"/>
          <w:szCs w:val="32"/>
          <w:lang w:val="en-US" w:eastAsia="zh-CN" w:bidi="ar-SA"/>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DA3A0D"/>
    <w:multiLevelType w:val="singleLevel"/>
    <w:tmpl w:val="A7DA3A0D"/>
    <w:lvl w:ilvl="0" w:tentative="0">
      <w:start w:val="1"/>
      <w:numFmt w:val="chineseCounting"/>
      <w:suff w:val="nothing"/>
      <w:lvlText w:val="（%1）"/>
      <w:lvlJc w:val="left"/>
      <w:rPr>
        <w:rFonts w:hint="eastAsia"/>
      </w:rPr>
    </w:lvl>
  </w:abstractNum>
  <w:abstractNum w:abstractNumId="1">
    <w:nsid w:val="B5AAA772"/>
    <w:multiLevelType w:val="singleLevel"/>
    <w:tmpl w:val="B5AAA772"/>
    <w:lvl w:ilvl="0" w:tentative="0">
      <w:start w:val="2"/>
      <w:numFmt w:val="chineseCounting"/>
      <w:suff w:val="nothing"/>
      <w:lvlText w:val="%1、"/>
      <w:lvlJc w:val="left"/>
      <w:rPr>
        <w:rFonts w:hint="eastAsia"/>
      </w:rPr>
    </w:lvl>
  </w:abstractNum>
  <w:abstractNum w:abstractNumId="2">
    <w:nsid w:val="44D2C126"/>
    <w:multiLevelType w:val="singleLevel"/>
    <w:tmpl w:val="44D2C126"/>
    <w:lvl w:ilvl="0" w:tentative="0">
      <w:start w:val="1"/>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AD5C4F"/>
    <w:rsid w:val="05654685"/>
    <w:rsid w:val="07061550"/>
    <w:rsid w:val="0AEE6ECB"/>
    <w:rsid w:val="11823EC9"/>
    <w:rsid w:val="144E2788"/>
    <w:rsid w:val="17E72CD8"/>
    <w:rsid w:val="1B183DE4"/>
    <w:rsid w:val="1C56042C"/>
    <w:rsid w:val="20796C22"/>
    <w:rsid w:val="257605D7"/>
    <w:rsid w:val="259D780C"/>
    <w:rsid w:val="268D0EEE"/>
    <w:rsid w:val="2770014D"/>
    <w:rsid w:val="2A043BBD"/>
    <w:rsid w:val="2A756869"/>
    <w:rsid w:val="2AE31A25"/>
    <w:rsid w:val="2C0C0B07"/>
    <w:rsid w:val="2F3D4FFA"/>
    <w:rsid w:val="336F2352"/>
    <w:rsid w:val="36A318CD"/>
    <w:rsid w:val="3801798E"/>
    <w:rsid w:val="38471845"/>
    <w:rsid w:val="3C8666B4"/>
    <w:rsid w:val="3CB66F99"/>
    <w:rsid w:val="3DC01751"/>
    <w:rsid w:val="3DF102ED"/>
    <w:rsid w:val="44D60D7A"/>
    <w:rsid w:val="48D367DD"/>
    <w:rsid w:val="48FA020D"/>
    <w:rsid w:val="49211C3E"/>
    <w:rsid w:val="4AB60164"/>
    <w:rsid w:val="4E17716C"/>
    <w:rsid w:val="4E473EF5"/>
    <w:rsid w:val="4FD74E04"/>
    <w:rsid w:val="556963D8"/>
    <w:rsid w:val="561D19DF"/>
    <w:rsid w:val="57376AD1"/>
    <w:rsid w:val="57FD21D2"/>
    <w:rsid w:val="60913F99"/>
    <w:rsid w:val="637B06F1"/>
    <w:rsid w:val="64755776"/>
    <w:rsid w:val="679F483B"/>
    <w:rsid w:val="6EDA6DB9"/>
    <w:rsid w:val="6F6455F9"/>
    <w:rsid w:val="6F912DCA"/>
    <w:rsid w:val="71236314"/>
    <w:rsid w:val="71381023"/>
    <w:rsid w:val="72BE6649"/>
    <w:rsid w:val="74367A9C"/>
    <w:rsid w:val="74962C31"/>
    <w:rsid w:val="760416B8"/>
    <w:rsid w:val="7BB265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3839</Words>
  <Characters>3913</Characters>
  <Lines>0</Lines>
  <Paragraphs>0</Paragraphs>
  <TotalTime>5</TotalTime>
  <ScaleCrop>false</ScaleCrop>
  <LinksUpToDate>false</LinksUpToDate>
  <CharactersWithSpaces>4081</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2022-03-15T10:25:00Z</dcterms:created>
  <dc:creator>hp</dc:creator>
  <cp:lastModifiedBy>hp</cp:lastModifiedBy>
  <cp:lastPrinted>2022-03-16T07:16:00Z</cp:lastPrinted>
  <dcterms:modified xsi:type="dcterms:W3CDTF">2022-04-16T05:54:47Z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C51A064167F34349B2827BB21FA70395</vt:lpwstr>
  </property>
</Properties>
</file>