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附件</w:t>
      </w:r>
      <w:r>
        <w:rPr>
          <w:rFonts w:hint="eastAsia" w:ascii="方正小标宋简体" w:hAnsi="方正小标宋简体" w:eastAsia="方正小标宋简体" w:cs="方正小标宋简体"/>
          <w:sz w:val="44"/>
          <w:szCs w:val="44"/>
          <w:lang w:val="en-US" w:eastAsia="zh-CN"/>
        </w:rPr>
        <w:t>2：</w:t>
      </w:r>
    </w:p>
    <w:p>
      <w:pPr>
        <w:spacing w:line="240" w:lineRule="auto"/>
        <w:jc w:val="left"/>
        <w:rPr>
          <w:rFonts w:hint="eastAsia" w:ascii="方正小标宋简体" w:hAnsi="方正小标宋简体" w:eastAsia="方正小标宋简体" w:cs="方正小标宋简体"/>
          <w:sz w:val="28"/>
          <w:szCs w:val="28"/>
          <w:lang w:eastAsia="zh-CN"/>
        </w:rPr>
      </w:pPr>
    </w:p>
    <w:p>
      <w:pPr>
        <w:spacing w:line="240" w:lineRule="auto"/>
        <w:jc w:val="center"/>
        <w:rPr>
          <w:rFonts w:hint="eastAsia" w:asciiTheme="minorEastAsia" w:hAnsiTheme="minorEastAsia" w:eastAsiaTheme="minorEastAsia" w:cstheme="minorEastAsia"/>
          <w:sz w:val="22"/>
          <w:szCs w:val="22"/>
          <w:lang w:eastAsia="zh-CN"/>
        </w:rPr>
      </w:pPr>
      <w:r>
        <w:rPr>
          <w:rFonts w:hint="eastAsia" w:ascii="方正小标宋简体" w:hAnsi="方正小标宋简体" w:eastAsia="方正小标宋简体" w:cs="方正小标宋简体"/>
          <w:sz w:val="44"/>
          <w:szCs w:val="44"/>
          <w:lang w:eastAsia="zh-CN"/>
        </w:rPr>
        <w:t>关于制定汕尾市区机动车停放服务差异化收费方案的起草说明</w:t>
      </w:r>
    </w:p>
    <w:p>
      <w:pPr>
        <w:spacing w:line="240" w:lineRule="auto"/>
        <w:rPr>
          <w:rFonts w:hint="eastAsia" w:asciiTheme="minorEastAsia" w:hAnsiTheme="minorEastAsia" w:eastAsiaTheme="minorEastAsia" w:cstheme="minorEastAsia"/>
          <w:sz w:val="24"/>
          <w:szCs w:val="24"/>
          <w:lang w:eastAsia="zh-CN"/>
        </w:rPr>
      </w:pPr>
    </w:p>
    <w:p>
      <w:pPr>
        <w:spacing w:line="240" w:lineRule="auto"/>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一、基本情况</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（一）行业发展情况</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截止2019年末，我市市区汽车保有量为14.4万辆，外来车辆约6.6万辆，且2019年我市的汽车保有量同比增长22.4%。据前期调研数据统计，目前我市市区有路外公共停车泊位2885个（由18个免费停车场和9个收费停车场提供），路内停车泊位5130个（均为免费停车泊位），总量共计约为8015个。停车泊位总量对比现汽车保有量和保有量年增速，可见我市市区机动车停放泊位总体供应严重不足。</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（二）现行管理形式</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在本市行政区域内，停车设施经营者利用依法设立的停车设施（含场地、泊位、机械式立体停车设施等，下同），提供机动车停放服务经营活动，可收取机动车停放服务费。机动车停放服务收费实行政府定价和市场调节价两种管理形式：</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实行政府定价管理的范围</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）依法施划的道路人工或自动停车（咪表）设施；</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）城市公共交通枢纽站及换乘站配套停车设施；</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lang w:eastAsia="zh-CN"/>
        </w:rPr>
        <w:t>）机场、车站、码头、利用公共资源建设的旅游景点、口岸配套停车设施；</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lang w:eastAsia="zh-CN"/>
        </w:rPr>
        <w:t>）党政机关、事业单位、非营利性医疗机构、公办学校以及政府投资建设的博物馆、图书馆、青少年宫、文化宫、体育馆等社会公共（公益）性单位配套停车设施；</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lang w:eastAsia="zh-CN"/>
        </w:rPr>
        <w:t>）各级人民政府财政性资金、城市建设投资（交通投资）公司建设的室内专业停车设施。</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实行市场调节价管理的范围</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除实行政府定价管理的各类停车设施范围外，其他依法设立的停车设施的机动车停放服务收费实行市场调节价管理，收费标准由停车设施经营者依法自主制定。</w:t>
      </w:r>
    </w:p>
    <w:p>
      <w:pPr>
        <w:spacing w:line="240" w:lineRule="auto"/>
        <w:rPr>
          <w:rFonts w:hint="eastAsia" w:asciiTheme="minorEastAsia" w:hAnsiTheme="minorEastAsia" w:eastAsiaTheme="minorEastAsia" w:cstheme="minorEastAsia"/>
          <w:sz w:val="32"/>
          <w:szCs w:val="32"/>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240" w:lineRule="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（三）现行收费标准</w:t>
      </w:r>
    </w:p>
    <w:tbl>
      <w:tblPr>
        <w:tblStyle w:val="8"/>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3318"/>
        <w:gridCol w:w="2570"/>
        <w:gridCol w:w="6"/>
        <w:gridCol w:w="2536"/>
        <w:gridCol w:w="6"/>
        <w:gridCol w:w="349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30" w:type="dxa"/>
            <w:vAlign w:val="center"/>
          </w:tcPr>
          <w:p>
            <w:pPr>
              <w:spacing w:line="240" w:lineRule="auto"/>
              <w:jc w:val="center"/>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类别</w:t>
            </w:r>
          </w:p>
        </w:tc>
        <w:tc>
          <w:tcPr>
            <w:tcW w:w="3318" w:type="dxa"/>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车型</w:t>
            </w:r>
          </w:p>
        </w:tc>
        <w:tc>
          <w:tcPr>
            <w:tcW w:w="2570" w:type="dxa"/>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计算单位</w:t>
            </w:r>
          </w:p>
        </w:tc>
        <w:tc>
          <w:tcPr>
            <w:tcW w:w="2542" w:type="dxa"/>
            <w:gridSpan w:val="2"/>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收费标准（元）</w:t>
            </w:r>
          </w:p>
        </w:tc>
        <w:tc>
          <w:tcPr>
            <w:tcW w:w="3497" w:type="dxa"/>
            <w:gridSpan w:val="2"/>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24小时最高限价进入2次（含2次）（元）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30" w:type="dxa"/>
            <w:vMerge w:val="restart"/>
            <w:vAlign w:val="center"/>
          </w:tcPr>
          <w:p>
            <w:pPr>
              <w:spacing w:line="240" w:lineRule="auto"/>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公立医疗机构配套停车设施</w:t>
            </w:r>
          </w:p>
          <w:p>
            <w:pPr>
              <w:spacing w:line="240" w:lineRule="auto"/>
              <w:jc w:val="center"/>
              <w:rPr>
                <w:rFonts w:hint="eastAsia" w:ascii="仿宋" w:hAnsi="仿宋" w:eastAsia="仿宋" w:cs="仿宋"/>
                <w:sz w:val="32"/>
                <w:szCs w:val="32"/>
                <w:vertAlign w:val="baseline"/>
                <w:lang w:val="en-US" w:eastAsia="zh-CN"/>
              </w:rPr>
            </w:pPr>
          </w:p>
        </w:tc>
        <w:tc>
          <w:tcPr>
            <w:tcW w:w="3318" w:type="dxa"/>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小车</w:t>
            </w:r>
          </w:p>
        </w:tc>
        <w:tc>
          <w:tcPr>
            <w:tcW w:w="2570" w:type="dxa"/>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次·辆</w:t>
            </w:r>
          </w:p>
        </w:tc>
        <w:tc>
          <w:tcPr>
            <w:tcW w:w="2542" w:type="dxa"/>
            <w:gridSpan w:val="2"/>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5</w:t>
            </w:r>
          </w:p>
        </w:tc>
        <w:tc>
          <w:tcPr>
            <w:tcW w:w="3497" w:type="dxa"/>
            <w:gridSpan w:val="2"/>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30" w:type="dxa"/>
            <w:vMerge w:val="continue"/>
            <w:vAlign w:val="center"/>
          </w:tcPr>
          <w:p>
            <w:pPr>
              <w:spacing w:line="240" w:lineRule="auto"/>
              <w:jc w:val="center"/>
              <w:rPr>
                <w:rFonts w:hint="eastAsia" w:ascii="仿宋" w:hAnsi="仿宋" w:eastAsia="仿宋" w:cs="仿宋"/>
                <w:sz w:val="32"/>
                <w:szCs w:val="32"/>
                <w:vertAlign w:val="baseline"/>
                <w:lang w:val="en-US" w:eastAsia="zh-CN"/>
              </w:rPr>
            </w:pPr>
          </w:p>
        </w:tc>
        <w:tc>
          <w:tcPr>
            <w:tcW w:w="3318" w:type="dxa"/>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大车</w:t>
            </w:r>
          </w:p>
        </w:tc>
        <w:tc>
          <w:tcPr>
            <w:tcW w:w="2570" w:type="dxa"/>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次·辆</w:t>
            </w:r>
          </w:p>
        </w:tc>
        <w:tc>
          <w:tcPr>
            <w:tcW w:w="2542" w:type="dxa"/>
            <w:gridSpan w:val="2"/>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8</w:t>
            </w:r>
          </w:p>
        </w:tc>
        <w:tc>
          <w:tcPr>
            <w:tcW w:w="3497" w:type="dxa"/>
            <w:gridSpan w:val="2"/>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30" w:type="dxa"/>
            <w:vMerge w:val="continue"/>
            <w:vAlign w:val="center"/>
          </w:tcPr>
          <w:p>
            <w:pPr>
              <w:spacing w:line="240" w:lineRule="auto"/>
              <w:jc w:val="center"/>
              <w:rPr>
                <w:rFonts w:hint="eastAsia" w:ascii="仿宋" w:hAnsi="仿宋" w:eastAsia="仿宋" w:cs="仿宋"/>
                <w:sz w:val="32"/>
                <w:szCs w:val="32"/>
                <w:vertAlign w:val="baseline"/>
                <w:lang w:val="en-US" w:eastAsia="zh-CN"/>
              </w:rPr>
            </w:pPr>
          </w:p>
        </w:tc>
        <w:tc>
          <w:tcPr>
            <w:tcW w:w="11927" w:type="dxa"/>
            <w:gridSpan w:val="6"/>
            <w:vAlign w:val="center"/>
          </w:tcPr>
          <w:p>
            <w:pPr>
              <w:numPr>
                <w:ilvl w:val="0"/>
                <w:numId w:val="0"/>
              </w:numPr>
              <w:spacing w:line="240" w:lineRule="auto"/>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说明：</w:t>
            </w:r>
          </w:p>
          <w:p>
            <w:pPr>
              <w:numPr>
                <w:ilvl w:val="0"/>
                <w:numId w:val="0"/>
              </w:numPr>
              <w:spacing w:line="240" w:lineRule="auto"/>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1.执行任务的军警车辆、实施救助的医院救护车辆及正在作业的市政工程车辆，免收机动车停放服务费。</w:t>
            </w:r>
          </w:p>
          <w:p>
            <w:pPr>
              <w:numPr>
                <w:ilvl w:val="0"/>
                <w:numId w:val="0"/>
              </w:numPr>
              <w:spacing w:line="240" w:lineRule="auto"/>
              <w:ind w:leftChars="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2.每次进入停车场停车不超过30分钟的，免收机动车停放服务费。</w:t>
            </w:r>
          </w:p>
          <w:p>
            <w:pPr>
              <w:spacing w:line="240" w:lineRule="auto"/>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3.24小时计费段：指车辆首次进入停车场起，24小时为一计费时段，超过24小时后重新计费；同一车辆在同一停车场停放，其24小时内进入2次（含2次）以上的,只能按24小时最高限价收一次费。</w:t>
            </w:r>
          </w:p>
          <w:p>
            <w:pPr>
              <w:spacing w:line="240" w:lineRule="auto"/>
              <w:jc w:val="both"/>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4.小车为载重2吨以下（含2吨）或载客20座以下（含20座）的各种机动车；大车为载重2吨以上至10吨或载客20座以上的各种机动车。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30" w:type="dxa"/>
            <w:vMerge w:val="restart"/>
            <w:vAlign w:val="center"/>
          </w:tcPr>
          <w:p>
            <w:pPr>
              <w:spacing w:line="24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车站、码头、口岸、公交枢纽站和旅游景点配套停车设施</w:t>
            </w:r>
          </w:p>
          <w:p>
            <w:pPr>
              <w:spacing w:line="240" w:lineRule="auto"/>
              <w:jc w:val="center"/>
              <w:rPr>
                <w:rFonts w:hint="eastAsia" w:ascii="仿宋" w:hAnsi="仿宋" w:eastAsia="仿宋" w:cs="仿宋"/>
                <w:sz w:val="32"/>
                <w:szCs w:val="32"/>
                <w:vertAlign w:val="baseline"/>
                <w:lang w:val="en-US" w:eastAsia="zh-CN"/>
              </w:rPr>
            </w:pPr>
          </w:p>
        </w:tc>
        <w:tc>
          <w:tcPr>
            <w:tcW w:w="3318" w:type="dxa"/>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车型</w:t>
            </w:r>
          </w:p>
        </w:tc>
        <w:tc>
          <w:tcPr>
            <w:tcW w:w="2570" w:type="dxa"/>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计算单位</w:t>
            </w:r>
          </w:p>
        </w:tc>
        <w:tc>
          <w:tcPr>
            <w:tcW w:w="2542" w:type="dxa"/>
            <w:gridSpan w:val="2"/>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收费标准（元）</w:t>
            </w:r>
          </w:p>
        </w:tc>
        <w:tc>
          <w:tcPr>
            <w:tcW w:w="3497" w:type="dxa"/>
            <w:gridSpan w:val="2"/>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24小时最高限价（元）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30" w:type="dxa"/>
            <w:vMerge w:val="continue"/>
            <w:vAlign w:val="center"/>
          </w:tcPr>
          <w:p>
            <w:pPr>
              <w:spacing w:line="240" w:lineRule="auto"/>
              <w:jc w:val="center"/>
              <w:rPr>
                <w:rFonts w:hint="eastAsia" w:ascii="仿宋" w:hAnsi="仿宋" w:eastAsia="仿宋" w:cs="仿宋"/>
                <w:sz w:val="32"/>
                <w:szCs w:val="32"/>
                <w:vertAlign w:val="baseline"/>
                <w:lang w:val="en-US" w:eastAsia="zh-CN"/>
              </w:rPr>
            </w:pPr>
          </w:p>
        </w:tc>
        <w:tc>
          <w:tcPr>
            <w:tcW w:w="3318" w:type="dxa"/>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小车</w:t>
            </w:r>
          </w:p>
        </w:tc>
        <w:tc>
          <w:tcPr>
            <w:tcW w:w="2570" w:type="dxa"/>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小时·辆</w:t>
            </w:r>
          </w:p>
        </w:tc>
        <w:tc>
          <w:tcPr>
            <w:tcW w:w="2542" w:type="dxa"/>
            <w:gridSpan w:val="2"/>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2</w:t>
            </w:r>
          </w:p>
        </w:tc>
        <w:tc>
          <w:tcPr>
            <w:tcW w:w="3497" w:type="dxa"/>
            <w:gridSpan w:val="2"/>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30" w:type="dxa"/>
            <w:vMerge w:val="continue"/>
            <w:vAlign w:val="center"/>
          </w:tcPr>
          <w:p>
            <w:pPr>
              <w:spacing w:line="240" w:lineRule="auto"/>
              <w:jc w:val="center"/>
              <w:rPr>
                <w:rFonts w:hint="eastAsia" w:ascii="仿宋" w:hAnsi="仿宋" w:eastAsia="仿宋" w:cs="仿宋"/>
                <w:sz w:val="32"/>
                <w:szCs w:val="32"/>
                <w:vertAlign w:val="baseline"/>
                <w:lang w:val="en-US" w:eastAsia="zh-CN"/>
              </w:rPr>
            </w:pPr>
          </w:p>
        </w:tc>
        <w:tc>
          <w:tcPr>
            <w:tcW w:w="3318" w:type="dxa"/>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大车</w:t>
            </w:r>
          </w:p>
        </w:tc>
        <w:tc>
          <w:tcPr>
            <w:tcW w:w="2570" w:type="dxa"/>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小时·辆</w:t>
            </w:r>
          </w:p>
        </w:tc>
        <w:tc>
          <w:tcPr>
            <w:tcW w:w="2542" w:type="dxa"/>
            <w:gridSpan w:val="2"/>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3</w:t>
            </w:r>
          </w:p>
        </w:tc>
        <w:tc>
          <w:tcPr>
            <w:tcW w:w="3497" w:type="dxa"/>
            <w:gridSpan w:val="2"/>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49" w:hRule="atLeast"/>
        </w:trPr>
        <w:tc>
          <w:tcPr>
            <w:tcW w:w="2230" w:type="dxa"/>
            <w:vMerge w:val="continue"/>
            <w:vAlign w:val="center"/>
          </w:tcPr>
          <w:p>
            <w:pPr>
              <w:spacing w:line="240" w:lineRule="auto"/>
              <w:jc w:val="center"/>
              <w:rPr>
                <w:rFonts w:hint="eastAsia" w:ascii="仿宋" w:hAnsi="仿宋" w:eastAsia="仿宋" w:cs="仿宋"/>
                <w:sz w:val="32"/>
                <w:szCs w:val="32"/>
                <w:vertAlign w:val="baseline"/>
                <w:lang w:val="en-US" w:eastAsia="zh-CN"/>
              </w:rPr>
            </w:pPr>
          </w:p>
        </w:tc>
        <w:tc>
          <w:tcPr>
            <w:tcW w:w="11927" w:type="dxa"/>
            <w:gridSpan w:val="6"/>
            <w:vAlign w:val="center"/>
          </w:tcPr>
          <w:p>
            <w:pPr>
              <w:spacing w:line="240" w:lineRule="auto"/>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说明：</w:t>
            </w:r>
          </w:p>
          <w:p>
            <w:pPr>
              <w:spacing w:line="240" w:lineRule="auto"/>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1.每次进入停车场停车不超过30分钟的，免收机动车停放服务费。</w:t>
            </w:r>
          </w:p>
          <w:p>
            <w:pPr>
              <w:spacing w:line="240" w:lineRule="auto"/>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2.执行任务的军警车辆、实施救助的医院救护车辆及正在作业的市政工程车辆，免收机动车停放服务费。</w:t>
            </w:r>
          </w:p>
          <w:p>
            <w:pPr>
              <w:spacing w:line="240" w:lineRule="auto"/>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3.24小时计费段：指车辆首次进入停车场起，24小时为一计费时段，超过24小时后重新计费；每次停放达到24小时的，按24小时最高限价收费。</w:t>
            </w:r>
          </w:p>
          <w:p>
            <w:pPr>
              <w:spacing w:line="240" w:lineRule="auto"/>
              <w:jc w:val="both"/>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4.小车为载重2吨以下（含2吨）或载客20座以下（含20座）的各种机动车；大车为载重2吨以上至10吨或载客20座以上的各种机动车。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0" w:type="dxa"/>
            <w:vMerge w:val="restart"/>
            <w:vAlign w:val="center"/>
          </w:tcPr>
          <w:p>
            <w:pPr>
              <w:spacing w:line="240" w:lineRule="auto"/>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图书馆、博物馆、青少年宫、文化宫、体育馆等社会公共（公益）性配套停车设施</w:t>
            </w:r>
          </w:p>
          <w:p>
            <w:pPr>
              <w:spacing w:line="240" w:lineRule="auto"/>
              <w:jc w:val="center"/>
              <w:rPr>
                <w:rFonts w:hint="eastAsia" w:ascii="仿宋" w:hAnsi="仿宋" w:eastAsia="仿宋" w:cs="仿宋"/>
                <w:sz w:val="32"/>
                <w:szCs w:val="32"/>
                <w:vertAlign w:val="baseline"/>
                <w:lang w:val="en-US" w:eastAsia="zh-CN"/>
              </w:rPr>
            </w:pPr>
          </w:p>
        </w:tc>
        <w:tc>
          <w:tcPr>
            <w:tcW w:w="3318" w:type="dxa"/>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车型</w:t>
            </w:r>
          </w:p>
        </w:tc>
        <w:tc>
          <w:tcPr>
            <w:tcW w:w="2576" w:type="dxa"/>
            <w:gridSpan w:val="2"/>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计算单位</w:t>
            </w:r>
          </w:p>
        </w:tc>
        <w:tc>
          <w:tcPr>
            <w:tcW w:w="2542" w:type="dxa"/>
            <w:gridSpan w:val="2"/>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收费标准（元）</w:t>
            </w:r>
          </w:p>
        </w:tc>
        <w:tc>
          <w:tcPr>
            <w:tcW w:w="3497" w:type="dxa"/>
            <w:gridSpan w:val="2"/>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24小时最高限价（元）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30" w:type="dxa"/>
            <w:vMerge w:val="continue"/>
            <w:vAlign w:val="center"/>
          </w:tcPr>
          <w:p>
            <w:pPr>
              <w:spacing w:line="240" w:lineRule="auto"/>
              <w:jc w:val="center"/>
              <w:rPr>
                <w:rFonts w:hint="eastAsia" w:ascii="仿宋" w:hAnsi="仿宋" w:eastAsia="仿宋" w:cs="仿宋"/>
                <w:sz w:val="32"/>
                <w:szCs w:val="32"/>
                <w:vertAlign w:val="baseline"/>
                <w:lang w:val="en-US" w:eastAsia="zh-CN"/>
              </w:rPr>
            </w:pPr>
          </w:p>
        </w:tc>
        <w:tc>
          <w:tcPr>
            <w:tcW w:w="3318" w:type="dxa"/>
            <w:vAlign w:val="center"/>
          </w:tcPr>
          <w:p>
            <w:pPr>
              <w:spacing w:line="240" w:lineRule="auto"/>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小车</w:t>
            </w:r>
          </w:p>
        </w:tc>
        <w:tc>
          <w:tcPr>
            <w:tcW w:w="2570" w:type="dxa"/>
            <w:vAlign w:val="center"/>
          </w:tcPr>
          <w:p>
            <w:pPr>
              <w:spacing w:line="240" w:lineRule="auto"/>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次·辆</w:t>
            </w:r>
          </w:p>
        </w:tc>
        <w:tc>
          <w:tcPr>
            <w:tcW w:w="2542" w:type="dxa"/>
            <w:gridSpan w:val="2"/>
            <w:vAlign w:val="center"/>
          </w:tcPr>
          <w:p>
            <w:pPr>
              <w:spacing w:line="240" w:lineRule="auto"/>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3497" w:type="dxa"/>
            <w:gridSpan w:val="2"/>
            <w:vAlign w:val="center"/>
          </w:tcPr>
          <w:p>
            <w:pPr>
              <w:spacing w:line="240" w:lineRule="auto"/>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30" w:type="dxa"/>
            <w:vMerge w:val="continue"/>
            <w:vAlign w:val="center"/>
          </w:tcPr>
          <w:p>
            <w:pPr>
              <w:spacing w:line="240" w:lineRule="auto"/>
              <w:jc w:val="center"/>
              <w:rPr>
                <w:rFonts w:hint="eastAsia" w:ascii="仿宋" w:hAnsi="仿宋" w:eastAsia="仿宋" w:cs="仿宋"/>
                <w:sz w:val="32"/>
                <w:szCs w:val="32"/>
                <w:vertAlign w:val="baseline"/>
                <w:lang w:val="en-US" w:eastAsia="zh-CN"/>
              </w:rPr>
            </w:pPr>
          </w:p>
        </w:tc>
        <w:tc>
          <w:tcPr>
            <w:tcW w:w="3318" w:type="dxa"/>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大车</w:t>
            </w:r>
          </w:p>
        </w:tc>
        <w:tc>
          <w:tcPr>
            <w:tcW w:w="2570" w:type="dxa"/>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次·辆</w:t>
            </w:r>
          </w:p>
        </w:tc>
        <w:tc>
          <w:tcPr>
            <w:tcW w:w="2542" w:type="dxa"/>
            <w:gridSpan w:val="2"/>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8</w:t>
            </w:r>
          </w:p>
        </w:tc>
        <w:tc>
          <w:tcPr>
            <w:tcW w:w="3497" w:type="dxa"/>
            <w:gridSpan w:val="2"/>
            <w:vAlign w:val="center"/>
          </w:tcPr>
          <w:p>
            <w:pPr>
              <w:spacing w:line="240" w:lineRule="auto"/>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30" w:type="dxa"/>
            <w:vMerge w:val="continue"/>
            <w:vAlign w:val="center"/>
          </w:tcPr>
          <w:p>
            <w:pPr>
              <w:spacing w:line="240" w:lineRule="auto"/>
              <w:jc w:val="center"/>
              <w:rPr>
                <w:rFonts w:hint="eastAsia" w:ascii="仿宋" w:hAnsi="仿宋" w:eastAsia="仿宋" w:cs="仿宋"/>
                <w:sz w:val="32"/>
                <w:szCs w:val="32"/>
                <w:vertAlign w:val="baseline"/>
                <w:lang w:val="en-US" w:eastAsia="zh-CN"/>
              </w:rPr>
            </w:pPr>
          </w:p>
        </w:tc>
        <w:tc>
          <w:tcPr>
            <w:tcW w:w="11927" w:type="dxa"/>
            <w:gridSpan w:val="6"/>
            <w:vAlign w:val="center"/>
          </w:tcPr>
          <w:p>
            <w:pPr>
              <w:spacing w:line="240" w:lineRule="auto"/>
              <w:jc w:val="both"/>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说明：</w:t>
            </w:r>
          </w:p>
          <w:p>
            <w:pPr>
              <w:spacing w:line="240" w:lineRule="auto"/>
              <w:jc w:val="both"/>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1.执行任务的军警车辆、实施救助的医院救护车辆及正在作业的市政工程车辆，免收机动车停放服务费。</w:t>
            </w:r>
          </w:p>
          <w:p>
            <w:pPr>
              <w:spacing w:line="240" w:lineRule="auto"/>
              <w:jc w:val="both"/>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2.每次进入停车场停车不超过30分钟的，免收机动车停放服务费。</w:t>
            </w:r>
          </w:p>
          <w:p>
            <w:pPr>
              <w:spacing w:line="240" w:lineRule="auto"/>
              <w:jc w:val="both"/>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3.24小时计费段：指车辆首次进入停车场起，24小时为一计费时段，超过24小时后重新计费；每次停放达到24小时的，按24小时最高限价收费。</w:t>
            </w:r>
          </w:p>
          <w:p>
            <w:pPr>
              <w:spacing w:line="240" w:lineRule="auto"/>
              <w:jc w:val="both"/>
              <w:rPr>
                <w:rFonts w:hint="eastAsia" w:ascii="仿宋" w:hAnsi="仿宋" w:eastAsia="仿宋" w:cs="仿宋"/>
                <w:sz w:val="32"/>
                <w:szCs w:val="32"/>
                <w:vertAlign w:val="baseline"/>
                <w:lang w:val="en-US" w:eastAsia="zh-CN"/>
              </w:rPr>
            </w:pPr>
            <w:r>
              <w:rPr>
                <w:rFonts w:hint="eastAsia" w:ascii="仿宋" w:hAnsi="仿宋" w:eastAsia="仿宋" w:cs="仿宋"/>
                <w:kern w:val="2"/>
                <w:sz w:val="32"/>
                <w:szCs w:val="32"/>
                <w:vertAlign w:val="baseline"/>
                <w:lang w:val="en-US" w:eastAsia="zh-CN" w:bidi="ar-SA"/>
              </w:rPr>
              <w:t>4.小车为载重2吨以下（含2吨）或载客20座以下（含20座）的各种机动车；大车为载重2吨以上至10吨或载客20座以上的各种机动车。</w:t>
            </w:r>
          </w:p>
        </w:tc>
      </w:tr>
    </w:tbl>
    <w:p>
      <w:pPr>
        <w:spacing w:line="240" w:lineRule="auto"/>
        <w:rPr>
          <w:rFonts w:hint="eastAsia" w:asciiTheme="minorEastAsia" w:hAnsiTheme="minorEastAsia" w:eastAsiaTheme="minorEastAsia" w:cstheme="minorEastAsia"/>
          <w:sz w:val="32"/>
          <w:szCs w:val="32"/>
          <w:lang w:val="en-US" w:eastAsia="zh-CN"/>
        </w:rPr>
      </w:pPr>
    </w:p>
    <w:p>
      <w:pPr>
        <w:spacing w:line="240" w:lineRule="auto"/>
        <w:rPr>
          <w:rFonts w:hint="eastAsia" w:asciiTheme="minorEastAsia" w:hAnsiTheme="minorEastAsia" w:eastAsiaTheme="minorEastAsia" w:cstheme="minorEastAsia"/>
          <w:sz w:val="32"/>
          <w:szCs w:val="32"/>
          <w:lang w:eastAsia="zh-CN"/>
        </w:rPr>
      </w:pPr>
    </w:p>
    <w:p>
      <w:pPr>
        <w:spacing w:line="240" w:lineRule="auto"/>
        <w:rPr>
          <w:rFonts w:hint="eastAsia" w:asciiTheme="minorEastAsia" w:hAnsiTheme="minorEastAsia" w:eastAsiaTheme="minorEastAsia" w:cstheme="minorEastAsia"/>
          <w:sz w:val="32"/>
          <w:szCs w:val="32"/>
          <w:lang w:eastAsia="zh-CN"/>
        </w:rPr>
        <w:sectPr>
          <w:type w:val="continuous"/>
          <w:pgSz w:w="16838" w:h="11906" w:orient="landscape"/>
          <w:pgMar w:top="1800" w:right="1440" w:bottom="1800" w:left="1440" w:header="851" w:footer="992" w:gutter="0"/>
          <w:pgNumType w:fmt="decimal"/>
          <w:cols w:space="425" w:num="1"/>
          <w:docGrid w:type="lines" w:linePitch="312" w:charSpace="0"/>
        </w:sectPr>
      </w:pPr>
    </w:p>
    <w:p>
      <w:pPr>
        <w:spacing w:line="240" w:lineRule="auto"/>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二、制定差异化收费方案理由</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差异化收费是指针对不同区域、类型、时段的停车实行不同的计费方式，实行累增递进式的收费政策。制定差异化收费方案的理由具体如下：</w:t>
      </w:r>
    </w:p>
    <w:p>
      <w:pPr>
        <w:spacing w:line="240" w:lineRule="auto"/>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（一）制定差异化收费方案的</w:t>
      </w:r>
      <w:r>
        <w:rPr>
          <w:rFonts w:hint="eastAsia" w:asciiTheme="minorEastAsia" w:hAnsiTheme="minorEastAsia" w:eastAsiaTheme="minorEastAsia" w:cstheme="minorEastAsia"/>
          <w:sz w:val="32"/>
          <w:szCs w:val="32"/>
          <w:lang w:val="en-US" w:eastAsia="zh-CN"/>
        </w:rPr>
        <w:t>必要性</w:t>
      </w:r>
    </w:p>
    <w:p>
      <w:pPr>
        <w:spacing w:line="240" w:lineRule="auto"/>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现行收费标准已不能适应社会发展的需要。现行收费标准主要按次、按时收费，没有区分不同区域、不同类型、不同时段等实行计费，计费方式较为单一，按次计费的停车设施计费时间太长，不利于促进车辆的流动。而且，对比当前我市市区机动车保有量及增速，停车泊位存在较大缺口，泊位供应严重不足，导致众多车主随意长时间占用泊位，“长期占道”与“停车难”问题日益突出，严重影响了人民群众的获得感、幸福感与安全感。因此，为营造良好便利的交通环境，需对现行单一的计费方式及路内停车免费的收费标准作出调整和完善。</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差异化收费可以缓解“长期占道”的城市道路问题。占道停车收费是调节路内外泊位供给结构，优化资源配置，提高资源使用效率的重要手段之一。道路属于国家所有，是一种公共资源，随着社会经济的发展、汽车持有量的增加，越来越多的车主任意占用公共道路。最初的占道停车是临时性的、免费的，导致众多车主将汽车长时间随意停放在公共道路上，使得公共道路资源被滥用。通过差异化收费的方式，推行累进式加价的阶梯收费，停车者基于支出费用的考虑，不再随意长时间停放车辆。道路是公共资源，通过收费的方式对停车者和不停车者的权利做到一视同仁，也是公共资源合理利用的一种体现。</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差异化收费可以缓解“停车难”的城市停车问题。缴纳一定的费用才可以临时停放车辆，对于出行的停车者而言是便捷可行的。基于停车供需和停车资源占用的具体状况，对不同区域、不同类型、不同时段实行不同收费，合理增加了可以停放车辆的停车位，可以缓解城市停车难的问题，也减轻了交通拥堵的现象，促进城市社会经济发展。</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差异化收费是政府运用价格杠杆对市场进行宏观调控的手段。根据价格改革的要求，我市绝大部分停车设施收费由市场决定，更好地发挥市场调节作用，提高停车资源的配置效率。但政府列管的停车设施供需缺口大、矛盾突出，未能有效反映停车供求规律，容易造成停车公共资源被过度使用，而非政府列管的停车设施无人问津，大大降低了停车配置的使用率，不利于停车设施行业的发展。</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lang w:eastAsia="zh-CN"/>
        </w:rPr>
        <w:t>制定差异化收费方案的</w:t>
      </w:r>
      <w:r>
        <w:rPr>
          <w:rFonts w:hint="eastAsia" w:asciiTheme="minorEastAsia" w:hAnsiTheme="minorEastAsia" w:eastAsiaTheme="minorEastAsia" w:cstheme="minorEastAsia"/>
          <w:sz w:val="32"/>
          <w:szCs w:val="32"/>
          <w:lang w:val="en-US" w:eastAsia="zh-CN"/>
        </w:rPr>
        <w:t>合理性</w:t>
      </w:r>
    </w:p>
    <w:p>
      <w:pPr>
        <w:spacing w:line="240" w:lineRule="auto"/>
        <w:ind w:firstLine="640" w:firstLineChars="200"/>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1、增加地方财政收入，取之于民，用之于民。停车收费可以为当地带来税收，增加地方财政收入。增加的收入又可以为建设更好的公共设施提供资金支持</w:t>
      </w:r>
      <w:r>
        <w:rPr>
          <w:rFonts w:hint="eastAsia" w:asciiTheme="minorEastAsia" w:hAnsiTheme="minorEastAsia" w:cstheme="minorEastAsia"/>
          <w:sz w:val="32"/>
          <w:szCs w:val="32"/>
          <w:lang w:val="en-US" w:eastAsia="zh-CN"/>
        </w:rPr>
        <w:t>。</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提升城市管理水平，与一刀切的收费规则不同，支持采用灵活的差异化收费模式，分区、分时段限时免费/收费。充分发挥价格杠杆作用，提高路内车位的利用率和周转率。在提升城市管理水平和文明程度的同时，确保收费价格在车主的可接受范围内。</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lang w:eastAsia="zh-CN"/>
        </w:rPr>
        <w:t>制定差异化收费方案的</w:t>
      </w:r>
      <w:r>
        <w:rPr>
          <w:rFonts w:hint="eastAsia" w:asciiTheme="minorEastAsia" w:hAnsiTheme="minorEastAsia" w:eastAsiaTheme="minorEastAsia" w:cstheme="minorEastAsia"/>
          <w:sz w:val="32"/>
          <w:szCs w:val="32"/>
          <w:lang w:val="en-US" w:eastAsia="zh-CN"/>
        </w:rPr>
        <w:t>可行性</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以改善我市交通运行状况，提升我市交通出行品质为总体目标，借鉴周边城市的经验和做法，进一步优化停车设施差别化收费政策，通过提高政府指导价管理停车设施标准、实行差别化区域、缩小计费单位时长、区分繁忙及非繁忙时段等措施，积极探索发挥市场对停车资源配置的调控作用。运用价格杠杆，以经济手段引导机动车合理停放及使用，鼓励公交出行，减少中心城区机动车出行量，降低路面交通饱和度，提高道路通行速度，促进交通出行结构优化，缓解繁华地区及老城区交通拥堵状况。</w:t>
      </w:r>
    </w:p>
    <w:p>
      <w:pPr>
        <w:spacing w:line="240" w:lineRule="auto"/>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三、制定差异化收费方案依据</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（一）政策依据</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lang w:val="en-US" w:eastAsia="zh-CN"/>
        </w:rPr>
        <w:t>《汕尾市人民政府办公室关于印发加强和改进全市城市停车管理工作实施意见的通知》（汕府办﹝2021﹞7号）</w:t>
      </w:r>
      <w:r>
        <w:rPr>
          <w:rFonts w:hint="eastAsia" w:asciiTheme="minorEastAsia" w:hAnsiTheme="minorEastAsia" w:cstheme="minorEastAsia"/>
          <w:sz w:val="32"/>
          <w:szCs w:val="32"/>
          <w:lang w:val="en-US" w:eastAsia="zh-CN"/>
        </w:rPr>
        <w:t>；</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lang w:val="en-US" w:eastAsia="zh-CN"/>
        </w:rPr>
        <w:t>《广东省人民政府办公厅关于印发&lt;广东省定价目录（2018年版）&gt;的通知》（粤府办〔2018〕11号）</w:t>
      </w:r>
      <w:r>
        <w:rPr>
          <w:rFonts w:hint="eastAsia" w:asciiTheme="minorEastAsia" w:hAnsiTheme="minorEastAsia" w:cstheme="minorEastAsia"/>
          <w:sz w:val="32"/>
          <w:szCs w:val="32"/>
          <w:lang w:val="en-US" w:eastAsia="zh-CN"/>
        </w:rPr>
        <w:t>；</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lang w:val="en-US" w:eastAsia="zh-CN"/>
        </w:rPr>
        <w:t>《广东省发展改革委 广东省住房和城乡建设厅 广东省交通运输厅关于进一步完善机动车停放服务收费政策的实施意见》（粤发改规﹝2017﹞5号）</w:t>
      </w:r>
      <w:r>
        <w:rPr>
          <w:rFonts w:hint="eastAsia" w:asciiTheme="minorEastAsia" w:hAnsiTheme="minorEastAsia" w:cstheme="minorEastAsia"/>
          <w:sz w:val="32"/>
          <w:szCs w:val="32"/>
          <w:lang w:val="en-US" w:eastAsia="zh-CN"/>
        </w:rPr>
        <w:t>；</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lang w:val="en-US" w:eastAsia="zh-CN"/>
        </w:rPr>
        <w:t>《汕尾市发展改革局 汕尾市住房城乡建设局 汕尾市交通运输局 汕尾市城市管理和综合执法局关于进一步完善机动车停放服务收费政策的通知》（汕发改价格﹝2018﹞92号）</w:t>
      </w:r>
      <w:r>
        <w:rPr>
          <w:rFonts w:hint="eastAsia" w:asciiTheme="minorEastAsia" w:hAnsiTheme="minorEastAsia" w:cstheme="minorEastAsia"/>
          <w:sz w:val="32"/>
          <w:szCs w:val="32"/>
          <w:lang w:val="en-US" w:eastAsia="zh-CN"/>
        </w:rPr>
        <w:t>。</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cstheme="minorEastAsia"/>
          <w:sz w:val="32"/>
          <w:szCs w:val="32"/>
          <w:lang w:val="en-US" w:eastAsia="zh-CN"/>
        </w:rPr>
        <w:t>制定</w:t>
      </w:r>
      <w:r>
        <w:rPr>
          <w:rFonts w:hint="eastAsia" w:asciiTheme="minorEastAsia" w:hAnsiTheme="minorEastAsia" w:eastAsiaTheme="minorEastAsia" w:cstheme="minorEastAsia"/>
          <w:sz w:val="32"/>
          <w:szCs w:val="32"/>
          <w:lang w:val="en-US" w:eastAsia="zh-CN"/>
        </w:rPr>
        <w:t>原则</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根据停车供需和停车资源占用状况，按照“路内高于路外、拥堵时段高于空闲时段”原则，结合不同区域、位置、车型、时段停车服务差别，合理施行高区分度的停车服务收费标准。供需缺口大、矛盾突出区域，可实行较高收费；城市外围公共交通换乘枢纽停车设施服务，可实行较低收费；公立医院、交通场站等场所及周边配套停车设施，鼓励推行累进式加价的阶梯收费。</w:t>
      </w:r>
    </w:p>
    <w:p>
      <w:pPr>
        <w:spacing w:line="240" w:lineRule="auto"/>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四、差异化收费方案拟调整内容</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拟调整管理形式。将原实行政府定价管理的各类停车设施机动车停放服务收费调整为政府指导价管理，停车设施经营者可在政府指导价范围内根据停车供需状况自行确定具体收费标准，无须报价格主管部门审批。</w:t>
      </w:r>
    </w:p>
    <w:p>
      <w:pPr>
        <w:spacing w:line="24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2、拟调整计费方式。将原按次、按时的计费方式调整为分区域、分车型、分时段的差异化计费方式，并采取累进式加价的阶梯收费。</w:t>
      </w:r>
    </w:p>
    <w:p>
      <w:pPr>
        <w:spacing w:line="240" w:lineRule="auto"/>
        <w:rPr>
          <w:rFonts w:hint="eastAsia" w:asciiTheme="minorEastAsia" w:hAnsiTheme="minorEastAsia" w:eastAsiaTheme="minorEastAsia" w:cstheme="minorEastAsia"/>
          <w:sz w:val="32"/>
          <w:szCs w:val="32"/>
          <w:lang w:eastAsia="zh-CN"/>
        </w:rPr>
      </w:pPr>
    </w:p>
    <w:p>
      <w:pPr>
        <w:spacing w:line="240" w:lineRule="auto"/>
        <w:rPr>
          <w:rFonts w:hint="eastAsia" w:asciiTheme="minorEastAsia" w:hAnsiTheme="minorEastAsia" w:eastAsiaTheme="minorEastAsia" w:cstheme="minorEastAsia"/>
          <w:sz w:val="32"/>
          <w:szCs w:val="32"/>
          <w:lang w:eastAsia="zh-CN"/>
        </w:rPr>
        <w:sectPr>
          <w:type w:val="continuous"/>
          <w:pgSz w:w="11906" w:h="16838"/>
          <w:pgMar w:top="1440" w:right="1800" w:bottom="1440" w:left="1800" w:header="851" w:footer="992" w:gutter="0"/>
          <w:pgNumType w:fmt="decimal"/>
          <w:cols w:space="425" w:num="1"/>
          <w:docGrid w:type="lines" w:linePitch="312" w:charSpace="0"/>
        </w:sectPr>
      </w:pPr>
    </w:p>
    <w:p>
      <w:pPr>
        <w:spacing w:line="240" w:lineRule="auto"/>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五、影响分析</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（一）对市民出行的影响。一是</w:t>
      </w:r>
      <w:r>
        <w:rPr>
          <w:rFonts w:hint="eastAsia" w:asciiTheme="minorEastAsia" w:hAnsiTheme="minorEastAsia" w:eastAsiaTheme="minorEastAsia" w:cstheme="minorEastAsia"/>
          <w:b w:val="0"/>
          <w:bCs w:val="0"/>
          <w:sz w:val="32"/>
          <w:szCs w:val="32"/>
          <w:lang w:eastAsia="zh-CN"/>
        </w:rPr>
        <w:t>优化完善停车服务收费是大势所趋</w:t>
      </w:r>
      <w:r>
        <w:rPr>
          <w:rFonts w:hint="eastAsia" w:asciiTheme="minorEastAsia" w:hAnsiTheme="minorEastAsia" w:eastAsiaTheme="minorEastAsia" w:cstheme="minorEastAsia"/>
          <w:sz w:val="32"/>
          <w:szCs w:val="32"/>
          <w:lang w:eastAsia="zh-CN"/>
        </w:rPr>
        <w:t>，进一步促使停车供求关系回归理性，保障政府价格列管的停车场地泊位使用率和流动率</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差别化收费有效引导车辆停放使用，对刚需出行的市民缓解“停车难”状况，促使更多弹性需求的市民优先选择公共交通出行。二是</w:t>
      </w:r>
      <w:r>
        <w:rPr>
          <w:rFonts w:hint="eastAsia" w:asciiTheme="minorEastAsia" w:hAnsiTheme="minorEastAsia" w:eastAsiaTheme="minorEastAsia" w:cstheme="minorEastAsia"/>
          <w:b w:val="0"/>
          <w:bCs w:val="0"/>
          <w:sz w:val="32"/>
          <w:szCs w:val="32"/>
          <w:lang w:eastAsia="zh-CN"/>
        </w:rPr>
        <w:t>对市民出行的成本影响不大</w:t>
      </w:r>
      <w:r>
        <w:rPr>
          <w:rFonts w:hint="eastAsia" w:asciiTheme="minorEastAsia" w:hAnsiTheme="minorEastAsia" w:eastAsiaTheme="minorEastAsia" w:cstheme="minorEastAsia"/>
          <w:sz w:val="32"/>
          <w:szCs w:val="32"/>
          <w:lang w:eastAsia="zh-CN"/>
        </w:rPr>
        <w:t>，虽然本次方案缩短计费单位时长以及24小时内最高限价标准对比现行收费有所提高，但政府价格列管的停车设施数量占全市停车设施总数比例有限，除此之外非政府列管的居民住宅小区、商业等配套停车设施不受方案影响，市民的出行成本没有明显增加。</w:t>
      </w:r>
    </w:p>
    <w:p>
      <w:pPr>
        <w:spacing w:line="240" w:lineRule="auto"/>
        <w:ind w:firstLine="640" w:firstLineChars="200"/>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sz w:val="32"/>
          <w:szCs w:val="32"/>
          <w:lang w:eastAsia="zh-CN"/>
        </w:rPr>
        <w:t>（二）对停车设施的影响。调整收费标准有利于</w:t>
      </w:r>
      <w:r>
        <w:rPr>
          <w:rFonts w:hint="eastAsia" w:asciiTheme="minorEastAsia" w:hAnsiTheme="minorEastAsia" w:eastAsiaTheme="minorEastAsia" w:cstheme="minorEastAsia"/>
          <w:b w:val="0"/>
          <w:bCs w:val="0"/>
          <w:sz w:val="32"/>
          <w:szCs w:val="32"/>
          <w:lang w:eastAsia="zh-CN"/>
        </w:rPr>
        <w:t>政府价格列管的停车设施权属人加大资本建设维护的投入，扩大停车设施的建设规模，进一步推进智能化运营管理模式实施和提升车辆进出通行及结算速率。</w:t>
      </w:r>
    </w:p>
    <w:p>
      <w:pPr>
        <w:spacing w:line="24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（三）对收费形式的影响。对比现行计费方式，方案实行级差收费，根据供需缺口等因素分别实行不同最高限价收费标准，利用价格杠杆</w:t>
      </w:r>
      <w:r>
        <w:rPr>
          <w:rFonts w:hint="eastAsia" w:asciiTheme="minorEastAsia" w:hAnsiTheme="minorEastAsia" w:eastAsiaTheme="minorEastAsia" w:cstheme="minorEastAsia"/>
          <w:sz w:val="32"/>
          <w:szCs w:val="32"/>
          <w:lang w:val="en-US" w:eastAsia="zh-CN"/>
        </w:rPr>
        <w:t>合理</w:t>
      </w:r>
      <w:r>
        <w:rPr>
          <w:rFonts w:hint="eastAsia" w:asciiTheme="minorEastAsia" w:hAnsiTheme="minorEastAsia" w:eastAsiaTheme="minorEastAsia" w:cstheme="minorEastAsia"/>
          <w:sz w:val="32"/>
          <w:szCs w:val="32"/>
          <w:lang w:eastAsia="zh-CN"/>
        </w:rPr>
        <w:t>调节停车资源配置。同时，缩短计费单位时长能有效保障车辆停放时间的合理性和公平性。</w:t>
      </w: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E4523"/>
    <w:rsid w:val="047F4D00"/>
    <w:rsid w:val="052E01F4"/>
    <w:rsid w:val="095F5D12"/>
    <w:rsid w:val="0B784C26"/>
    <w:rsid w:val="0EB024B4"/>
    <w:rsid w:val="0F09033C"/>
    <w:rsid w:val="10B6487A"/>
    <w:rsid w:val="15B94474"/>
    <w:rsid w:val="165B49D1"/>
    <w:rsid w:val="17D00E04"/>
    <w:rsid w:val="1BEB2D38"/>
    <w:rsid w:val="1EB532C4"/>
    <w:rsid w:val="1F27292B"/>
    <w:rsid w:val="1F5F66D8"/>
    <w:rsid w:val="1FD07F5B"/>
    <w:rsid w:val="1FDB6ADE"/>
    <w:rsid w:val="22472FE1"/>
    <w:rsid w:val="227D5489"/>
    <w:rsid w:val="266E4523"/>
    <w:rsid w:val="27210D7D"/>
    <w:rsid w:val="29216BC4"/>
    <w:rsid w:val="2C232714"/>
    <w:rsid w:val="2E6E6204"/>
    <w:rsid w:val="333332E2"/>
    <w:rsid w:val="349B616E"/>
    <w:rsid w:val="349D66C4"/>
    <w:rsid w:val="34AC73EF"/>
    <w:rsid w:val="356F74AE"/>
    <w:rsid w:val="363F67E4"/>
    <w:rsid w:val="3D3D17F8"/>
    <w:rsid w:val="3E7501E7"/>
    <w:rsid w:val="3EC01C2D"/>
    <w:rsid w:val="3F19602A"/>
    <w:rsid w:val="434361F7"/>
    <w:rsid w:val="4DFD7B58"/>
    <w:rsid w:val="4E672FD9"/>
    <w:rsid w:val="514625B9"/>
    <w:rsid w:val="559962B2"/>
    <w:rsid w:val="55AB19C0"/>
    <w:rsid w:val="56C16040"/>
    <w:rsid w:val="57031BEE"/>
    <w:rsid w:val="59C84A8F"/>
    <w:rsid w:val="5F9A4A81"/>
    <w:rsid w:val="5FA60867"/>
    <w:rsid w:val="601A2BFB"/>
    <w:rsid w:val="605601C3"/>
    <w:rsid w:val="692F6F90"/>
    <w:rsid w:val="713B6DBF"/>
    <w:rsid w:val="731B3466"/>
    <w:rsid w:val="755F4CF5"/>
    <w:rsid w:val="76F85B8A"/>
    <w:rsid w:val="7F4C739C"/>
    <w:rsid w:val="7F90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widowControl w:val="0"/>
      <w:ind w:left="420" w:leftChars="200"/>
      <w:jc w:val="both"/>
    </w:pPr>
    <w:rPr>
      <w:rFonts w:ascii="Times New Roman" w:hAnsi="Times New Roman" w:eastAsia="宋体" w:cs="Times New Roman"/>
      <w:kern w:val="2"/>
      <w:sz w:val="30"/>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正文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
    <w:name w:val="正文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
    <w:name w:val="正文 New New New"/>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2021-09-02T02:59:00Z</dcterms:created>
  <dc:creator>Administrator</dc:creator>
  <cp:lastModifiedBy>徐建冬</cp:lastModifiedBy>
  <dcterms:modified xsi:type="dcterms:W3CDTF">2021-09-07T08:34:09Z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showFlag">
    <vt:bool>false</vt:bool>
  </property>
</Properties>
</file>