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b w:val="0"/>
          <w:bCs w:val="0"/>
          <w:i w:val="0"/>
          <w:iCs w:val="0"/>
          <w:color w:val="000000" w:themeColor="text1"/>
          <w:spacing w:val="0"/>
          <w:w w:val="100"/>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pacing w:val="0"/>
          <w:w w:val="100"/>
          <w:sz w:val="32"/>
          <w:szCs w:val="32"/>
          <w:vertAlign w:val="baseline"/>
          <w:lang w:val="en-US" w:eastAsia="zh-CN"/>
          <w14:textFill>
            <w14:solidFill>
              <w14:schemeClr w14:val="tx1"/>
            </w14:solidFill>
          </w14:textFill>
        </w:rPr>
        <w:t>附件：</w:t>
      </w:r>
    </w:p>
    <w:p>
      <w:pPr>
        <w:pStyle w:val="2"/>
        <w:keepNext w:val="0"/>
        <w:keepLines w:val="0"/>
        <w:widowControl/>
        <w:suppressLineNumbers w:val="0"/>
        <w:spacing w:before="0" w:beforeAutospacing="0" w:after="0" w:afterAutospacing="0" w:line="450" w:lineRule="atLeast"/>
        <w:ind w:left="0" w:right="0"/>
        <w:jc w:val="center"/>
        <w:rPr>
          <w:rFonts w:hint="eastAsia" w:ascii="方正小标宋简体" w:hAnsi="方正小标宋简体" w:eastAsia="方正小标宋简体" w:cs="方正小标宋简体"/>
          <w:b w:val="0"/>
          <w:bCs w:val="0"/>
          <w:i w:val="0"/>
          <w:iCs w:val="0"/>
          <w:color w:val="000000" w:themeColor="text1"/>
          <w:spacing w:val="0"/>
          <w:w w:val="100"/>
          <w:sz w:val="44"/>
          <w:szCs w:val="44"/>
          <w:vertAlign w:val="baseline"/>
          <w14:textFill>
            <w14:solidFill>
              <w14:schemeClr w14:val="tx1"/>
            </w14:solidFill>
          </w14:textFill>
        </w:rPr>
      </w:pPr>
      <w:r>
        <w:rPr>
          <w:rFonts w:hint="eastAsia" w:ascii="方正小标宋简体" w:hAnsi="方正小标宋简体" w:eastAsia="方正小标宋简体" w:cs="方正小标宋简体"/>
          <w:b w:val="0"/>
          <w:bCs w:val="0"/>
          <w:i w:val="0"/>
          <w:iCs w:val="0"/>
          <w:color w:val="000000" w:themeColor="text1"/>
          <w:spacing w:val="0"/>
          <w:w w:val="100"/>
          <w:sz w:val="44"/>
          <w:szCs w:val="44"/>
          <w:vertAlign w:val="baseline"/>
          <w14:textFill>
            <w14:solidFill>
              <w14:schemeClr w14:val="tx1"/>
            </w14:solidFill>
          </w14:textFill>
        </w:rPr>
        <w:t>汕尾市乡村绿美条例</w:t>
      </w:r>
    </w:p>
    <w:p>
      <w:pPr>
        <w:pStyle w:val="2"/>
        <w:keepNext w:val="0"/>
        <w:keepLines w:val="0"/>
        <w:widowControl/>
        <w:suppressLineNumbers w:val="0"/>
        <w:spacing w:before="0" w:beforeAutospacing="0" w:after="0" w:afterAutospacing="0" w:line="450" w:lineRule="atLeast"/>
        <w:ind w:left="0" w:right="0"/>
        <w:jc w:val="center"/>
        <w:rPr>
          <w:rFonts w:hint="eastAsia" w:ascii="仿宋_GB2312" w:hAnsi="仿宋_GB2312" w:eastAsia="仿宋_GB2312" w:cs="仿宋_GB2312"/>
          <w:b w:val="0"/>
          <w:bCs w:val="0"/>
          <w:i w:val="0"/>
          <w:iCs w:val="0"/>
          <w:color w:val="000000" w:themeColor="text1"/>
          <w:spacing w:val="0"/>
          <w:w w:val="100"/>
          <w:sz w:val="32"/>
          <w:szCs w:val="32"/>
          <w:vertAlign w:val="baseline"/>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pacing w:val="0"/>
          <w:w w:val="100"/>
          <w:sz w:val="32"/>
          <w:szCs w:val="32"/>
          <w:vertAlign w:val="baseline"/>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pacing w:val="0"/>
          <w:w w:val="100"/>
          <w:sz w:val="32"/>
          <w:szCs w:val="32"/>
          <w:vertAlign w:val="baseline"/>
          <w:lang w:val="en-US" w:eastAsia="zh-CN"/>
          <w14:textFill>
            <w14:solidFill>
              <w14:schemeClr w14:val="tx1"/>
            </w14:solidFill>
          </w14:textFill>
        </w:rPr>
        <w:t>征求意见稿</w:t>
      </w:r>
      <w:r>
        <w:rPr>
          <w:rFonts w:hint="eastAsia" w:ascii="仿宋_GB2312" w:hAnsi="仿宋_GB2312" w:eastAsia="仿宋_GB2312" w:cs="仿宋_GB2312"/>
          <w:b w:val="0"/>
          <w:bCs w:val="0"/>
          <w:i w:val="0"/>
          <w:iCs w:val="0"/>
          <w:color w:val="000000" w:themeColor="text1"/>
          <w:spacing w:val="0"/>
          <w:w w:val="100"/>
          <w:sz w:val="32"/>
          <w:szCs w:val="32"/>
          <w:vertAlign w:val="baseline"/>
          <w:lang w:eastAsia="zh-CN"/>
          <w14:textFill>
            <w14:solidFill>
              <w14:schemeClr w14:val="tx1"/>
            </w14:solidFill>
          </w14:textFill>
        </w:rPr>
        <w:t>）</w:t>
      </w:r>
    </w:p>
    <w:p>
      <w:pPr>
        <w:rPr>
          <w:rFonts w:hint="eastAsia" w:ascii="仿宋_GB2312" w:hAnsi="仿宋_GB2312" w:eastAsia="仿宋_GB2312" w:cs="仿宋_GB2312"/>
          <w:sz w:val="32"/>
          <w:szCs w:val="32"/>
        </w:rPr>
      </w:pP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b w:val="0"/>
          <w:bCs w:val="0"/>
          <w:i w:val="0"/>
          <w:iCs w:val="0"/>
          <w:color w:val="404040"/>
          <w:spacing w:val="0"/>
          <w:w w:val="100"/>
          <w:sz w:val="32"/>
          <w:szCs w:val="32"/>
          <w:vertAlign w:val="baseline"/>
        </w:rPr>
      </w:pPr>
      <w:r>
        <w:rPr>
          <w:rFonts w:hint="eastAsia" w:ascii="方正小标宋简体" w:hAnsi="方正小标宋简体" w:eastAsia="方正小标宋简体" w:cs="方正小标宋简体"/>
          <w:b w:val="0"/>
          <w:bCs w:val="0"/>
          <w:i w:val="0"/>
          <w:iCs w:val="0"/>
          <w:color w:val="404040"/>
          <w:spacing w:val="0"/>
          <w:w w:val="100"/>
          <w:sz w:val="32"/>
          <w:szCs w:val="32"/>
          <w:vertAlign w:val="baseline"/>
        </w:rPr>
        <w:t>第一章 总</w:t>
      </w:r>
      <w:r>
        <w:rPr>
          <w:rFonts w:hint="eastAsia" w:ascii="方正小标宋简体" w:hAnsi="方正小标宋简体" w:eastAsia="方正小标宋简体" w:cs="方正小标宋简体"/>
          <w:b w:val="0"/>
          <w:bCs w:val="0"/>
          <w:i w:val="0"/>
          <w:iCs w:val="0"/>
          <w:color w:val="404040"/>
          <w:spacing w:val="0"/>
          <w:w w:val="100"/>
          <w:sz w:val="32"/>
          <w:szCs w:val="32"/>
          <w:vertAlign w:val="baseline"/>
          <w:lang w:val="en-US" w:eastAsia="zh-CN"/>
        </w:rPr>
        <w:t xml:space="preserve"> </w:t>
      </w:r>
      <w:r>
        <w:rPr>
          <w:rFonts w:hint="eastAsia" w:ascii="方正小标宋简体" w:hAnsi="方正小标宋简体" w:eastAsia="方正小标宋简体" w:cs="方正小标宋简体"/>
          <w:b w:val="0"/>
          <w:bCs w:val="0"/>
          <w:i w:val="0"/>
          <w:iCs w:val="0"/>
          <w:color w:val="404040"/>
          <w:spacing w:val="0"/>
          <w:w w:val="100"/>
          <w:sz w:val="32"/>
          <w:szCs w:val="32"/>
          <w:vertAlign w:val="baseline"/>
        </w:rPr>
        <w:t>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olor w:val="404040"/>
          <w:spacing w:val="0"/>
          <w:w w:val="100"/>
          <w:sz w:val="32"/>
          <w:szCs w:val="32"/>
          <w:vertAlign w:val="baseline"/>
        </w:rPr>
        <w:t>第一条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为了</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推动绿美汕尾生态建设，促进</w:t>
      </w:r>
      <w:r>
        <w:rPr>
          <w:rFonts w:hint="eastAsia" w:ascii="仿宋_GB2312" w:hAnsi="仿宋_GB2312" w:eastAsia="仿宋_GB2312" w:cs="仿宋_GB2312"/>
          <w:b w:val="0"/>
          <w:bCs w:val="0"/>
          <w:i w:val="0"/>
          <w:iCs w:val="0"/>
          <w:color w:val="333333"/>
          <w:spacing w:val="0"/>
          <w:w w:val="100"/>
          <w:sz w:val="32"/>
          <w:szCs w:val="32"/>
          <w:vertAlign w:val="baseline"/>
        </w:rPr>
        <w:t>乡村全面振兴，根据《中华人民共和国乡村振兴促进法》《中华人民共和国森林法》等法律、法规，结合本市实际，制定本条例。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olor w:val="404040"/>
          <w:spacing w:val="0"/>
          <w:w w:val="100"/>
          <w:sz w:val="32"/>
          <w:szCs w:val="32"/>
          <w:vertAlign w:val="baseline"/>
        </w:rPr>
        <w:t>第二条</w:t>
      </w:r>
      <w:r>
        <w:rPr>
          <w:rFonts w:hint="eastAsia" w:ascii="黑体" w:hAnsi="黑体" w:eastAsia="黑体" w:cs="黑体"/>
          <w:b w:val="0"/>
          <w:bCs w:val="0"/>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本市行政区域内乡村绿美规划和建设、人居环境提升及其他相关活动，适用本条例。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olor w:val="404040"/>
          <w:spacing w:val="0"/>
          <w:w w:val="100"/>
          <w:sz w:val="32"/>
          <w:szCs w:val="32"/>
          <w:vertAlign w:val="baseline"/>
        </w:rPr>
        <w:t>第三条</w:t>
      </w:r>
      <w:r>
        <w:rPr>
          <w:rFonts w:hint="eastAsia" w:ascii="黑体" w:hAnsi="黑体" w:eastAsia="黑体" w:cs="黑体"/>
          <w:b/>
          <w:bCs/>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乡村绿美建设坚持党委领导、政府</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引</w:t>
      </w:r>
      <w:r>
        <w:rPr>
          <w:rFonts w:hint="eastAsia" w:ascii="仿宋_GB2312" w:hAnsi="仿宋_GB2312" w:eastAsia="仿宋_GB2312" w:cs="仿宋_GB2312"/>
          <w:b w:val="0"/>
          <w:bCs w:val="0"/>
          <w:i w:val="0"/>
          <w:iCs w:val="0"/>
          <w:color w:val="333333"/>
          <w:spacing w:val="0"/>
          <w:w w:val="100"/>
          <w:sz w:val="32"/>
          <w:szCs w:val="32"/>
          <w:vertAlign w:val="baseline"/>
        </w:rPr>
        <w:t>导、部门联动、农民主体、社会参与，遵循以人为本、</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共治共享、</w:t>
      </w:r>
      <w:r>
        <w:rPr>
          <w:rFonts w:hint="eastAsia" w:ascii="仿宋_GB2312" w:hAnsi="仿宋_GB2312" w:eastAsia="仿宋_GB2312" w:cs="仿宋_GB2312"/>
          <w:b w:val="0"/>
          <w:bCs w:val="0"/>
          <w:i w:val="0"/>
          <w:iCs w:val="0"/>
          <w:color w:val="333333"/>
          <w:spacing w:val="0"/>
          <w:w w:val="100"/>
          <w:sz w:val="32"/>
          <w:szCs w:val="32"/>
          <w:vertAlign w:val="baseline"/>
        </w:rPr>
        <w:t>生态优先、</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系统谋划、</w:t>
      </w:r>
      <w:r>
        <w:rPr>
          <w:rFonts w:hint="eastAsia" w:ascii="仿宋_GB2312" w:hAnsi="仿宋_GB2312" w:eastAsia="仿宋_GB2312" w:cs="仿宋_GB2312"/>
          <w:b w:val="0"/>
          <w:bCs w:val="0"/>
          <w:i w:val="0"/>
          <w:iCs w:val="0"/>
          <w:color w:val="333333"/>
          <w:spacing w:val="0"/>
          <w:w w:val="100"/>
          <w:sz w:val="32"/>
          <w:szCs w:val="32"/>
          <w:vertAlign w:val="baseline"/>
        </w:rPr>
        <w:t>因地制宜、示范引领、建管并重、注重长效的原则。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olor w:val="404040"/>
          <w:spacing w:val="0"/>
          <w:w w:val="100"/>
          <w:sz w:val="32"/>
          <w:szCs w:val="32"/>
          <w:vertAlign w:val="baseline"/>
        </w:rPr>
        <w:t>第四条</w:t>
      </w:r>
      <w:r>
        <w:rPr>
          <w:rFonts w:hint="eastAsia" w:ascii="黑体" w:hAnsi="黑体" w:eastAsia="黑体" w:cs="黑体"/>
          <w:b w:val="0"/>
          <w:bCs w:val="0"/>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区）人民政府应当将乡村绿美建设工作纳入国民经济和社会发展规划，建立联席会议制度，协调解决乡村绿美建设工作中的重大问题，推动乡村绿美工作持续健康发展。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乡镇人民政府、街道办事处负责组织实施本辖区内的乡村绿美建设与管护工作。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olor w:val="404040"/>
          <w:spacing w:val="0"/>
          <w:w w:val="100"/>
          <w:sz w:val="32"/>
          <w:szCs w:val="32"/>
          <w:vertAlign w:val="baseline"/>
        </w:rPr>
        <w:t>第五条</w:t>
      </w:r>
      <w:r>
        <w:rPr>
          <w:rFonts w:hint="eastAsia" w:ascii="黑体" w:hAnsi="黑体" w:eastAsia="黑体" w:cs="黑体"/>
          <w:b/>
          <w:bCs/>
          <w:i w:val="0"/>
          <w:iCs w:val="0"/>
          <w:color w:val="404040"/>
          <w:spacing w:val="0"/>
          <w:w w:val="100"/>
          <w:sz w:val="32"/>
          <w:szCs w:val="32"/>
          <w:vertAlign w:val="baseline"/>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区）人民政府农业农村主管部门负责本行政区域内乡村绿美工作的指导协调、监督检查和考核评估等工作。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发展与改革、林业、教育</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rPr>
        <w:t>工业和信息化、民政、财政、自然资源和规划、生态环境、住房城乡建设、城市管理、交通运输、水利、商务、文化和旅游、卫生健康等部门按照各自职责，做好乡村绿美建设的相关工作。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工会、共产主义青年团、妇女联合会、科学技术协会等群团组织应当积极参与乡村绿美建设的相关工作。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六</w:t>
      </w:r>
      <w:r>
        <w:rPr>
          <w:rFonts w:hint="eastAsia" w:ascii="黑体" w:hAnsi="黑体" w:eastAsia="黑体" w:cs="黑体"/>
          <w:b w:val="0"/>
          <w:bCs w:val="0"/>
          <w:i w:val="0"/>
          <w:iCs w:val="0"/>
          <w:color w:val="404040"/>
          <w:spacing w:val="0"/>
          <w:w w:val="100"/>
          <w:sz w:val="32"/>
          <w:szCs w:val="32"/>
          <w:vertAlign w:val="baseline"/>
        </w:rPr>
        <w:t>条</w:t>
      </w:r>
      <w:r>
        <w:rPr>
          <w:rFonts w:hint="eastAsia" w:ascii="黑体" w:hAnsi="黑体" w:eastAsia="黑体" w:cs="黑体"/>
          <w:b/>
          <w:bCs/>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村民委员会应当协助、配合乡（镇）人民政府、街道办事处和相关部门开展乡村绿美建设工作，依法办理本村的公共事务和公益事业，鼓励和引导村民参与乡村绿美建设工作，</w:t>
      </w:r>
      <w:r>
        <w:rPr>
          <w:rFonts w:hint="eastAsia" w:ascii="仿宋_GB2312" w:hAnsi="仿宋_GB2312" w:eastAsia="仿宋_GB2312" w:cs="仿宋_GB2312"/>
          <w:b w:val="0"/>
          <w:bCs w:val="0"/>
          <w:i w:val="0"/>
          <w:iCs w:val="0"/>
          <w:color w:val="auto"/>
          <w:spacing w:val="0"/>
          <w:w w:val="100"/>
          <w:sz w:val="32"/>
          <w:szCs w:val="32"/>
          <w:vertAlign w:val="baseline"/>
        </w:rPr>
        <w:t>保障村民的知情权、决策权、参与权和监督权。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村民应当积极参与</w:t>
      </w:r>
      <w:r>
        <w:rPr>
          <w:rFonts w:hint="eastAsia" w:ascii="仿宋_GB2312" w:hAnsi="仿宋_GB2312" w:eastAsia="仿宋_GB2312" w:cs="仿宋_GB2312"/>
          <w:b w:val="0"/>
          <w:bCs w:val="0"/>
          <w:i w:val="0"/>
          <w:iCs w:val="0"/>
          <w:color w:val="auto"/>
          <w:spacing w:val="0"/>
          <w:w w:val="100"/>
          <w:sz w:val="32"/>
          <w:szCs w:val="32"/>
          <w:vertAlign w:val="baseline"/>
        </w:rPr>
        <w:t>乡村</w:t>
      </w:r>
      <w:r>
        <w:rPr>
          <w:rFonts w:hint="eastAsia" w:ascii="仿宋_GB2312" w:hAnsi="仿宋_GB2312" w:eastAsia="仿宋_GB2312" w:cs="仿宋_GB2312"/>
          <w:b w:val="0"/>
          <w:bCs w:val="0"/>
          <w:i w:val="0"/>
          <w:iCs w:val="0"/>
          <w:color w:val="333333"/>
          <w:spacing w:val="0"/>
          <w:w w:val="100"/>
          <w:sz w:val="32"/>
          <w:szCs w:val="32"/>
          <w:vertAlign w:val="baseline"/>
        </w:rPr>
        <w:t>绿美建设，依法履行法律、法规和村规民约规定的义务，共享乡村绿美建设成果。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七</w:t>
      </w:r>
      <w:r>
        <w:rPr>
          <w:rFonts w:hint="eastAsia" w:ascii="黑体" w:hAnsi="黑体" w:eastAsia="黑体" w:cs="黑体"/>
          <w:b w:val="0"/>
          <w:bCs w:val="0"/>
          <w:i w:val="0"/>
          <w:iCs w:val="0"/>
          <w:color w:val="404040"/>
          <w:spacing w:val="0"/>
          <w:w w:val="100"/>
          <w:sz w:val="32"/>
          <w:szCs w:val="32"/>
          <w:vertAlign w:val="baseline"/>
        </w:rPr>
        <w:t>条</w:t>
      </w:r>
      <w:r>
        <w:rPr>
          <w:rFonts w:hint="eastAsia" w:ascii="黑体" w:hAnsi="黑体" w:eastAsia="黑体" w:cs="黑体"/>
          <w:b/>
          <w:bCs/>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区）人民政府应当发挥财政资金的导向作用，采取</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补贴</w:t>
      </w:r>
      <w:r>
        <w:rPr>
          <w:rFonts w:hint="eastAsia" w:ascii="仿宋_GB2312" w:hAnsi="仿宋_GB2312" w:eastAsia="仿宋_GB2312" w:cs="仿宋_GB2312"/>
          <w:b w:val="0"/>
          <w:bCs w:val="0"/>
          <w:i w:val="0"/>
          <w:iCs w:val="0"/>
          <w:color w:val="000000" w:themeColor="text1"/>
          <w:spacing w:val="0"/>
          <w:w w:val="100"/>
          <w:sz w:val="32"/>
          <w:szCs w:val="32"/>
          <w:vertAlign w:val="baseline"/>
          <w14:textFill>
            <w14:solidFill>
              <w14:schemeClr w14:val="tx1"/>
            </w14:solidFill>
          </w14:textFill>
        </w:rPr>
        <w:t>、</w:t>
      </w:r>
      <w:r>
        <w:rPr>
          <w:rFonts w:hint="eastAsia" w:ascii="仿宋_GB2312" w:hAnsi="仿宋_GB2312" w:eastAsia="仿宋_GB2312" w:cs="仿宋_GB2312"/>
          <w:b w:val="0"/>
          <w:bCs w:val="0"/>
          <w:i w:val="0"/>
          <w:iCs w:val="0"/>
          <w:color w:val="000000" w:themeColor="text1"/>
          <w:spacing w:val="0"/>
          <w:w w:val="100"/>
          <w:sz w:val="32"/>
          <w:szCs w:val="32"/>
          <w:vertAlign w:val="baseline"/>
          <w:lang w:val="en-US" w:eastAsia="zh-CN"/>
          <w14:textFill>
            <w14:solidFill>
              <w14:schemeClr w14:val="tx1"/>
            </w14:solidFill>
          </w14:textFill>
        </w:rPr>
        <w:t>奖励、</w:t>
      </w:r>
      <w:r>
        <w:rPr>
          <w:rFonts w:hint="eastAsia" w:ascii="仿宋_GB2312" w:hAnsi="仿宋_GB2312" w:eastAsia="仿宋_GB2312" w:cs="仿宋_GB2312"/>
          <w:b w:val="0"/>
          <w:bCs w:val="0"/>
          <w:i w:val="0"/>
          <w:iCs w:val="0"/>
          <w:color w:val="000000" w:themeColor="text1"/>
          <w:spacing w:val="0"/>
          <w:w w:val="100"/>
          <w:sz w:val="32"/>
          <w:szCs w:val="32"/>
          <w:vertAlign w:val="baseline"/>
          <w14:textFill>
            <w14:solidFill>
              <w14:schemeClr w14:val="tx1"/>
            </w14:solidFill>
          </w14:textFill>
        </w:rPr>
        <w:t>补助</w:t>
      </w:r>
      <w:r>
        <w:rPr>
          <w:rFonts w:hint="eastAsia" w:ascii="仿宋_GB2312" w:hAnsi="仿宋_GB2312" w:eastAsia="仿宋_GB2312" w:cs="仿宋_GB2312"/>
          <w:b w:val="0"/>
          <w:bCs w:val="0"/>
          <w:i w:val="0"/>
          <w:iCs w:val="0"/>
          <w:color w:val="333333"/>
          <w:spacing w:val="0"/>
          <w:w w:val="100"/>
          <w:sz w:val="32"/>
          <w:szCs w:val="32"/>
          <w:vertAlign w:val="baseline"/>
        </w:rPr>
        <w:t>等措施，支持农村产业发展和基础设施、公共服务设施建设。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b w:val="0"/>
          <w:bCs w:val="0"/>
          <w:i w:val="0"/>
          <w:iCs w:val="0"/>
          <w:color w:val="333333"/>
          <w:spacing w:val="0"/>
          <w:w w:val="100"/>
          <w:sz w:val="32"/>
          <w:szCs w:val="32"/>
          <w:vertAlign w:val="baseline"/>
        </w:rPr>
        <w:t>各级人民政府应当建立和完善财政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资金投入</w:t>
      </w:r>
      <w:r>
        <w:rPr>
          <w:rFonts w:hint="eastAsia" w:ascii="仿宋_GB2312" w:hAnsi="仿宋_GB2312" w:eastAsia="仿宋_GB2312" w:cs="仿宋_GB2312"/>
          <w:b w:val="0"/>
          <w:bCs w:val="0"/>
          <w:i w:val="0"/>
          <w:iCs w:val="0"/>
          <w:color w:val="333333"/>
          <w:spacing w:val="0"/>
          <w:w w:val="100"/>
          <w:sz w:val="32"/>
          <w:szCs w:val="32"/>
          <w:vertAlign w:val="baseline"/>
        </w:rPr>
        <w:t>、村级组织统筹、受益主体付费、社会资金支持的多元化投入机制，鼓励和引导社会力量通过投资、捐助等形式，支持、参与乡村绿美建设工作。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鼓励和支持高等院校、科研院所、企业等单位开展乡村绿美建设关键技术、工艺和设备研发等活动。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八</w:t>
      </w:r>
      <w:r>
        <w:rPr>
          <w:rFonts w:hint="eastAsia" w:ascii="黑体" w:hAnsi="黑体" w:eastAsia="黑体" w:cs="黑体"/>
          <w:b w:val="0"/>
          <w:bCs w:val="0"/>
          <w:i w:val="0"/>
          <w:iCs w:val="0"/>
          <w:color w:val="404040"/>
          <w:spacing w:val="0"/>
          <w:w w:val="100"/>
          <w:sz w:val="32"/>
          <w:szCs w:val="32"/>
          <w:vertAlign w:val="baseline"/>
        </w:rPr>
        <w:t>条</w:t>
      </w:r>
      <w:r>
        <w:rPr>
          <w:rFonts w:hint="eastAsia" w:ascii="黑体" w:hAnsi="黑体" w:eastAsia="黑体" w:cs="黑体"/>
          <w:b/>
          <w:bCs/>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镇</w:t>
      </w:r>
      <w:r>
        <w:rPr>
          <w:rFonts w:hint="eastAsia" w:ascii="仿宋_GB2312" w:hAnsi="仿宋_GB2312" w:eastAsia="仿宋_GB2312" w:cs="仿宋_GB2312"/>
          <w:b w:val="0"/>
          <w:bCs w:val="0"/>
          <w:i w:val="0"/>
          <w:iCs w:val="0"/>
          <w:color w:val="333333"/>
          <w:spacing w:val="0"/>
          <w:w w:val="100"/>
          <w:sz w:val="32"/>
          <w:szCs w:val="32"/>
          <w:vertAlign w:val="baseline"/>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街道</w:t>
      </w:r>
      <w:r>
        <w:rPr>
          <w:rFonts w:hint="eastAsia" w:ascii="仿宋_GB2312" w:hAnsi="仿宋_GB2312" w:eastAsia="仿宋_GB2312" w:cs="仿宋_GB2312"/>
          <w:b w:val="0"/>
          <w:bCs w:val="0"/>
          <w:i w:val="0"/>
          <w:iCs w:val="0"/>
          <w:color w:val="333333"/>
          <w:spacing w:val="0"/>
          <w:w w:val="100"/>
          <w:sz w:val="32"/>
          <w:szCs w:val="32"/>
          <w:vertAlign w:val="baseline"/>
        </w:rPr>
        <w:t>）人民政府和村民委员会应当组织开展乡村绿美建设的宣传教育和培训，总结经验做法，推广先进典型，提高全社会参与乡村绿美建设的意识和能力，引导村民健康绿色文明生活。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报刊、广播电视、网络等媒体应当对乡村绿美建设的公益性宣传和舆论监督，营造全社会支持乡村绿美建设的氛围。</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黑体" w:hAnsi="黑体" w:eastAsia="黑体" w:cs="黑体"/>
          <w:b w:val="0"/>
          <w:bCs w:val="0"/>
          <w:i w:val="0"/>
          <w:iCs w:val="0"/>
          <w:color w:val="404040"/>
          <w:spacing w:val="0"/>
          <w:w w:val="100"/>
          <w:sz w:val="32"/>
          <w:szCs w:val="32"/>
          <w:vertAlign w:val="baseline"/>
          <w:lang w:val="en-US" w:eastAsia="zh-CN"/>
        </w:rPr>
        <w:t>第九条</w:t>
      </w:r>
      <w:r>
        <w:rPr>
          <w:rFonts w:hint="eastAsia" w:ascii="黑体" w:hAnsi="黑体" w:eastAsia="黑体" w:cs="黑体"/>
          <w:b/>
          <w:bCs/>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任何单位和个人都应当维护</w:t>
      </w:r>
      <w:r>
        <w:rPr>
          <w:rFonts w:hint="eastAsia" w:ascii="仿宋_GB2312" w:hAnsi="仿宋_GB2312" w:eastAsia="仿宋_GB2312" w:cs="仿宋_GB2312"/>
          <w:b w:val="0"/>
          <w:bCs w:val="0"/>
          <w:i w:val="0"/>
          <w:iCs w:val="0"/>
          <w:color w:val="auto"/>
          <w:spacing w:val="0"/>
          <w:w w:val="100"/>
          <w:sz w:val="32"/>
          <w:szCs w:val="32"/>
          <w:vertAlign w:val="baseline"/>
        </w:rPr>
        <w:t>乡村</w:t>
      </w:r>
      <w:r>
        <w:rPr>
          <w:rFonts w:hint="eastAsia" w:ascii="仿宋_GB2312" w:hAnsi="仿宋_GB2312" w:eastAsia="仿宋_GB2312" w:cs="仿宋_GB2312"/>
          <w:b w:val="0"/>
          <w:bCs w:val="0"/>
          <w:i w:val="0"/>
          <w:iCs w:val="0"/>
          <w:color w:val="333333"/>
          <w:spacing w:val="0"/>
          <w:w w:val="100"/>
          <w:sz w:val="32"/>
          <w:szCs w:val="32"/>
          <w:vertAlign w:val="baseline"/>
        </w:rPr>
        <w:t>绿美建设成果，有权对损害、破坏乡村绿美建设的行为进行劝阻和举报。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b/>
          <w:bCs/>
          <w:i w:val="0"/>
          <w:iCs w:val="0"/>
          <w:color w:val="404040"/>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bCs/>
          <w:i w:val="0"/>
          <w:iCs w:val="0"/>
          <w:color w:val="404040"/>
          <w:spacing w:val="0"/>
          <w:w w:val="100"/>
          <w:sz w:val="32"/>
          <w:szCs w:val="32"/>
          <w:vertAlign w:val="baselin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b w:val="0"/>
          <w:bCs w:val="0"/>
          <w:i w:val="0"/>
          <w:iCs w:val="0"/>
          <w:color w:val="404040"/>
          <w:spacing w:val="0"/>
          <w:w w:val="100"/>
          <w:sz w:val="32"/>
          <w:szCs w:val="32"/>
          <w:vertAlign w:val="baseline"/>
        </w:rPr>
      </w:pPr>
      <w:r>
        <w:rPr>
          <w:rFonts w:hint="eastAsia" w:ascii="方正小标宋简体" w:hAnsi="方正小标宋简体" w:eastAsia="方正小标宋简体" w:cs="方正小标宋简体"/>
          <w:b w:val="0"/>
          <w:bCs w:val="0"/>
          <w:i w:val="0"/>
          <w:iCs w:val="0"/>
          <w:color w:val="404040"/>
          <w:spacing w:val="0"/>
          <w:w w:val="100"/>
          <w:sz w:val="32"/>
          <w:szCs w:val="32"/>
          <w:vertAlign w:val="baseline"/>
        </w:rPr>
        <w:t>第二章 </w:t>
      </w:r>
      <w:r>
        <w:rPr>
          <w:rFonts w:hint="eastAsia" w:ascii="方正小标宋简体" w:hAnsi="方正小标宋简体" w:eastAsia="方正小标宋简体" w:cs="方正小标宋简体"/>
          <w:b w:val="0"/>
          <w:bCs w:val="0"/>
          <w:i w:val="0"/>
          <w:iCs w:val="0"/>
          <w:color w:val="404040"/>
          <w:spacing w:val="0"/>
          <w:w w:val="100"/>
          <w:sz w:val="32"/>
          <w:szCs w:val="32"/>
          <w:vertAlign w:val="baseline"/>
          <w:lang w:val="en-US" w:eastAsia="zh-CN"/>
        </w:rPr>
        <w:t>绿美</w:t>
      </w:r>
      <w:r>
        <w:rPr>
          <w:rFonts w:hint="eastAsia" w:ascii="方正小标宋简体" w:hAnsi="方正小标宋简体" w:eastAsia="方正小标宋简体" w:cs="方正小标宋简体"/>
          <w:b w:val="0"/>
          <w:bCs w:val="0"/>
          <w:i w:val="0"/>
          <w:iCs w:val="0"/>
          <w:color w:val="404040"/>
          <w:spacing w:val="0"/>
          <w:w w:val="100"/>
          <w:sz w:val="32"/>
          <w:szCs w:val="32"/>
          <w:vertAlign w:val="baseline"/>
        </w:rPr>
        <w:t>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olor w:val="404040"/>
          <w:spacing w:val="0"/>
          <w:w w:val="100"/>
          <w:sz w:val="32"/>
          <w:szCs w:val="32"/>
          <w:vertAlign w:val="baseline"/>
          <w:lang w:val="en-US" w:eastAsia="zh-CN"/>
        </w:rPr>
        <w:t>第十条</w:t>
      </w:r>
      <w:r>
        <w:rPr>
          <w:rFonts w:hint="eastAsia" w:ascii="黑体" w:hAnsi="黑体" w:eastAsia="黑体" w:cs="黑体"/>
          <w:b/>
          <w:bCs/>
          <w:i w:val="0"/>
          <w:iCs w:val="0"/>
          <w:color w:val="404040"/>
          <w:spacing w:val="0"/>
          <w:w w:val="100"/>
          <w:sz w:val="32"/>
          <w:szCs w:val="32"/>
          <w:vertAlign w:val="baseline"/>
          <w:lang w:val="en-US" w:eastAsia="zh-CN"/>
        </w:rPr>
        <w:t> </w:t>
      </w:r>
      <w:r>
        <w:rPr>
          <w:rFonts w:hint="eastAsia" w:ascii="仿宋_GB2312" w:hAnsi="仿宋_GB2312" w:eastAsia="仿宋_GB2312" w:cs="仿宋_GB2312"/>
          <w:b w:val="0"/>
          <w:bCs w:val="0"/>
          <w:i w:val="0"/>
          <w:iCs w:val="0"/>
          <w:color w:val="333333"/>
          <w:spacing w:val="0"/>
          <w:w w:val="100"/>
          <w:sz w:val="32"/>
          <w:szCs w:val="32"/>
          <w:vertAlign w:val="baseline"/>
        </w:rPr>
        <w:t>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区）人民政府应当自本条例施行之日起二年内，依据国土空间规划，组织有关部门编制乡村绿美建设</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规划</w:t>
      </w:r>
      <w:r>
        <w:rPr>
          <w:rFonts w:hint="eastAsia" w:ascii="仿宋_GB2312" w:hAnsi="仿宋_GB2312" w:eastAsia="仿宋_GB2312" w:cs="仿宋_GB2312"/>
          <w:b w:val="0"/>
          <w:bCs w:val="0"/>
          <w:i w:val="0"/>
          <w:iCs w:val="0"/>
          <w:color w:val="333333"/>
          <w:spacing w:val="0"/>
          <w:w w:val="100"/>
          <w:sz w:val="32"/>
          <w:szCs w:val="32"/>
          <w:vertAlign w:val="baseline"/>
        </w:rPr>
        <w:t>，对乡村绿美建设的布局、重点、特色等作出安排，优化乡村生产、生活、生态空间。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区）人民政府生态环境、水利、文化和旅游、林业等部门在编制专项规划时</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rPr>
        <w:t>应当落实乡村绿美建设规划的有关内容。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olor w:val="404040"/>
          <w:spacing w:val="0"/>
          <w:w w:val="100"/>
          <w:sz w:val="32"/>
          <w:szCs w:val="32"/>
          <w:vertAlign w:val="baseline"/>
          <w:lang w:val="en-US" w:eastAsia="zh-CN"/>
        </w:rPr>
        <w:t>第十一条</w:t>
      </w:r>
      <w:r>
        <w:rPr>
          <w:rFonts w:hint="eastAsia" w:ascii="黑体" w:hAnsi="黑体" w:eastAsia="黑体" w:cs="黑体"/>
          <w:b/>
          <w:bCs/>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乡镇</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街道</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rPr>
        <w:t>人民政府应当依法组织编制多规合一的实用性村庄规划。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编制村庄规划应当从农村实际出发，根据村庄的资源条件，统筹各类生产生活要素，优化生态空间格局，保护村庄自然历史风貌，突出地域特色、文化特点和时代特征。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村庄规划在报送审批前应当依法进行公示，并经过村民会议或村民代表大会讨论通过。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乡镇</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街道</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rPr>
        <w:t>人民政府和村民委员会应当制定和完善工作计划，严格按照村庄规划有序推进乡村绿美建设。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olor w:val="404040"/>
          <w:spacing w:val="0"/>
          <w:w w:val="100"/>
          <w:sz w:val="32"/>
          <w:szCs w:val="32"/>
          <w:vertAlign w:val="baseline"/>
          <w:lang w:val="en-US" w:eastAsia="zh-CN"/>
        </w:rPr>
        <w:t>第十二条 </w:t>
      </w:r>
      <w:r>
        <w:rPr>
          <w:rFonts w:hint="eastAsia" w:ascii="仿宋_GB2312" w:hAnsi="仿宋_GB2312" w:eastAsia="仿宋_GB2312" w:cs="仿宋_GB2312"/>
          <w:b w:val="0"/>
          <w:bCs w:val="0"/>
          <w:i w:val="0"/>
          <w:iCs w:val="0"/>
          <w:color w:val="333333"/>
          <w:spacing w:val="0"/>
          <w:w w:val="100"/>
          <w:sz w:val="32"/>
          <w:szCs w:val="32"/>
          <w:vertAlign w:val="baseline"/>
        </w:rPr>
        <w:t>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区）人民政府住房城乡建设主管部门应当编制符合海陆丰地域文化特质的农村住宅设计通用图集，供村民建房时参考选用。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乡镇</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街道</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rPr>
        <w:t>人民政府应当健全农村建筑风貌管控引导机制，为村民建房提供技术指导和服务。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有条件的村庄应当开展村庄设计，统筹考虑基础设施布局、公共空间节点、建筑布点和景观风貌，明确建筑体量、高度、造型、色彩等控制性内容，体现海陆丰地域文化特色。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黑体" w:hAnsi="黑体" w:eastAsia="黑体" w:cs="黑体"/>
          <w:b w:val="0"/>
          <w:bCs w:val="0"/>
          <w:i w:val="0"/>
          <w:iCs w:val="0"/>
          <w:color w:val="404040"/>
          <w:spacing w:val="0"/>
          <w:w w:val="100"/>
          <w:sz w:val="32"/>
          <w:szCs w:val="32"/>
          <w:vertAlign w:val="baseline"/>
          <w:lang w:val="en-US" w:eastAsia="zh-CN"/>
        </w:rPr>
        <w:t>第十三条</w:t>
      </w:r>
      <w:r>
        <w:rPr>
          <w:rFonts w:hint="eastAsia" w:ascii="黑体" w:hAnsi="黑体" w:eastAsia="黑体" w:cs="黑体"/>
          <w:b/>
          <w:bCs/>
          <w:i w:val="0"/>
          <w:iCs w:val="0"/>
          <w:color w:val="404040"/>
          <w:spacing w:val="0"/>
          <w:w w:val="100"/>
          <w:sz w:val="32"/>
          <w:szCs w:val="32"/>
          <w:vertAlign w:val="baseline"/>
          <w:lang w:val="en-US" w:eastAsia="zh-CN"/>
        </w:rPr>
        <w:t> </w:t>
      </w:r>
      <w:r>
        <w:rPr>
          <w:rFonts w:hint="eastAsia" w:ascii="仿宋_GB2312" w:hAnsi="仿宋_GB2312" w:eastAsia="仿宋_GB2312" w:cs="仿宋_GB2312"/>
          <w:b w:val="0"/>
          <w:bCs w:val="0"/>
          <w:i w:val="0"/>
          <w:iCs w:val="0"/>
          <w:color w:val="333333"/>
          <w:spacing w:val="0"/>
          <w:w w:val="100"/>
          <w:sz w:val="32"/>
          <w:szCs w:val="32"/>
          <w:vertAlign w:val="baseline"/>
        </w:rPr>
        <w:t>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区）人民政府应当加强乡村绿美示范片区和示范村建设，</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打造红色乡村生态景观示范带，</w:t>
      </w:r>
      <w:r>
        <w:rPr>
          <w:rFonts w:hint="eastAsia" w:ascii="仿宋_GB2312" w:hAnsi="仿宋_GB2312" w:eastAsia="仿宋_GB2312" w:cs="仿宋_GB2312"/>
          <w:b w:val="0"/>
          <w:bCs w:val="0"/>
          <w:i w:val="0"/>
          <w:iCs w:val="0"/>
          <w:color w:val="333333"/>
          <w:spacing w:val="0"/>
          <w:w w:val="100"/>
          <w:sz w:val="32"/>
          <w:szCs w:val="32"/>
          <w:vertAlign w:val="baseline"/>
        </w:rPr>
        <w:t>完善创建标准，强化政策引导，加强组织实施，统筹推进乡村绿美建设。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b/>
          <w:bCs/>
          <w:i w:val="0"/>
          <w:iCs w:val="0"/>
          <w:color w:val="404040"/>
          <w:spacing w:val="0"/>
          <w:w w:val="100"/>
          <w:sz w:val="32"/>
          <w:szCs w:val="32"/>
          <w:vertAlign w:val="baseline"/>
          <w:lang w:val="en-US" w:eastAsia="zh-CN"/>
        </w:rPr>
      </w:pPr>
      <w:r>
        <w:rPr>
          <w:rFonts w:hint="eastAsia" w:ascii="方正小标宋简体" w:hAnsi="方正小标宋简体" w:eastAsia="方正小标宋简体" w:cs="方正小标宋简体"/>
          <w:b w:val="0"/>
          <w:bCs w:val="0"/>
          <w:i w:val="0"/>
          <w:iCs w:val="0"/>
          <w:color w:val="404040"/>
          <w:spacing w:val="0"/>
          <w:w w:val="100"/>
          <w:sz w:val="32"/>
          <w:szCs w:val="32"/>
          <w:vertAlign w:val="baseline"/>
        </w:rPr>
        <w:t>第三章 </w:t>
      </w:r>
      <w:r>
        <w:rPr>
          <w:rFonts w:hint="eastAsia" w:ascii="方正小标宋简体" w:hAnsi="方正小标宋简体" w:eastAsia="方正小标宋简体" w:cs="方正小标宋简体"/>
          <w:b w:val="0"/>
          <w:bCs w:val="0"/>
          <w:i w:val="0"/>
          <w:iCs w:val="0"/>
          <w:color w:val="404040"/>
          <w:spacing w:val="0"/>
          <w:w w:val="100"/>
          <w:sz w:val="32"/>
          <w:szCs w:val="32"/>
          <w:vertAlign w:val="baseline"/>
          <w:lang w:val="en-US" w:eastAsia="zh-CN"/>
        </w:rPr>
        <w:t>绿美山水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第十</w:t>
      </w:r>
      <w:r>
        <w:rPr>
          <w:rFonts w:hint="eastAsia" w:ascii="黑体" w:hAnsi="黑体" w:eastAsia="黑体" w:cs="黑体"/>
          <w:b w:val="0"/>
          <w:bCs w:val="0"/>
          <w:i w:val="0"/>
          <w:iCs w:val="0"/>
          <w:color w:val="404040"/>
          <w:spacing w:val="0"/>
          <w:w w:val="100"/>
          <w:sz w:val="32"/>
          <w:szCs w:val="32"/>
          <w:vertAlign w:val="baseline"/>
          <w:lang w:val="en-US" w:eastAsia="zh-CN"/>
        </w:rPr>
        <w:t>四</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各级人民政府应当树立和践行绿水青山就是金山银山的理念，统筹山水林田湖草沙海系统治理，完善生态系统保护制度，加强农村生态环境保护，持续改善生态环境质量</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努力创新社会参与绿美汕尾生态建设制度机制，推动形成全社会人人爱绿、积极植绿、见缝插绿、应绿尽绿、自觉护绿的生动局面，持续提升绿美汕尾生态质量水平，助力汕尾市“百县千镇万村高质量发展工程”。</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黑体" w:hAnsi="黑体" w:eastAsia="黑体" w:cs="黑体"/>
          <w:b w:val="0"/>
          <w:bCs w:val="0"/>
          <w:i w:val="0"/>
          <w:iCs w:val="0"/>
          <w:color w:val="333333"/>
          <w:spacing w:val="0"/>
          <w:w w:val="100"/>
          <w:sz w:val="32"/>
          <w:szCs w:val="32"/>
          <w:vertAlign w:val="baseline"/>
          <w:lang w:val="en-US" w:eastAsia="zh-CN"/>
        </w:rPr>
        <w:t xml:space="preserve">第十五条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市、县（市、区）人民政府应当根据《广东省森林保护管理条例》关于古树名木保护的有关规定，建立和完善古树名木保护管理制度，加强对本辖区内的古树名木的管护工作。</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推进重要古树名木视频监控和保护工程建设，开展古树名木资源监测调查，加强实时动态管理；强化古树群保护，推进古树公园建设，严格保护古树名木及其自然生境，对濒危古树名木及时抢救复壮。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建立健全古树名木分级管护制度，严格查处违法违规迁移、破坏古树名木行为。在城乡建设和城市更新中，最大限度避让古树名木，促进古树名木与城乡基础设施和谐共存。</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br w:type="textWrapping"/>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333333"/>
          <w:spacing w:val="0"/>
          <w:w w:val="100"/>
          <w:sz w:val="32"/>
          <w:szCs w:val="32"/>
          <w:vertAlign w:val="baseline"/>
          <w:lang w:val="en-US" w:eastAsia="zh-CN"/>
        </w:rPr>
        <w:t>第十六条 </w:t>
      </w:r>
      <w:r>
        <w:rPr>
          <w:rFonts w:hint="eastAsia" w:ascii="仿宋_GB2312" w:hAnsi="仿宋_GB2312" w:eastAsia="仿宋_GB2312" w:cs="仿宋_GB2312"/>
          <w:b w:val="0"/>
          <w:bCs w:val="0"/>
          <w:i w:val="0"/>
          <w:iCs w:val="0"/>
          <w:color w:val="333333"/>
          <w:spacing w:val="0"/>
          <w:w w:val="100"/>
          <w:sz w:val="32"/>
          <w:szCs w:val="32"/>
          <w:vertAlign w:val="baseline"/>
        </w:rPr>
        <w:t>各级人民政府应当加强土壤保护和污染防治，减少农药、化肥使用量，推进优质有机肥、低毒残留农药、可降解地膜的应用，建立农药、化肥包装废弃物和废弃农用薄膜回收处置系统。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农业生产经营者应当改进种植和养殖技术，科学、合理施用农药、化肥等农业投入品，妥善处置农用薄膜等农业废弃物。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333333"/>
          <w:spacing w:val="0"/>
          <w:w w:val="100"/>
          <w:sz w:val="32"/>
          <w:szCs w:val="32"/>
          <w:vertAlign w:val="baseline"/>
          <w:lang w:val="en-US" w:eastAsia="zh-CN"/>
        </w:rPr>
        <w:t>第十七条 </w:t>
      </w:r>
      <w:r>
        <w:rPr>
          <w:rFonts w:hint="eastAsia" w:ascii="仿宋_GB2312" w:hAnsi="仿宋_GB2312" w:eastAsia="仿宋_GB2312" w:cs="仿宋_GB2312"/>
          <w:b w:val="0"/>
          <w:bCs w:val="0"/>
          <w:i w:val="0"/>
          <w:iCs w:val="0"/>
          <w:color w:val="333333"/>
          <w:spacing w:val="0"/>
          <w:w w:val="100"/>
          <w:sz w:val="32"/>
          <w:szCs w:val="32"/>
          <w:vertAlign w:val="baseline"/>
        </w:rPr>
        <w:t>各级人民政府应当制定鼓励政策，支持采用先进适用技术，对秸秆、落叶等进行肥料化、饲料化、能源化、工业原料化、食用菌基料化等综合利用。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从事农林牧业的农民、农业种植大户、家庭农场等农业经营主体，应当按照综合利用的要求，对农产品采收后的秸秆、落叶等进行妥善处理。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十八</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rPr>
        <w:t>各级人民政府应当加强森林资源的保护、培育和合理利用，加快宜林荒山、荒坡、荒地、荒滩国土绿化，推进绿满海陆丰行动。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鼓励使用乡土树种、林木良种和营造混交林进行造林绿化，优化林种、树种结构，提高造林绿化质量。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市人民政府应当建立完善森林生态效益补偿机制，统筹对造林绿化工作表现突出的县（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区）人民政府给予一定补偿、奖励。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333333"/>
          <w:spacing w:val="0"/>
          <w:w w:val="100"/>
          <w:sz w:val="32"/>
          <w:szCs w:val="32"/>
          <w:vertAlign w:val="baseline"/>
          <w:lang w:val="en-US" w:eastAsia="zh-CN"/>
        </w:rPr>
        <w:t>第十九条 </w:t>
      </w:r>
      <w:r>
        <w:rPr>
          <w:rFonts w:hint="eastAsia" w:ascii="仿宋_GB2312" w:hAnsi="仿宋_GB2312" w:eastAsia="仿宋_GB2312" w:cs="仿宋_GB2312"/>
          <w:b w:val="0"/>
          <w:bCs w:val="0"/>
          <w:i w:val="0"/>
          <w:iCs w:val="0"/>
          <w:color w:val="333333"/>
          <w:spacing w:val="0"/>
          <w:w w:val="100"/>
          <w:sz w:val="32"/>
          <w:szCs w:val="32"/>
          <w:vertAlign w:val="baseline"/>
        </w:rPr>
        <w:t>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镇（街道）</w:t>
      </w:r>
      <w:r>
        <w:rPr>
          <w:rFonts w:hint="eastAsia" w:ascii="仿宋_GB2312" w:hAnsi="仿宋_GB2312" w:eastAsia="仿宋_GB2312" w:cs="仿宋_GB2312"/>
          <w:b w:val="0"/>
          <w:bCs w:val="0"/>
          <w:i w:val="0"/>
          <w:iCs w:val="0"/>
          <w:color w:val="333333"/>
          <w:spacing w:val="0"/>
          <w:w w:val="100"/>
          <w:sz w:val="32"/>
          <w:szCs w:val="32"/>
          <w:vertAlign w:val="baseline"/>
        </w:rPr>
        <w:t>人民政府和村民委员会应当加强村庄绿化美化，组织引导村民在村庄周边、</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沟渠河道沿岸</w:t>
      </w:r>
      <w:r>
        <w:rPr>
          <w:rFonts w:hint="eastAsia" w:ascii="仿宋_GB2312" w:hAnsi="仿宋_GB2312" w:eastAsia="仿宋_GB2312" w:cs="仿宋_GB2312"/>
          <w:b w:val="0"/>
          <w:bCs w:val="0"/>
          <w:i w:val="0"/>
          <w:iCs w:val="0"/>
          <w:color w:val="333333"/>
          <w:spacing w:val="0"/>
          <w:w w:val="100"/>
          <w:sz w:val="32"/>
          <w:szCs w:val="32"/>
          <w:vertAlign w:val="baseline"/>
        </w:rPr>
        <w:t>、道路两侧和庭院植树护绿，建设绿色生态村庄。</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村民应当积极参与村庄绿化、美化活动。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在村庄内适宜位置应当建设公共绿地或者休闲公园。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任何单位和个人不得擅自占用村庄公共绿地、休闲公园，损害绿化及其附属设施。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第二十条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各级人民政府应当加强农村地区湿地保护，建立湿地资源档案，完善生态修复机制，科学开展退化湿地修复，维护和改善湿地生态功能。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区）人民政府应当在重要湿地区域，采取建立湿地自然保护区、湿地公园、湿地保护小区等方式，提高湿地保护水平。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404040"/>
          <w:spacing w:val="0"/>
          <w:w w:val="100"/>
          <w:sz w:val="32"/>
          <w:szCs w:val="32"/>
          <w:vertAlign w:val="baseline"/>
        </w:rPr>
        <w:t>第二十</w:t>
      </w:r>
      <w:r>
        <w:rPr>
          <w:rFonts w:hint="eastAsia" w:ascii="黑体" w:hAnsi="黑体" w:eastAsia="黑体" w:cs="黑体"/>
          <w:b w:val="0"/>
          <w:bCs w:val="0"/>
          <w:i w:val="0"/>
          <w:iCs w:val="0"/>
          <w:color w:val="404040"/>
          <w:spacing w:val="0"/>
          <w:w w:val="100"/>
          <w:sz w:val="32"/>
          <w:szCs w:val="32"/>
          <w:vertAlign w:val="baseline"/>
          <w:lang w:val="en-US" w:eastAsia="zh-CN"/>
        </w:rPr>
        <w:t>一</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w:t>
      </w:r>
      <w:r>
        <w:rPr>
          <w:rFonts w:hint="eastAsia" w:ascii="仿宋_GB2312" w:hAnsi="仿宋_GB2312" w:eastAsia="仿宋_GB2312" w:cs="仿宋_GB2312"/>
          <w:b w:val="0"/>
          <w:bCs w:val="0"/>
          <w:i w:val="0"/>
          <w:iCs w:val="0"/>
          <w:color w:val="000000" w:themeColor="text1"/>
          <w:spacing w:val="0"/>
          <w:w w:val="100"/>
          <w:sz w:val="32"/>
          <w:szCs w:val="32"/>
          <w:vertAlign w:val="baseline"/>
          <w14:textFill>
            <w14:solidFill>
              <w14:schemeClr w14:val="tx1"/>
            </w14:solidFill>
          </w14:textFill>
        </w:rPr>
        <w:t>应当加强野生动植物保护</w:t>
      </w:r>
      <w:r>
        <w:rPr>
          <w:rFonts w:hint="eastAsia" w:ascii="仿宋_GB2312" w:hAnsi="仿宋_GB2312" w:eastAsia="仿宋_GB2312" w:cs="仿宋_GB2312"/>
          <w:b w:val="0"/>
          <w:bCs w:val="0"/>
          <w:i w:val="0"/>
          <w:iCs w:val="0"/>
          <w:color w:val="333333"/>
          <w:spacing w:val="0"/>
          <w:w w:val="100"/>
          <w:sz w:val="32"/>
          <w:szCs w:val="32"/>
          <w:vertAlign w:val="baseline"/>
        </w:rPr>
        <w:t>，采取植被修复、水源涵养和改善动植物栖息地等措施，构建生态廊道和</w:t>
      </w:r>
      <w:r>
        <w:rPr>
          <w:rFonts w:hint="eastAsia" w:ascii="仿宋_GB2312" w:hAnsi="仿宋_GB2312" w:eastAsia="仿宋_GB2312" w:cs="仿宋_GB2312"/>
          <w:b w:val="0"/>
          <w:bCs w:val="0"/>
          <w:i w:val="0"/>
          <w:iCs w:val="0"/>
          <w:color w:val="000000" w:themeColor="text1"/>
          <w:spacing w:val="0"/>
          <w:w w:val="100"/>
          <w:sz w:val="32"/>
          <w:szCs w:val="32"/>
          <w:vertAlign w:val="baseline"/>
          <w14:textFill>
            <w14:solidFill>
              <w14:schemeClr w14:val="tx1"/>
            </w14:solidFill>
          </w14:textFill>
        </w:rPr>
        <w:t>生物多样性保护网络，</w:t>
      </w:r>
      <w:r>
        <w:rPr>
          <w:rFonts w:hint="eastAsia" w:ascii="仿宋_GB2312" w:hAnsi="仿宋_GB2312" w:eastAsia="仿宋_GB2312" w:cs="仿宋_GB2312"/>
          <w:b w:val="0"/>
          <w:bCs w:val="0"/>
          <w:i w:val="0"/>
          <w:iCs w:val="0"/>
          <w:color w:val="333333"/>
          <w:spacing w:val="0"/>
          <w:w w:val="100"/>
          <w:sz w:val="32"/>
          <w:szCs w:val="32"/>
          <w:vertAlign w:val="baseline"/>
        </w:rPr>
        <w:t>防止外来有害生物入侵，提升生态系统稳定性，维护生态安全。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lang w:val="en-US" w:eastAsia="zh-CN"/>
        </w:rPr>
        <w:t>第二十二条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市、县（市、区）人民政府应当组织有关部门定期开展生物多样性资源普查和专项调查编目工作，建立健全生物多样性调查、监测、评估和预警预报等制度。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黑体" w:hAnsi="黑体" w:eastAsia="黑体" w:cs="黑体"/>
          <w:b w:val="0"/>
          <w:bCs w:val="0"/>
          <w:i w:val="0"/>
          <w:iCs w:val="0"/>
          <w:color w:val="404040"/>
          <w:spacing w:val="0"/>
          <w:w w:val="100"/>
          <w:sz w:val="32"/>
          <w:szCs w:val="32"/>
          <w:vertAlign w:val="baseline"/>
          <w:lang w:val="en-US" w:eastAsia="zh-CN"/>
        </w:rPr>
        <w:t>第二十三条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市人民政府环境保护主管部门应当组织编制本行政区域生物物种名录、生物物种红色名录和生态系统名录，并向社会公布。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生物物种名录、生物物种红色名录和生态系统名录应当根据生物多样性调查、监测、评估情况适时更新。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黑体" w:hAnsi="黑体" w:eastAsia="黑体" w:cs="黑体"/>
          <w:b w:val="0"/>
          <w:bCs w:val="0"/>
          <w:i w:val="0"/>
          <w:iCs w:val="0"/>
          <w:color w:val="404040"/>
          <w:spacing w:val="0"/>
          <w:w w:val="100"/>
          <w:sz w:val="32"/>
          <w:szCs w:val="32"/>
          <w:vertAlign w:val="baseline"/>
          <w:lang w:val="en-US" w:eastAsia="zh-CN"/>
        </w:rPr>
        <w:t>第二十四条</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市、县（市、区）人民政府应当落实生态环境损害赔偿制度和生态保护补偿制度，建立损害者担责、保护者得到补偿的生物多样性保护机制。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市、县（市、区）人民政府可以组织开展生物多样性和生态系统服务功能价值评估。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404040"/>
          <w:spacing w:val="0"/>
          <w:w w:val="100"/>
          <w:sz w:val="32"/>
          <w:szCs w:val="32"/>
          <w:vertAlign w:val="baseline"/>
        </w:rPr>
        <w:t>第二十</w:t>
      </w:r>
      <w:r>
        <w:rPr>
          <w:rFonts w:hint="eastAsia" w:ascii="黑体" w:hAnsi="黑体" w:eastAsia="黑体" w:cs="黑体"/>
          <w:b w:val="0"/>
          <w:bCs w:val="0"/>
          <w:i w:val="0"/>
          <w:iCs w:val="0"/>
          <w:color w:val="404040"/>
          <w:spacing w:val="0"/>
          <w:w w:val="100"/>
          <w:sz w:val="32"/>
          <w:szCs w:val="32"/>
          <w:vertAlign w:val="baseline"/>
          <w:lang w:val="en-US" w:eastAsia="zh-CN"/>
        </w:rPr>
        <w:t>五</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各级人民政府应当加强水土保持工作，组织制定年度水土流失综合治理计划，优化配置工程、植物和耕作措施，以小流域为重点进行水土流失治理，推进自然生态系统保护和修复。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二十六</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禁止违反有关规定将城镇生活垃圾、建筑垃圾、工业废弃物、医疗废弃物等向指定场所以外的农村地区转移、倾倒、填埋。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二十七</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区）人民政府生态环境、农业农村、水利、林业等部门应当加强农村生态环境质量监测工作，按照规定的职责对农村生态环境质量和污染源进行动态监测，并向社会公开监测信息。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  生态环境、农业农村、自然资源和规划、住房城乡建设、城市管理、水利、卫生健康、林业等部门和乡</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rPr>
        <w:t>镇</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rPr>
        <w:t>人民政府、街道办事处应当建立联合巡查机制，组织人员对农村生态环境保护和治理情况进行监督检查。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b w:val="0"/>
          <w:bCs w:val="0"/>
          <w:i w:val="0"/>
          <w:iCs w:val="0"/>
          <w:color w:val="404040"/>
          <w:spacing w:val="0"/>
          <w:w w:val="100"/>
          <w:sz w:val="32"/>
          <w:szCs w:val="32"/>
          <w:vertAlign w:val="baseline"/>
        </w:rPr>
      </w:pPr>
      <w:r>
        <w:rPr>
          <w:rFonts w:hint="eastAsia" w:ascii="方正小标宋简体" w:hAnsi="方正小标宋简体" w:eastAsia="方正小标宋简体" w:cs="方正小标宋简体"/>
          <w:b w:val="0"/>
          <w:bCs w:val="0"/>
          <w:i w:val="0"/>
          <w:iCs w:val="0"/>
          <w:color w:val="404040"/>
          <w:spacing w:val="0"/>
          <w:w w:val="100"/>
          <w:sz w:val="32"/>
          <w:szCs w:val="32"/>
          <w:vertAlign w:val="baseline"/>
        </w:rPr>
        <w:t>第四章 绿美家园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b w:val="0"/>
          <w:bCs w:val="0"/>
          <w:i w:val="0"/>
          <w:iCs w:val="0"/>
          <w:color w:val="333333"/>
          <w:spacing w:val="0"/>
          <w:w w:val="100"/>
          <w:sz w:val="32"/>
          <w:szCs w:val="32"/>
          <w:vertAlign w:val="baseline"/>
          <w:lang w:eastAsia="zh-CN"/>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二十八</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各级人民政府应当注重保护农村的特色风貌，突出地域文化特质，加大对传统村落、</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红色</w:t>
      </w:r>
      <w:r>
        <w:rPr>
          <w:rFonts w:hint="eastAsia" w:ascii="仿宋_GB2312" w:hAnsi="仿宋_GB2312" w:eastAsia="仿宋_GB2312" w:cs="仿宋_GB2312"/>
          <w:b w:val="0"/>
          <w:bCs w:val="0"/>
          <w:i w:val="0"/>
          <w:iCs w:val="0"/>
          <w:color w:val="333333"/>
          <w:spacing w:val="0"/>
          <w:w w:val="100"/>
          <w:sz w:val="32"/>
          <w:szCs w:val="32"/>
          <w:vertAlign w:val="baseline"/>
        </w:rPr>
        <w:t>历史文化名村等特色村庄的保护力度</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olor w:val="000000"/>
          <w:spacing w:val="0"/>
          <w:w w:val="100"/>
          <w:sz w:val="32"/>
          <w:szCs w:val="32"/>
          <w:vertAlign w:val="baseline"/>
        </w:rPr>
      </w:pPr>
      <w:r>
        <w:rPr>
          <w:rFonts w:hint="eastAsia" w:ascii="仿宋_GB2312" w:hAnsi="仿宋_GB2312" w:eastAsia="仿宋_GB2312" w:cs="仿宋_GB2312"/>
          <w:b w:val="0"/>
          <w:bCs w:val="0"/>
          <w:i w:val="0"/>
          <w:iCs w:val="0"/>
          <w:color w:val="000000"/>
          <w:spacing w:val="0"/>
          <w:w w:val="100"/>
          <w:sz w:val="32"/>
          <w:szCs w:val="32"/>
          <w:vertAlign w:val="baseline"/>
        </w:rPr>
        <w:t>鼓励根据区位特点、产业优势等开展村庄改造。改造应当注重整体风貌协调、体现文化特色，加强对古村落、古桥、古宅、古树、红色文化遗址遗迹以及具有重要纪念意义或者地域文化特点的建（构）筑物等的保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jc w:val="both"/>
        <w:textAlignment w:val="auto"/>
        <w:rPr>
          <w:rFonts w:hint="eastAsia" w:ascii="仿宋_GB2312" w:hAnsi="仿宋_GB2312" w:eastAsia="仿宋_GB2312" w:cs="仿宋_GB2312"/>
          <w:b w:val="0"/>
          <w:bCs w:val="0"/>
          <w:i w:val="0"/>
          <w:iCs w:val="0"/>
          <w:color w:val="000000"/>
          <w:spacing w:val="0"/>
          <w:w w:val="100"/>
          <w:sz w:val="32"/>
          <w:szCs w:val="32"/>
          <w:vertAlign w:val="baseline"/>
          <w:lang w:val="en-US" w:eastAsia="zh-CN"/>
        </w:rPr>
      </w:pPr>
      <w:r>
        <w:rPr>
          <w:rFonts w:hint="eastAsia" w:ascii="黑体" w:hAnsi="黑体" w:eastAsia="黑体" w:cs="黑体"/>
          <w:b w:val="0"/>
          <w:bCs w:val="0"/>
          <w:i w:val="0"/>
          <w:iCs w:val="0"/>
          <w:color w:val="404040"/>
          <w:spacing w:val="0"/>
          <w:w w:val="100"/>
          <w:sz w:val="32"/>
          <w:szCs w:val="32"/>
          <w:vertAlign w:val="baseline"/>
          <w:lang w:val="en-US" w:eastAsia="zh-CN"/>
        </w:rPr>
        <w:t>第二十九条</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 xml:space="preserve"> 县（市、区）人民政府应当鼓励支持乡（镇）人民政府、村民委员会建设村史馆、文化广场、农家书屋和优秀非物质文化遗产传习场所等文化设施，丰富乡村文化生活，传承优秀传统文化、红色文化，教育和引导村民践行社会主义核心价值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jc w:val="both"/>
        <w:textAlignment w:val="auto"/>
        <w:rPr>
          <w:rFonts w:hint="eastAsia" w:ascii="仿宋_GB2312" w:hAnsi="仿宋_GB2312" w:eastAsia="仿宋_GB2312" w:cs="仿宋_GB2312"/>
          <w:b w:val="0"/>
          <w:bCs w:val="0"/>
          <w:i w:val="0"/>
          <w:iCs w:val="0"/>
          <w:color w:val="000000"/>
          <w:spacing w:val="0"/>
          <w:w w:val="100"/>
          <w:sz w:val="32"/>
          <w:szCs w:val="32"/>
          <w:vertAlign w:val="baseline"/>
          <w:lang w:val="en-US" w:eastAsia="zh-CN"/>
        </w:rPr>
      </w:pPr>
      <w:r>
        <w:rPr>
          <w:rFonts w:hint="eastAsia" w:ascii="黑体" w:hAnsi="黑体" w:eastAsia="黑体" w:cs="黑体"/>
          <w:b w:val="0"/>
          <w:bCs w:val="0"/>
          <w:i w:val="0"/>
          <w:iCs w:val="0"/>
          <w:color w:val="404040"/>
          <w:spacing w:val="0"/>
          <w:w w:val="100"/>
          <w:sz w:val="32"/>
          <w:szCs w:val="32"/>
          <w:vertAlign w:val="baseline"/>
          <w:lang w:val="en-US" w:eastAsia="zh-CN"/>
        </w:rPr>
        <w:t>第三十条</w:t>
      </w: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 xml:space="preserve">  市、县（市、区）人民政府应当统筹农村道路、给排水、电网、通信、物流等设施建设，提倡乡村共建、共享公共服务设施，节约集约利用土地、资金等资源，降低运行成本。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i w:val="0"/>
          <w:iCs w:val="0"/>
          <w:color w:val="000000"/>
          <w:spacing w:val="0"/>
          <w:w w:val="100"/>
          <w:sz w:val="32"/>
          <w:szCs w:val="32"/>
          <w:vertAlign w:val="baseline"/>
          <w:lang w:val="en-US" w:eastAsia="zh-CN"/>
        </w:rPr>
      </w:pP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鼓励、引导村民使用电能、天然气、太阳能等清洁能源。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三十一</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有条件的村庄可以稳步推进农村新型社区建设。农村新型社区的供水、供电、通信、供暖、供气、垃圾处理、污水治理等配套设施应当与主体工程同步规划、同步建设、同步交付使用。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第三十</w:t>
      </w:r>
      <w:r>
        <w:rPr>
          <w:rFonts w:hint="eastAsia" w:ascii="黑体" w:hAnsi="黑体" w:eastAsia="黑体" w:cs="黑体"/>
          <w:b w:val="0"/>
          <w:bCs w:val="0"/>
          <w:i w:val="0"/>
          <w:iCs w:val="0"/>
          <w:color w:val="404040"/>
          <w:spacing w:val="0"/>
          <w:w w:val="100"/>
          <w:sz w:val="32"/>
          <w:szCs w:val="32"/>
          <w:vertAlign w:val="baseline"/>
          <w:lang w:val="en-US" w:eastAsia="zh-CN"/>
        </w:rPr>
        <w:t>二</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各级人民政府应当按照城乡基本公共服务均等化的要求，推进便民服务、体育健身、教育医疗、养老</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服务</w:t>
      </w:r>
      <w:r>
        <w:rPr>
          <w:rFonts w:hint="eastAsia" w:ascii="仿宋_GB2312" w:hAnsi="仿宋_GB2312" w:eastAsia="仿宋_GB2312" w:cs="仿宋_GB2312"/>
          <w:b w:val="0"/>
          <w:bCs w:val="0"/>
          <w:i w:val="0"/>
          <w:iCs w:val="0"/>
          <w:color w:val="333333"/>
          <w:spacing w:val="0"/>
          <w:w w:val="100"/>
          <w:sz w:val="32"/>
          <w:szCs w:val="32"/>
          <w:vertAlign w:val="baseline"/>
        </w:rPr>
        <w:t>、公共安全、文化中心以及通信、快递等农村基础设施和公共服务设施的建设。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鼓励利用农村闲置宅基地、闲置住宅等进行基础设施和公共服务设施建设，提倡相邻村庄共建共享基础设施和公共服务设施。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b w:val="0"/>
          <w:bCs w:val="0"/>
          <w:i w:val="0"/>
          <w:iCs w:val="0"/>
          <w:color w:val="0000FF"/>
          <w:spacing w:val="0"/>
          <w:w w:val="100"/>
          <w:sz w:val="32"/>
          <w:szCs w:val="32"/>
          <w:vertAlign w:val="baseline"/>
          <w:lang w:val="en-US" w:eastAsia="zh-CN"/>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第三十</w:t>
      </w:r>
      <w:r>
        <w:rPr>
          <w:rFonts w:hint="eastAsia" w:ascii="黑体" w:hAnsi="黑体" w:eastAsia="黑体" w:cs="黑体"/>
          <w:b w:val="0"/>
          <w:bCs w:val="0"/>
          <w:i w:val="0"/>
          <w:iCs w:val="0"/>
          <w:color w:val="404040"/>
          <w:spacing w:val="0"/>
          <w:w w:val="100"/>
          <w:sz w:val="32"/>
          <w:szCs w:val="32"/>
          <w:vertAlign w:val="baseline"/>
          <w:lang w:val="en-US" w:eastAsia="zh-CN"/>
        </w:rPr>
        <w:t>三</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000000" w:themeColor="text1"/>
          <w:spacing w:val="0"/>
          <w:w w:val="100"/>
          <w:sz w:val="32"/>
          <w:szCs w:val="32"/>
          <w:vertAlign w:val="baseline"/>
          <w:lang w:val="en-US" w:eastAsia="zh-CN"/>
          <w14:textFill>
            <w14:solidFill>
              <w14:schemeClr w14:val="tx1"/>
            </w14:solidFill>
          </w14:textFill>
        </w:rPr>
        <w:t>市、县（市、区）交通运输主管部门应当组织推进本行政区域内农村公路建设，加强城乡公路网络有效衔接。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jc w:val="both"/>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乡镇（街道）人民政府在职责范围内负责农村道路建设和日常养护工作。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进行农村道路和村内街巷硬化时，应当充分利用本地资源，因地制宜选择路面材料。鼓励根据地形地貌、农业生产方式和风俗习惯等进行生态化铺装。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镇（街道）</w:t>
      </w:r>
      <w:r>
        <w:rPr>
          <w:rFonts w:hint="eastAsia" w:ascii="仿宋_GB2312" w:hAnsi="仿宋_GB2312" w:eastAsia="仿宋_GB2312" w:cs="仿宋_GB2312"/>
          <w:b w:val="0"/>
          <w:bCs w:val="0"/>
          <w:i w:val="0"/>
          <w:iCs w:val="0"/>
          <w:color w:val="333333"/>
          <w:spacing w:val="0"/>
          <w:w w:val="100"/>
          <w:sz w:val="32"/>
          <w:szCs w:val="32"/>
          <w:vertAlign w:val="baseline"/>
        </w:rPr>
        <w:t>人民政府、街道办事处和村民委员会应当根据实际需要，科学规划、合理布点，建设农村公共停车场。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第三十</w:t>
      </w:r>
      <w:r>
        <w:rPr>
          <w:rFonts w:hint="eastAsia" w:ascii="黑体" w:hAnsi="黑体" w:eastAsia="黑体" w:cs="黑体"/>
          <w:b w:val="0"/>
          <w:bCs w:val="0"/>
          <w:i w:val="0"/>
          <w:iCs w:val="0"/>
          <w:color w:val="404040"/>
          <w:spacing w:val="0"/>
          <w:w w:val="100"/>
          <w:sz w:val="32"/>
          <w:szCs w:val="32"/>
          <w:vertAlign w:val="baseline"/>
          <w:lang w:val="en-US" w:eastAsia="zh-CN"/>
        </w:rPr>
        <w:t>四</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各级人民政府应当加强农村公共交通建设，优化公共交通线网布局，提高公共交通覆盖率，为村民提供便捷的出行条件。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第三十</w:t>
      </w:r>
      <w:r>
        <w:rPr>
          <w:rFonts w:hint="eastAsia" w:ascii="黑体" w:hAnsi="黑体" w:eastAsia="黑体" w:cs="黑体"/>
          <w:b w:val="0"/>
          <w:bCs w:val="0"/>
          <w:i w:val="0"/>
          <w:iCs w:val="0"/>
          <w:color w:val="404040"/>
          <w:spacing w:val="0"/>
          <w:w w:val="100"/>
          <w:sz w:val="32"/>
          <w:szCs w:val="32"/>
          <w:vertAlign w:val="baseline"/>
          <w:lang w:val="en-US" w:eastAsia="zh-CN"/>
        </w:rPr>
        <w:t>五</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镇（街道）</w:t>
      </w:r>
      <w:r>
        <w:rPr>
          <w:rFonts w:hint="eastAsia" w:ascii="仿宋_GB2312" w:hAnsi="仿宋_GB2312" w:eastAsia="仿宋_GB2312" w:cs="仿宋_GB2312"/>
          <w:b w:val="0"/>
          <w:bCs w:val="0"/>
          <w:i w:val="0"/>
          <w:iCs w:val="0"/>
          <w:color w:val="333333"/>
          <w:spacing w:val="0"/>
          <w:w w:val="100"/>
          <w:sz w:val="32"/>
          <w:szCs w:val="32"/>
          <w:vertAlign w:val="baseline"/>
        </w:rPr>
        <w:t>人民政府和村民委员会应当在村庄主要街巷和学校、广场、村民活动中心等公共场所安装照明设施。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三十六</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各级人民政府应当加强农村饮水安全工程建设，促进城镇供水管网向农村延伸，提高农村自来水普及率。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三十七</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电力、电视、通信等各类管线运营单位应当在村庄内规范设置管线，及时对影响村容村貌的管线进行整理、清理。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新建农村新型社区或者对村庄进行改造前，乡</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镇</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rPr>
        <w:t>人民政府、街道办事处应当组织制定合理的管线设置方案。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有条件的村庄应当逐步推进各类管线落地敷设。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三十八</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村民委员会应当组织对废旧物资、残破或者倒塌墙体进行清理，规范各类宣传栏、广告牌、太阳能热水器、空调外机等的设置和安装，保持道路和建筑物外立面整洁，保持村庄公共空间有序、美观。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三十九</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鼓励农村生活垃圾源头减量，探索适合农村特点的垃圾分类处理方式。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镇（街道）</w:t>
      </w:r>
      <w:r>
        <w:rPr>
          <w:rFonts w:hint="eastAsia" w:ascii="仿宋_GB2312" w:hAnsi="仿宋_GB2312" w:eastAsia="仿宋_GB2312" w:cs="仿宋_GB2312"/>
          <w:b w:val="0"/>
          <w:bCs w:val="0"/>
          <w:i w:val="0"/>
          <w:iCs w:val="0"/>
          <w:color w:val="333333"/>
          <w:spacing w:val="0"/>
          <w:w w:val="100"/>
          <w:sz w:val="32"/>
          <w:szCs w:val="32"/>
          <w:vertAlign w:val="baseline"/>
        </w:rPr>
        <w:t>人民政府应当科学配置农村生活垃圾转运站，配备密闭的垃圾转运车辆，提高农村生活垃圾收集处理能力。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村民委员会应当组织开展农村环境卫生清扫保洁、生活垃圾收集，协助做好生活垃圾运输、处理等工作。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四十</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各级人民政府应当积极推进农村生活污水治理，合理确定农村污水处理设施及配套管网的布局、规模，科学安排年度建设任务，明确建设规模、投资预算、资金来源和保障措施等。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农村生活污水处理设施已经覆盖的区域，应当将生活污水接入生活污水管网进行处理；农村生活污水处理设施未覆盖的区域，排放生活污水不得污染环境。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四十一</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镇（街道）</w:t>
      </w:r>
      <w:r>
        <w:rPr>
          <w:rFonts w:hint="eastAsia" w:ascii="仿宋_GB2312" w:hAnsi="仿宋_GB2312" w:eastAsia="仿宋_GB2312" w:cs="仿宋_GB2312"/>
          <w:b w:val="0"/>
          <w:bCs w:val="0"/>
          <w:i w:val="0"/>
          <w:iCs w:val="0"/>
          <w:color w:val="333333"/>
          <w:spacing w:val="0"/>
          <w:w w:val="100"/>
          <w:sz w:val="32"/>
          <w:szCs w:val="32"/>
          <w:vertAlign w:val="baseline"/>
        </w:rPr>
        <w:t>人民政府和村民委员会应当因地制宜选择改厕模式，推进厕所革命。有条件的村庄应当同步进行厕所改造和污水处理，将生活污水集中收集处理；条件不具备的村庄，可以选择使用无害化卫生厕所改造模式。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镇（街道）</w:t>
      </w:r>
      <w:r>
        <w:rPr>
          <w:rFonts w:hint="eastAsia" w:ascii="仿宋_GB2312" w:hAnsi="仿宋_GB2312" w:eastAsia="仿宋_GB2312" w:cs="仿宋_GB2312"/>
          <w:b w:val="0"/>
          <w:bCs w:val="0"/>
          <w:i w:val="0"/>
          <w:iCs w:val="0"/>
          <w:color w:val="333333"/>
          <w:spacing w:val="0"/>
          <w:w w:val="100"/>
          <w:sz w:val="32"/>
          <w:szCs w:val="32"/>
          <w:vertAlign w:val="baseline"/>
        </w:rPr>
        <w:t>人民政府和村民委员会应当建设农村公共卫生厕所，并将公共卫生厕所保洁纳入村庄保洁范围。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第四十</w:t>
      </w:r>
      <w:r>
        <w:rPr>
          <w:rFonts w:hint="eastAsia" w:ascii="黑体" w:hAnsi="黑体" w:eastAsia="黑体" w:cs="黑体"/>
          <w:b w:val="0"/>
          <w:bCs w:val="0"/>
          <w:i w:val="0"/>
          <w:iCs w:val="0"/>
          <w:color w:val="404040"/>
          <w:spacing w:val="0"/>
          <w:w w:val="100"/>
          <w:sz w:val="32"/>
          <w:szCs w:val="32"/>
          <w:vertAlign w:val="baseline"/>
          <w:lang w:val="en-US" w:eastAsia="zh-CN"/>
        </w:rPr>
        <w:t>二</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村民委员会应当引导村民按照下列要求做好自家庭院和房前屋后清洁工作：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一）</w:t>
      </w:r>
      <w:r>
        <w:rPr>
          <w:rFonts w:hint="eastAsia" w:ascii="仿宋_GB2312" w:hAnsi="仿宋_GB2312" w:eastAsia="仿宋_GB2312" w:cs="仿宋_GB2312"/>
          <w:b w:val="0"/>
          <w:bCs w:val="0"/>
          <w:i w:val="0"/>
          <w:iCs w:val="0"/>
          <w:color w:val="333333"/>
          <w:spacing w:val="0"/>
          <w:w w:val="100"/>
          <w:sz w:val="32"/>
          <w:szCs w:val="32"/>
          <w:vertAlign w:val="baseline"/>
        </w:rPr>
        <w:t>保持房屋、粮仓、仓房、畜禽养殖棚圈等建（构）筑物整洁完好；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二）</w:t>
      </w:r>
      <w:r>
        <w:rPr>
          <w:rFonts w:hint="eastAsia" w:ascii="仿宋_GB2312" w:hAnsi="仿宋_GB2312" w:eastAsia="仿宋_GB2312" w:cs="仿宋_GB2312"/>
          <w:b w:val="0"/>
          <w:bCs w:val="0"/>
          <w:i w:val="0"/>
          <w:iCs w:val="0"/>
          <w:color w:val="333333"/>
          <w:spacing w:val="0"/>
          <w:w w:val="100"/>
          <w:sz w:val="32"/>
          <w:szCs w:val="32"/>
          <w:vertAlign w:val="baseline"/>
        </w:rPr>
        <w:t>整齐放置生产工具、农用物资、生活用品，柴草等堆放要符合防火和卫生要求；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（三）有序停放车辆、农业机械；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（四）管护好房前屋后花草树木。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黑体" w:hAnsi="黑体" w:eastAsia="黑体" w:cs="黑体"/>
          <w:b w:val="0"/>
          <w:bCs w:val="0"/>
          <w:i w:val="0"/>
          <w:iCs w:val="0"/>
          <w:color w:val="404040"/>
          <w:spacing w:val="0"/>
          <w:w w:val="100"/>
          <w:sz w:val="32"/>
          <w:szCs w:val="32"/>
          <w:vertAlign w:val="baseline"/>
        </w:rPr>
        <w:t>第四十</w:t>
      </w:r>
      <w:r>
        <w:rPr>
          <w:rFonts w:hint="eastAsia" w:ascii="黑体" w:hAnsi="黑体" w:eastAsia="黑体" w:cs="黑体"/>
          <w:b w:val="0"/>
          <w:bCs w:val="0"/>
          <w:i w:val="0"/>
          <w:iCs w:val="0"/>
          <w:color w:val="404040"/>
          <w:spacing w:val="0"/>
          <w:w w:val="100"/>
          <w:sz w:val="32"/>
          <w:szCs w:val="32"/>
          <w:vertAlign w:val="baseline"/>
          <w:lang w:val="en-US" w:eastAsia="zh-CN"/>
        </w:rPr>
        <w:t>三</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村民零星饲养家禽家畜的，应当及时对污水和畜禽粪便、尸体等进行收集、贮存、清运、处理，不得污染环境或者影响他人正常生活。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规模畜禽养殖者应当依照《畜禽规模养殖污染防治条例》等相关规定，建设污染防治配套设施或者委托他人代为处理废弃物，防止污染环境。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不得在村庄内散养畜禽，不得在河道管理范围内、水源地保护区、主要道路两侧养殖畜禽。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404040"/>
          <w:spacing w:val="0"/>
          <w:w w:val="100"/>
          <w:sz w:val="32"/>
          <w:szCs w:val="32"/>
          <w:vertAlign w:val="baseline"/>
        </w:rPr>
        <w:t>第四十</w:t>
      </w:r>
      <w:r>
        <w:rPr>
          <w:rFonts w:hint="eastAsia" w:ascii="黑体" w:hAnsi="黑体" w:eastAsia="黑体" w:cs="黑体"/>
          <w:b w:val="0"/>
          <w:bCs w:val="0"/>
          <w:i w:val="0"/>
          <w:iCs w:val="0"/>
          <w:color w:val="404040"/>
          <w:spacing w:val="0"/>
          <w:w w:val="100"/>
          <w:sz w:val="32"/>
          <w:szCs w:val="32"/>
          <w:vertAlign w:val="baseline"/>
          <w:lang w:val="en-US" w:eastAsia="zh-CN"/>
        </w:rPr>
        <w:t>四</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任何单位和个人都应当自觉维护村容村貌，保持清洁卫生，不得在农村村庄内实施下列行为:</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（一）擅自拆除、迁移、改建、停用、</w:t>
      </w:r>
      <w:r>
        <w:rPr>
          <w:rFonts w:hint="eastAsia" w:ascii="仿宋_GB2312" w:hAnsi="仿宋_GB2312" w:eastAsia="仿宋_GB2312" w:cs="仿宋_GB2312"/>
          <w:b w:val="0"/>
          <w:bCs w:val="0"/>
          <w:i w:val="0"/>
          <w:iCs w:val="0"/>
          <w:color w:val="333333"/>
          <w:spacing w:val="0"/>
          <w:w w:val="100"/>
          <w:sz w:val="32"/>
          <w:szCs w:val="32"/>
          <w:vertAlign w:val="baseline"/>
        </w:rPr>
        <w:t>损坏生活垃圾收集处理、污水处理和公共卫生厕所设施、设备</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或者改变其用途</w:t>
      </w:r>
      <w:r>
        <w:rPr>
          <w:rFonts w:hint="eastAsia" w:ascii="仿宋_GB2312" w:hAnsi="仿宋_GB2312" w:eastAsia="仿宋_GB2312" w:cs="仿宋_GB2312"/>
          <w:b w:val="0"/>
          <w:bCs w:val="0"/>
          <w:i w:val="0"/>
          <w:iCs w:val="0"/>
          <w:color w:val="333333"/>
          <w:spacing w:val="0"/>
          <w:w w:val="100"/>
          <w:sz w:val="32"/>
          <w:szCs w:val="32"/>
          <w:vertAlign w:val="baseline"/>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（二）违规搭建生产生活用房和畜禽养殖棚圈；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三</w:t>
      </w:r>
      <w:r>
        <w:rPr>
          <w:rFonts w:hint="eastAsia" w:ascii="仿宋_GB2312" w:hAnsi="仿宋_GB2312" w:eastAsia="仿宋_GB2312" w:cs="仿宋_GB2312"/>
          <w:b w:val="0"/>
          <w:bCs w:val="0"/>
          <w:i w:val="0"/>
          <w:iCs w:val="0"/>
          <w:color w:val="333333"/>
          <w:spacing w:val="0"/>
          <w:w w:val="100"/>
          <w:sz w:val="32"/>
          <w:szCs w:val="32"/>
          <w:vertAlign w:val="baseline"/>
        </w:rPr>
        <w:t>）随意倾倒、抛撒、堆放生活垃圾、建筑垃圾；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四）</w:t>
      </w:r>
      <w:r>
        <w:rPr>
          <w:rFonts w:hint="eastAsia" w:ascii="仿宋_GB2312" w:hAnsi="仿宋_GB2312" w:eastAsia="仿宋_GB2312" w:cs="仿宋_GB2312"/>
          <w:b w:val="0"/>
          <w:bCs w:val="0"/>
          <w:i w:val="0"/>
          <w:iCs w:val="0"/>
          <w:color w:val="333333"/>
          <w:spacing w:val="0"/>
          <w:w w:val="100"/>
          <w:sz w:val="32"/>
          <w:szCs w:val="32"/>
          <w:vertAlign w:val="baseline"/>
        </w:rPr>
        <w:t>在公共区域随意堆放秸秆、树枝、粪便以及其他杂物；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五）</w:t>
      </w:r>
      <w:r>
        <w:rPr>
          <w:rFonts w:hint="eastAsia" w:ascii="仿宋_GB2312" w:hAnsi="仿宋_GB2312" w:eastAsia="仿宋_GB2312" w:cs="仿宋_GB2312"/>
          <w:b w:val="0"/>
          <w:bCs w:val="0"/>
          <w:i w:val="0"/>
          <w:iCs w:val="0"/>
          <w:color w:val="333333"/>
          <w:spacing w:val="0"/>
          <w:w w:val="100"/>
          <w:sz w:val="32"/>
          <w:szCs w:val="32"/>
          <w:vertAlign w:val="baseline"/>
        </w:rPr>
        <w:t>擅自在建筑物、构筑物外墙或者公共设施上喷涂、张贴经营性广告；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六</w:t>
      </w:r>
      <w:r>
        <w:rPr>
          <w:rFonts w:hint="eastAsia" w:ascii="仿宋_GB2312" w:hAnsi="仿宋_GB2312" w:eastAsia="仿宋_GB2312" w:cs="仿宋_GB2312"/>
          <w:b w:val="0"/>
          <w:bCs w:val="0"/>
          <w:i w:val="0"/>
          <w:iCs w:val="0"/>
          <w:color w:val="333333"/>
          <w:spacing w:val="0"/>
          <w:w w:val="100"/>
          <w:sz w:val="32"/>
          <w:szCs w:val="32"/>
          <w:vertAlign w:val="baseline"/>
        </w:rPr>
        <w:t>）擅自在村庄规划区内修建建筑物、构筑物；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七</w:t>
      </w:r>
      <w:r>
        <w:rPr>
          <w:rFonts w:hint="eastAsia" w:ascii="仿宋_GB2312" w:hAnsi="仿宋_GB2312" w:eastAsia="仿宋_GB2312" w:cs="仿宋_GB2312"/>
          <w:b w:val="0"/>
          <w:bCs w:val="0"/>
          <w:i w:val="0"/>
          <w:iCs w:val="0"/>
          <w:color w:val="333333"/>
          <w:spacing w:val="0"/>
          <w:w w:val="100"/>
          <w:sz w:val="32"/>
          <w:szCs w:val="32"/>
          <w:vertAlign w:val="baseline"/>
        </w:rPr>
        <w:t>）其他影响村容村貌和清洁卫生的行为。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四十五</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实行乡村清洁卫生责任人制度，责任人按照下列规定确定：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（一）村民的居住地、畜禽养殖棚圈，所有人或者使用人为责任人；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（二）农村承包地，承包者或者经营者为责任人；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（三）村庄范围内的道路、广场、绿地等公共区域，村民委员会为责任人；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（四）集市、农贸市场，管理者为责任人；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（五）旅游、餐饮、娱乐等经营场所，经营者或者管理者为责任人；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（六）单位的办公和生产经营场所，该单位为责任人；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（七）施工现场，施工单位为责任人。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不能按照前款规定确定责任人的，由村民委员会根据实际情况确定责任人；村民委员会无法确定的，由所在地乡（镇）人民政府确定责任人。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b w:val="0"/>
          <w:bCs w:val="0"/>
          <w:i w:val="0"/>
          <w:iCs w:val="0"/>
          <w:color w:val="404040"/>
          <w:spacing w:val="0"/>
          <w:w w:val="100"/>
          <w:sz w:val="32"/>
          <w:szCs w:val="32"/>
          <w:vertAlign w:val="baseline"/>
          <w:lang w:val="en-US" w:eastAsia="zh-CN"/>
        </w:rPr>
      </w:pPr>
      <w:r>
        <w:rPr>
          <w:rFonts w:hint="eastAsia" w:ascii="方正小标宋简体" w:hAnsi="方正小标宋简体" w:eastAsia="方正小标宋简体" w:cs="方正小标宋简体"/>
          <w:b w:val="0"/>
          <w:bCs w:val="0"/>
          <w:i w:val="0"/>
          <w:iCs w:val="0"/>
          <w:color w:val="404040"/>
          <w:spacing w:val="0"/>
          <w:w w:val="100"/>
          <w:sz w:val="32"/>
          <w:szCs w:val="32"/>
          <w:vertAlign w:val="baseline"/>
        </w:rPr>
        <w:t>第五章 绿美</w:t>
      </w:r>
      <w:r>
        <w:rPr>
          <w:rFonts w:hint="eastAsia" w:ascii="方正小标宋简体" w:hAnsi="方正小标宋简体" w:eastAsia="方正小标宋简体" w:cs="方正小标宋简体"/>
          <w:b w:val="0"/>
          <w:bCs w:val="0"/>
          <w:i w:val="0"/>
          <w:iCs w:val="0"/>
          <w:color w:val="404040"/>
          <w:spacing w:val="0"/>
          <w:w w:val="100"/>
          <w:sz w:val="32"/>
          <w:szCs w:val="32"/>
          <w:vertAlign w:val="baseline"/>
          <w:lang w:val="en-US" w:eastAsia="zh-CN"/>
        </w:rPr>
        <w:t>富民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四十六</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区）人民政府应当以生态优先、绿色发展为导向，制定乡村产业振兴方案，立足区位优势和资源条件，优化产业布局，发展特色产业。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四十七</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区）人民政府应当大力推进生态农业、生态旅游、生态服务业等生态经济发展，推动传统产业转型升级，促进农村经济健康发展。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四十八</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各级人民政府应当注重发展现代生态循环农业，建立和推行种植业、林业、畜牧业、渔业综合循环生产模式，推广和发展新型种养模式和技术，促进农业投入品减量化、生产清洁化、废弃物资源化。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四十九</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各级人民政府应当落实政府属地管理责任、部门监管责任和生产经营者主体责任，推进农业全程标准化，健全农产品质量安全监管体系、监测预警体系、安全追溯体系，提高农产品质量安全水平。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 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区）人民政府应当加强特色农产品优势区建设，扶持开发无公害农产品、绿色食品和有机农产品，培育提升绿色农业品牌。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五十</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各级人民政府应当根据本地产业发展现状，推广应用清洁生产技术，引导农村工业企业进入园区，推进企业转型升级和工业集聚循环发展，减少环境污染。</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五十一</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鼓励支持各类经营主体</w:t>
      </w:r>
      <w:r>
        <w:rPr>
          <w:rFonts w:hint="eastAsia" w:ascii="仿宋_GB2312" w:hAnsi="仿宋_GB2312" w:eastAsia="仿宋_GB2312" w:cs="仿宋_GB2312"/>
          <w:b w:val="0"/>
          <w:bCs w:val="0"/>
          <w:i w:val="0"/>
          <w:iCs w:val="0"/>
          <w:color w:val="333333"/>
          <w:spacing w:val="0"/>
          <w:w w:val="100"/>
          <w:sz w:val="32"/>
          <w:szCs w:val="32"/>
          <w:vertAlign w:val="baseline"/>
        </w:rPr>
        <w:t>依托本地红色文化、海陆丰民俗风情、农耕文化、山水田园、海洋海岛等各种资源，</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推动</w:t>
      </w:r>
      <w:r>
        <w:rPr>
          <w:rFonts w:hint="eastAsia" w:ascii="仿宋_GB2312" w:hAnsi="仿宋_GB2312" w:eastAsia="仿宋_GB2312" w:cs="仿宋_GB2312"/>
          <w:b w:val="0"/>
          <w:bCs w:val="0"/>
          <w:i w:val="0"/>
          <w:iCs w:val="0"/>
          <w:color w:val="333333"/>
          <w:spacing w:val="0"/>
          <w:w w:val="100"/>
          <w:sz w:val="32"/>
          <w:szCs w:val="32"/>
          <w:vertAlign w:val="baseline"/>
        </w:rPr>
        <w:t>乡村旅游、海洋旅游、休闲度假、教育文化、健康养生等产业融合发展，培育农村新产业、新业态</w:t>
      </w:r>
      <w:r>
        <w:rPr>
          <w:rFonts w:hint="eastAsia" w:ascii="仿宋_GB2312" w:hAnsi="仿宋_GB2312" w:eastAsia="仿宋_GB2312" w:cs="仿宋_GB2312"/>
          <w:b w:val="0"/>
          <w:bCs w:val="0"/>
          <w:i w:val="0"/>
          <w:iCs w:val="0"/>
          <w:color w:val="333333"/>
          <w:spacing w:val="0"/>
          <w:w w:val="100"/>
          <w:sz w:val="32"/>
          <w:szCs w:val="32"/>
          <w:vertAlign w:val="baseline"/>
          <w:lang w:eastAsia="zh-CN"/>
        </w:rPr>
        <w:t>、</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新动能</w:t>
      </w:r>
      <w:r>
        <w:rPr>
          <w:rFonts w:hint="eastAsia" w:ascii="仿宋_GB2312" w:hAnsi="仿宋_GB2312" w:eastAsia="仿宋_GB2312" w:cs="仿宋_GB2312"/>
          <w:b w:val="0"/>
          <w:bCs w:val="0"/>
          <w:i w:val="0"/>
          <w:iCs w:val="0"/>
          <w:color w:val="333333"/>
          <w:spacing w:val="0"/>
          <w:w w:val="100"/>
          <w:sz w:val="32"/>
          <w:szCs w:val="32"/>
          <w:vertAlign w:val="baseline"/>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五十二</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各级人民政府应当推进农业农村信息化和智能化，加强信息化基础设施建设，推动物联网、云计算、大数据、移动互联等技术在农业领域的应用，发展智慧农业。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第五十</w:t>
      </w:r>
      <w:r>
        <w:rPr>
          <w:rFonts w:hint="eastAsia" w:ascii="黑体" w:hAnsi="黑体" w:eastAsia="黑体" w:cs="黑体"/>
          <w:b w:val="0"/>
          <w:bCs w:val="0"/>
          <w:i w:val="0"/>
          <w:iCs w:val="0"/>
          <w:color w:val="404040"/>
          <w:spacing w:val="0"/>
          <w:w w:val="100"/>
          <w:sz w:val="32"/>
          <w:szCs w:val="32"/>
          <w:vertAlign w:val="baseline"/>
          <w:lang w:val="en-US" w:eastAsia="zh-CN"/>
        </w:rPr>
        <w:t>三</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各级人民政府应当加强农村电子商务人才培养和平台建设，推进农村电子商务综合示范，发展线上线下融合的现代农村商品流通和服务网络，实现城乡生产与消费多层次对接。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黑体" w:hAnsi="黑体" w:eastAsia="黑体" w:cs="黑体"/>
          <w:b w:val="0"/>
          <w:bCs w:val="0"/>
          <w:i w:val="0"/>
          <w:iCs w:val="0"/>
          <w:color w:val="404040"/>
          <w:spacing w:val="0"/>
          <w:w w:val="100"/>
          <w:sz w:val="32"/>
          <w:szCs w:val="32"/>
          <w:vertAlign w:val="baseline"/>
        </w:rPr>
        <w:t>第五十</w:t>
      </w:r>
      <w:r>
        <w:rPr>
          <w:rFonts w:hint="eastAsia" w:ascii="黑体" w:hAnsi="黑体" w:eastAsia="黑体" w:cs="黑体"/>
          <w:b w:val="0"/>
          <w:bCs w:val="0"/>
          <w:i w:val="0"/>
          <w:iCs w:val="0"/>
          <w:color w:val="404040"/>
          <w:spacing w:val="0"/>
          <w:w w:val="100"/>
          <w:sz w:val="32"/>
          <w:szCs w:val="32"/>
          <w:vertAlign w:val="baseline"/>
          <w:lang w:val="en-US" w:eastAsia="zh-CN"/>
        </w:rPr>
        <w:t>四</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各级人民政府应当推进农村集体产权制度改革，健全农村集体资产监督管理机制，提高村集体自我发展和经济保障能力。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鼓励农村探索集体经济新的实现形式和运行机制，支持农村集体经济组织组建经济联合体，发展壮大村集体经济。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第五十</w:t>
      </w:r>
      <w:r>
        <w:rPr>
          <w:rFonts w:hint="eastAsia" w:ascii="黑体" w:hAnsi="黑体" w:eastAsia="黑体" w:cs="黑体"/>
          <w:b w:val="0"/>
          <w:bCs w:val="0"/>
          <w:i w:val="0"/>
          <w:iCs w:val="0"/>
          <w:color w:val="404040"/>
          <w:spacing w:val="0"/>
          <w:w w:val="100"/>
          <w:sz w:val="32"/>
          <w:szCs w:val="32"/>
          <w:vertAlign w:val="baseline"/>
          <w:lang w:val="en-US" w:eastAsia="zh-CN"/>
        </w:rPr>
        <w:t>五</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各级人民政府应当通过开展家庭农场示范场、农民合作社示范社、农业产业化示范基地等创建活动，示范引领各类农业经营主体规范发展，促进小农户和现代农业发展有机衔接。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五十六</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区）人民政府应当依照法律、法规和有关规定制定措施，优化利企惠民的营商环境，鼓励和引导工商资本到农村投资兴业。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五十七</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鼓励和支持金融机构为农村的产业发展提供融资、保险产品和服务。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 市、县（</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333333"/>
          <w:spacing w:val="0"/>
          <w:w w:val="100"/>
          <w:sz w:val="32"/>
          <w:szCs w:val="32"/>
          <w:vertAlign w:val="baseline"/>
        </w:rPr>
        <w:t>区）人民政府应当出台具体措施，健全农村金融服务体系，建立融资担保、保险补贴等金融激励机制，支持利用承包土地经营权或者流转取得的土地经营权等依法向金融机构融资担保。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五十八</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各级人民政府应当建立和完善新型职业农民教育培训体系，培养适应现代农业发展需要的新型职业农民。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333333"/>
          <w:spacing w:val="0"/>
          <w:w w:val="100"/>
          <w:sz w:val="32"/>
          <w:szCs w:val="32"/>
          <w:vertAlign w:val="baseline"/>
        </w:rPr>
        <w:t>鼓励通过校地合作、城乡交流、村企结对等方式，培养引进农业生产、经营和管理人才。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b w:val="0"/>
          <w:bCs w:val="0"/>
          <w:i w:val="0"/>
          <w:iCs w:val="0"/>
          <w:color w:val="333333"/>
          <w:spacing w:val="0"/>
          <w:w w:val="100"/>
          <w:sz w:val="32"/>
          <w:szCs w:val="32"/>
          <w:vertAlign w:val="baseline"/>
          <w:lang w:val="en-US" w:eastAsia="zh-CN"/>
        </w:rPr>
      </w:pPr>
      <w:r>
        <w:rPr>
          <w:rFonts w:hint="eastAsia" w:ascii="黑体" w:hAnsi="黑体" w:eastAsia="黑体" w:cs="黑体"/>
          <w:b w:val="0"/>
          <w:bCs w:val="0"/>
          <w:i w:val="0"/>
          <w:iCs w:val="0"/>
          <w:color w:val="404040"/>
          <w:spacing w:val="0"/>
          <w:w w:val="100"/>
          <w:sz w:val="32"/>
          <w:szCs w:val="32"/>
          <w:vertAlign w:val="baseline"/>
          <w:lang w:val="en-US" w:eastAsia="zh-CN"/>
        </w:rPr>
        <w:t>第五十九条</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在充分保障村民宅基地合法权益的前提下，鼓励农村集体经济组织和村民通过自主经营、合作经营、委托经营等方式，盘活利用闲置宅基地和闲置房屋。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鼓励农村集体经济组织在尊重村民意愿和符合规划的前提下，盘活闲置宅基地和房屋用于返乡人员创业、人才引进和乡贤回归。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b w:val="0"/>
          <w:bCs w:val="0"/>
          <w:i w:val="0"/>
          <w:iCs w:val="0"/>
          <w:color w:val="404040"/>
          <w:spacing w:val="0"/>
          <w:w w:val="100"/>
          <w:sz w:val="32"/>
          <w:szCs w:val="32"/>
          <w:vertAlign w:val="baseline"/>
        </w:rPr>
      </w:pPr>
      <w:r>
        <w:rPr>
          <w:rFonts w:hint="eastAsia" w:ascii="方正小标宋简体" w:hAnsi="方正小标宋简体" w:eastAsia="方正小标宋简体" w:cs="方正小标宋简体"/>
          <w:b w:val="0"/>
          <w:bCs w:val="0"/>
          <w:i w:val="0"/>
          <w:iCs w:val="0"/>
          <w:color w:val="404040"/>
          <w:spacing w:val="0"/>
          <w:w w:val="100"/>
          <w:sz w:val="32"/>
          <w:szCs w:val="32"/>
          <w:vertAlign w:val="baseline"/>
        </w:rPr>
        <w:t>第六章</w:t>
      </w:r>
      <w:r>
        <w:rPr>
          <w:rFonts w:hint="eastAsia" w:ascii="方正小标宋简体" w:hAnsi="方正小标宋简体" w:eastAsia="方正小标宋简体" w:cs="方正小标宋简体"/>
          <w:b w:val="0"/>
          <w:bCs w:val="0"/>
          <w:i w:val="0"/>
          <w:iCs w:val="0"/>
          <w:color w:val="404040"/>
          <w:spacing w:val="0"/>
          <w:w w:val="100"/>
          <w:sz w:val="32"/>
          <w:szCs w:val="32"/>
          <w:vertAlign w:val="baseline"/>
          <w:lang w:val="en-US" w:eastAsia="zh-CN"/>
        </w:rPr>
        <w:t xml:space="preserve">  </w:t>
      </w:r>
      <w:r>
        <w:rPr>
          <w:rFonts w:hint="eastAsia" w:ascii="方正小标宋简体" w:hAnsi="方正小标宋简体" w:eastAsia="方正小标宋简体" w:cs="方正小标宋简体"/>
          <w:b w:val="0"/>
          <w:bCs w:val="0"/>
          <w:i w:val="0"/>
          <w:iCs w:val="0"/>
          <w:color w:val="404040"/>
          <w:spacing w:val="0"/>
          <w:w w:val="100"/>
          <w:sz w:val="32"/>
          <w:szCs w:val="32"/>
          <w:vertAlign w:val="baseline"/>
        </w:rPr>
        <w:t>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333333"/>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六十</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333333"/>
          <w:spacing w:val="0"/>
          <w:w w:val="100"/>
          <w:sz w:val="32"/>
          <w:szCs w:val="32"/>
          <w:vertAlign w:val="baseline"/>
        </w:rPr>
        <w:t> </w:t>
      </w:r>
      <w:r>
        <w:rPr>
          <w:rFonts w:hint="eastAsia" w:ascii="仿宋_GB2312" w:hAnsi="仿宋_GB2312" w:eastAsia="仿宋_GB2312" w:cs="仿宋_GB2312"/>
          <w:b w:val="0"/>
          <w:bCs w:val="0"/>
          <w:i w:val="0"/>
          <w:iCs w:val="0"/>
          <w:color w:val="404040"/>
          <w:spacing w:val="0"/>
          <w:w w:val="100"/>
          <w:sz w:val="32"/>
          <w:szCs w:val="32"/>
          <w:vertAlign w:val="baseline"/>
        </w:rPr>
        <w:t>市、县（</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404040"/>
          <w:spacing w:val="0"/>
          <w:w w:val="100"/>
          <w:sz w:val="32"/>
          <w:szCs w:val="32"/>
          <w:vertAlign w:val="baseline"/>
        </w:rPr>
        <w:t>区）人民代表大会常务委员会和乡镇人民代表大会主席团应当通过视察、听取专项工作报告、执法检查等方式，加强对本行政区域内乡村绿美建设工作的监督。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六十一</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404040"/>
          <w:spacing w:val="0"/>
          <w:w w:val="100"/>
          <w:sz w:val="32"/>
          <w:szCs w:val="32"/>
          <w:vertAlign w:val="baseline"/>
        </w:rPr>
        <w:t> 市、县（</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404040"/>
          <w:spacing w:val="0"/>
          <w:w w:val="100"/>
          <w:sz w:val="32"/>
          <w:szCs w:val="32"/>
          <w:vertAlign w:val="baseline"/>
        </w:rPr>
        <w:t>区）人民政府应当定期向本级人民代表大会常务委员会报告乡村绿美建设工作情况，依法接受监督。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六十二</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404040"/>
          <w:spacing w:val="0"/>
          <w:w w:val="100"/>
          <w:sz w:val="32"/>
          <w:szCs w:val="32"/>
          <w:vertAlign w:val="baseline"/>
        </w:rPr>
        <w:t> 市、县（</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404040"/>
          <w:spacing w:val="0"/>
          <w:w w:val="100"/>
          <w:sz w:val="32"/>
          <w:szCs w:val="32"/>
          <w:vertAlign w:val="baseline"/>
        </w:rPr>
        <w:t>区）人民政府应当将乡村绿美建设工作情况纳入对本级人民政府有关部门和下级人民政府的考核内容</w:t>
      </w:r>
      <w:r>
        <w:rPr>
          <w:rFonts w:hint="eastAsia" w:ascii="仿宋_GB2312" w:hAnsi="仿宋_GB2312" w:eastAsia="仿宋_GB2312" w:cs="仿宋_GB2312"/>
          <w:b w:val="0"/>
          <w:bCs w:val="0"/>
          <w:i w:val="0"/>
          <w:iCs w:val="0"/>
          <w:color w:val="404040"/>
          <w:spacing w:val="0"/>
          <w:w w:val="100"/>
          <w:sz w:val="32"/>
          <w:szCs w:val="32"/>
          <w:vertAlign w:val="baseline"/>
          <w:lang w:eastAsia="zh-CN"/>
        </w:rPr>
        <w:t>，</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建立乡村绿美建设考核指标体系，在乡村绿美中表现突出的个人及集体，政府应当给予表彰奖励。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404040"/>
          <w:spacing w:val="0"/>
          <w:w w:val="100"/>
          <w:sz w:val="32"/>
          <w:szCs w:val="32"/>
          <w:vertAlign w:val="baseline"/>
        </w:rPr>
        <w:t>市人民政府有关部门应当指导、督促县（</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404040"/>
          <w:spacing w:val="0"/>
          <w:w w:val="100"/>
          <w:sz w:val="32"/>
          <w:szCs w:val="32"/>
          <w:vertAlign w:val="baseline"/>
        </w:rPr>
        <w:t>区）人民政府有关部门在各自职责范围内做好乡村绿美建设工作。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六十三</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404040"/>
          <w:spacing w:val="0"/>
          <w:w w:val="100"/>
          <w:sz w:val="32"/>
          <w:szCs w:val="32"/>
          <w:vertAlign w:val="baseline"/>
        </w:rPr>
        <w:t> 各级人民政府和村民委员会应当建立健全乡村绿美管理维护机制，确保各类基础设施和公共服务设施建成并长期稳定运行。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404040"/>
          <w:spacing w:val="0"/>
          <w:w w:val="100"/>
          <w:sz w:val="32"/>
          <w:szCs w:val="32"/>
          <w:vertAlign w:val="baseline"/>
        </w:rPr>
        <w:t>鼓励采取市场化运作方式，对村庄的基础设施和公共服务设施进行管理维护，对村庄公共区域进行卫生保洁、绿化美化。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黑体" w:hAnsi="黑体" w:eastAsia="黑体" w:cs="黑体"/>
          <w:b w:val="0"/>
          <w:bCs w:val="0"/>
          <w:i w:val="0"/>
          <w:iCs w:val="0"/>
          <w:color w:val="404040"/>
          <w:spacing w:val="0"/>
          <w:w w:val="100"/>
          <w:sz w:val="32"/>
          <w:szCs w:val="32"/>
          <w:vertAlign w:val="baseline"/>
        </w:rPr>
        <w:t>第六十</w:t>
      </w:r>
      <w:r>
        <w:rPr>
          <w:rFonts w:hint="eastAsia" w:ascii="黑体" w:hAnsi="黑体" w:eastAsia="黑体" w:cs="黑体"/>
          <w:b w:val="0"/>
          <w:bCs w:val="0"/>
          <w:i w:val="0"/>
          <w:iCs w:val="0"/>
          <w:color w:val="404040"/>
          <w:spacing w:val="0"/>
          <w:w w:val="100"/>
          <w:sz w:val="32"/>
          <w:szCs w:val="32"/>
          <w:vertAlign w:val="baseline"/>
          <w:lang w:val="en-US" w:eastAsia="zh-CN"/>
        </w:rPr>
        <w:t>四</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404040"/>
          <w:spacing w:val="0"/>
          <w:w w:val="100"/>
          <w:sz w:val="32"/>
          <w:szCs w:val="32"/>
          <w:vertAlign w:val="baseline"/>
        </w:rPr>
        <w:t> 鼓励村民委员会依法将乡村绿美建设工作的有关行为规范、权利义务、评价奖惩等内容纳入村规民约。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404040"/>
          <w:spacing w:val="0"/>
          <w:w w:val="100"/>
          <w:sz w:val="32"/>
          <w:szCs w:val="32"/>
          <w:vertAlign w:val="baseline"/>
        </w:rPr>
        <w:t>鼓励村民委员会通过与村民签订门前三包责任书等方式，明确村民的环境卫生保洁责任。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仿宋_GB2312" w:hAnsi="仿宋_GB2312" w:eastAsia="仿宋_GB2312" w:cs="仿宋_GB2312"/>
          <w:b w:val="0"/>
          <w:bCs w:val="0"/>
          <w:i w:val="0"/>
          <w:iCs w:val="0"/>
          <w:color w:val="404040"/>
          <w:spacing w:val="0"/>
          <w:w w:val="100"/>
          <w:sz w:val="32"/>
          <w:szCs w:val="32"/>
          <w:vertAlign w:val="baseline"/>
        </w:rPr>
        <w:t>鼓励开展星级农户、绿美庭院等评选活动，提高村民参与乡村绿美建设的积极性。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b w:val="0"/>
          <w:bCs w:val="0"/>
          <w:i w:val="0"/>
          <w:iCs w:val="0"/>
          <w:color w:val="404040"/>
          <w:spacing w:val="0"/>
          <w:w w:val="100"/>
          <w:sz w:val="32"/>
          <w:szCs w:val="32"/>
          <w:vertAlign w:val="baseline"/>
        </w:rPr>
      </w:pP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第六十</w:t>
      </w:r>
      <w:r>
        <w:rPr>
          <w:rFonts w:hint="eastAsia" w:ascii="黑体" w:hAnsi="黑体" w:eastAsia="黑体" w:cs="黑体"/>
          <w:b w:val="0"/>
          <w:bCs w:val="0"/>
          <w:i w:val="0"/>
          <w:iCs w:val="0"/>
          <w:color w:val="404040"/>
          <w:spacing w:val="0"/>
          <w:w w:val="100"/>
          <w:sz w:val="32"/>
          <w:szCs w:val="32"/>
          <w:vertAlign w:val="baseline"/>
          <w:lang w:val="en-US" w:eastAsia="zh-CN"/>
        </w:rPr>
        <w:t>五</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404040"/>
          <w:spacing w:val="0"/>
          <w:w w:val="100"/>
          <w:sz w:val="32"/>
          <w:szCs w:val="32"/>
          <w:vertAlign w:val="baseline"/>
        </w:rPr>
        <w:t> 村民委员会应当依法及时公开乡村绿美建设活动开展、资金使用等情况，接受村民的查询和监督。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b w:val="0"/>
          <w:bCs w:val="0"/>
          <w:i w:val="0"/>
          <w:iCs w:val="0"/>
          <w:color w:val="404040"/>
          <w:spacing w:val="0"/>
          <w:w w:val="100"/>
          <w:sz w:val="32"/>
          <w:szCs w:val="32"/>
          <w:vertAlign w:val="baseline"/>
          <w:lang w:val="en-US" w:eastAsia="zh-CN"/>
        </w:rPr>
      </w:pP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lang w:val="en-US" w:eastAsia="zh-CN"/>
        </w:rPr>
        <w:t>第六十六条</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村民委员会应当建立闲置房屋安全隐患排查和登记制度，督促危险房屋所有权人通过修缮、拆除、盘活等方式消除安全隐患。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b w:val="0"/>
          <w:bCs w:val="0"/>
          <w:i w:val="0"/>
          <w:iCs w:val="0"/>
          <w:color w:val="404040"/>
          <w:spacing w:val="0"/>
          <w:w w:val="100"/>
          <w:sz w:val="32"/>
          <w:szCs w:val="32"/>
          <w:vertAlign w:val="baseline"/>
        </w:rPr>
      </w:pP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黑体" w:hAnsi="黑体" w:eastAsia="黑体" w:cs="黑体"/>
          <w:b w:val="0"/>
          <w:bCs w:val="0"/>
          <w:i w:val="0"/>
          <w:iCs w:val="0"/>
          <w:color w:val="404040"/>
          <w:spacing w:val="0"/>
          <w:w w:val="100"/>
          <w:sz w:val="32"/>
          <w:szCs w:val="32"/>
          <w:vertAlign w:val="baseline"/>
        </w:rPr>
        <w:t> </w:t>
      </w:r>
      <w:r>
        <w:rPr>
          <w:rFonts w:hint="eastAsia" w:ascii="黑体" w:hAnsi="黑体" w:eastAsia="黑体" w:cs="黑体"/>
          <w:b w:val="0"/>
          <w:bCs w:val="0"/>
          <w:i w:val="0"/>
          <w:iCs w:val="0"/>
          <w:color w:val="404040"/>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六十七</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404040"/>
          <w:spacing w:val="0"/>
          <w:w w:val="100"/>
          <w:sz w:val="32"/>
          <w:szCs w:val="32"/>
          <w:vertAlign w:val="baseline"/>
        </w:rPr>
        <w:t> 市、县（</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市、</w:t>
      </w:r>
      <w:r>
        <w:rPr>
          <w:rFonts w:hint="eastAsia" w:ascii="仿宋_GB2312" w:hAnsi="仿宋_GB2312" w:eastAsia="仿宋_GB2312" w:cs="仿宋_GB2312"/>
          <w:b w:val="0"/>
          <w:bCs w:val="0"/>
          <w:i w:val="0"/>
          <w:iCs w:val="0"/>
          <w:color w:val="404040"/>
          <w:spacing w:val="0"/>
          <w:w w:val="100"/>
          <w:sz w:val="32"/>
          <w:szCs w:val="32"/>
          <w:vertAlign w:val="baseline"/>
        </w:rPr>
        <w:t>区）人民政府应当建立监督举报制度，公布投诉电话、举报信箱或者其他联系方式，受理对破坏乡村绿美建设行为的投诉、举报，并依法及时处理。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b w:val="0"/>
          <w:bCs w:val="0"/>
          <w:i w:val="0"/>
          <w:iCs w:val="0"/>
          <w:color w:val="404040"/>
          <w:spacing w:val="0"/>
          <w:w w:val="100"/>
          <w:sz w:val="32"/>
          <w:szCs w:val="32"/>
          <w:vertAlign w:val="baseline"/>
          <w:lang w:val="en-US" w:eastAsia="zh-CN"/>
        </w:rPr>
      </w:pPr>
      <w:r>
        <w:rPr>
          <w:rFonts w:hint="eastAsia" w:ascii="方正小标宋简体" w:hAnsi="方正小标宋简体" w:eastAsia="方正小标宋简体" w:cs="方正小标宋简体"/>
          <w:b w:val="0"/>
          <w:bCs w:val="0"/>
          <w:i w:val="0"/>
          <w:iCs w:val="0"/>
          <w:color w:val="404040"/>
          <w:spacing w:val="0"/>
          <w:w w:val="100"/>
          <w:sz w:val="32"/>
          <w:szCs w:val="32"/>
          <w:vertAlign w:val="baseline"/>
          <w:lang w:val="en-US" w:eastAsia="zh-CN"/>
        </w:rPr>
        <w:t>第七章 法律责任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olor w:val="404040"/>
          <w:spacing w:val="0"/>
          <w:w w:val="100"/>
          <w:sz w:val="32"/>
          <w:szCs w:val="32"/>
          <w:vertAlign w:val="baseline"/>
        </w:rPr>
      </w:pP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六十八</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404040"/>
          <w:spacing w:val="0"/>
          <w:w w:val="100"/>
          <w:sz w:val="32"/>
          <w:szCs w:val="32"/>
          <w:vertAlign w:val="baseline"/>
        </w:rPr>
        <w:t>　违反本条例规定的行为，法律、法规已规定法律责任的，从其规定；法律、法规未规定法律责任的，</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由乡（镇）人民政府给予警告，责令限期改正；逾期未改正的，对单位处以五百元以上二千元以下罚款，对个人处以五十元以上二百元以下罚款；造成损失的，依法予以赔偿</w:t>
      </w:r>
      <w:r>
        <w:rPr>
          <w:rFonts w:hint="eastAsia" w:ascii="仿宋_GB2312" w:hAnsi="仿宋_GB2312" w:eastAsia="仿宋_GB2312" w:cs="仿宋_GB2312"/>
          <w:b w:val="0"/>
          <w:bCs w:val="0"/>
          <w:i w:val="0"/>
          <w:iCs w:val="0"/>
          <w:color w:val="404040"/>
          <w:spacing w:val="0"/>
          <w:w w:val="100"/>
          <w:sz w:val="32"/>
          <w:szCs w:val="32"/>
          <w:vertAlign w:val="baseline"/>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olor w:val="404040"/>
          <w:spacing w:val="0"/>
          <w:w w:val="100"/>
          <w:sz w:val="32"/>
          <w:szCs w:val="32"/>
          <w:vertAlign w:val="baseline"/>
        </w:rPr>
      </w:pP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六十九</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404040"/>
          <w:spacing w:val="0"/>
          <w:w w:val="100"/>
          <w:sz w:val="32"/>
          <w:szCs w:val="32"/>
          <w:vertAlign w:val="baseline"/>
        </w:rPr>
        <w:t>　国家机关及其工作人员在绿美乡村建设工作中滥用职权、玩忽职守、徇私舞弊的，依法给予处分；构成犯罪的，依法追究刑事责任。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olor w:val="404040"/>
          <w:spacing w:val="0"/>
          <w:w w:val="100"/>
          <w:sz w:val="32"/>
          <w:szCs w:val="32"/>
          <w:vertAlign w:val="baseline"/>
        </w:rPr>
      </w:pPr>
      <w:r>
        <w:rPr>
          <w:rFonts w:hint="eastAsia" w:ascii="黑体" w:hAnsi="黑体" w:eastAsia="黑体" w:cs="黑体"/>
          <w:b w:val="0"/>
          <w:bCs w:val="0"/>
          <w:i w:val="0"/>
          <w:iCs w:val="0"/>
          <w:color w:val="404040"/>
          <w:spacing w:val="0"/>
          <w:w w:val="100"/>
          <w:sz w:val="32"/>
          <w:szCs w:val="32"/>
          <w:vertAlign w:val="baseline"/>
          <w:lang w:val="en-US" w:eastAsia="zh-CN"/>
        </w:rPr>
        <w:t xml:space="preserve">第七十条 </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违反本条例规定，应受罚款处罚的违法行为人自愿参加乡村绿美建设相关社会服务的，相关主管部门可以按照规定安排其参加乡村绿美建设相关社会服务的；违法行为人参加并完成相应社会服务的，相关主管部门可以对其从轻、减轻或者免于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b w:val="0"/>
          <w:bCs w:val="0"/>
          <w:i w:val="0"/>
          <w:iCs w:val="0"/>
          <w:color w:val="404040"/>
          <w:spacing w:val="0"/>
          <w:w w:val="100"/>
          <w:sz w:val="32"/>
          <w:szCs w:val="32"/>
          <w:vertAlign w:val="baseline"/>
        </w:rPr>
      </w:pPr>
      <w:r>
        <w:rPr>
          <w:rFonts w:hint="eastAsia" w:ascii="方正小标宋简体" w:hAnsi="方正小标宋简体" w:eastAsia="方正小标宋简体" w:cs="方正小标宋简体"/>
          <w:b w:val="0"/>
          <w:bCs w:val="0"/>
          <w:i w:val="0"/>
          <w:iCs w:val="0"/>
          <w:color w:val="404040"/>
          <w:spacing w:val="0"/>
          <w:w w:val="100"/>
          <w:sz w:val="32"/>
          <w:szCs w:val="32"/>
          <w:vertAlign w:val="baseline"/>
        </w:rPr>
        <w:t>第八章 附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olor w:val="404040"/>
          <w:spacing w:val="0"/>
          <w:w w:val="100"/>
          <w:sz w:val="32"/>
          <w:szCs w:val="32"/>
          <w:vertAlign w:val="baseline"/>
        </w:rPr>
        <w:t>  </w:t>
      </w:r>
      <w:r>
        <w:rPr>
          <w:rFonts w:hint="eastAsia" w:ascii="仿宋_GB2312" w:hAnsi="仿宋_GB2312" w:eastAsia="仿宋_GB2312" w:cs="仿宋_GB2312"/>
          <w:b w:val="0"/>
          <w:bCs w:val="0"/>
          <w:i w:val="0"/>
          <w:iCs w:val="0"/>
          <w:color w:val="404040"/>
          <w:spacing w:val="0"/>
          <w:w w:val="100"/>
          <w:sz w:val="32"/>
          <w:szCs w:val="32"/>
          <w:vertAlign w:val="baseline"/>
          <w:lang w:val="en-US" w:eastAsia="zh-CN"/>
        </w:rPr>
        <w:t xml:space="preserve">   </w:t>
      </w:r>
      <w:r>
        <w:rPr>
          <w:rFonts w:hint="eastAsia" w:ascii="黑体" w:hAnsi="黑体" w:eastAsia="黑体" w:cs="黑体"/>
          <w:b w:val="0"/>
          <w:bCs w:val="0"/>
          <w:i w:val="0"/>
          <w:iCs w:val="0"/>
          <w:color w:val="404040"/>
          <w:spacing w:val="0"/>
          <w:w w:val="100"/>
          <w:sz w:val="32"/>
          <w:szCs w:val="32"/>
          <w:vertAlign w:val="baseline"/>
        </w:rPr>
        <w:t>第</w:t>
      </w:r>
      <w:r>
        <w:rPr>
          <w:rFonts w:hint="eastAsia" w:ascii="黑体" w:hAnsi="黑体" w:eastAsia="黑体" w:cs="黑体"/>
          <w:b w:val="0"/>
          <w:bCs w:val="0"/>
          <w:i w:val="0"/>
          <w:iCs w:val="0"/>
          <w:color w:val="404040"/>
          <w:spacing w:val="0"/>
          <w:w w:val="100"/>
          <w:sz w:val="32"/>
          <w:szCs w:val="32"/>
          <w:vertAlign w:val="baseline"/>
          <w:lang w:val="en-US" w:eastAsia="zh-CN"/>
        </w:rPr>
        <w:t>七十一</w:t>
      </w:r>
      <w:r>
        <w:rPr>
          <w:rFonts w:hint="eastAsia" w:ascii="黑体" w:hAnsi="黑体" w:eastAsia="黑体" w:cs="黑体"/>
          <w:b w:val="0"/>
          <w:bCs w:val="0"/>
          <w:i w:val="0"/>
          <w:iCs w:val="0"/>
          <w:color w:val="404040"/>
          <w:spacing w:val="0"/>
          <w:w w:val="100"/>
          <w:sz w:val="32"/>
          <w:szCs w:val="32"/>
          <w:vertAlign w:val="baseline"/>
        </w:rPr>
        <w:t>条</w:t>
      </w:r>
      <w:r>
        <w:rPr>
          <w:rFonts w:hint="eastAsia" w:ascii="仿宋_GB2312" w:hAnsi="仿宋_GB2312" w:eastAsia="仿宋_GB2312" w:cs="仿宋_GB2312"/>
          <w:b w:val="0"/>
          <w:bCs w:val="0"/>
          <w:i w:val="0"/>
          <w:iCs w:val="0"/>
          <w:color w:val="404040"/>
          <w:spacing w:val="0"/>
          <w:w w:val="100"/>
          <w:sz w:val="32"/>
          <w:szCs w:val="32"/>
          <w:vertAlign w:val="baseline"/>
        </w:rPr>
        <w:t>　本条例自   年  月   日起施行。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_GB2312" w:hAnsi="仿宋_GB2312" w:eastAsia="仿宋_GB2312" w:cs="仿宋_GB2312"/>
          <w:b w:val="0"/>
          <w:bCs w:val="0"/>
          <w:i w:val="0"/>
          <w:iCs w:val="0"/>
          <w:color w:val="333333"/>
          <w:spacing w:val="0"/>
          <w:w w:val="100"/>
          <w:sz w:val="32"/>
          <w:szCs w:val="32"/>
          <w:vertAlign w:val="baseli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MTc1YmE3MWViZjJjM2IxNzRlNGRiOTUyYzQzODQifQ=="/>
  </w:docVars>
  <w:rsids>
    <w:rsidRoot w:val="75A67FF1"/>
    <w:rsid w:val="00AE556A"/>
    <w:rsid w:val="00FF50CF"/>
    <w:rsid w:val="01325C36"/>
    <w:rsid w:val="01F125D8"/>
    <w:rsid w:val="02A71165"/>
    <w:rsid w:val="03090E94"/>
    <w:rsid w:val="03537341"/>
    <w:rsid w:val="036C58F1"/>
    <w:rsid w:val="04F543C1"/>
    <w:rsid w:val="076D1EC2"/>
    <w:rsid w:val="07BC5DA1"/>
    <w:rsid w:val="08B9073E"/>
    <w:rsid w:val="09226375"/>
    <w:rsid w:val="0ACC6B48"/>
    <w:rsid w:val="0B871D77"/>
    <w:rsid w:val="0C9F359A"/>
    <w:rsid w:val="0CA16EE5"/>
    <w:rsid w:val="0D9217FF"/>
    <w:rsid w:val="0E4C59BA"/>
    <w:rsid w:val="0EBB1BDE"/>
    <w:rsid w:val="0F6F7F34"/>
    <w:rsid w:val="101C52D6"/>
    <w:rsid w:val="101D08B5"/>
    <w:rsid w:val="10EB7CBC"/>
    <w:rsid w:val="11BF37BC"/>
    <w:rsid w:val="125A1448"/>
    <w:rsid w:val="140E7208"/>
    <w:rsid w:val="14603804"/>
    <w:rsid w:val="146C72AE"/>
    <w:rsid w:val="15344EF4"/>
    <w:rsid w:val="15D648EF"/>
    <w:rsid w:val="15F30E66"/>
    <w:rsid w:val="16CC7FAF"/>
    <w:rsid w:val="17034227"/>
    <w:rsid w:val="17811BF8"/>
    <w:rsid w:val="17D97E88"/>
    <w:rsid w:val="182243B7"/>
    <w:rsid w:val="18BA405A"/>
    <w:rsid w:val="1A177AC0"/>
    <w:rsid w:val="1A323848"/>
    <w:rsid w:val="1AAE0FBC"/>
    <w:rsid w:val="1AEB35C0"/>
    <w:rsid w:val="1AEF6B0B"/>
    <w:rsid w:val="1C180E63"/>
    <w:rsid w:val="1C6F24E2"/>
    <w:rsid w:val="1CB2219C"/>
    <w:rsid w:val="1ED336BB"/>
    <w:rsid w:val="1FB45399"/>
    <w:rsid w:val="200E34D5"/>
    <w:rsid w:val="21425D7D"/>
    <w:rsid w:val="228644BC"/>
    <w:rsid w:val="22FB7F58"/>
    <w:rsid w:val="23FB6A9C"/>
    <w:rsid w:val="25A367BA"/>
    <w:rsid w:val="2681023C"/>
    <w:rsid w:val="268F6552"/>
    <w:rsid w:val="2A37753C"/>
    <w:rsid w:val="2AEA3261"/>
    <w:rsid w:val="2BB242BF"/>
    <w:rsid w:val="2BCC7832"/>
    <w:rsid w:val="2C086F7F"/>
    <w:rsid w:val="2C4C2E62"/>
    <w:rsid w:val="2C7538F6"/>
    <w:rsid w:val="2C8C5AA8"/>
    <w:rsid w:val="2CA95714"/>
    <w:rsid w:val="2F23779A"/>
    <w:rsid w:val="30206575"/>
    <w:rsid w:val="302360F4"/>
    <w:rsid w:val="3072699C"/>
    <w:rsid w:val="307C226C"/>
    <w:rsid w:val="31661DFE"/>
    <w:rsid w:val="31AF0B33"/>
    <w:rsid w:val="31EE0370"/>
    <w:rsid w:val="32A02A82"/>
    <w:rsid w:val="33792E86"/>
    <w:rsid w:val="33F8505F"/>
    <w:rsid w:val="341310B1"/>
    <w:rsid w:val="342243B6"/>
    <w:rsid w:val="34546879"/>
    <w:rsid w:val="351A4513"/>
    <w:rsid w:val="35AB2FB9"/>
    <w:rsid w:val="35AF5C6F"/>
    <w:rsid w:val="35D56FBA"/>
    <w:rsid w:val="36017104"/>
    <w:rsid w:val="36337AA3"/>
    <w:rsid w:val="36B94672"/>
    <w:rsid w:val="36E03935"/>
    <w:rsid w:val="373D491F"/>
    <w:rsid w:val="38851787"/>
    <w:rsid w:val="38C63AAE"/>
    <w:rsid w:val="39323C3B"/>
    <w:rsid w:val="39930E3E"/>
    <w:rsid w:val="3A58306B"/>
    <w:rsid w:val="3B941A46"/>
    <w:rsid w:val="3BC2558E"/>
    <w:rsid w:val="3D1D48D7"/>
    <w:rsid w:val="3DC477D1"/>
    <w:rsid w:val="3E055E90"/>
    <w:rsid w:val="3EB002E1"/>
    <w:rsid w:val="3ECC2612"/>
    <w:rsid w:val="3F4425A2"/>
    <w:rsid w:val="3F841B37"/>
    <w:rsid w:val="40841FCC"/>
    <w:rsid w:val="41433320"/>
    <w:rsid w:val="41B56B45"/>
    <w:rsid w:val="41C20357"/>
    <w:rsid w:val="42A80822"/>
    <w:rsid w:val="42DC761B"/>
    <w:rsid w:val="433F4264"/>
    <w:rsid w:val="45363794"/>
    <w:rsid w:val="459415C6"/>
    <w:rsid w:val="46157879"/>
    <w:rsid w:val="46B226AF"/>
    <w:rsid w:val="47FA3CDB"/>
    <w:rsid w:val="48147089"/>
    <w:rsid w:val="48FD1321"/>
    <w:rsid w:val="494E56CC"/>
    <w:rsid w:val="497B3188"/>
    <w:rsid w:val="49FE3BDC"/>
    <w:rsid w:val="4A1913A8"/>
    <w:rsid w:val="4B023F4B"/>
    <w:rsid w:val="4BE952C7"/>
    <w:rsid w:val="4C294F33"/>
    <w:rsid w:val="4C2E2E03"/>
    <w:rsid w:val="4C46445A"/>
    <w:rsid w:val="4C58634B"/>
    <w:rsid w:val="4CCA2028"/>
    <w:rsid w:val="4D543701"/>
    <w:rsid w:val="4E2A3C86"/>
    <w:rsid w:val="4E477B8D"/>
    <w:rsid w:val="4F745527"/>
    <w:rsid w:val="4F986150"/>
    <w:rsid w:val="4F9E7691"/>
    <w:rsid w:val="50365D70"/>
    <w:rsid w:val="50612B19"/>
    <w:rsid w:val="507751DD"/>
    <w:rsid w:val="50F97720"/>
    <w:rsid w:val="5247634D"/>
    <w:rsid w:val="525A6150"/>
    <w:rsid w:val="52823BCD"/>
    <w:rsid w:val="52D93700"/>
    <w:rsid w:val="532F5C34"/>
    <w:rsid w:val="536B5904"/>
    <w:rsid w:val="546463D8"/>
    <w:rsid w:val="54DB417C"/>
    <w:rsid w:val="5569194E"/>
    <w:rsid w:val="56A676A8"/>
    <w:rsid w:val="58EF106F"/>
    <w:rsid w:val="5A390967"/>
    <w:rsid w:val="5A900D5F"/>
    <w:rsid w:val="5BF47C68"/>
    <w:rsid w:val="5C3A4998"/>
    <w:rsid w:val="5C5459E8"/>
    <w:rsid w:val="5C63738A"/>
    <w:rsid w:val="5CA14A69"/>
    <w:rsid w:val="5DE67C11"/>
    <w:rsid w:val="5E387B09"/>
    <w:rsid w:val="5FBF4D2E"/>
    <w:rsid w:val="600E3EF8"/>
    <w:rsid w:val="60A204FC"/>
    <w:rsid w:val="60F63C99"/>
    <w:rsid w:val="629C4E5A"/>
    <w:rsid w:val="63123525"/>
    <w:rsid w:val="63B4281C"/>
    <w:rsid w:val="642342DE"/>
    <w:rsid w:val="64715C24"/>
    <w:rsid w:val="64A448E0"/>
    <w:rsid w:val="64C85A75"/>
    <w:rsid w:val="653F5E0D"/>
    <w:rsid w:val="65527816"/>
    <w:rsid w:val="65555212"/>
    <w:rsid w:val="65BF3643"/>
    <w:rsid w:val="65D11773"/>
    <w:rsid w:val="662E111E"/>
    <w:rsid w:val="66320795"/>
    <w:rsid w:val="669D1029"/>
    <w:rsid w:val="66A02EF0"/>
    <w:rsid w:val="67F2448C"/>
    <w:rsid w:val="67F74BDB"/>
    <w:rsid w:val="67FD1E64"/>
    <w:rsid w:val="68B725B5"/>
    <w:rsid w:val="69117950"/>
    <w:rsid w:val="6A7177BA"/>
    <w:rsid w:val="6A736832"/>
    <w:rsid w:val="6A7526AD"/>
    <w:rsid w:val="6AAE7282"/>
    <w:rsid w:val="6B183469"/>
    <w:rsid w:val="6B411367"/>
    <w:rsid w:val="6B425B3F"/>
    <w:rsid w:val="6B662143"/>
    <w:rsid w:val="6BCD52D8"/>
    <w:rsid w:val="6E0E0C26"/>
    <w:rsid w:val="6E366386"/>
    <w:rsid w:val="6E4E154F"/>
    <w:rsid w:val="6E501DE9"/>
    <w:rsid w:val="6EA470E4"/>
    <w:rsid w:val="6F9D65B5"/>
    <w:rsid w:val="6FA75111"/>
    <w:rsid w:val="6FE6646C"/>
    <w:rsid w:val="70EA1F97"/>
    <w:rsid w:val="72D448FF"/>
    <w:rsid w:val="734E3EDE"/>
    <w:rsid w:val="73AB7C8F"/>
    <w:rsid w:val="73E74BBD"/>
    <w:rsid w:val="750C692C"/>
    <w:rsid w:val="75144708"/>
    <w:rsid w:val="75A67FF1"/>
    <w:rsid w:val="75E10DB6"/>
    <w:rsid w:val="7809333E"/>
    <w:rsid w:val="787471D0"/>
    <w:rsid w:val="78DF5F11"/>
    <w:rsid w:val="78E93778"/>
    <w:rsid w:val="790904EC"/>
    <w:rsid w:val="79F1554B"/>
    <w:rsid w:val="7A5C7443"/>
    <w:rsid w:val="7A993B48"/>
    <w:rsid w:val="7AE441BF"/>
    <w:rsid w:val="7C517942"/>
    <w:rsid w:val="7CB458B4"/>
    <w:rsid w:val="7FB2376C"/>
    <w:rsid w:val="7FB61CD6"/>
    <w:rsid w:val="7FF1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8277</Words>
  <Characters>8277</Characters>
  <Lines>0</Lines>
  <Paragraphs>0</Paragraphs>
  <TotalTime>40</TotalTime>
  <ScaleCrop>false</ScaleCrop>
  <LinksUpToDate>false</LinksUpToDate>
  <CharactersWithSpaces>8577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2024-03-25T09:17:00Z</dcterms:created>
  <dc:creator>openUser</dc:creator>
  <cp:lastModifiedBy>永华</cp:lastModifiedBy>
  <cp:lastPrinted>2024-04-02T08:41:51Z</cp:lastPrinted>
  <dcterms:modified xsi:type="dcterms:W3CDTF">2024-04-02T09:33:12Z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A07A95DE442D4526AAF21220C62F89B5_13</vt:lpwstr>
  </property>
</Properties>
</file>