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color w:val="auto"/>
          <w:sz w:val="44"/>
          <w:szCs w:val="44"/>
          <w:lang w:val="en-US" w:eastAsia="zh-CN"/>
        </w:rPr>
      </w:pPr>
      <w:r>
        <w:rPr>
          <w:rFonts w:hint="eastAsia" w:ascii="微软雅黑" w:hAnsi="微软雅黑" w:eastAsia="微软雅黑" w:cs="微软雅黑"/>
          <w:color w:val="auto"/>
          <w:sz w:val="44"/>
          <w:szCs w:val="44"/>
          <w:lang w:val="en-US" w:eastAsia="zh-CN"/>
        </w:rPr>
        <w:t>推行企业客户“信用+办电”告知承诺制工作实施方案</w:t>
      </w:r>
    </w:p>
    <w:p>
      <w:pPr>
        <w:pStyle w:val="2"/>
        <w:jc w:val="center"/>
        <w:rPr>
          <w:rFonts w:hint="eastAsia" w:ascii="楷体" w:hAnsi="楷体" w:eastAsia="楷体" w:cs="楷体"/>
          <w:b w:val="0"/>
          <w:bCs/>
          <w:sz w:val="32"/>
          <w:szCs w:val="32"/>
          <w:lang w:val="en-US" w:eastAsia="zh-CN"/>
        </w:rPr>
      </w:pPr>
      <w:r>
        <w:rPr>
          <w:rFonts w:hint="eastAsia" w:ascii="楷体" w:hAnsi="楷体" w:eastAsia="楷体" w:cs="楷体"/>
          <w:b w:val="0"/>
          <w:bCs/>
          <w:color w:val="auto"/>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按照《汕尾市全面推行证明事项告知承诺制工作实施方案》（汕府办函〔2021〕117号）要求，为持续优化用电营商环境，深入践行“我为群众办实事”专题实践活动，结合汕尾市“无证明城市”创建工作要求，拟对全市企业客户实行用电报装用电地址权属证明采用告知承诺制，特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color w:val="auto"/>
          <w:kern w:val="2"/>
          <w:sz w:val="32"/>
          <w:szCs w:val="32"/>
          <w:lang w:val="en-US" w:eastAsia="zh-CN" w:bidi="ar-SA"/>
        </w:rPr>
      </w:pPr>
      <w:r>
        <w:rPr>
          <w:rFonts w:hint="eastAsia" w:ascii="黑体" w:hAnsi="黑体" w:eastAsia="黑体" w:cs="黑体"/>
          <w:b w:val="0"/>
          <w:color w:val="auto"/>
          <w:kern w:val="2"/>
          <w:sz w:val="32"/>
          <w:szCs w:val="32"/>
          <w:lang w:val="en-US" w:eastAsia="zh-CN" w:bidi="ar-SA"/>
        </w:rPr>
        <w:t>一、业务介绍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对汕尾市辖区内因历史原因无法提供产权证明的守信用电主体，由用电主体书面向供电部门作出诚信守法用电承诺后，以“企业信用报告+证明事项告知承诺书”的方式代替产权证明，即可办理用电申请。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color w:val="auto"/>
          <w:kern w:val="2"/>
          <w:sz w:val="32"/>
          <w:szCs w:val="32"/>
          <w:lang w:val="en-US" w:eastAsia="zh-CN" w:bidi="ar-SA"/>
        </w:rPr>
      </w:pPr>
      <w:r>
        <w:rPr>
          <w:rFonts w:hint="eastAsia" w:ascii="黑体" w:hAnsi="黑体" w:eastAsia="黑体" w:cs="黑体"/>
          <w:b w:val="0"/>
          <w:color w:val="auto"/>
          <w:kern w:val="2"/>
          <w:sz w:val="32"/>
          <w:szCs w:val="32"/>
          <w:lang w:val="en-US" w:eastAsia="zh-CN" w:bidi="ar-SA"/>
        </w:rPr>
        <w:t>二、适用范围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color w:val="auto"/>
          <w:kern w:val="2"/>
          <w:sz w:val="32"/>
          <w:szCs w:val="32"/>
          <w:lang w:val="en-US" w:eastAsia="zh-CN" w:bidi="ar-SA"/>
        </w:rPr>
      </w:pPr>
      <w:r>
        <w:rPr>
          <w:rFonts w:hint="eastAsia" w:ascii="楷体" w:hAnsi="楷体" w:eastAsia="楷体" w:cs="楷体"/>
          <w:b w:val="0"/>
          <w:color w:val="auto"/>
          <w:kern w:val="2"/>
          <w:sz w:val="32"/>
          <w:szCs w:val="32"/>
          <w:lang w:val="en-US" w:eastAsia="zh-CN" w:bidi="ar-SA"/>
        </w:rPr>
        <w:t>（一）适用客户群体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营业执照注册地址在汕尾市内的商事客户（不含光伏），工商注册地址与用电地址一致。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color w:val="auto"/>
          <w:kern w:val="2"/>
          <w:sz w:val="32"/>
          <w:szCs w:val="32"/>
          <w:lang w:val="en-US" w:eastAsia="zh-CN" w:bidi="ar-SA"/>
        </w:rPr>
      </w:pPr>
      <w:r>
        <w:rPr>
          <w:rFonts w:hint="eastAsia" w:ascii="楷体" w:hAnsi="楷体" w:eastAsia="楷体" w:cs="楷体"/>
          <w:b w:val="0"/>
          <w:color w:val="auto"/>
          <w:kern w:val="2"/>
          <w:sz w:val="32"/>
          <w:szCs w:val="32"/>
          <w:lang w:val="en-US" w:eastAsia="zh-CN" w:bidi="ar-SA"/>
        </w:rPr>
        <w:t>（二）守信用电体认定标准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守信用电主体由本市电力主管部门和供电部门进行认定，应同时满足以下条件：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1.用电主体签署《证明事项告知承诺书》。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2.连续3年内公共信用报告未记载严重违法失信记录或列入联合惩戒对象。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3.连续3年内无欠费、窃电、违约用电等供电失信信息记录。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color w:val="auto"/>
          <w:kern w:val="2"/>
          <w:sz w:val="32"/>
          <w:szCs w:val="32"/>
          <w:lang w:val="en-US" w:eastAsia="zh-CN" w:bidi="ar-SA"/>
        </w:rPr>
      </w:pPr>
      <w:r>
        <w:rPr>
          <w:rFonts w:hint="eastAsia" w:ascii="黑体" w:hAnsi="黑体" w:eastAsia="黑体" w:cs="黑体"/>
          <w:b w:val="0"/>
          <w:color w:val="auto"/>
          <w:kern w:val="2"/>
          <w:sz w:val="32"/>
          <w:szCs w:val="32"/>
          <w:lang w:val="en-US" w:eastAsia="zh-CN" w:bidi="ar-SA"/>
        </w:rPr>
        <w:t>三、办理流程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color w:val="auto"/>
          <w:kern w:val="2"/>
          <w:sz w:val="32"/>
          <w:szCs w:val="32"/>
          <w:lang w:val="en-US" w:eastAsia="zh-CN" w:bidi="ar-SA"/>
        </w:rPr>
      </w:pPr>
      <w:r>
        <w:rPr>
          <w:rFonts w:hint="eastAsia" w:ascii="楷体" w:hAnsi="楷体" w:eastAsia="楷体" w:cs="楷体"/>
          <w:b w:val="0"/>
          <w:color w:val="auto"/>
          <w:kern w:val="2"/>
          <w:sz w:val="32"/>
          <w:szCs w:val="32"/>
          <w:lang w:val="en-US" w:eastAsia="zh-CN" w:bidi="ar-SA"/>
        </w:rPr>
        <w:t>（一）服务告知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汕尾供电局对实施告知承诺的事项，即业扩报装业务（非居民新装、高压新装），在政务服务办事大厅、政务服务平台、内部网站及营业厅等公共服务平台，公开线上线下办事指南及告知承诺书格式文本，方便用电申请人查阅或下载。书面告知的内容包括证明事项名称、用途、设定依据、证明内容、承诺的效率和不实承诺可能承担的民事、行政、刑事责任，行政机关核查权利，承诺书是否公开、公开范围及时限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color w:val="auto"/>
          <w:kern w:val="2"/>
          <w:sz w:val="32"/>
          <w:szCs w:val="32"/>
          <w:lang w:val="en-US" w:eastAsia="zh-CN" w:bidi="ar-SA"/>
        </w:rPr>
      </w:pPr>
      <w:r>
        <w:rPr>
          <w:rFonts w:hint="eastAsia" w:ascii="楷体" w:hAnsi="楷体" w:eastAsia="楷体" w:cs="楷体"/>
          <w:b w:val="0"/>
          <w:color w:val="auto"/>
          <w:kern w:val="2"/>
          <w:sz w:val="32"/>
          <w:szCs w:val="32"/>
          <w:lang w:val="en-US" w:eastAsia="zh-CN" w:bidi="ar-SA"/>
        </w:rPr>
        <w:t>（二）用电主体承诺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1.书面承诺的内容包括用电申请人已知晓告知事项、已符合相关条件、愿意承担不实承诺的法律责任以及承诺的意思表示真实等。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2.用电主体（企业法人）在办理用电报装申请时，递交本人签署的承诺书及业务办理所需的其他资料给供电业务办理部门，业务办理人员对用电申请人提交的资料开展审核。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color w:val="auto"/>
          <w:kern w:val="2"/>
          <w:sz w:val="32"/>
          <w:szCs w:val="32"/>
          <w:lang w:val="en-US" w:eastAsia="zh-CN" w:bidi="ar-SA"/>
        </w:rPr>
      </w:pPr>
      <w:r>
        <w:rPr>
          <w:rFonts w:hint="eastAsia" w:ascii="楷体" w:hAnsi="楷体" w:eastAsia="楷体" w:cs="楷体"/>
          <w:b w:val="0"/>
          <w:color w:val="auto"/>
          <w:kern w:val="2"/>
          <w:sz w:val="32"/>
          <w:szCs w:val="32"/>
          <w:lang w:val="en-US" w:eastAsia="zh-CN" w:bidi="ar-SA"/>
        </w:rPr>
        <w:t>（三）线上流程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1.用电主体在“善美店小二”平台对应模块发起申请，关联企业信息获取信用主管部门出具的信用信息报告，同时签署《证明事项告知承诺书》，《证明事项告知承诺书》在“善美店小二”平台向社会公示，公示期为2个工作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b w:val="0"/>
          <w:color w:val="auto"/>
          <w:kern w:val="2"/>
          <w:sz w:val="32"/>
          <w:szCs w:val="32"/>
          <w:lang w:val="en-US" w:eastAsia="zh-CN" w:bidi="ar-SA"/>
        </w:rPr>
        <w:t>2.在公示期满后，用电主体可在“善美店小二”平台发起用电申请，供电部门予以受理。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color w:val="auto"/>
          <w:kern w:val="2"/>
          <w:sz w:val="32"/>
          <w:szCs w:val="32"/>
          <w:lang w:val="en-US" w:eastAsia="zh-CN" w:bidi="ar-SA"/>
        </w:rPr>
      </w:pPr>
      <w:r>
        <w:rPr>
          <w:rFonts w:hint="eastAsia" w:ascii="楷体" w:hAnsi="楷体" w:eastAsia="楷体" w:cs="楷体"/>
          <w:b w:val="0"/>
          <w:color w:val="auto"/>
          <w:kern w:val="2"/>
          <w:sz w:val="32"/>
          <w:szCs w:val="32"/>
          <w:lang w:val="en-US" w:eastAsia="zh-CN" w:bidi="ar-SA"/>
        </w:rPr>
        <w:t>（四）违诺失信处理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建立完善告知承诺信用信息记录工作机制，依法落实客户失信惩戒行为，对于经政府相关部门核查后存在申请人隐瞒真实情况、提供虚假承诺的（即政府行政管理部门认定本用电地址为违法用地、违法建设，或无证照经营，或存在其他违法违章行为），供电部门有权对申请人的用电地址实施停电，不承担由其产生的违约责任或损害赔偿责任，申请人不追究供电方责任。在实施停电过程中，申请人不得阻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同时，供电部门有权将申请人列入失信客户名单，并将其失信信息提交给市发改部门纳入公共信用信息平台作为信用评价的依据。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如因申请人不实承诺、核查环节信息错误等情形导致的错误决定，政府行政管理部门对供电业务部门及经办人员不作负面评价、不追究相关责任。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color w:val="auto"/>
          <w:kern w:val="2"/>
          <w:sz w:val="32"/>
          <w:szCs w:val="32"/>
          <w:lang w:val="en-US" w:eastAsia="zh-CN" w:bidi="ar-SA"/>
        </w:rPr>
      </w:pPr>
      <w:r>
        <w:rPr>
          <w:rFonts w:hint="eastAsia" w:ascii="黑体" w:hAnsi="黑体" w:eastAsia="黑体" w:cs="黑体"/>
          <w:b w:val="0"/>
          <w:color w:val="auto"/>
          <w:kern w:val="2"/>
          <w:sz w:val="32"/>
          <w:szCs w:val="32"/>
          <w:lang w:val="en-US" w:eastAsia="zh-CN" w:bidi="ar-SA"/>
        </w:rPr>
        <w:t>三、部门职责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（一）汕尾市发展和改革局负责建立完善告知承诺信用信息记录、归集、推送工作机制，根据虚假承诺造成的社会影响进行失信程度分级，区分不同失信情况实施相应惩戒措施。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（二）汕尾市政务服务数据管理局负责做好“善美店小二”用电办理告知承诺制功能模块的构建工作，协调做好政务信息资源共享工作。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（三）汕尾供电局是客户产权证明告知承诺制的实施主体部门，负责做好客户产权证明告知承诺制的解释引导、承诺书制定及告知承诺制办事指南公开及宣传工作。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附件：《用电报装证明事项告知承诺书》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color w:val="auto"/>
          <w:kern w:val="2"/>
          <w:sz w:val="32"/>
          <w:szCs w:val="32"/>
          <w:lang w:val="en-US" w:eastAsia="zh-CN" w:bidi="ar-SA"/>
        </w:rPr>
      </w:pPr>
    </w:p>
    <w:p>
      <w:pPr>
        <w:pStyle w:val="2"/>
        <w:rPr>
          <w:rFonts w:hint="default" w:ascii="仿宋_GB2312" w:hAnsi="仿宋_GB2312" w:eastAsia="仿宋_GB2312" w:cs="仿宋_GB2312"/>
          <w:b w:val="0"/>
          <w:color w:val="auto"/>
          <w:kern w:val="2"/>
          <w:sz w:val="32"/>
          <w:szCs w:val="32"/>
          <w:lang w:val="en-US" w:eastAsia="zh-CN" w:bidi="ar-SA"/>
        </w:rPr>
      </w:pPr>
    </w:p>
    <w:p>
      <w:pPr>
        <w:pStyle w:val="3"/>
        <w:rPr>
          <w:rFonts w:hint="default" w:ascii="仿宋_GB2312" w:hAnsi="仿宋_GB2312" w:eastAsia="仿宋_GB2312" w:cs="仿宋_GB2312"/>
          <w:b w:val="0"/>
          <w:color w:val="auto"/>
          <w:kern w:val="2"/>
          <w:sz w:val="32"/>
          <w:szCs w:val="32"/>
          <w:lang w:val="en-US" w:eastAsia="zh-CN" w:bidi="ar-SA"/>
        </w:rPr>
      </w:pPr>
    </w:p>
    <w:p>
      <w:pPr>
        <w:rPr>
          <w:rFonts w:hint="default" w:ascii="仿宋_GB2312" w:hAnsi="仿宋_GB2312" w:eastAsia="仿宋_GB2312" w:cs="仿宋_GB2312"/>
          <w:b w:val="0"/>
          <w:color w:val="auto"/>
          <w:kern w:val="2"/>
          <w:sz w:val="32"/>
          <w:szCs w:val="32"/>
          <w:lang w:val="en-US" w:eastAsia="zh-CN" w:bidi="ar-SA"/>
        </w:rPr>
      </w:pPr>
    </w:p>
    <w:p>
      <w:pPr>
        <w:pStyle w:val="2"/>
        <w:rPr>
          <w:rFonts w:hint="default" w:ascii="仿宋_GB2312" w:hAnsi="仿宋_GB2312" w:eastAsia="仿宋_GB2312" w:cs="仿宋_GB2312"/>
          <w:b w:val="0"/>
          <w:color w:val="auto"/>
          <w:kern w:val="2"/>
          <w:sz w:val="32"/>
          <w:szCs w:val="32"/>
          <w:lang w:val="en-US" w:eastAsia="zh-CN" w:bidi="ar-SA"/>
        </w:rPr>
      </w:pPr>
    </w:p>
    <w:p>
      <w:pPr>
        <w:pStyle w:val="3"/>
        <w:rPr>
          <w:rFonts w:hint="default" w:ascii="仿宋_GB2312" w:hAnsi="仿宋_GB2312" w:eastAsia="仿宋_GB2312" w:cs="仿宋_GB2312"/>
          <w:b w:val="0"/>
          <w:color w:val="auto"/>
          <w:kern w:val="2"/>
          <w:sz w:val="32"/>
          <w:szCs w:val="32"/>
          <w:lang w:val="en-US" w:eastAsia="zh-CN" w:bidi="ar-SA"/>
        </w:rPr>
      </w:pPr>
    </w:p>
    <w:p>
      <w:pPr>
        <w:rPr>
          <w:rFonts w:hint="default" w:ascii="仿宋_GB2312" w:hAnsi="仿宋_GB2312" w:eastAsia="仿宋_GB2312" w:cs="仿宋_GB2312"/>
          <w:b w:val="0"/>
          <w:color w:val="auto"/>
          <w:kern w:val="2"/>
          <w:sz w:val="32"/>
          <w:szCs w:val="32"/>
          <w:lang w:val="en-US" w:eastAsia="zh-CN" w:bidi="ar-SA"/>
        </w:rPr>
      </w:pPr>
    </w:p>
    <w:p>
      <w:pPr>
        <w:pStyle w:val="2"/>
        <w:rPr>
          <w:rFonts w:hint="default" w:ascii="仿宋_GB2312" w:hAnsi="仿宋_GB2312" w:eastAsia="仿宋_GB2312" w:cs="仿宋_GB2312"/>
          <w:b w:val="0"/>
          <w:color w:val="auto"/>
          <w:kern w:val="2"/>
          <w:sz w:val="32"/>
          <w:szCs w:val="32"/>
          <w:lang w:val="en-US" w:eastAsia="zh-CN" w:bidi="ar-SA"/>
        </w:rPr>
      </w:pPr>
    </w:p>
    <w:p>
      <w:pPr>
        <w:pStyle w:val="3"/>
        <w:rPr>
          <w:rFonts w:hint="default" w:ascii="仿宋_GB2312" w:hAnsi="仿宋_GB2312" w:eastAsia="仿宋_GB2312" w:cs="仿宋_GB2312"/>
          <w:b w:val="0"/>
          <w:color w:val="auto"/>
          <w:kern w:val="2"/>
          <w:sz w:val="32"/>
          <w:szCs w:val="32"/>
          <w:lang w:val="en-US" w:eastAsia="zh-CN" w:bidi="ar-SA"/>
        </w:rPr>
      </w:pPr>
    </w:p>
    <w:p>
      <w:pPr>
        <w:rPr>
          <w:rFonts w:hint="default" w:ascii="仿宋_GB2312" w:hAnsi="仿宋_GB2312" w:eastAsia="仿宋_GB2312" w:cs="仿宋_GB2312"/>
          <w:b w:val="0"/>
          <w:color w:val="auto"/>
          <w:kern w:val="2"/>
          <w:sz w:val="32"/>
          <w:szCs w:val="32"/>
          <w:lang w:val="en-US" w:eastAsia="zh-CN" w:bidi="ar-SA"/>
        </w:rPr>
      </w:pPr>
    </w:p>
    <w:p>
      <w:pPr>
        <w:pStyle w:val="2"/>
        <w:rPr>
          <w:rFonts w:hint="default" w:ascii="仿宋_GB2312" w:hAnsi="仿宋_GB2312" w:eastAsia="仿宋_GB2312" w:cs="仿宋_GB2312"/>
          <w:b w:val="0"/>
          <w:color w:val="auto"/>
          <w:kern w:val="2"/>
          <w:sz w:val="32"/>
          <w:szCs w:val="32"/>
          <w:lang w:val="en-US" w:eastAsia="zh-CN" w:bidi="ar-SA"/>
        </w:rPr>
      </w:pPr>
    </w:p>
    <w:p>
      <w:pPr>
        <w:pStyle w:val="3"/>
        <w:rPr>
          <w:rFonts w:hint="default" w:ascii="仿宋_GB2312" w:hAnsi="仿宋_GB2312" w:eastAsia="仿宋_GB2312" w:cs="仿宋_GB2312"/>
          <w:b w:val="0"/>
          <w:color w:val="auto"/>
          <w:kern w:val="2"/>
          <w:sz w:val="32"/>
          <w:szCs w:val="32"/>
          <w:lang w:val="en-US" w:eastAsia="zh-CN" w:bidi="ar-SA"/>
        </w:rPr>
      </w:pPr>
    </w:p>
    <w:p>
      <w:pPr>
        <w:rPr>
          <w:rFonts w:hint="default" w:ascii="仿宋_GB2312" w:hAnsi="仿宋_GB2312" w:eastAsia="仿宋_GB2312" w:cs="仿宋_GB2312"/>
          <w:b w:val="0"/>
          <w:color w:val="auto"/>
          <w:kern w:val="2"/>
          <w:sz w:val="32"/>
          <w:szCs w:val="32"/>
          <w:lang w:val="en-US" w:eastAsia="zh-CN" w:bidi="ar-SA"/>
        </w:rPr>
      </w:pPr>
    </w:p>
    <w:p>
      <w:pPr>
        <w:pStyle w:val="2"/>
        <w:rPr>
          <w:rFonts w:hint="default" w:ascii="仿宋_GB2312" w:hAnsi="仿宋_GB2312" w:eastAsia="仿宋_GB2312" w:cs="仿宋_GB2312"/>
          <w:b w:val="0"/>
          <w:color w:val="auto"/>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Style w:val="10"/>
        </w:rPr>
      </w:pPr>
      <w:r>
        <w:rPr>
          <w:rStyle w:val="10"/>
        </w:rPr>
        <w:t>参考样式一</w:t>
      </w:r>
    </w:p>
    <w:p>
      <w:pPr>
        <w:keepNext w:val="0"/>
        <w:keepLines w:val="0"/>
        <w:pageBreakBefore w:val="0"/>
        <w:widowControl w:val="0"/>
        <w:kinsoku/>
        <w:wordWrap/>
        <w:overflowPunct/>
        <w:topLinePunct w:val="0"/>
        <w:autoSpaceDE/>
        <w:autoSpaceDN/>
        <w:bidi w:val="0"/>
        <w:adjustRightInd/>
        <w:snapToGrid/>
        <w:spacing w:line="560" w:lineRule="exact"/>
        <w:ind w:left="3074" w:leftChars="1045" w:hanging="880" w:hangingChars="200"/>
        <w:jc w:val="both"/>
        <w:textAlignment w:val="auto"/>
        <w:rPr>
          <w:rStyle w:val="9"/>
        </w:rPr>
      </w:pPr>
      <w:r>
        <w:rPr>
          <w:rStyle w:val="9"/>
        </w:rPr>
        <w:t>证明事项告知承诺书</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Style w:val="11"/>
        </w:rPr>
      </w:pPr>
      <w:r>
        <w:rPr>
          <w:rStyle w:val="11"/>
        </w:rPr>
        <w:t>(</w:t>
      </w:r>
      <w:r>
        <w:rPr>
          <w:rStyle w:val="11"/>
          <w:rFonts w:hint="eastAsia" w:eastAsia="仿宋_GB2312"/>
          <w:lang w:eastAsia="zh-CN"/>
        </w:rPr>
        <w:t>低压非居民及高压客户用电新装</w:t>
      </w:r>
      <w:r>
        <w:rPr>
          <w:rStyle w:val="11"/>
        </w:rPr>
        <w:t>)</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Style w:val="11"/>
        </w:rPr>
      </w:pPr>
      <w:r>
        <w:rPr>
          <w:rStyle w:val="10"/>
        </w:rPr>
        <w:t>一、 基本信息</w:t>
      </w:r>
      <w:r>
        <w:rPr>
          <w:rStyle w:val="10"/>
        </w:rPr>
        <w:br w:type="textWrapping"/>
      </w:r>
      <w:r>
        <w:rPr>
          <w:rStyle w:val="12"/>
        </w:rPr>
        <w:t>（一） 申请人</w:t>
      </w:r>
      <w:r>
        <w:rPr>
          <w:rStyle w:val="12"/>
        </w:rPr>
        <w:br w:type="textWrapping"/>
      </w:r>
      <w:r>
        <w:rPr>
          <w:rStyle w:val="11"/>
        </w:rPr>
        <w:t xml:space="preserve">姓名/名称: </w:t>
      </w:r>
      <w:r>
        <w:rPr>
          <w:rStyle w:val="11"/>
          <w:rFonts w:hint="eastAsia" w:eastAsia="仿宋_GB2312"/>
          <w:u w:val="single"/>
          <w:lang w:val="en-US" w:eastAsia="zh-CN"/>
        </w:rPr>
        <w:t xml:space="preserve">              </w:t>
      </w:r>
      <w:r>
        <w:rPr>
          <w:rStyle w:val="11"/>
          <w:rFonts w:hint="eastAsia" w:eastAsia="仿宋_GB2312"/>
          <w:u w:val="none"/>
          <w:lang w:val="en-US" w:eastAsia="zh-CN"/>
        </w:rPr>
        <w:t xml:space="preserve">  </w:t>
      </w:r>
      <w:r>
        <w:rPr>
          <w:rStyle w:val="11"/>
        </w:rPr>
        <w:t>联系方式:</w:t>
      </w:r>
      <w:r>
        <w:rPr>
          <w:rStyle w:val="11"/>
          <w:rFonts w:hint="eastAsia" w:eastAsia="仿宋_GB2312"/>
          <w:u w:val="single"/>
          <w:lang w:val="en-US" w:eastAsia="zh-CN"/>
        </w:rPr>
        <w:t xml:space="preserve">              </w:t>
      </w:r>
      <w:r>
        <w:rPr>
          <w:rStyle w:val="11"/>
        </w:rPr>
        <w:br w:type="textWrapping"/>
      </w:r>
      <w:r>
        <w:rPr>
          <w:rStyle w:val="11"/>
        </w:rPr>
        <w:t>证件类型:</w:t>
      </w:r>
      <w:r>
        <w:rPr>
          <w:rStyle w:val="13"/>
        </w:rPr>
        <w:sym w:font="Wingdings" w:char="00A8"/>
      </w:r>
      <w:r>
        <w:rPr>
          <w:rStyle w:val="11"/>
        </w:rPr>
        <w:t>身份证</w:t>
      </w:r>
      <w:r>
        <w:rPr>
          <w:rStyle w:val="13"/>
        </w:rPr>
        <w:sym w:font="Wingdings" w:char="00A8"/>
      </w:r>
      <w:r>
        <w:rPr>
          <w:rStyle w:val="11"/>
        </w:rPr>
        <w:t>军官证</w:t>
      </w:r>
      <w:r>
        <w:rPr>
          <w:rStyle w:val="13"/>
        </w:rPr>
        <w:sym w:font="Wingdings" w:char="00A8"/>
      </w:r>
      <w:r>
        <w:rPr>
          <w:rStyle w:val="11"/>
        </w:rPr>
        <w:t>残疾人证</w:t>
      </w:r>
      <w:r>
        <w:rPr>
          <w:rStyle w:val="13"/>
        </w:rPr>
        <w:sym w:font="Wingdings" w:char="00A8"/>
      </w:r>
      <w:r>
        <w:rPr>
          <w:rStyle w:val="11"/>
        </w:rPr>
        <w:t>营业执照</w:t>
      </w:r>
      <w:r>
        <w:rPr>
          <w:rStyle w:val="13"/>
        </w:rPr>
        <w:sym w:font="Wingdings" w:char="00A8"/>
      </w:r>
      <w:r>
        <w:rPr>
          <w:rStyle w:val="11"/>
        </w:rPr>
        <w:t>其他</w:t>
      </w:r>
      <w:r>
        <w:rPr>
          <w:rStyle w:val="11"/>
        </w:rPr>
        <w:br w:type="textWrapping"/>
      </w:r>
      <w:r>
        <w:rPr>
          <w:rStyle w:val="11"/>
        </w:rPr>
        <w:t>证件号码: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0"/>
        </w:rPr>
      </w:pPr>
      <w:r>
        <w:rPr>
          <w:rStyle w:val="10"/>
        </w:rPr>
        <w:t xml:space="preserve">二、 </w:t>
      </w:r>
      <w:r>
        <w:rPr>
          <w:rStyle w:val="10"/>
          <w:rFonts w:hint="eastAsia" w:eastAsia="黑体"/>
          <w:lang w:eastAsia="zh-CN"/>
        </w:rPr>
        <w:t>供电企业</w:t>
      </w:r>
      <w:r>
        <w:rPr>
          <w:rStyle w:val="10"/>
        </w:rPr>
        <w:t>告知内容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4"/>
        </w:rPr>
      </w:pPr>
      <w:r>
        <w:rPr>
          <w:rStyle w:val="14"/>
        </w:rPr>
        <w:t>(一)证明事项名称和证明内容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Pr>
      </w:pPr>
      <w:r>
        <w:rPr>
          <w:rStyle w:val="11"/>
        </w:rPr>
        <w:t>下列证明事项实行告知承诺制,申请人可以自主选择是否采用告知承诺制方式办理。不愿承诺或者无法承诺的，应当提交法律法规或者国务院决定要求的证明: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Pr>
      </w:pPr>
      <w:r>
        <w:rPr>
          <w:rStyle w:val="11"/>
        </w:rPr>
        <w:t>1.</w:t>
      </w:r>
      <w:r>
        <w:rPr>
          <w:rStyle w:val="11"/>
          <w:rFonts w:hint="eastAsia"/>
          <w:b w:val="0"/>
          <w:i w:val="0"/>
          <w:color w:val="424242"/>
          <w:lang w:eastAsia="zh-CN"/>
        </w:rPr>
        <w:t>申请用电地址</w:t>
      </w:r>
      <w:r>
        <w:rPr>
          <w:rStyle w:val="11"/>
        </w:rPr>
        <w:t>:</w:t>
      </w:r>
      <w:r>
        <w:rPr>
          <w:rStyle w:val="11"/>
          <w:rFonts w:hint="eastAsia" w:eastAsia="仿宋_GB2312"/>
          <w:u w:val="single"/>
          <w:lang w:val="en-US" w:eastAsia="zh-CN"/>
        </w:rPr>
        <w:t xml:space="preserve">    市   县（区)   镇(街）   村（居）委                                         </w:t>
      </w:r>
      <w:r>
        <w:rPr>
          <w:rStyle w:val="11"/>
          <w:rFonts w:hint="eastAsia" w:eastAsia="仿宋_GB2312"/>
          <w:u w:val="none"/>
          <w:lang w:val="en-US" w:eastAsia="zh-CN"/>
        </w:rPr>
        <w:t xml:space="preserve"> </w:t>
      </w:r>
      <w:r>
        <w:rPr>
          <w:rStyle w:val="11"/>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lang w:eastAsia="zh-CN"/>
        </w:rPr>
      </w:pPr>
      <w:r>
        <w:rPr>
          <w:rStyle w:val="11"/>
          <w:rFonts w:hint="eastAsia" w:eastAsia="仿宋_GB2312"/>
          <w:lang w:val="en-US" w:eastAsia="zh-CN"/>
        </w:rPr>
        <w:t>2.上述</w:t>
      </w:r>
      <w:r>
        <w:rPr>
          <w:rStyle w:val="11"/>
          <w:rFonts w:hint="eastAsia" w:eastAsia="仿宋_GB2312"/>
          <w:lang w:eastAsia="zh-CN"/>
        </w:rPr>
        <w:t>用电地址由申请人享有合法权属，不属于小产权房，且不存在违法用地、违法建设、无证照经营或其他违法违章行为。</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Style w:val="11"/>
          <w:rFonts w:hint="eastAsia" w:eastAsia="仿宋_GB2312"/>
          <w:lang w:eastAsia="zh-CN"/>
        </w:rPr>
      </w:pPr>
      <w:r>
        <w:rPr>
          <w:rStyle w:val="14"/>
        </w:rPr>
        <w:t>(二)证明用途</w:t>
      </w:r>
      <w:r>
        <w:rPr>
          <w:rStyle w:val="14"/>
        </w:rPr>
        <w:br w:type="textWrapping"/>
      </w:r>
      <w:r>
        <w:rPr>
          <w:rStyle w:val="11"/>
        </w:rPr>
        <w:t>办理:</w:t>
      </w:r>
      <w:r>
        <w:rPr>
          <w:rStyle w:val="11"/>
          <w:rFonts w:hint="eastAsia" w:eastAsia="仿宋_GB2312"/>
          <w:lang w:eastAsia="zh-CN"/>
        </w:rPr>
        <w:t>低压非居民及高压客户用电新装。</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Style w:val="14"/>
        </w:rPr>
      </w:pPr>
      <w:r>
        <w:rPr>
          <w:rStyle w:val="14"/>
        </w:rPr>
        <w:t>(三)法律法规设定依据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hint="eastAsia" w:eastAsia="仿宋_GB2312"/>
          <w:b w:val="0"/>
          <w:i w:val="0"/>
          <w:color w:val="424242"/>
          <w:lang w:eastAsia="zh-CN"/>
        </w:rPr>
      </w:pPr>
      <w:r>
        <w:rPr>
          <w:rStyle w:val="11"/>
          <w:rFonts w:hint="eastAsia" w:eastAsia="仿宋_GB2312"/>
          <w:b w:val="0"/>
          <w:i w:val="0"/>
          <w:color w:val="424242"/>
          <w:lang w:eastAsia="zh-CN"/>
        </w:rPr>
        <w:t>1</w:t>
      </w:r>
      <w:r>
        <w:rPr>
          <w:rStyle w:val="11"/>
          <w:rFonts w:hint="eastAsia" w:eastAsia="仿宋_GB2312"/>
          <w:b w:val="0"/>
          <w:i w:val="0"/>
          <w:color w:val="424242"/>
          <w:lang w:val="en-US" w:eastAsia="zh-CN"/>
        </w:rPr>
        <w:t>.</w:t>
      </w:r>
      <w:r>
        <w:rPr>
          <w:rStyle w:val="11"/>
          <w:rFonts w:hint="eastAsia" w:eastAsia="仿宋_GB2312"/>
          <w:b w:val="0"/>
          <w:i w:val="0"/>
          <w:color w:val="424242"/>
          <w:lang w:eastAsia="zh-CN"/>
        </w:rPr>
        <w:t>《中华人民共和国电力法》第二十六条</w:t>
      </w:r>
      <w:r>
        <w:rPr>
          <w:rStyle w:val="11"/>
          <w:rFonts w:hint="eastAsia" w:eastAsia="仿宋_GB2312"/>
          <w:b w:val="0"/>
          <w:i w:val="0"/>
          <w:color w:val="424242"/>
          <w:lang w:val="en-US" w:eastAsia="zh-CN"/>
        </w:rPr>
        <w:t xml:space="preserve"> </w:t>
      </w:r>
      <w:r>
        <w:rPr>
          <w:rStyle w:val="11"/>
          <w:rFonts w:hint="eastAsia" w:eastAsia="仿宋_GB2312"/>
          <w:b w:val="0"/>
          <w:i w:val="0"/>
          <w:color w:val="424242"/>
          <w:lang w:eastAsia="zh-CN"/>
        </w:rPr>
        <w:t>第二款</w:t>
      </w:r>
      <w:r>
        <w:rPr>
          <w:rStyle w:val="11"/>
          <w:rFonts w:hint="eastAsia" w:eastAsia="仿宋_GB2312"/>
          <w:b w:val="0"/>
          <w:i w:val="0"/>
          <w:color w:val="424242"/>
          <w:lang w:val="en-US" w:eastAsia="zh-CN"/>
        </w:rPr>
        <w:t xml:space="preserve"> </w:t>
      </w:r>
      <w:r>
        <w:rPr>
          <w:rStyle w:val="11"/>
          <w:rFonts w:hint="eastAsia" w:eastAsia="仿宋_GB2312"/>
          <w:b w:val="0"/>
          <w:i w:val="0"/>
          <w:color w:val="424242"/>
          <w:lang w:eastAsia="zh-CN"/>
        </w:rPr>
        <w:t>申请新装用电、临时用电、增加用电容量、变更用电和终止用电，应当依照规定的程序办理手续；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hint="eastAsia" w:eastAsia="仿宋_GB2312"/>
          <w:b w:val="0"/>
          <w:i w:val="0"/>
          <w:color w:val="424242"/>
          <w:lang w:eastAsia="zh-CN"/>
        </w:rPr>
      </w:pPr>
      <w:r>
        <w:rPr>
          <w:rStyle w:val="11"/>
          <w:rFonts w:hint="eastAsia" w:eastAsia="仿宋_GB2312"/>
          <w:b w:val="0"/>
          <w:i w:val="0"/>
          <w:color w:val="424242"/>
          <w:lang w:eastAsia="zh-CN"/>
        </w:rPr>
        <w:t>2</w:t>
      </w:r>
      <w:r>
        <w:rPr>
          <w:rStyle w:val="11"/>
          <w:rFonts w:hint="eastAsia" w:eastAsia="仿宋_GB2312"/>
          <w:b w:val="0"/>
          <w:i w:val="0"/>
          <w:color w:val="424242"/>
          <w:lang w:val="en-US" w:eastAsia="zh-CN"/>
        </w:rPr>
        <w:t>.</w:t>
      </w:r>
      <w:r>
        <w:rPr>
          <w:rStyle w:val="11"/>
          <w:rFonts w:hint="eastAsia" w:eastAsia="仿宋_GB2312"/>
          <w:b w:val="0"/>
          <w:i w:val="0"/>
          <w:color w:val="424242"/>
          <w:lang w:eastAsia="zh-CN"/>
        </w:rPr>
        <w:t>《电力供应与使用条例》第二十三条</w:t>
      </w:r>
      <w:r>
        <w:rPr>
          <w:rStyle w:val="11"/>
          <w:rFonts w:hint="eastAsia" w:eastAsia="仿宋_GB2312"/>
          <w:b w:val="0"/>
          <w:i w:val="0"/>
          <w:color w:val="424242"/>
          <w:lang w:val="en-US" w:eastAsia="zh-CN"/>
        </w:rPr>
        <w:t xml:space="preserve"> </w:t>
      </w:r>
      <w:r>
        <w:rPr>
          <w:rStyle w:val="11"/>
          <w:rFonts w:hint="eastAsia" w:eastAsia="仿宋_GB2312"/>
          <w:b w:val="0"/>
          <w:i w:val="0"/>
          <w:color w:val="424242"/>
          <w:lang w:eastAsia="zh-CN"/>
        </w:rPr>
        <w:t>申请新装用电、临时用电、增加用电容量、变更用电和终止用电，均应当到当地供电企业办理手续，并按照国家有关规定交付费用；供电企业没有不予供电的合理理由的，应当供电。供电企业应当在其营业场所公告用电的程序、制度和收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hint="eastAsia" w:eastAsia="仿宋_GB2312"/>
          <w:b w:val="0"/>
          <w:i w:val="0"/>
          <w:color w:val="424242"/>
          <w:lang w:eastAsia="zh-CN"/>
        </w:rPr>
      </w:pPr>
      <w:r>
        <w:rPr>
          <w:rStyle w:val="11"/>
          <w:rFonts w:hint="eastAsia" w:eastAsia="仿宋_GB2312"/>
          <w:b w:val="0"/>
          <w:i w:val="0"/>
          <w:color w:val="424242"/>
          <w:lang w:eastAsia="zh-CN"/>
        </w:rPr>
        <w:t>3</w:t>
      </w:r>
      <w:r>
        <w:rPr>
          <w:rStyle w:val="11"/>
          <w:rFonts w:hint="eastAsia" w:eastAsia="仿宋_GB2312"/>
          <w:b w:val="0"/>
          <w:i w:val="0"/>
          <w:color w:val="424242"/>
          <w:lang w:val="en-US" w:eastAsia="zh-CN"/>
        </w:rPr>
        <w:t>.</w:t>
      </w:r>
      <w:r>
        <w:rPr>
          <w:rStyle w:val="11"/>
          <w:rFonts w:hint="eastAsia" w:eastAsia="仿宋_GB2312"/>
          <w:b w:val="0"/>
          <w:i w:val="0"/>
          <w:color w:val="424242"/>
          <w:lang w:eastAsia="zh-CN"/>
        </w:rPr>
        <w:t>《供电营业规则》第十六条</w:t>
      </w:r>
      <w:r>
        <w:rPr>
          <w:rStyle w:val="11"/>
          <w:rFonts w:hint="eastAsia" w:eastAsia="仿宋_GB2312"/>
          <w:b w:val="0"/>
          <w:i w:val="0"/>
          <w:color w:val="424242"/>
          <w:lang w:val="en-US" w:eastAsia="zh-CN"/>
        </w:rPr>
        <w:t xml:space="preserve"> </w:t>
      </w:r>
      <w:r>
        <w:rPr>
          <w:rStyle w:val="11"/>
          <w:rFonts w:hint="eastAsia" w:eastAsia="仿宋_GB2312"/>
          <w:b w:val="0"/>
          <w:i w:val="0"/>
          <w:color w:val="424242"/>
          <w:lang w:eastAsia="zh-CN"/>
        </w:rPr>
        <w:t>任何单位或个人需新装用电或增加用电容量、变更用电都必须按本规则规定，事先到供电企业用电营业场所提出申请，办理手续。供电企业应在用电营业场所公告办理各项用电业务的程序、制度和收费标准。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hint="eastAsia" w:eastAsia="仿宋_GB2312"/>
          <w:b w:val="0"/>
          <w:i w:val="0"/>
          <w:color w:val="424242"/>
          <w:lang w:eastAsia="zh-CN"/>
        </w:rPr>
      </w:pPr>
      <w:r>
        <w:rPr>
          <w:rStyle w:val="11"/>
          <w:rFonts w:hint="eastAsia" w:eastAsia="仿宋_GB2312"/>
          <w:b w:val="0"/>
          <w:i w:val="0"/>
          <w:color w:val="424242"/>
          <w:lang w:eastAsia="zh-CN"/>
        </w:rPr>
        <w:t>4</w:t>
      </w:r>
      <w:r>
        <w:rPr>
          <w:rStyle w:val="11"/>
          <w:rFonts w:hint="eastAsia" w:eastAsia="仿宋_GB2312"/>
          <w:b w:val="0"/>
          <w:i w:val="0"/>
          <w:color w:val="424242"/>
          <w:lang w:val="en-US" w:eastAsia="zh-CN"/>
        </w:rPr>
        <w:t>.</w:t>
      </w:r>
      <w:r>
        <w:rPr>
          <w:rStyle w:val="11"/>
          <w:rFonts w:hint="eastAsia" w:eastAsia="仿宋_GB2312"/>
          <w:b w:val="0"/>
          <w:i w:val="0"/>
          <w:color w:val="424242"/>
          <w:lang w:eastAsia="zh-CN"/>
        </w:rPr>
        <w:t>《供电营业规则》第十八条</w:t>
      </w:r>
      <w:r>
        <w:rPr>
          <w:rStyle w:val="11"/>
          <w:rFonts w:hint="eastAsia" w:eastAsia="仿宋_GB2312"/>
          <w:b w:val="0"/>
          <w:i w:val="0"/>
          <w:color w:val="424242"/>
          <w:lang w:val="en-US" w:eastAsia="zh-CN"/>
        </w:rPr>
        <w:t xml:space="preserve"> </w:t>
      </w:r>
      <w:r>
        <w:rPr>
          <w:rStyle w:val="11"/>
          <w:rFonts w:hint="eastAsia" w:eastAsia="仿宋_GB2312"/>
          <w:b w:val="0"/>
          <w:i w:val="0"/>
          <w:color w:val="424242"/>
          <w:lang w:eastAsia="zh-CN"/>
        </w:rPr>
        <w:t>用户申请新装或增加用电时，应向供电企业提供用电工程项目批准的文件及有关的用电资料，包括用电地点、电力用途、用电性质、用电设备清单、用电负荷、保安电力、用电规划等，并依照供电企业规定的格式如实填写用电申请书及办理所需手续。新建受电工程项目在立项阶段，用户应与供电企业联系，就工程供电的可能性、用电容量和供电条件等达成意向性协议，方可定址，确定项目。未按前款规定办理的，供电企业有权拒绝受理其用电申请。如因供电企业供电能力不足或政府规定限制的用电项目，供电企业可通知用户暂缓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hint="eastAsia" w:eastAsia="仿宋_GB2312"/>
          <w:b w:val="0"/>
          <w:color w:val="424242"/>
        </w:rPr>
      </w:pPr>
      <w:r>
        <w:rPr>
          <w:rStyle w:val="11"/>
          <w:rFonts w:hint="eastAsia" w:eastAsia="仿宋_GB2312"/>
          <w:b w:val="0"/>
          <w:i w:val="0"/>
          <w:color w:val="424242"/>
          <w:lang w:val="en-US" w:eastAsia="zh-CN"/>
        </w:rPr>
        <w:t>5.《汕尾市电力设施保护和供用电秩序维护条例》第三十八条 有下列情形之一的，供电企业可以中止供电：</w:t>
      </w:r>
      <w:r>
        <w:rPr>
          <w:rStyle w:val="11"/>
          <w:rFonts w:hint="eastAsia" w:eastAsia="仿宋_GB2312"/>
          <w:b w:val="0"/>
          <w:color w:val="424242"/>
        </w:rPr>
        <w:t>（八）依法配合行政机关行政执法停电的；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hint="eastAsia" w:eastAsia="仿宋_GB2312"/>
          <w:b w:val="0"/>
          <w:i w:val="0"/>
          <w:color w:val="424242"/>
          <w:lang w:eastAsia="zh-CN"/>
        </w:rPr>
      </w:pPr>
      <w:r>
        <w:rPr>
          <w:rStyle w:val="11"/>
          <w:rFonts w:hint="eastAsia" w:eastAsia="仿宋_GB2312"/>
          <w:b w:val="0"/>
          <w:i w:val="0"/>
          <w:color w:val="424242"/>
          <w:lang w:val="en-US" w:eastAsia="zh-CN"/>
        </w:rPr>
        <w:t>6.《汕尾市电力设施保护和供用电秩序维护条例》</w:t>
      </w:r>
      <w:r>
        <w:rPr>
          <w:rStyle w:val="11"/>
          <w:rFonts w:hint="eastAsia" w:eastAsia="仿宋_GB2312"/>
          <w:b w:val="0"/>
          <w:color w:val="424242"/>
        </w:rPr>
        <w:t>第三十九条</w:t>
      </w:r>
      <w:r>
        <w:rPr>
          <w:rStyle w:val="11"/>
          <w:rFonts w:eastAsia="仿宋_GB2312"/>
          <w:b w:val="0"/>
          <w:color w:val="424242"/>
        </w:rPr>
        <w:t>   供电企业中止供电应当按照下列方式和程序通知用户：</w:t>
      </w:r>
      <w:r>
        <w:rPr>
          <w:rStyle w:val="11"/>
          <w:rFonts w:hint="eastAsia" w:eastAsia="仿宋_GB2312"/>
          <w:b w:val="0"/>
          <w:color w:val="424242"/>
        </w:rPr>
        <w:t>（三）行政机关要求供电企业配合行政执法中止供电的，应当书面通知供电企业，明确停电时间、复电时间并提供执法依据，供电企业应当按照规定书面通知用户；</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Style w:val="14"/>
        </w:rPr>
      </w:pPr>
      <w:r>
        <w:rPr>
          <w:rStyle w:val="14"/>
        </w:rPr>
        <w:t>(四)承诺的效力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highlight w:val="none"/>
        </w:rPr>
      </w:pPr>
      <w:r>
        <w:rPr>
          <w:rStyle w:val="11"/>
        </w:rPr>
        <w:t>申请人书面承诺符合告知的条件</w:t>
      </w:r>
      <w:r>
        <w:rPr>
          <w:rStyle w:val="11"/>
          <w:rFonts w:hint="eastAsia" w:eastAsia="仿宋_GB2312"/>
          <w:lang w:eastAsia="zh-CN"/>
        </w:rPr>
        <w:t>、</w:t>
      </w:r>
      <w:r>
        <w:rPr>
          <w:rStyle w:val="11"/>
        </w:rPr>
        <w:t>要求</w:t>
      </w:r>
      <w:r>
        <w:rPr>
          <w:rStyle w:val="11"/>
          <w:rFonts w:hint="eastAsia" w:eastAsia="仿宋_GB2312"/>
          <w:lang w:eastAsia="zh-CN"/>
        </w:rPr>
        <w:t>，</w:t>
      </w:r>
      <w:r>
        <w:rPr>
          <w:rStyle w:val="11"/>
        </w:rPr>
        <w:t>并愿意承担不实承诺的法律责任。申请人作出承诺后，</w:t>
      </w:r>
      <w:r>
        <w:rPr>
          <w:rStyle w:val="11"/>
          <w:rFonts w:hint="eastAsia" w:eastAsia="仿宋_GB2312"/>
          <w:lang w:eastAsia="zh-CN"/>
        </w:rPr>
        <w:t>供电企业</w:t>
      </w:r>
      <w:r>
        <w:rPr>
          <w:rStyle w:val="11"/>
        </w:rPr>
        <w:t>不再索要有关证明，依据申请人的承诺办理相关事项。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4"/>
        </w:rPr>
      </w:pPr>
      <w:r>
        <w:rPr>
          <w:rStyle w:val="14"/>
        </w:rPr>
        <w:t>(</w:t>
      </w:r>
      <w:r>
        <w:rPr>
          <w:rStyle w:val="14"/>
          <w:rFonts w:hint="eastAsia" w:eastAsia="楷体"/>
          <w:lang w:eastAsia="zh-CN"/>
        </w:rPr>
        <w:t>五</w:t>
      </w:r>
      <w:r>
        <w:rPr>
          <w:rStyle w:val="14"/>
        </w:rPr>
        <w:t>)不实承诺的责任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Pr>
      </w:pPr>
      <w:r>
        <w:rPr>
          <w:rStyle w:val="11"/>
        </w:rPr>
        <w:t>对申请人隐瞒真实情况、提供虚假承诺办理有关事项的，依法作出如下处理: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Fonts w:hint="eastAsia"/>
          <w:lang w:val="en-US" w:eastAsia="zh-CN"/>
        </w:rPr>
      </w:pPr>
      <w:r>
        <w:rPr>
          <w:rStyle w:val="11"/>
          <w:rFonts w:hint="eastAsia"/>
          <w:lang w:val="en-US" w:eastAsia="zh-CN"/>
        </w:rPr>
        <w:t>1. 供电企业有权将失信申请人列入失信客户名单，提交给信用主管部门作为信用评价的依据。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Pr>
      </w:pPr>
      <w:r>
        <w:rPr>
          <w:rStyle w:val="11"/>
          <w:rFonts w:hint="eastAsia"/>
          <w:lang w:val="en-US" w:eastAsia="zh-CN"/>
        </w:rPr>
        <w:t>2.供电企业有权按照行政机关的要求对申请人的用电地址实施停电，在实施停电过程中，申请人不得阻挠。因申请人不实承诺情形导致停电所造成的法律责任和各种损失后果由申请人自行全部承担，供电企业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0"/>
        </w:rPr>
      </w:pPr>
      <w:r>
        <w:rPr>
          <w:rStyle w:val="10"/>
        </w:rPr>
        <w:t>三、 申请人承诺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Pr>
      </w:pPr>
      <w:r>
        <w:rPr>
          <w:rStyle w:val="11"/>
        </w:rPr>
        <w:t>申请人现作出下列承诺: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Pr>
      </w:pPr>
      <w:r>
        <w:rPr>
          <w:rStyle w:val="11"/>
        </w:rPr>
        <w:t>(一)本人(本企业/本组织)已经知晓</w:t>
      </w:r>
      <w:r>
        <w:rPr>
          <w:rStyle w:val="11"/>
          <w:rFonts w:hint="eastAsia" w:eastAsia="仿宋_GB2312"/>
          <w:lang w:eastAsia="zh-CN"/>
        </w:rPr>
        <w:t>供电企业</w:t>
      </w:r>
      <w:r>
        <w:rPr>
          <w:rStyle w:val="11"/>
        </w:rPr>
        <w:t>告知的全部内容；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Pr>
      </w:pPr>
      <w:r>
        <w:rPr>
          <w:rStyle w:val="11"/>
        </w:rPr>
        <w:t>(二)本人(本企业/本组织)符合</w:t>
      </w:r>
      <w:r>
        <w:rPr>
          <w:rStyle w:val="11"/>
          <w:rFonts w:hint="eastAsia" w:eastAsia="仿宋_GB2312"/>
          <w:lang w:eastAsia="zh-CN"/>
        </w:rPr>
        <w:t>供电企业</w:t>
      </w:r>
      <w:r>
        <w:rPr>
          <w:rStyle w:val="11"/>
        </w:rPr>
        <w:t>告知的条件、 要求，并选择对</w:t>
      </w:r>
      <w:r>
        <w:rPr>
          <w:rStyle w:val="11"/>
          <w:rFonts w:hint="eastAsia" w:eastAsia="仿宋_GB2312"/>
          <w:lang w:eastAsia="zh-CN"/>
        </w:rPr>
        <w:t>用电地址权属证明</w:t>
      </w:r>
      <w:r>
        <w:rPr>
          <w:rStyle w:val="11"/>
        </w:rPr>
        <w:t>采用告知承诺制办理</w:t>
      </w:r>
      <w:r>
        <w:rPr>
          <w:rStyle w:val="11"/>
          <w:rFonts w:hint="eastAsia" w:eastAsia="仿宋_GB231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Pr>
      </w:pPr>
      <w:r>
        <w:rPr>
          <w:rStyle w:val="11"/>
        </w:rPr>
        <w:t>(三)本人(本企业/本组织)愿意承担不实承诺的法律责任;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Pr>
      </w:pPr>
      <w:r>
        <w:rPr>
          <w:rStyle w:val="11"/>
        </w:rPr>
        <w:t>(四)本人(本企业/本组织)填写的告知承诺内容信息真实、准确;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Style w:val="11"/>
        </w:rPr>
      </w:pPr>
      <w:r>
        <w:rPr>
          <w:rStyle w:val="11"/>
        </w:rPr>
        <w:t>(五)上述承诺是本人(本企业/本组织)真实的意思表示。</w:t>
      </w:r>
      <w:r>
        <w:rPr>
          <w:rStyle w:val="11"/>
        </w:rPr>
        <w:br w:type="textWrapping"/>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Style w:val="11"/>
          <w:rFonts w:hint="eastAsia" w:eastAsia="仿宋_GB2312"/>
          <w:lang w:val="en-US" w:eastAsia="zh-CN"/>
        </w:rPr>
      </w:pPr>
      <w:r>
        <w:rPr>
          <w:rStyle w:val="11"/>
        </w:rPr>
        <w:t>申请人:(签名/盖章)</w:t>
      </w:r>
      <w:r>
        <w:rPr>
          <w:rStyle w:val="11"/>
          <w:rFonts w:hint="eastAsia" w:eastAsia="仿宋_GB2312"/>
          <w:u w:val="single"/>
          <w:lang w:val="en-US" w:eastAsia="zh-CN"/>
        </w:rPr>
        <w:t xml:space="preserve">                  </w:t>
      </w:r>
      <w:r>
        <w:rPr>
          <w:rStyle w:val="11"/>
          <w:rFonts w:hint="eastAsia" w:eastAsia="仿宋_GB231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pPr>
      <w:r>
        <w:rPr>
          <w:rStyle w:val="11"/>
        </w:rPr>
        <w:t>日 期:</w:t>
      </w:r>
      <w:r>
        <w:rPr>
          <w:rStyle w:val="11"/>
        </w:rPr>
        <w:br w:type="textWrapping"/>
      </w:r>
    </w:p>
    <w:p>
      <w:pPr>
        <w:pStyle w:val="3"/>
        <w:rPr>
          <w:rFonts w:hint="default"/>
          <w:lang w:val="en-US" w:eastAsia="zh-CN"/>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XBSJW--GB1-0">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Wingdings-Regular">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0ZTk4NGE1MTEwNTQzODUzZDVmZmQ1Yjc5ZTQ0M2QifQ=="/>
  </w:docVars>
  <w:rsids>
    <w:rsidRoot w:val="00000000"/>
    <w:rsid w:val="01063E1F"/>
    <w:rsid w:val="022817B8"/>
    <w:rsid w:val="03E54B3F"/>
    <w:rsid w:val="057714CB"/>
    <w:rsid w:val="06C11D20"/>
    <w:rsid w:val="07BF7A9A"/>
    <w:rsid w:val="08650211"/>
    <w:rsid w:val="0F995CEB"/>
    <w:rsid w:val="10574C67"/>
    <w:rsid w:val="19687BAD"/>
    <w:rsid w:val="1A827EC8"/>
    <w:rsid w:val="1B3316DE"/>
    <w:rsid w:val="1C7D7401"/>
    <w:rsid w:val="1D2B7E45"/>
    <w:rsid w:val="1D696497"/>
    <w:rsid w:val="201B018B"/>
    <w:rsid w:val="20B403BA"/>
    <w:rsid w:val="24111988"/>
    <w:rsid w:val="26503B5E"/>
    <w:rsid w:val="291E2BBE"/>
    <w:rsid w:val="2AFD312A"/>
    <w:rsid w:val="33C932DB"/>
    <w:rsid w:val="34ED4AFB"/>
    <w:rsid w:val="369C6AB3"/>
    <w:rsid w:val="39590181"/>
    <w:rsid w:val="405A47E2"/>
    <w:rsid w:val="41646B8E"/>
    <w:rsid w:val="4276614C"/>
    <w:rsid w:val="479D402D"/>
    <w:rsid w:val="4C225E04"/>
    <w:rsid w:val="50681966"/>
    <w:rsid w:val="5168545B"/>
    <w:rsid w:val="53207A93"/>
    <w:rsid w:val="533774DC"/>
    <w:rsid w:val="59E17C23"/>
    <w:rsid w:val="5B5E296F"/>
    <w:rsid w:val="5B8D2802"/>
    <w:rsid w:val="60D80C29"/>
    <w:rsid w:val="616373E8"/>
    <w:rsid w:val="639D08C6"/>
    <w:rsid w:val="645C2703"/>
    <w:rsid w:val="659A5AF0"/>
    <w:rsid w:val="68DC0B35"/>
    <w:rsid w:val="695B6948"/>
    <w:rsid w:val="6C782276"/>
    <w:rsid w:val="6F831E67"/>
    <w:rsid w:val="729E278B"/>
    <w:rsid w:val="72DD45C9"/>
    <w:rsid w:val="751C1CD2"/>
    <w:rsid w:val="76663429"/>
    <w:rsid w:val="798B1974"/>
    <w:rsid w:val="79B27EE9"/>
    <w:rsid w:val="7A916E50"/>
    <w:rsid w:val="7D0D4F10"/>
    <w:rsid w:val="7EC41E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3"/>
    <w:next w:val="3"/>
    <w:uiPriority w:val="0"/>
    <w:pPr>
      <w:jc w:val="both"/>
    </w:pPr>
    <w:rPr>
      <w:rFonts w:ascii="Arial" w:hAnsi="Arial" w:eastAsia="宋体" w:cs="Times New Roman"/>
      <w:color w:val="000000"/>
      <w:sz w:val="24"/>
    </w:rPr>
  </w:style>
  <w:style w:type="paragraph" w:styleId="3">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4">
    <w:name w:val="annotation text"/>
    <w:basedOn w:val="1"/>
    <w:qFormat/>
    <w:uiPriority w:val="0"/>
    <w:pPr>
      <w:jc w:val="left"/>
    </w:pPr>
  </w:style>
  <w:style w:type="paragraph" w:styleId="5">
    <w:name w:val="footnote text"/>
    <w:basedOn w:val="1"/>
    <w:qFormat/>
    <w:uiPriority w:val="0"/>
    <w:pPr>
      <w:snapToGrid w:val="0"/>
      <w:jc w:val="left"/>
    </w:pPr>
    <w:rPr>
      <w:sz w:val="18"/>
    </w:rPr>
  </w:style>
  <w:style w:type="character" w:styleId="8">
    <w:name w:val="footnote reference"/>
    <w:basedOn w:val="7"/>
    <w:qFormat/>
    <w:uiPriority w:val="0"/>
    <w:rPr>
      <w:vertAlign w:val="superscript"/>
    </w:rPr>
  </w:style>
  <w:style w:type="character" w:customStyle="1" w:styleId="9">
    <w:name w:val="fontstyle11"/>
    <w:basedOn w:val="7"/>
    <w:qFormat/>
    <w:uiPriority w:val="0"/>
    <w:rPr>
      <w:rFonts w:ascii="FZXBSJW--GB1-0" w:hAnsi="FZXBSJW--GB1-0" w:eastAsia="FZXBSJW--GB1-0" w:cs="FZXBSJW--GB1-0"/>
      <w:color w:val="424242"/>
      <w:sz w:val="44"/>
      <w:szCs w:val="44"/>
    </w:rPr>
  </w:style>
  <w:style w:type="character" w:customStyle="1" w:styleId="10">
    <w:name w:val="fontstyle01"/>
    <w:basedOn w:val="7"/>
    <w:qFormat/>
    <w:uiPriority w:val="0"/>
    <w:rPr>
      <w:rFonts w:ascii="黑体" w:hAnsi="宋体" w:eastAsia="黑体" w:cs="黑体"/>
      <w:color w:val="424242"/>
      <w:sz w:val="32"/>
      <w:szCs w:val="32"/>
    </w:rPr>
  </w:style>
  <w:style w:type="character" w:customStyle="1" w:styleId="11">
    <w:name w:val="fontstyle21"/>
    <w:basedOn w:val="7"/>
    <w:qFormat/>
    <w:uiPriority w:val="0"/>
    <w:rPr>
      <w:rFonts w:ascii="仿宋_GB2312" w:hAnsi="仿宋_GB2312" w:eastAsia="仿宋_GB2312" w:cs="仿宋_GB2312"/>
      <w:color w:val="424242"/>
      <w:sz w:val="32"/>
      <w:szCs w:val="32"/>
    </w:rPr>
  </w:style>
  <w:style w:type="character" w:customStyle="1" w:styleId="12">
    <w:name w:val="fontstyle41"/>
    <w:basedOn w:val="7"/>
    <w:qFormat/>
    <w:uiPriority w:val="0"/>
    <w:rPr>
      <w:rFonts w:ascii="楷体_GB2312" w:hAnsi="楷体_GB2312" w:eastAsia="楷体_GB2312" w:cs="楷体_GB2312"/>
      <w:color w:val="424242"/>
      <w:sz w:val="32"/>
      <w:szCs w:val="32"/>
    </w:rPr>
  </w:style>
  <w:style w:type="character" w:customStyle="1" w:styleId="13">
    <w:name w:val="fontstyle51"/>
    <w:basedOn w:val="7"/>
    <w:qFormat/>
    <w:uiPriority w:val="0"/>
    <w:rPr>
      <w:rFonts w:ascii="Wingdings-Regular" w:hAnsi="Wingdings-Regular" w:eastAsia="Wingdings-Regular" w:cs="Wingdings-Regular"/>
      <w:color w:val="424242"/>
      <w:sz w:val="32"/>
      <w:szCs w:val="32"/>
    </w:rPr>
  </w:style>
  <w:style w:type="character" w:customStyle="1" w:styleId="14">
    <w:name w:val="fontstyle61"/>
    <w:basedOn w:val="7"/>
    <w:qFormat/>
    <w:uiPriority w:val="0"/>
    <w:rPr>
      <w:rFonts w:ascii="楷体" w:hAnsi="楷体" w:eastAsia="楷体" w:cs="楷体"/>
      <w:color w:val="42424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1460</Words>
  <Characters>1472</Characters>
  <Lines>0</Lines>
  <Paragraphs>0</Paragraphs>
  <TotalTime>1</TotalTime>
  <ScaleCrop>false</ScaleCrop>
  <LinksUpToDate>false</LinksUpToDate>
  <CharactersWithSpaces>1472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2020-12-29T05:50:00Z</dcterms:created>
  <dc:creator>yandaxin</dc:creator>
  <cp:lastModifiedBy>弘</cp:lastModifiedBy>
  <cp:lastPrinted>2021-09-14T08:38:00Z</cp:lastPrinted>
  <dcterms:modified xsi:type="dcterms:W3CDTF">2022-06-29T02:50:32Z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2B8A0B40B59C4425BA5D636AC4DF6540</vt:lpwstr>
  </property>
</Properties>
</file>