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sz w:val="44"/>
          <w:szCs w:val="44"/>
          <w:lang w:eastAsia="zh-CN"/>
        </w:rPr>
      </w:pPr>
      <w:r>
        <w:rPr>
          <w:rFonts w:hint="eastAsia" w:ascii="方正小标宋简体" w:hAnsi="方正小标宋简体" w:eastAsia="方正小标宋简体" w:cs="方正小标宋简体"/>
          <w:sz w:val="44"/>
          <w:szCs w:val="44"/>
          <w:lang w:eastAsia="zh-CN"/>
        </w:rPr>
        <w:t>关于《汕尾市海洋牧场发展促进条例（草案送审稿）》的起草说明</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为深入学习习近平生态文明思想和习近平总书记在广东考察调研时的重要讲话、重要指示精神，全面贯彻落实省委“1310”具体部署</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深入践行大食物观，助推现代化海洋牧场建设，市</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局结合我市实际，会同有关单位起草了《汕尾市海洋牧场发展</w:t>
      </w:r>
      <w:r>
        <w:rPr>
          <w:rFonts w:hint="eastAsia" w:ascii="仿宋_GB2312" w:hAnsi="仿宋_GB2312" w:cs="仿宋_GB2312"/>
          <w:sz w:val="32"/>
          <w:szCs w:val="32"/>
          <w:lang w:val="en-US" w:eastAsia="zh-CN"/>
        </w:rPr>
        <w:t>促进条例</w:t>
      </w:r>
      <w:r>
        <w:rPr>
          <w:rFonts w:hint="eastAsia" w:ascii="仿宋_GB2312" w:hAnsi="仿宋_GB2312" w:eastAsia="仿宋_GB2312" w:cs="仿宋_GB2312"/>
          <w:sz w:val="32"/>
          <w:szCs w:val="32"/>
        </w:rPr>
        <w:t>》（下称《</w:t>
      </w:r>
      <w:r>
        <w:rPr>
          <w:rFonts w:hint="eastAsia" w:ascii="仿宋_GB2312" w:hAnsi="仿宋_GB2312" w:cs="仿宋_GB2312"/>
          <w:sz w:val="32"/>
          <w:szCs w:val="32"/>
          <w:lang w:eastAsia="zh-CN"/>
        </w:rPr>
        <w:t>条例</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旨在通过地方性法规立法为我市海洋牧场发展提供法制保障，进一步</w:t>
      </w:r>
      <w:r>
        <w:rPr>
          <w:rFonts w:hint="eastAsia" w:ascii="仿宋_GB2312" w:hAnsi="仿宋_GB2312" w:eastAsia="仿宋_GB2312" w:cs="仿宋_GB2312"/>
          <w:sz w:val="32"/>
          <w:szCs w:val="32"/>
        </w:rPr>
        <w:t>推动水产养殖从近海走向深蓝，打造粤港澳大湾区“粤海粮仓”，培育经济增长新动能，加快推动汕尾海洋经济高质量发展。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二、立法的必要性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制定本《条例》的必要性在于：</w:t>
      </w:r>
      <w:r>
        <w:rPr>
          <w:rFonts w:hint="eastAsia" w:ascii="仿宋_GB2312" w:hAnsi="仿宋_GB2312" w:eastAsia="仿宋_GB2312" w:cs="仿宋_GB2312"/>
          <w:b w:val="0"/>
          <w:bCs w:val="0"/>
          <w:sz w:val="32"/>
          <w:szCs w:val="32"/>
          <w:lang w:val="en-US" w:eastAsia="zh-CN"/>
        </w:rPr>
        <w:t>一是贯彻落实党的二十大精神、习近平总书记视察广东重要讲话重要指示精神的需要</w:t>
      </w:r>
      <w:bookmarkStart w:id="0" w:name="_GoBack"/>
      <w:bookmarkEnd w:id="0"/>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sz w:val="32"/>
          <w:szCs w:val="32"/>
        </w:rPr>
        <w:t>现代化海洋牧场建设</w:t>
      </w:r>
      <w:r>
        <w:rPr>
          <w:rFonts w:hint="eastAsia" w:ascii="仿宋_GB2312" w:hAnsi="仿宋_GB2312" w:eastAsia="仿宋_GB2312" w:cs="仿宋_GB2312"/>
          <w:b w:val="0"/>
          <w:bCs w:val="0"/>
          <w:sz w:val="32"/>
          <w:szCs w:val="32"/>
          <w:lang w:val="en-US" w:eastAsia="zh-CN"/>
        </w:rPr>
        <w:t>的必然要求。二是新时代加强党对乡村绿美立法工作的全面领导，通过法治保证</w:t>
      </w:r>
      <w:r>
        <w:rPr>
          <w:rFonts w:hint="eastAsia" w:ascii="仿宋_GB2312" w:hAnsi="仿宋_GB2312" w:cs="仿宋_GB2312"/>
          <w:b w:val="0"/>
          <w:bCs w:val="0"/>
          <w:sz w:val="32"/>
          <w:szCs w:val="32"/>
          <w:lang w:val="en-US" w:eastAsia="zh-CN"/>
        </w:rPr>
        <w:t>现代化海洋牧场</w:t>
      </w:r>
      <w:r>
        <w:rPr>
          <w:rFonts w:hint="eastAsia" w:ascii="仿宋_GB2312" w:hAnsi="仿宋_GB2312" w:eastAsia="仿宋_GB2312" w:cs="仿宋_GB2312"/>
          <w:b w:val="0"/>
          <w:bCs w:val="0"/>
          <w:sz w:val="32"/>
          <w:szCs w:val="32"/>
          <w:lang w:val="en-US" w:eastAsia="zh-CN"/>
        </w:rPr>
        <w:t>路线方针政策和决策部署贯彻落实的必然要求。三是更好贯彻落实相关上位法和中央政策，弥补立法空白，在法治轨道上全面推进</w:t>
      </w:r>
      <w:r>
        <w:rPr>
          <w:rFonts w:hint="eastAsia" w:ascii="仿宋_GB2312" w:hAnsi="仿宋_GB2312" w:cs="仿宋_GB2312"/>
          <w:b w:val="0"/>
          <w:bCs w:val="0"/>
          <w:sz w:val="32"/>
          <w:szCs w:val="32"/>
          <w:lang w:val="en-US" w:eastAsia="zh-CN"/>
        </w:rPr>
        <w:t>现代化海洋牧场建设</w:t>
      </w:r>
      <w:r>
        <w:rPr>
          <w:rFonts w:hint="eastAsia" w:ascii="仿宋_GB2312" w:hAnsi="仿宋_GB2312" w:eastAsia="仿宋_GB2312" w:cs="仿宋_GB2312"/>
          <w:b w:val="0"/>
          <w:bCs w:val="0"/>
          <w:sz w:val="32"/>
          <w:szCs w:val="32"/>
          <w:lang w:val="en-US" w:eastAsia="zh-CN"/>
        </w:rPr>
        <w:t>的现实需要。四是推进广东汕尾百千万高质量发展工程的现实需要。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2023年年初</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省委书记黄坤明在省委经济工作会议上提出</w:t>
      </w:r>
      <w:r>
        <w:rPr>
          <w:rFonts w:hint="eastAsia" w:ascii="仿宋_GB2312" w:hAnsi="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kern w:val="0"/>
          <w:sz w:val="32"/>
          <w:szCs w:val="32"/>
        </w:rPr>
        <w:t>深耕海上粮仓、唱响海洋牧歌</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大力发展</w:t>
      </w:r>
      <w:r>
        <w:rPr>
          <w:rFonts w:hint="eastAsia" w:ascii="仿宋_GB2312" w:hAnsi="仿宋_GB2312" w:eastAsia="仿宋_GB2312" w:cs="仿宋_GB2312"/>
          <w:b w:val="0"/>
          <w:bCs w:val="0"/>
          <w:kern w:val="0"/>
          <w:sz w:val="32"/>
          <w:szCs w:val="32"/>
        </w:rPr>
        <w:t>现代化海洋牧场</w:t>
      </w:r>
      <w:r>
        <w:rPr>
          <w:rFonts w:hint="eastAsia" w:ascii="仿宋_GB2312" w:hAnsi="仿宋_GB2312" w:eastAsia="仿宋_GB2312" w:cs="仿宋_GB2312"/>
          <w:kern w:val="0"/>
          <w:sz w:val="32"/>
          <w:szCs w:val="32"/>
        </w:rPr>
        <w:t>，培育广东省高质量发展新的增长极。</w:t>
      </w:r>
      <w:r>
        <w:rPr>
          <w:rFonts w:hint="eastAsia" w:ascii="仿宋_GB2312" w:hAnsi="仿宋_GB2312" w:eastAsia="仿宋_GB2312" w:cs="仿宋_GB2312"/>
          <w:b w:val="0"/>
          <w:bCs w:val="0"/>
          <w:kern w:val="0"/>
          <w:sz w:val="32"/>
          <w:szCs w:val="32"/>
        </w:rPr>
        <w:t>省长王伟中在2023年省《政府工作报告》中提出，</w:t>
      </w:r>
      <w:r>
        <w:rPr>
          <w:rFonts w:hint="eastAsia" w:ascii="仿宋_GB2312" w:hAnsi="仿宋_GB2312" w:eastAsia="仿宋_GB2312" w:cs="仿宋_GB2312"/>
          <w:kern w:val="0"/>
          <w:sz w:val="32"/>
          <w:szCs w:val="32"/>
        </w:rPr>
        <w:t>大力发展现代化海洋牧场和深远海养殖是落实国家粮食安全战略，践行大食物观，实现“藏粮于海”的重要举措；是发展壮大海洋经济，实施“百县千镇万村高质量发展工程”，全面推进乡村振兴的重要抓手。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、主要依据和参考文件</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《中华人民共和国渔业法》（2013年修正）</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《中华人民共和国海域使用管理法》（2001年）</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《中华人民共和国海洋环境保护法》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2023年修订</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《广东省渔业管理条例》（2015年修订）</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《广东省海上风电发展规划（2017－2030年）（修编）》</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《广东省海洋经济发展“十四五”规划》</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国家海洋局《关于进一步规范海上风电用海管理的意见》（国海规范〔2016〕6号）</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农业农村部等八部门联合印发《关于加快推进深远海养殖发展的意见》（农渔发〔2023〕14号）</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自然资源部办公厅 农业农村部办公厅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关于优化养殖用海管理的通知</w:t>
      </w:r>
      <w:r>
        <w:rPr>
          <w:rFonts w:hint="eastAsia" w:ascii="仿宋_GB2312" w:hAnsi="仿宋_GB2312" w:eastAsia="仿宋_GB2312" w:cs="仿宋_GB2312"/>
          <w:sz w:val="32"/>
          <w:szCs w:val="32"/>
          <w:lang w:eastAsia="zh-CN"/>
        </w:rPr>
        <w:t>》（自然资办发〔2023〕55号）</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省委农办、省农业农村厅</w:t>
      </w:r>
      <w:r>
        <w:rPr>
          <w:rFonts w:hint="eastAsia" w:ascii="仿宋_GB2312" w:hAnsi="仿宋_GB2312" w:eastAsia="仿宋_GB2312" w:cs="仿宋_GB2312"/>
          <w:sz w:val="32"/>
          <w:szCs w:val="32"/>
        </w:rPr>
        <w:t>《关于印发加快海洋渔业转型升级 促进现代化海洋牧场高质量发展若干措施的通知》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粤委农办函〔2023〕29 号</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《广东省自然资源厅关于加强海洋资源要素保障 促进现代化海洋牧场高质量发展的通知》（</w:t>
      </w:r>
      <w:r>
        <w:rPr>
          <w:rFonts w:hint="eastAsia" w:ascii="仿宋_GB2312" w:hAnsi="仿宋_GB2312" w:eastAsia="仿宋_GB2312" w:cs="仿宋_GB2312"/>
          <w:sz w:val="32"/>
          <w:szCs w:val="32"/>
          <w:lang w:val="en-US" w:eastAsia="zh-CN"/>
        </w:rPr>
        <w:t>粤自然资规字〔2023〕3号</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eastAsia="zh-CN"/>
        </w:rPr>
        <w:t>《广东省生态环境厅关于优化环境影响评价管理 促进现代化海洋牧场高质量发展的通知》（</w:t>
      </w:r>
      <w:r>
        <w:rPr>
          <w:rFonts w:hint="eastAsia" w:ascii="仿宋_GB2312" w:hAnsi="仿宋_GB2312" w:eastAsia="仿宋_GB2312" w:cs="仿宋_GB2312"/>
          <w:sz w:val="32"/>
          <w:szCs w:val="32"/>
          <w:lang w:val="en-US" w:eastAsia="zh-CN"/>
        </w:rPr>
        <w:t>粤环函〔2023〕418号</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eastAsia="zh-CN"/>
        </w:rPr>
        <w:t>《福建省海洋经济促进条例》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eastAsia="zh-CN"/>
        </w:rPr>
        <w:t>《江苏省海洋经济促进条例》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eastAsia="zh-CN"/>
        </w:rPr>
        <w:t>《威海市海洋牧场管理条例》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eastAsia="zh-CN"/>
        </w:rPr>
        <w:t>《潍坊市海洋牧场管理条例》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共七章四十二条，</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总则、产业发展、科技创新、生态保护、文化兴海、开放合作、服务保障、监督管理、附则。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第一章总则，明确立法目的、发展原则、政府职责、</w:t>
      </w:r>
      <w:r>
        <w:rPr>
          <w:rFonts w:hint="eastAsia" w:ascii="仿宋_GB2312" w:hAnsi="仿宋_GB2312" w:eastAsia="仿宋_GB2312" w:cs="仿宋_GB2312"/>
          <w:sz w:val="32"/>
          <w:szCs w:val="32"/>
          <w:lang w:val="en-US" w:eastAsia="zh-CN"/>
        </w:rPr>
        <w:t>职责分工、海域资源配置、鼓励条款等内容。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lang w:val="en-US" w:eastAsia="zh-CN"/>
        </w:rPr>
      </w:pPr>
      <w:r>
        <w:rPr>
          <w:rFonts w:hint="eastAsia" w:ascii="仿宋_GB2312" w:hAnsi="仿宋_GB2312" w:eastAsia="仿宋_GB2312" w:cs="仿宋_GB2312"/>
          <w:sz w:val="32"/>
          <w:szCs w:val="32"/>
          <w:lang w:val="en-US" w:eastAsia="zh-CN"/>
        </w:rPr>
        <w:t>第二章产业发展，明确海洋牧场产业规划、园区建设、渔港经济区建设、种业振兴、产品定位、低碳发展、固定资产投资等内容。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第三章科技创新，明确建立创新体系，开展创新能力、人才队伍、教育建设，推动海洋牧场信息化、智能化、现代化发展及鼓励创新政策等内容。</w:t>
      </w:r>
    </w:p>
    <w:p>
      <w:pPr>
        <w:pStyle w:val="9"/>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第四章生态保护，明确海洋牧场生产经营活动中的生态保护，生态修复措施，提升生态价值等内容。</w:t>
      </w:r>
    </w:p>
    <w:p>
      <w:pPr>
        <w:pStyle w:val="9"/>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第五章文化兴海，明确海洋文化建设，促进海洋文化与海洋牧场产业深度融合发展等内容。</w:t>
      </w:r>
    </w:p>
    <w:p>
      <w:pPr>
        <w:pStyle w:val="9"/>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第六章开放合作，明确合作方向、交通运输建设、鼓励合作政策等内容。</w:t>
      </w:r>
    </w:p>
    <w:p>
      <w:pPr>
        <w:pStyle w:val="9"/>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第七章服务保障，明确国有资产支持、投资环境保障、政策支持、通信保障、金融支持、应急管理等内容。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第八章监督管理，明确海洋牧场促进工作报告制度，建立容错免责机制，生产经营和平台运营、休闲渔业管理及执法监管等内容。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0"/>
          <w:sz w:val="32"/>
          <w:szCs w:val="24"/>
          <w:lang w:val="en-US" w:eastAsia="zh-CN" w:bidi="ar-SA"/>
        </w:rPr>
        <w:t>第九章附则，明确实施时间。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、主要</w:t>
      </w:r>
      <w:r>
        <w:rPr>
          <w:rFonts w:hint="eastAsia" w:ascii="黑体" w:hAnsi="黑体" w:eastAsia="黑体" w:cs="黑体"/>
          <w:sz w:val="32"/>
          <w:szCs w:val="32"/>
          <w:lang w:eastAsia="zh-CN"/>
        </w:rPr>
        <w:t>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cs="仿宋_GB2312"/>
          <w:sz w:val="32"/>
          <w:szCs w:val="32"/>
          <w:lang w:eastAsia="zh-CN"/>
        </w:rPr>
        <w:t>一是关于海洋牧场建设投入问题。</w:t>
      </w:r>
      <w:r>
        <w:rPr>
          <w:rFonts w:hint="default" w:ascii="Times New Roman" w:hAnsi="Times New Roman" w:cs="Times New Roman"/>
          <w:kern w:val="0"/>
          <w:lang w:eastAsia="zh-CN"/>
        </w:rPr>
        <w:t>鼓励和支持企业等各类市场主体参与海洋牧场投资建设和运营。</w:t>
      </w:r>
      <w:r>
        <w:rPr>
          <w:rFonts w:hint="eastAsia" w:ascii="Times New Roman" w:hAnsi="Times New Roman" w:cs="Times New Roman"/>
          <w:kern w:val="0"/>
          <w:lang w:eastAsia="zh-CN"/>
        </w:rPr>
        <w:t>明确鼓励和引导参与</w:t>
      </w:r>
      <w:r>
        <w:rPr>
          <w:rFonts w:hint="eastAsia" w:ascii="Times New Roman" w:hAnsi="Times New Roman" w:cs="Times New Roman"/>
          <w:sz w:val="32"/>
          <w:szCs w:val="32"/>
          <w:lang w:val="en-US" w:eastAsia="zh-CN"/>
        </w:rPr>
        <w:t>汕尾海域海上风电建设企业在汕尾市配套开展海洋牧场建设相关活动</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明确政府部门</w:t>
      </w:r>
      <w:r>
        <w:rPr>
          <w:rFonts w:hint="default" w:ascii="Times New Roman" w:hAnsi="Times New Roman" w:cs="Times New Roman"/>
          <w:kern w:val="0"/>
          <w:lang w:val="en-US" w:eastAsia="zh-CN"/>
        </w:rPr>
        <w:t>应当提供财政、金融等政策支持海洋牧场发展</w:t>
      </w:r>
      <w:r>
        <w:rPr>
          <w:rFonts w:hint="eastAsia" w:ascii="Times New Roman" w:hAnsi="Times New Roman" w:cs="Times New Roman"/>
          <w:kern w:val="0"/>
          <w:lang w:val="en-US" w:eastAsia="zh-CN"/>
        </w:rPr>
        <w:t>。</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cs="Times New Roman"/>
          <w:sz w:val="32"/>
          <w:szCs w:val="32"/>
          <w:lang w:val="en-US" w:eastAsia="zh-CN"/>
        </w:rPr>
      </w:pPr>
      <w:r>
        <w:rPr>
          <w:rFonts w:hint="eastAsia"/>
          <w:lang w:eastAsia="zh-CN"/>
        </w:rPr>
        <w:t>二是发挥汕尾特色海洋资源优势。明确</w:t>
      </w:r>
      <w:r>
        <w:rPr>
          <w:rFonts w:hint="default" w:ascii="Times New Roman" w:hAnsi="Times New Roman" w:cs="Times New Roman"/>
          <w:kern w:val="0"/>
          <w:lang w:val="en-US" w:eastAsia="zh-CN"/>
        </w:rPr>
        <w:t>种业振兴</w:t>
      </w:r>
      <w:r>
        <w:rPr>
          <w:rFonts w:hint="eastAsia" w:ascii="Times New Roman" w:hAnsi="Times New Roman" w:cs="Times New Roman"/>
          <w:kern w:val="0"/>
          <w:lang w:val="en-US" w:eastAsia="zh-CN"/>
        </w:rPr>
        <w:t>，</w:t>
      </w:r>
      <w:r>
        <w:rPr>
          <w:rFonts w:hint="default" w:ascii="Times New Roman" w:hAnsi="Times New Roman" w:cs="Times New Roman"/>
          <w:kern w:val="0"/>
          <w:lang w:val="en-US" w:eastAsia="zh-CN"/>
        </w:rPr>
        <w:t>推动</w:t>
      </w:r>
      <w:r>
        <w:rPr>
          <w:rFonts w:hint="eastAsia" w:ascii="Times New Roman" w:hAnsi="Times New Roman" w:cs="Times New Roman"/>
          <w:kern w:val="0"/>
          <w:lang w:val="en-US" w:eastAsia="zh-CN"/>
        </w:rPr>
        <w:t>汕尾</w:t>
      </w:r>
      <w:r>
        <w:rPr>
          <w:rFonts w:hint="default" w:ascii="Times New Roman" w:hAnsi="Times New Roman" w:cs="Times New Roman"/>
          <w:kern w:val="0"/>
          <w:lang w:val="en-US" w:eastAsia="zh-CN"/>
        </w:rPr>
        <w:t>优势特色海水养殖品种研发</w:t>
      </w:r>
      <w:r>
        <w:rPr>
          <w:rFonts w:hint="eastAsia" w:ascii="Times New Roman" w:hAnsi="Times New Roman" w:cs="Times New Roman"/>
          <w:kern w:val="0"/>
          <w:lang w:val="en-US" w:eastAsia="zh-CN"/>
        </w:rPr>
        <w:t>和</w:t>
      </w:r>
      <w:r>
        <w:rPr>
          <w:rFonts w:hint="default" w:ascii="Times New Roman" w:hAnsi="Times New Roman" w:cs="Times New Roman"/>
          <w:kern w:val="0"/>
          <w:lang w:val="en-US" w:eastAsia="zh-CN"/>
        </w:rPr>
        <w:t>保护</w:t>
      </w:r>
      <w:r>
        <w:rPr>
          <w:rFonts w:hint="eastAsia" w:ascii="Times New Roman" w:hAnsi="Times New Roman" w:cs="Times New Roman"/>
          <w:kern w:val="0"/>
          <w:lang w:val="en-US" w:eastAsia="zh-CN"/>
        </w:rPr>
        <w:t>。</w:t>
      </w:r>
      <w:r>
        <w:rPr>
          <w:rFonts w:hint="default" w:ascii="Times New Roman" w:hAnsi="Times New Roman" w:cs="Times New Roman"/>
          <w:kern w:val="0"/>
          <w:lang w:eastAsia="zh-CN"/>
        </w:rPr>
        <w:t>发挥汕尾海域资源优势</w:t>
      </w:r>
      <w:r>
        <w:rPr>
          <w:rFonts w:hint="eastAsia" w:ascii="Times New Roman" w:hAnsi="Times New Roman" w:cs="Times New Roman"/>
          <w:kern w:val="0"/>
          <w:lang w:eastAsia="zh-CN"/>
        </w:rPr>
        <w:t>，</w:t>
      </w:r>
      <w:r>
        <w:rPr>
          <w:rFonts w:hint="default" w:ascii="Times New Roman" w:hAnsi="Times New Roman" w:cs="Times New Roman"/>
          <w:kern w:val="0"/>
          <w:lang w:eastAsia="zh-CN"/>
        </w:rPr>
        <w:t>开展跨海域</w:t>
      </w:r>
      <w:r>
        <w:rPr>
          <w:rFonts w:hint="eastAsia" w:ascii="Times New Roman" w:hAnsi="Times New Roman" w:cs="Times New Roman"/>
          <w:kern w:val="0"/>
          <w:lang w:eastAsia="zh-CN"/>
        </w:rPr>
        <w:t>接力</w:t>
      </w:r>
      <w:r>
        <w:rPr>
          <w:rFonts w:hint="default" w:ascii="Times New Roman" w:hAnsi="Times New Roman" w:cs="Times New Roman"/>
          <w:kern w:val="0"/>
          <w:lang w:eastAsia="zh-CN"/>
        </w:rPr>
        <w:t>养殖，打造</w:t>
      </w:r>
      <w:r>
        <w:rPr>
          <w:rFonts w:hint="default" w:ascii="Times New Roman" w:hAnsi="Times New Roman" w:eastAsia="仿宋_GB2312" w:cs="Times New Roman"/>
          <w:sz w:val="32"/>
          <w:szCs w:val="32"/>
          <w:lang w:eastAsia="zh-CN"/>
        </w:rPr>
        <w:t>汕尾</w:t>
      </w:r>
      <w:r>
        <w:rPr>
          <w:rFonts w:hint="eastAsia" w:ascii="Times New Roman" w:hAnsi="Times New Roman" w:cs="Times New Roman"/>
          <w:sz w:val="32"/>
          <w:szCs w:val="32"/>
          <w:lang w:eastAsia="zh-CN"/>
        </w:rPr>
        <w:t>高品质水产品主产区品牌。明确</w:t>
      </w:r>
      <w:r>
        <w:rPr>
          <w:rFonts w:hint="default" w:ascii="Times New Roman" w:hAnsi="Times New Roman" w:cs="Times New Roman"/>
          <w:color w:val="auto"/>
          <w:sz w:val="32"/>
          <w:szCs w:val="32"/>
          <w:lang w:val="en-US" w:eastAsia="zh-CN"/>
        </w:rPr>
        <w:t>推动海陆丰红色岸线文化、南海渔歌文化等特色海洋文化资源的开</w:t>
      </w:r>
      <w:r>
        <w:rPr>
          <w:rFonts w:hint="default" w:ascii="Times New Roman" w:hAnsi="Times New Roman" w:cs="Times New Roman"/>
          <w:sz w:val="32"/>
          <w:szCs w:val="32"/>
          <w:lang w:val="en-US" w:eastAsia="zh-CN"/>
        </w:rPr>
        <w:t>发利用</w:t>
      </w:r>
      <w:r>
        <w:rPr>
          <w:rFonts w:hint="eastAsia" w:ascii="Times New Roman" w:hAnsi="Times New Roman" w:cs="Times New Roman"/>
          <w:sz w:val="32"/>
          <w:szCs w:val="32"/>
          <w:lang w:val="en-US" w:eastAsia="zh-CN"/>
        </w:rPr>
        <w:t>，推进</w:t>
      </w:r>
      <w:r>
        <w:rPr>
          <w:rFonts w:hint="default" w:ascii="Times New Roman" w:hAnsi="Times New Roman" w:cs="Times New Roman"/>
          <w:sz w:val="32"/>
          <w:szCs w:val="32"/>
          <w:lang w:val="en-US" w:eastAsia="zh-CN"/>
        </w:rPr>
        <w:t>海洋文化与海洋牧场产业深度融合发展</w:t>
      </w:r>
      <w:r>
        <w:rPr>
          <w:rFonts w:hint="eastAsia" w:ascii="Times New Roman" w:hAnsi="Times New Roman" w:cs="Times New Roman"/>
          <w:sz w:val="32"/>
          <w:szCs w:val="32"/>
          <w:lang w:val="en-US" w:eastAsia="zh-CN"/>
        </w:rPr>
        <w:t>。</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b w:val="0"/>
          <w:bCs w:val="0"/>
          <w:sz w:val="32"/>
          <w:szCs w:val="32"/>
          <w:lang w:eastAsia="zh-CN"/>
        </w:rPr>
      </w:pPr>
      <w:r>
        <w:rPr>
          <w:rFonts w:hint="eastAsia" w:ascii="Times New Roman" w:hAnsi="Times New Roman" w:cs="Times New Roman"/>
          <w:sz w:val="32"/>
          <w:szCs w:val="32"/>
          <w:lang w:val="en-US" w:eastAsia="zh-CN"/>
        </w:rPr>
        <w:t>三是强化服务保障和监督管理。明确</w:t>
      </w:r>
      <w:r>
        <w:rPr>
          <w:rFonts w:hint="default" w:ascii="Times New Roman" w:hAnsi="Times New Roman" w:cs="Times New Roman"/>
          <w:kern w:val="0"/>
          <w:lang w:val="en-US" w:eastAsia="zh-CN"/>
        </w:rPr>
        <w:t>加强法治诚信体系建设</w:t>
      </w:r>
      <w:r>
        <w:rPr>
          <w:rFonts w:hint="eastAsia" w:ascii="Times New Roman" w:hAnsi="Times New Roman" w:cs="Times New Roman"/>
          <w:kern w:val="0"/>
          <w:lang w:val="en-US" w:eastAsia="zh-CN"/>
        </w:rPr>
        <w:t>，</w:t>
      </w:r>
      <w:r>
        <w:rPr>
          <w:rFonts w:hint="default" w:ascii="Times New Roman" w:hAnsi="Times New Roman" w:cs="Times New Roman"/>
          <w:kern w:val="0"/>
          <w:lang w:val="en-US" w:eastAsia="zh-CN"/>
        </w:rPr>
        <w:t>保障市场主体依法享有公平使用各类生产要素和公共服务资源的权利</w:t>
      </w:r>
      <w:r>
        <w:rPr>
          <w:rFonts w:hint="eastAsia" w:ascii="Times New Roman" w:hAnsi="Times New Roman" w:cs="Times New Roman"/>
          <w:kern w:val="0"/>
          <w:lang w:val="en-US" w:eastAsia="zh-CN"/>
        </w:rPr>
        <w:t>。明确</w:t>
      </w:r>
      <w:r>
        <w:rPr>
          <w:rFonts w:hint="default" w:ascii="Times New Roman" w:hAnsi="Times New Roman" w:cs="Times New Roman"/>
          <w:kern w:val="0"/>
          <w:lang w:val="en-US" w:eastAsia="zh-CN"/>
        </w:rPr>
        <w:t>海上网络覆盖</w:t>
      </w:r>
      <w:r>
        <w:rPr>
          <w:rFonts w:hint="eastAsia" w:ascii="Times New Roman" w:hAnsi="Times New Roman" w:cs="Times New Roman"/>
          <w:kern w:val="0"/>
          <w:lang w:val="en-US" w:eastAsia="zh-CN"/>
        </w:rPr>
        <w:t>规划，</w:t>
      </w:r>
      <w:r>
        <w:rPr>
          <w:rFonts w:hint="default" w:ascii="Times New Roman" w:hAnsi="Times New Roman" w:cs="Times New Roman"/>
          <w:kern w:val="0"/>
          <w:lang w:val="en-US" w:eastAsia="zh-CN"/>
        </w:rPr>
        <w:t>保障海洋牧场、海上风电、海上旅游等相关产业的通讯需求</w:t>
      </w:r>
      <w:r>
        <w:rPr>
          <w:rFonts w:hint="eastAsia" w:ascii="Times New Roman" w:hAnsi="Times New Roman" w:cs="Times New Roman"/>
          <w:kern w:val="0"/>
          <w:lang w:val="en-US" w:eastAsia="zh-CN"/>
        </w:rPr>
        <w:t>。</w:t>
      </w:r>
      <w:r>
        <w:rPr>
          <w:rFonts w:hint="eastAsia" w:ascii="Times New Roman" w:hAnsi="Times New Roman" w:cs="Times New Roman"/>
          <w:kern w:val="0"/>
          <w:sz w:val="32"/>
          <w:szCs w:val="24"/>
          <w:lang w:val="en-US" w:eastAsia="zh-CN" w:bidi="ar-SA"/>
        </w:rPr>
        <w:t>明确海洋牧场促进工作报告制度、容错机制，鼓励</w:t>
      </w:r>
      <w:r>
        <w:rPr>
          <w:rFonts w:hint="default" w:ascii="Times New Roman" w:hAnsi="Times New Roman" w:cs="Times New Roman"/>
          <w:kern w:val="0"/>
          <w:lang w:val="en-US" w:eastAsia="zh-CN"/>
        </w:rPr>
        <w:t>创新创业创造</w:t>
      </w:r>
      <w:r>
        <w:rPr>
          <w:rFonts w:hint="eastAsia" w:ascii="Times New Roman" w:hAnsi="Times New Roman" w:cs="Times New Roman"/>
          <w:kern w:val="0"/>
          <w:lang w:val="en-US" w:eastAsia="zh-CN"/>
        </w:rPr>
        <w:t>。明确</w:t>
      </w:r>
      <w:r>
        <w:rPr>
          <w:rFonts w:hint="eastAsia" w:ascii="仿宋_GB2312" w:hAnsi="仿宋_GB2312" w:eastAsia="仿宋_GB2312" w:cs="仿宋_GB2312"/>
          <w:b w:val="0"/>
          <w:bCs w:val="0"/>
          <w:sz w:val="32"/>
          <w:szCs w:val="32"/>
          <w:lang w:eastAsia="zh-CN"/>
        </w:rPr>
        <w:t>严厉打击盗窃、抢夺他人养殖产品、损坏养殖装备等违法犯罪行为</w:t>
      </w:r>
      <w:r>
        <w:rPr>
          <w:rFonts w:hint="eastAsia" w:ascii="仿宋_GB2312" w:hAnsi="仿宋_GB2312" w:cs="仿宋_GB2312"/>
          <w:b w:val="0"/>
          <w:bCs w:val="0"/>
          <w:sz w:val="32"/>
          <w:szCs w:val="32"/>
          <w:lang w:eastAsia="zh-CN"/>
        </w:rPr>
        <w:t>。</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b w:val="0"/>
          <w:bCs w:val="0"/>
          <w:sz w:val="32"/>
          <w:szCs w:val="32"/>
          <w:lang w:val="en-US" w:eastAsia="zh-CN"/>
        </w:rPr>
      </w:pP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6"/>
        <w:keepNext w:val="0"/>
        <w:keepLines w:val="0"/>
        <w:pageBreakBefore w:val="0"/>
        <w:kinsoku/>
        <w:wordWrap/>
        <w:overflowPunct/>
        <w:topLinePunct w:val="0"/>
        <w:autoSpaceDE/>
        <w:autoSpaceDN/>
        <w:bidi w:val="0"/>
        <w:adjustRightInd/>
        <w:snapToGrid/>
        <w:spacing w:line="560" w:lineRule="exact"/>
        <w:ind w:right="944" w:rightChars="295"/>
        <w:jc w:val="right"/>
        <w:textAlignment w:val="auto"/>
        <w:rPr>
          <w:rFonts w:hint="eastAsia"/>
          <w:lang w:eastAsia="zh-CN"/>
        </w:rPr>
      </w:pPr>
      <w:r>
        <w:rPr>
          <w:rFonts w:hint="eastAsia"/>
          <w:lang w:eastAsia="zh-CN"/>
        </w:rPr>
        <w:t>汕尾市农业农村局</w:t>
      </w:r>
    </w:p>
    <w:p>
      <w:pPr>
        <w:pStyle w:val="6"/>
        <w:keepNext w:val="0"/>
        <w:keepLines w:val="0"/>
        <w:pageBreakBefore w:val="0"/>
        <w:kinsoku/>
        <w:wordWrap/>
        <w:overflowPunct/>
        <w:topLinePunct w:val="0"/>
        <w:autoSpaceDE/>
        <w:autoSpaceDN/>
        <w:bidi w:val="0"/>
        <w:adjustRightInd/>
        <w:snapToGrid/>
        <w:spacing w:line="560" w:lineRule="exact"/>
        <w:ind w:right="944" w:rightChars="295"/>
        <w:jc w:val="righ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2024年6月12日</w:t>
      </w:r>
    </w:p>
    <w:sectPr>
      <w:headerReference r:id="rId5" w:type="default"/>
      <w:footerReference r:id="rId6"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351B1"/>
    <w:multiLevelType w:val="singleLevel"/>
    <w:tmpl w:val="0B7351B1"/>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OGU1MDU3N2Y0ZDhmYTcwY2M0MjFjNTAwYzI3MjYifQ=="/>
  </w:docVars>
  <w:rsids>
    <w:rsidRoot w:val="00000000"/>
    <w:rsid w:val="01DD2E1B"/>
    <w:rsid w:val="138B6BBF"/>
    <w:rsid w:val="1B7707A6"/>
    <w:rsid w:val="1D6337F3"/>
    <w:rsid w:val="28204972"/>
    <w:rsid w:val="2C4A372D"/>
    <w:rsid w:val="2FFE8FDC"/>
    <w:rsid w:val="382849B1"/>
    <w:rsid w:val="3F181D11"/>
    <w:rsid w:val="48862907"/>
    <w:rsid w:val="4A9D4DEF"/>
    <w:rsid w:val="4BEC125B"/>
    <w:rsid w:val="50D43B60"/>
    <w:rsid w:val="5D6F4822"/>
    <w:rsid w:val="5FBE22F5"/>
    <w:rsid w:val="608D7975"/>
    <w:rsid w:val="670A5F92"/>
    <w:rsid w:val="6CDF946C"/>
    <w:rsid w:val="73ED40E7"/>
    <w:rsid w:val="745F36F1"/>
    <w:rsid w:val="75D83661"/>
    <w:rsid w:val="75E42758"/>
    <w:rsid w:val="781C7511"/>
    <w:rsid w:val="7C1F40E6"/>
    <w:rsid w:val="BFF7C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Calibri" w:hAnsi="Calibri" w:eastAsia="仿宋_GB2312" w:cs="Times New Roman"/>
      <w:kern w:val="2"/>
      <w:sz w:val="32"/>
      <w:szCs w:val="24"/>
      <w:lang w:val="en-US" w:eastAsia="zh-CN" w:bidi="ar-SA"/>
    </w:rPr>
  </w:style>
  <w:style w:type="paragraph" w:styleId="2">
    <w:name w:val="heading 1"/>
    <w:basedOn w:val="3"/>
    <w:next w:val="1"/>
    <w:qFormat/>
    <w:uiPriority w:val="0"/>
    <w:pPr>
      <w:keepNext w:val="0"/>
      <w:keepLines w:val="0"/>
      <w:spacing w:beforeLines="0" w:beforeAutospacing="0" w:afterLines="0" w:afterAutospacing="0" w:line="560" w:lineRule="exact"/>
      <w:ind w:firstLine="880" w:firstLineChars="200"/>
      <w:jc w:val="both"/>
      <w:outlineLvl w:val="0"/>
    </w:pPr>
    <w:rPr>
      <w:rFonts w:eastAsia="黑体"/>
      <w:kern w:val="44"/>
      <w:sz w:val="32"/>
    </w:rPr>
  </w:style>
  <w:style w:type="paragraph" w:styleId="4">
    <w:name w:val="heading 2"/>
    <w:basedOn w:val="1"/>
    <w:next w:val="1"/>
    <w:semiHidden/>
    <w:unhideWhenUsed/>
    <w:qFormat/>
    <w:uiPriority w:val="0"/>
    <w:pPr>
      <w:keepNext w:val="0"/>
      <w:keepLines/>
      <w:spacing w:beforeLines="0" w:beforeAutospacing="0" w:afterLines="0" w:afterAutospacing="0" w:line="560" w:lineRule="atLeast"/>
      <w:outlineLvl w:val="1"/>
    </w:pPr>
    <w:rPr>
      <w:rFonts w:ascii="Arial" w:hAnsi="Arial" w:eastAsia="楷体_GB2312"/>
    </w:rPr>
  </w:style>
  <w:style w:type="paragraph" w:styleId="5">
    <w:name w:val="heading 3"/>
    <w:basedOn w:val="1"/>
    <w:next w:val="1"/>
    <w:semiHidden/>
    <w:unhideWhenUsed/>
    <w:qFormat/>
    <w:uiPriority w:val="0"/>
    <w:pPr>
      <w:keepNext w:val="0"/>
      <w:keepLines w:val="0"/>
      <w:spacing w:beforeLines="0" w:beforeAutospacing="0" w:afterLines="0" w:afterAutospacing="0" w:line="560" w:lineRule="exact"/>
      <w:outlineLvl w:val="2"/>
    </w:pPr>
  </w:style>
  <w:style w:type="character" w:default="1" w:styleId="12">
    <w:name w:val="Default Paragraph Font"/>
    <w:semiHidden/>
    <w:qFormat/>
    <w:uiPriority w:val="0"/>
    <w:rPr>
      <w:rFonts w:ascii="Calibri" w:hAnsi="Calibri" w:eastAsia="仿宋_GB2312"/>
      <w:sz w:val="32"/>
    </w:rPr>
  </w:style>
  <w:style w:type="table" w:default="1" w:styleId="11">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Lines="0" w:beforeAutospacing="0" w:afterLines="0" w:afterAutospacing="0"/>
      <w:ind w:firstLine="0" w:firstLineChars="0"/>
      <w:jc w:val="center"/>
      <w:outlineLvl w:val="0"/>
    </w:pPr>
    <w:rPr>
      <w:rFonts w:ascii="Arial" w:hAnsi="Arial" w:eastAsia="方正小标宋简体"/>
      <w:sz w:val="44"/>
    </w:rPr>
  </w:style>
  <w:style w:type="paragraph" w:styleId="6">
    <w:name w:val="Body Text"/>
    <w:basedOn w:val="1"/>
    <w:qFormat/>
    <w:uiPriority w:val="0"/>
    <w:pPr>
      <w:spacing w:afterLines="0" w:afterAutospacing="0"/>
      <w:ind w:left="0" w:leftChars="0" w:firstLine="64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39"/>
    <w:pPr>
      <w:ind w:left="420" w:leftChars="200"/>
    </w:pPr>
    <w:rPr>
      <w:rFonts w:ascii="Calibri" w:hAnsi="Calibri" w:eastAsia="宋体"/>
      <w:sz w:val="21"/>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Emphasis"/>
    <w:basedOn w:val="12"/>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1973</Words>
  <Characters>2027</Characters>
  <Lines>0</Lines>
  <Paragraphs>0</Paragraphs>
  <TotalTime>0</TotalTime>
  <ScaleCrop>false</ScaleCrop>
  <LinksUpToDate>false</LinksUpToDate>
  <CharactersWithSpaces>2032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徐炜</cp:lastModifiedBy>
  <dcterms:modified xsi:type="dcterms:W3CDTF">2024-06-13T01:59:26Z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14B16A4534734C09A8D36139B31C89D0</vt:lpwstr>
  </property>
</Properties>
</file>