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both"/>
        <w:rPr>
          <w:rFonts w:hint="eastAsia" w:ascii="黑体" w:hAnsi="黑体" w:eastAsia="黑体" w:cs="黑体"/>
          <w:lang w:val="en-US" w:eastAsia="zh-CN"/>
        </w:rPr>
      </w:pPr>
      <w:r>
        <w:rPr>
          <w:rFonts w:hint="eastAsia" w:ascii="黑体" w:hAnsi="黑体" w:eastAsia="黑体" w:cs="黑体"/>
          <w:lang w:val="en-US" w:eastAsia="zh-CN"/>
        </w:rPr>
        <w:t>附件1</w:t>
      </w:r>
    </w:p>
    <w:p>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0"/>
        <w:rPr>
          <w:rFonts w:hint="eastAsia" w:ascii="方正小标宋简体" w:hAnsi="方正小标宋简体" w:eastAsia="方正小标宋简体" w:cs="方正小标宋简体"/>
          <w:b/>
          <w:bCs w:val="0"/>
          <w:color w:val="auto"/>
          <w:sz w:val="36"/>
          <w:szCs w:val="36"/>
          <w:highlight w:val="none"/>
          <w:lang w:eastAsia="zh-CN"/>
        </w:rPr>
      </w:pPr>
      <w:r>
        <w:rPr>
          <w:rFonts w:hint="eastAsia" w:ascii="方正小标宋简体" w:hAnsi="方正小标宋简体" w:eastAsia="方正小标宋简体" w:cs="方正小标宋简体"/>
          <w:b/>
          <w:bCs w:val="0"/>
          <w:color w:val="auto"/>
          <w:sz w:val="44"/>
          <w:szCs w:val="44"/>
          <w:highlight w:val="none"/>
          <w:lang w:val="en-US" w:eastAsia="zh-CN"/>
        </w:rPr>
        <w:t>汕尾市乡村振兴示范带条例</w:t>
      </w:r>
    </w:p>
    <w:p>
      <w:pPr>
        <w:keepNext/>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0"/>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8"/>
          <w:szCs w:val="28"/>
          <w:highlight w:val="none"/>
          <w:lang w:val="en-US" w:eastAsia="zh-CN"/>
        </w:rPr>
        <w:t>（征求意见稿）</w:t>
      </w:r>
    </w:p>
    <w:p>
      <w:pPr>
        <w:keepNext/>
        <w:keepLines w:val="0"/>
        <w:pageBreakBefore w:val="0"/>
        <w:widowControl w:val="0"/>
        <w:suppressLineNumbers w:val="0"/>
        <w:kinsoku/>
        <w:wordWrap/>
        <w:overflowPunct/>
        <w:topLinePunct w:val="0"/>
        <w:autoSpaceDE/>
        <w:autoSpaceDN/>
        <w:bidi w:val="0"/>
        <w:adjustRightInd/>
        <w:snapToGrid/>
        <w:spacing w:before="240" w:beforeAutospacing="0" w:after="120" w:afterAutospacing="0" w:line="360" w:lineRule="auto"/>
        <w:ind w:right="0"/>
        <w:jc w:val="center"/>
        <w:textAlignment w:val="auto"/>
        <w:outlineLvl w:val="0"/>
        <w:rPr>
          <w:rFonts w:hint="eastAsia" w:ascii="黑体" w:hAnsi="黑体" w:eastAsia="黑体" w:cs="黑体"/>
          <w:b w:val="0"/>
          <w:bCs/>
          <w:color w:val="auto"/>
          <w:sz w:val="32"/>
          <w:szCs w:val="32"/>
          <w:highlight w:val="none"/>
          <w:lang w:val="en-US"/>
        </w:rPr>
      </w:pPr>
      <w:r>
        <w:rPr>
          <w:rFonts w:hint="eastAsia" w:ascii="黑体" w:hAnsi="黑体" w:eastAsia="黑体" w:cs="黑体"/>
          <w:b w:val="0"/>
          <w:bCs/>
          <w:color w:val="auto"/>
          <w:kern w:val="2"/>
          <w:sz w:val="32"/>
          <w:szCs w:val="32"/>
          <w:highlight w:val="none"/>
          <w:lang w:val="en-US" w:eastAsia="zh-CN" w:bidi="ar"/>
        </w:rPr>
        <w:t>第一章 总  则</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第一条 【立法目的和依据】</w:t>
      </w:r>
      <w:r>
        <w:rPr>
          <w:rFonts w:hint="eastAsia" w:ascii="仿宋" w:hAnsi="仿宋" w:eastAsia="仿宋" w:cs="仿宋"/>
          <w:color w:val="auto"/>
          <w:sz w:val="32"/>
          <w:szCs w:val="32"/>
          <w:highlight w:val="none"/>
          <w:lang w:val="en-US" w:eastAsia="zh-CN" w:bidi="ar"/>
        </w:rPr>
        <w:t>为了</w:t>
      </w:r>
      <w:r>
        <w:rPr>
          <w:rFonts w:hint="default" w:ascii="仿宋" w:hAnsi="仿宋" w:eastAsia="仿宋" w:cs="仿宋"/>
          <w:color w:val="auto"/>
          <w:sz w:val="32"/>
          <w:szCs w:val="32"/>
          <w:highlight w:val="none"/>
          <w:lang w:bidi="ar"/>
        </w:rPr>
        <w:t>全面推进乡村振兴重点工作</w:t>
      </w:r>
      <w:r>
        <w:rPr>
          <w:rFonts w:hint="eastAsia" w:ascii="仿宋" w:hAnsi="仿宋" w:eastAsia="仿宋" w:cs="仿宋"/>
          <w:color w:val="auto"/>
          <w:sz w:val="32"/>
          <w:szCs w:val="32"/>
          <w:highlight w:val="none"/>
          <w:lang w:val="en-US" w:eastAsia="zh-CN" w:bidi="ar"/>
        </w:rPr>
        <w:t>，提升乡村振兴示范带的辐射带动能力，促进农业全面升级、农村全面进步、农民全面发展，达到全域美丽，根据《中华人民共和国城乡规划法》《中华人民共和国乡村振兴促进法》等法律法规，结合</w:t>
      </w:r>
      <w:r>
        <w:rPr>
          <w:rFonts w:hint="default" w:ascii="仿宋" w:hAnsi="仿宋" w:eastAsia="仿宋" w:cs="仿宋"/>
          <w:color w:val="auto"/>
          <w:sz w:val="32"/>
          <w:szCs w:val="32"/>
          <w:highlight w:val="none"/>
          <w:lang w:val="en-US" w:eastAsia="zh-CN" w:bidi="ar"/>
        </w:rPr>
        <w:t>本</w:t>
      </w:r>
      <w:r>
        <w:rPr>
          <w:rFonts w:hint="eastAsia" w:ascii="仿宋" w:hAnsi="仿宋" w:eastAsia="仿宋" w:cs="仿宋"/>
          <w:color w:val="auto"/>
          <w:sz w:val="32"/>
          <w:szCs w:val="32"/>
          <w:highlight w:val="none"/>
          <w:lang w:val="en-US" w:eastAsia="zh-CN" w:bidi="ar"/>
        </w:rPr>
        <w:t>市实际，制定本条例。</w:t>
      </w:r>
    </w:p>
    <w:p>
      <w:pPr>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第二条 【适用范围】</w:t>
      </w:r>
      <w:r>
        <w:rPr>
          <w:rFonts w:hint="eastAsia" w:ascii="仿宋" w:hAnsi="仿宋" w:eastAsia="仿宋" w:cs="仿宋"/>
          <w:color w:val="auto"/>
          <w:sz w:val="32"/>
          <w:szCs w:val="32"/>
          <w:highlight w:val="none"/>
          <w:lang w:val="en-US" w:eastAsia="zh-CN" w:bidi="ar"/>
        </w:rPr>
        <w:t>本条例适用于本市行政区域内乡村振兴示范带建设规划、建设、经营、治理等活动。</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第三条 【定义解释】</w:t>
      </w:r>
      <w:r>
        <w:rPr>
          <w:rFonts w:hint="eastAsia" w:ascii="仿宋" w:hAnsi="仿宋" w:eastAsia="仿宋" w:cs="仿宋"/>
          <w:color w:val="auto"/>
          <w:sz w:val="32"/>
          <w:szCs w:val="32"/>
          <w:highlight w:val="none"/>
          <w:lang w:val="en-US" w:eastAsia="zh-CN" w:bidi="ar"/>
        </w:rPr>
        <w:t>本条例所称乡村振兴示范带，是指以本市中心村为节点、圩镇为枢纽，串点成线、连线成片、集片成带，统筹推进产业、人才、文化、生态、组织五大振兴，推动县城、圩镇、农村同建同治同美的先行示范区。</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bidi="ar"/>
        </w:rPr>
      </w:pPr>
      <w:r>
        <w:rPr>
          <w:rFonts w:hint="eastAsia" w:ascii="黑体" w:hAnsi="黑体" w:eastAsia="黑体" w:cs="黑体"/>
          <w:color w:val="auto"/>
          <w:sz w:val="32"/>
          <w:szCs w:val="32"/>
          <w:highlight w:val="none"/>
          <w:lang w:val="en-US" w:eastAsia="zh-CN" w:bidi="ar"/>
        </w:rPr>
        <w:t>第四条 【基本原则】</w:t>
      </w:r>
      <w:r>
        <w:rPr>
          <w:rFonts w:hint="eastAsia" w:ascii="仿宋" w:hAnsi="仿宋" w:eastAsia="仿宋" w:cs="仿宋"/>
          <w:color w:val="auto"/>
          <w:sz w:val="32"/>
          <w:szCs w:val="32"/>
          <w:highlight w:val="none"/>
          <w:lang w:val="en-US" w:eastAsia="zh-CN" w:bidi="ar"/>
        </w:rPr>
        <w:t>乡村振兴示范带规划、建设、经营、治理等活动</w:t>
      </w:r>
      <w:r>
        <w:rPr>
          <w:rFonts w:hint="eastAsia" w:ascii="仿宋" w:hAnsi="仿宋" w:eastAsia="仿宋" w:cs="仿宋"/>
          <w:color w:val="auto"/>
          <w:sz w:val="32"/>
          <w:szCs w:val="32"/>
          <w:highlight w:val="none"/>
          <w:lang w:bidi="ar"/>
        </w:rPr>
        <w:t>应当坚持中国共产党的领导，</w:t>
      </w:r>
      <w:r>
        <w:rPr>
          <w:rFonts w:hint="eastAsia" w:ascii="仿宋" w:hAnsi="仿宋" w:eastAsia="仿宋" w:cs="仿宋"/>
          <w:color w:val="auto"/>
          <w:sz w:val="32"/>
          <w:szCs w:val="32"/>
          <w:highlight w:val="none"/>
          <w:lang w:val="en-US" w:eastAsia="zh-CN" w:bidi="ar"/>
        </w:rPr>
        <w:t>按照产业兴旺、生态宜居、乡风文明、治理有效、生活富裕总要求</w:t>
      </w: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bidi="ar"/>
        </w:rPr>
        <w:t>遵循下列原则：</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（一）</w:t>
      </w:r>
      <w:r>
        <w:rPr>
          <w:rFonts w:hint="eastAsia" w:ascii="仿宋" w:hAnsi="仿宋" w:eastAsia="仿宋" w:cs="仿宋"/>
          <w:color w:val="auto"/>
          <w:sz w:val="32"/>
          <w:szCs w:val="32"/>
          <w:highlight w:val="none"/>
          <w:lang w:val="en-US" w:eastAsia="zh-CN" w:bidi="ar"/>
        </w:rPr>
        <w:t>政府引导，</w:t>
      </w:r>
      <w:r>
        <w:rPr>
          <w:rFonts w:hint="eastAsia" w:ascii="仿宋" w:hAnsi="仿宋" w:eastAsia="仿宋" w:cs="仿宋"/>
          <w:color w:val="auto"/>
          <w:sz w:val="32"/>
          <w:szCs w:val="32"/>
          <w:highlight w:val="none"/>
          <w:lang w:bidi="ar"/>
        </w:rPr>
        <w:t>农民主体；</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（二）规划先行</w:t>
      </w: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val="en-US" w:eastAsia="zh-CN" w:bidi="ar"/>
        </w:rPr>
        <w:t>统筹推进</w:t>
      </w:r>
      <w:r>
        <w:rPr>
          <w:rFonts w:hint="eastAsia" w:ascii="仿宋" w:hAnsi="仿宋" w:eastAsia="仿宋" w:cs="仿宋"/>
          <w:color w:val="auto"/>
          <w:sz w:val="32"/>
          <w:szCs w:val="32"/>
          <w:highlight w:val="none"/>
          <w:lang w:bidi="ar"/>
        </w:rPr>
        <w:t>；</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（三）</w:t>
      </w:r>
      <w:r>
        <w:rPr>
          <w:rFonts w:hint="eastAsia" w:ascii="仿宋" w:hAnsi="仿宋" w:eastAsia="仿宋" w:cs="仿宋"/>
          <w:color w:val="auto"/>
          <w:sz w:val="32"/>
          <w:szCs w:val="32"/>
          <w:highlight w:val="none"/>
          <w:lang w:val="en-US" w:eastAsia="zh-CN" w:bidi="ar"/>
        </w:rPr>
        <w:t>因地制宜，分类施策</w:t>
      </w:r>
      <w:r>
        <w:rPr>
          <w:rFonts w:hint="eastAsia" w:ascii="仿宋" w:hAnsi="仿宋" w:eastAsia="仿宋" w:cs="仿宋"/>
          <w:color w:val="auto"/>
          <w:sz w:val="32"/>
          <w:szCs w:val="32"/>
          <w:highlight w:val="none"/>
          <w:lang w:bidi="ar"/>
        </w:rPr>
        <w:t>；</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eastAsia="zh-CN" w:bidi="ar"/>
        </w:rPr>
      </w:pPr>
      <w:r>
        <w:rPr>
          <w:rFonts w:hint="eastAsia" w:ascii="仿宋" w:hAnsi="仿宋" w:eastAsia="仿宋" w:cs="仿宋"/>
          <w:color w:val="auto"/>
          <w:sz w:val="32"/>
          <w:szCs w:val="32"/>
          <w:highlight w:val="none"/>
          <w:lang w:bidi="ar"/>
        </w:rPr>
        <w:t>（四）</w:t>
      </w:r>
      <w:r>
        <w:rPr>
          <w:rFonts w:hint="eastAsia" w:ascii="仿宋" w:hAnsi="仿宋" w:eastAsia="仿宋" w:cs="仿宋"/>
          <w:color w:val="auto"/>
          <w:sz w:val="32"/>
          <w:szCs w:val="32"/>
          <w:highlight w:val="none"/>
          <w:lang w:val="en-US" w:eastAsia="zh-CN" w:bidi="ar"/>
        </w:rPr>
        <w:t>绿色发展，和谐共生</w:t>
      </w:r>
      <w:r>
        <w:rPr>
          <w:rFonts w:hint="eastAsia" w:ascii="仿宋" w:hAnsi="仿宋" w:eastAsia="仿宋" w:cs="仿宋"/>
          <w:color w:val="auto"/>
          <w:sz w:val="32"/>
          <w:szCs w:val="32"/>
          <w:highlight w:val="none"/>
          <w:lang w:eastAsia="zh-CN" w:bidi="ar"/>
        </w:rPr>
        <w:t>；</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val="en-US" w:eastAsia="zh-CN" w:bidi="ar"/>
        </w:rPr>
        <w:t>五</w:t>
      </w: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val="en-US" w:eastAsia="zh-CN" w:bidi="ar"/>
        </w:rPr>
        <w:t>建管并重，长效运营。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第五条 【职责分工】</w:t>
      </w:r>
      <w:r>
        <w:rPr>
          <w:rFonts w:hint="eastAsia" w:ascii="仿宋" w:hAnsi="仿宋" w:eastAsia="仿宋" w:cs="仿宋"/>
          <w:color w:val="auto"/>
          <w:sz w:val="32"/>
          <w:szCs w:val="32"/>
          <w:highlight w:val="none"/>
          <w:lang w:val="en-US" w:eastAsia="zh-CN" w:bidi="ar"/>
        </w:rPr>
        <w:t>市人民政府指导乡村振兴示范带建设。县人民政府领导乡村振兴示范带建设，协调解决乡村振兴示范带建设工作中的重大问题，建立乡村振兴示范带考核评价制度、工作年度报告制度和监督检查制度。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县级以上人民政府农业农村主管部门负责本行政区域内乡村振兴示范带建设工作的统筹协调和监督检查，建立常态化联系服务机制；其他有关部门在各自职责范围内负责有关的乡村振兴示范带建设工作。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镇（街）、村负责</w:t>
      </w:r>
      <w:r>
        <w:rPr>
          <w:rFonts w:hint="default" w:ascii="仿宋" w:hAnsi="仿宋" w:eastAsia="仿宋" w:cs="仿宋"/>
          <w:color w:val="auto"/>
          <w:sz w:val="32"/>
          <w:szCs w:val="32"/>
          <w:highlight w:val="none"/>
          <w:lang w:eastAsia="zh-CN" w:bidi="ar"/>
        </w:rPr>
        <w:t>制定实施</w:t>
      </w:r>
      <w:r>
        <w:rPr>
          <w:rFonts w:hint="eastAsia" w:ascii="仿宋" w:hAnsi="仿宋" w:eastAsia="仿宋" w:cs="仿宋"/>
          <w:color w:val="auto"/>
          <w:sz w:val="32"/>
          <w:szCs w:val="32"/>
          <w:highlight w:val="none"/>
          <w:lang w:val="en-US" w:eastAsia="zh-CN" w:bidi="ar"/>
        </w:rPr>
        <w:t>计划和工作方案，在县人民政府的领导下组织推进乡村振兴示范带建设工作，落实具体措施。</w:t>
      </w:r>
    </w:p>
    <w:p>
      <w:pPr>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color w:val="auto"/>
          <w:sz w:val="32"/>
          <w:szCs w:val="32"/>
          <w:highlight w:val="none"/>
          <w:u w:val="none"/>
          <w:lang w:eastAsia="zh-CN" w:bidi="ar"/>
        </w:rPr>
      </w:pPr>
      <w:r>
        <w:rPr>
          <w:rFonts w:hint="eastAsia" w:ascii="黑体" w:hAnsi="黑体" w:eastAsia="黑体" w:cs="黑体"/>
          <w:color w:val="auto"/>
          <w:sz w:val="32"/>
          <w:szCs w:val="32"/>
          <w:highlight w:val="none"/>
          <w:lang w:val="en-US" w:eastAsia="zh-CN" w:bidi="ar"/>
        </w:rPr>
        <w:t>第六条【共建共治共享】</w:t>
      </w:r>
      <w:r>
        <w:rPr>
          <w:rFonts w:hint="eastAsia" w:ascii="仿宋" w:hAnsi="仿宋" w:eastAsia="仿宋" w:cs="仿宋"/>
          <w:b w:val="0"/>
          <w:bCs w:val="0"/>
          <w:color w:val="auto"/>
          <w:sz w:val="32"/>
          <w:szCs w:val="32"/>
          <w:highlight w:val="none"/>
          <w:u w:val="none"/>
          <w:lang w:val="en-US" w:eastAsia="zh-CN" w:bidi="ar"/>
        </w:rPr>
        <w:t>市人民政府</w:t>
      </w:r>
      <w:r>
        <w:rPr>
          <w:rFonts w:hint="default" w:ascii="仿宋" w:hAnsi="仿宋" w:eastAsia="仿宋" w:cs="仿宋"/>
          <w:b w:val="0"/>
          <w:bCs w:val="0"/>
          <w:color w:val="auto"/>
          <w:sz w:val="32"/>
          <w:szCs w:val="32"/>
          <w:highlight w:val="none"/>
          <w:u w:val="none"/>
          <w:lang w:eastAsia="zh-CN" w:bidi="ar"/>
        </w:rPr>
        <w:t>应当发挥</w:t>
      </w:r>
      <w:r>
        <w:rPr>
          <w:rFonts w:hint="eastAsia" w:ascii="仿宋" w:hAnsi="仿宋" w:eastAsia="仿宋" w:cs="仿宋"/>
          <w:b w:val="0"/>
          <w:bCs w:val="0"/>
          <w:color w:val="auto"/>
          <w:sz w:val="32"/>
          <w:szCs w:val="32"/>
          <w:highlight w:val="none"/>
          <w:u w:val="none"/>
          <w:lang w:val="en-US" w:eastAsia="zh-CN" w:bidi="ar"/>
        </w:rPr>
        <w:t>指导</w:t>
      </w:r>
      <w:r>
        <w:rPr>
          <w:rFonts w:hint="default" w:ascii="仿宋" w:hAnsi="仿宋" w:eastAsia="仿宋" w:cs="仿宋"/>
          <w:b w:val="0"/>
          <w:bCs w:val="0"/>
          <w:color w:val="auto"/>
          <w:sz w:val="32"/>
          <w:szCs w:val="32"/>
          <w:highlight w:val="none"/>
          <w:u w:val="none"/>
          <w:lang w:eastAsia="zh-CN" w:bidi="ar"/>
        </w:rPr>
        <w:t>作用，</w:t>
      </w:r>
      <w:r>
        <w:rPr>
          <w:rFonts w:hint="eastAsia" w:ascii="仿宋" w:hAnsi="仿宋" w:eastAsia="仿宋" w:cs="仿宋"/>
          <w:b w:val="0"/>
          <w:bCs w:val="0"/>
          <w:color w:val="auto"/>
          <w:sz w:val="32"/>
          <w:szCs w:val="32"/>
          <w:highlight w:val="none"/>
          <w:u w:val="none"/>
          <w:lang w:val="en-US" w:eastAsia="zh-CN" w:bidi="ar"/>
        </w:rPr>
        <w:t>指导农民</w:t>
      </w:r>
      <w:r>
        <w:rPr>
          <w:rFonts w:hint="default" w:ascii="仿宋" w:hAnsi="仿宋" w:eastAsia="仿宋" w:cs="仿宋"/>
          <w:b w:val="0"/>
          <w:bCs w:val="0"/>
          <w:color w:val="auto"/>
          <w:sz w:val="32"/>
          <w:szCs w:val="32"/>
          <w:highlight w:val="none"/>
          <w:u w:val="none"/>
          <w:lang w:eastAsia="zh-CN" w:bidi="ar"/>
        </w:rPr>
        <w:t>参与乡村</w:t>
      </w:r>
      <w:r>
        <w:rPr>
          <w:rFonts w:hint="eastAsia" w:ascii="仿宋" w:hAnsi="仿宋" w:eastAsia="仿宋" w:cs="仿宋"/>
          <w:b w:val="0"/>
          <w:bCs w:val="0"/>
          <w:color w:val="auto"/>
          <w:sz w:val="32"/>
          <w:szCs w:val="32"/>
          <w:highlight w:val="none"/>
          <w:u w:val="none"/>
          <w:lang w:val="en-US" w:eastAsia="zh-CN" w:bidi="ar"/>
        </w:rPr>
        <w:t>振兴示范带</w:t>
      </w:r>
      <w:r>
        <w:rPr>
          <w:rFonts w:hint="default" w:ascii="仿宋" w:hAnsi="仿宋" w:eastAsia="仿宋" w:cs="仿宋"/>
          <w:b w:val="0"/>
          <w:bCs w:val="0"/>
          <w:color w:val="auto"/>
          <w:sz w:val="32"/>
          <w:szCs w:val="32"/>
          <w:highlight w:val="none"/>
          <w:u w:val="none"/>
          <w:lang w:eastAsia="zh-CN" w:bidi="ar"/>
        </w:rPr>
        <w:t>建设，坚持以习近平新时代中国特色社会主义思想为指导，</w:t>
      </w:r>
      <w:r>
        <w:rPr>
          <w:rFonts w:hint="eastAsia" w:ascii="仿宋" w:hAnsi="仿宋" w:eastAsia="仿宋" w:cs="仿宋"/>
          <w:b w:val="0"/>
          <w:bCs w:val="0"/>
          <w:color w:val="auto"/>
          <w:sz w:val="32"/>
          <w:szCs w:val="32"/>
          <w:highlight w:val="none"/>
          <w:u w:val="none"/>
          <w:lang w:val="en-US" w:eastAsia="zh-CN" w:bidi="ar"/>
        </w:rPr>
        <w:t>遵循农民主体地位原则</w:t>
      </w:r>
      <w:r>
        <w:rPr>
          <w:rFonts w:hint="default" w:ascii="仿宋" w:hAnsi="仿宋" w:eastAsia="仿宋" w:cs="仿宋"/>
          <w:b w:val="0"/>
          <w:bCs w:val="0"/>
          <w:color w:val="auto"/>
          <w:sz w:val="32"/>
          <w:szCs w:val="32"/>
          <w:highlight w:val="none"/>
          <w:u w:val="none"/>
          <w:lang w:eastAsia="zh-CN" w:bidi="ar"/>
        </w:rPr>
        <w:t>，落实乡村</w:t>
      </w:r>
      <w:r>
        <w:rPr>
          <w:rFonts w:hint="eastAsia" w:ascii="仿宋" w:hAnsi="仿宋" w:eastAsia="仿宋" w:cs="仿宋"/>
          <w:b w:val="0"/>
          <w:bCs w:val="0"/>
          <w:color w:val="auto"/>
          <w:sz w:val="32"/>
          <w:szCs w:val="32"/>
          <w:highlight w:val="none"/>
          <w:u w:val="none"/>
          <w:lang w:val="en-US" w:eastAsia="zh-CN" w:bidi="ar"/>
        </w:rPr>
        <w:t>振兴示范带</w:t>
      </w:r>
      <w:r>
        <w:rPr>
          <w:rFonts w:hint="default" w:ascii="仿宋" w:hAnsi="仿宋" w:eastAsia="仿宋" w:cs="仿宋"/>
          <w:b w:val="0"/>
          <w:bCs w:val="0"/>
          <w:color w:val="auto"/>
          <w:sz w:val="32"/>
          <w:szCs w:val="32"/>
          <w:highlight w:val="none"/>
          <w:u w:val="none"/>
          <w:lang w:eastAsia="zh-CN" w:bidi="ar"/>
        </w:rPr>
        <w:t>为农民而建的要求，保障人民权益，为</w:t>
      </w:r>
      <w:r>
        <w:rPr>
          <w:rFonts w:hint="eastAsia" w:ascii="仿宋" w:hAnsi="仿宋" w:eastAsia="仿宋" w:cs="仿宋"/>
          <w:b w:val="0"/>
          <w:bCs w:val="0"/>
          <w:color w:val="auto"/>
          <w:sz w:val="32"/>
          <w:szCs w:val="32"/>
          <w:highlight w:val="none"/>
          <w:u w:val="none"/>
          <w:lang w:val="en-US" w:eastAsia="zh-CN" w:bidi="ar"/>
        </w:rPr>
        <w:t>农民</w:t>
      </w:r>
      <w:r>
        <w:rPr>
          <w:rFonts w:hint="default" w:ascii="仿宋" w:hAnsi="仿宋" w:eastAsia="仿宋" w:cs="仿宋"/>
          <w:b w:val="0"/>
          <w:bCs w:val="0"/>
          <w:color w:val="auto"/>
          <w:sz w:val="32"/>
          <w:szCs w:val="32"/>
          <w:highlight w:val="none"/>
          <w:u w:val="none"/>
          <w:lang w:eastAsia="zh-CN" w:bidi="ar"/>
        </w:rPr>
        <w:t>有序参与乡村振兴示范带的建设、</w:t>
      </w:r>
      <w:r>
        <w:rPr>
          <w:rFonts w:hint="eastAsia" w:ascii="仿宋" w:hAnsi="仿宋" w:eastAsia="仿宋" w:cs="仿宋"/>
          <w:b w:val="0"/>
          <w:bCs w:val="0"/>
          <w:color w:val="auto"/>
          <w:sz w:val="32"/>
          <w:szCs w:val="32"/>
          <w:highlight w:val="none"/>
          <w:u w:val="none"/>
          <w:lang w:val="en-US" w:eastAsia="zh-CN" w:bidi="ar"/>
        </w:rPr>
        <w:t>经营、</w:t>
      </w:r>
      <w:r>
        <w:rPr>
          <w:rFonts w:hint="default" w:ascii="仿宋" w:hAnsi="仿宋" w:eastAsia="仿宋" w:cs="仿宋"/>
          <w:b w:val="0"/>
          <w:bCs w:val="0"/>
          <w:color w:val="auto"/>
          <w:sz w:val="32"/>
          <w:szCs w:val="32"/>
          <w:highlight w:val="none"/>
          <w:u w:val="none"/>
          <w:lang w:eastAsia="zh-CN" w:bidi="ar"/>
        </w:rPr>
        <w:t>治理提供政治保证和组织保障。</w:t>
      </w:r>
    </w:p>
    <w:p>
      <w:pPr>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lang w:val="en-US" w:eastAsia="zh-CN" w:bidi="ar"/>
        </w:rPr>
      </w:pPr>
      <w:r>
        <w:rPr>
          <w:rFonts w:hint="eastAsia" w:ascii="仿宋" w:hAnsi="仿宋" w:eastAsia="仿宋" w:cs="仿宋"/>
          <w:b w:val="0"/>
          <w:bCs w:val="0"/>
          <w:color w:val="auto"/>
          <w:sz w:val="32"/>
          <w:szCs w:val="32"/>
          <w:highlight w:val="none"/>
          <w:u w:val="none"/>
          <w:lang w:val="en-US" w:eastAsia="zh-CN" w:bidi="ar"/>
        </w:rPr>
        <w:t>县</w:t>
      </w:r>
      <w:r>
        <w:rPr>
          <w:rFonts w:hint="default" w:ascii="仿宋" w:hAnsi="仿宋" w:eastAsia="仿宋" w:cs="仿宋"/>
          <w:b w:val="0"/>
          <w:bCs w:val="0"/>
          <w:color w:val="auto"/>
          <w:sz w:val="32"/>
          <w:szCs w:val="32"/>
          <w:highlight w:val="none"/>
          <w:u w:val="none"/>
          <w:lang w:eastAsia="zh-CN" w:bidi="ar"/>
        </w:rPr>
        <w:t>人民政府应当充分</w:t>
      </w:r>
      <w:r>
        <w:rPr>
          <w:rFonts w:hint="eastAsia" w:ascii="仿宋" w:hAnsi="仿宋" w:eastAsia="仿宋" w:cs="仿宋"/>
          <w:b w:val="0"/>
          <w:bCs w:val="0"/>
          <w:color w:val="auto"/>
          <w:sz w:val="32"/>
          <w:szCs w:val="32"/>
          <w:highlight w:val="none"/>
          <w:u w:val="none"/>
          <w:lang w:val="en-US" w:eastAsia="zh-CN" w:bidi="ar"/>
        </w:rPr>
        <w:t>发挥领导作用，</w:t>
      </w:r>
      <w:r>
        <w:rPr>
          <w:rFonts w:hint="default" w:ascii="仿宋" w:hAnsi="仿宋" w:eastAsia="仿宋" w:cs="仿宋"/>
          <w:b w:val="0"/>
          <w:bCs w:val="0"/>
          <w:color w:val="auto"/>
          <w:sz w:val="32"/>
          <w:szCs w:val="32"/>
          <w:highlight w:val="none"/>
          <w:u w:val="none"/>
          <w:lang w:eastAsia="zh-CN" w:bidi="ar"/>
        </w:rPr>
        <w:t>调动各方主体建设、</w:t>
      </w:r>
      <w:r>
        <w:rPr>
          <w:rFonts w:hint="eastAsia" w:ascii="仿宋" w:hAnsi="仿宋" w:eastAsia="仿宋" w:cs="仿宋"/>
          <w:b w:val="0"/>
          <w:bCs w:val="0"/>
          <w:color w:val="auto"/>
          <w:sz w:val="32"/>
          <w:szCs w:val="32"/>
          <w:highlight w:val="none"/>
          <w:u w:val="none"/>
          <w:lang w:val="en-US" w:eastAsia="zh-CN" w:bidi="ar"/>
        </w:rPr>
        <w:t>经营、</w:t>
      </w:r>
      <w:r>
        <w:rPr>
          <w:rFonts w:hint="default" w:ascii="仿宋" w:hAnsi="仿宋" w:eastAsia="仿宋" w:cs="仿宋"/>
          <w:b w:val="0"/>
          <w:bCs w:val="0"/>
          <w:color w:val="auto"/>
          <w:sz w:val="32"/>
          <w:szCs w:val="32"/>
          <w:highlight w:val="none"/>
          <w:u w:val="none"/>
          <w:lang w:eastAsia="zh-CN" w:bidi="ar"/>
        </w:rPr>
        <w:t>治理乡村振兴示范带的积极性、创造性、主动性，充分尊重农民意愿、保证人民群众的参与权，为农民、农村集体经济组织等多方主体和各种社会力量在乡村振兴示范带建设、</w:t>
      </w:r>
      <w:r>
        <w:rPr>
          <w:rFonts w:hint="eastAsia" w:ascii="仿宋" w:hAnsi="仿宋" w:eastAsia="仿宋" w:cs="仿宋"/>
          <w:b w:val="0"/>
          <w:bCs w:val="0"/>
          <w:color w:val="auto"/>
          <w:sz w:val="32"/>
          <w:szCs w:val="32"/>
          <w:highlight w:val="none"/>
          <w:u w:val="none"/>
          <w:lang w:val="en-US" w:eastAsia="zh-CN" w:bidi="ar"/>
        </w:rPr>
        <w:t>经营、</w:t>
      </w:r>
      <w:r>
        <w:rPr>
          <w:rFonts w:hint="default" w:ascii="仿宋" w:hAnsi="仿宋" w:eastAsia="仿宋" w:cs="仿宋"/>
          <w:b w:val="0"/>
          <w:bCs w:val="0"/>
          <w:color w:val="auto"/>
          <w:sz w:val="32"/>
          <w:szCs w:val="32"/>
          <w:highlight w:val="none"/>
          <w:u w:val="none"/>
          <w:lang w:eastAsia="zh-CN" w:bidi="ar"/>
        </w:rPr>
        <w:t>治理中发挥作用创造良好环境，统筹解决地区差距、收入差距，保障</w:t>
      </w:r>
      <w:r>
        <w:rPr>
          <w:rFonts w:hint="eastAsia" w:ascii="仿宋" w:hAnsi="仿宋" w:eastAsia="仿宋" w:cs="仿宋"/>
          <w:b w:val="0"/>
          <w:bCs w:val="0"/>
          <w:color w:val="auto"/>
          <w:sz w:val="32"/>
          <w:szCs w:val="32"/>
          <w:highlight w:val="none"/>
          <w:u w:val="none"/>
          <w:lang w:eastAsia="zh-CN" w:bidi="ar"/>
        </w:rPr>
        <w:t>农民</w:t>
      </w:r>
      <w:r>
        <w:rPr>
          <w:rFonts w:hint="eastAsia" w:ascii="仿宋" w:hAnsi="仿宋" w:eastAsia="仿宋" w:cs="仿宋"/>
          <w:b w:val="0"/>
          <w:bCs w:val="0"/>
          <w:color w:val="auto"/>
          <w:sz w:val="32"/>
          <w:szCs w:val="32"/>
          <w:highlight w:val="none"/>
          <w:u w:val="none"/>
          <w:lang w:val="en-US" w:eastAsia="zh-CN" w:bidi="ar"/>
        </w:rPr>
        <w:t>集体</w:t>
      </w:r>
      <w:r>
        <w:rPr>
          <w:rFonts w:hint="default" w:ascii="仿宋" w:hAnsi="仿宋" w:eastAsia="仿宋" w:cs="仿宋"/>
          <w:b w:val="0"/>
          <w:bCs w:val="0"/>
          <w:color w:val="auto"/>
          <w:sz w:val="32"/>
          <w:szCs w:val="32"/>
          <w:highlight w:val="none"/>
          <w:u w:val="none"/>
          <w:lang w:eastAsia="zh-CN" w:bidi="ar"/>
        </w:rPr>
        <w:t>共享乡村振兴示范带的建设成果。</w:t>
      </w:r>
    </w:p>
    <w:p>
      <w:pPr>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第七条 【激励机制】</w:t>
      </w:r>
      <w:r>
        <w:rPr>
          <w:rFonts w:hint="eastAsia" w:ascii="仿宋" w:hAnsi="仿宋" w:eastAsia="仿宋" w:cs="仿宋"/>
          <w:color w:val="auto"/>
          <w:sz w:val="32"/>
          <w:szCs w:val="32"/>
          <w:highlight w:val="none"/>
          <w:lang w:val="en-US" w:eastAsia="zh-CN" w:bidi="ar"/>
        </w:rPr>
        <w:t>县级以上人民政府应当建立健全激励机制，支持社会各界、引导社会资本通过各种方式参与乡村振兴示范带建设、经营、治理活动。</w:t>
      </w:r>
    </w:p>
    <w:p>
      <w:pPr>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第八条 【宣传推广】</w:t>
      </w:r>
      <w:r>
        <w:rPr>
          <w:rFonts w:hint="eastAsia" w:ascii="仿宋" w:hAnsi="仿宋" w:eastAsia="仿宋" w:cs="仿宋"/>
          <w:color w:val="auto"/>
          <w:sz w:val="32"/>
          <w:szCs w:val="32"/>
          <w:highlight w:val="none"/>
          <w:lang w:val="en-US" w:eastAsia="zh-CN" w:bidi="ar"/>
        </w:rPr>
        <w:t>县级以上人民政府及有关部门应当采取多种形式，广泛宣传乡村振兴示范带建设相关法律法规和政策，总结、推广先进经验。</w:t>
      </w:r>
    </w:p>
    <w:p>
      <w:pPr>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广播、电视、报刊、互联网等新闻媒体应当开展乡村振兴示范带的公益宣传，报道乡村振兴示范带建设工作的措施、成效和先进典型，营造全社会共同关注、支持、参与乡村振兴示范带建设、经营、治理的良好氛围。</w:t>
      </w:r>
    </w:p>
    <w:p>
      <w:pPr>
        <w:keepNext/>
        <w:keepLines w:val="0"/>
        <w:pageBreakBefore w:val="0"/>
        <w:widowControl w:val="0"/>
        <w:suppressLineNumbers w:val="0"/>
        <w:kinsoku/>
        <w:wordWrap/>
        <w:overflowPunct/>
        <w:topLinePunct w:val="0"/>
        <w:autoSpaceDE/>
        <w:autoSpaceDN/>
        <w:bidi w:val="0"/>
        <w:adjustRightInd/>
        <w:snapToGrid/>
        <w:spacing w:before="240" w:beforeAutospacing="0" w:after="120" w:afterAutospacing="0" w:line="600" w:lineRule="exact"/>
        <w:ind w:right="0"/>
        <w:jc w:val="center"/>
        <w:textAlignment w:val="auto"/>
        <w:outlineLvl w:val="0"/>
        <w:rPr>
          <w:rFonts w:hint="eastAsia" w:ascii="黑体" w:hAnsi="黑体" w:eastAsia="黑体" w:cs="黑体"/>
          <w:b w:val="0"/>
          <w:bCs/>
          <w:color w:val="auto"/>
          <w:kern w:val="2"/>
          <w:sz w:val="32"/>
          <w:szCs w:val="32"/>
          <w:highlight w:val="none"/>
          <w:lang w:val="en-US" w:eastAsia="zh-CN" w:bidi="ar"/>
        </w:rPr>
      </w:pPr>
      <w:r>
        <w:rPr>
          <w:rFonts w:hint="eastAsia" w:ascii="黑体" w:hAnsi="黑体" w:eastAsia="黑体" w:cs="黑体"/>
          <w:b w:val="0"/>
          <w:bCs/>
          <w:color w:val="auto"/>
          <w:kern w:val="2"/>
          <w:sz w:val="32"/>
          <w:szCs w:val="32"/>
          <w:highlight w:val="none"/>
          <w:lang w:val="en-US" w:eastAsia="zh-CN" w:bidi="ar"/>
        </w:rPr>
        <w:t>第二章 示范带建设规划</w:t>
      </w:r>
    </w:p>
    <w:p>
      <w:pPr>
        <w:keepNext w:val="0"/>
        <w:keepLines w:val="0"/>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bidi="ar"/>
        </w:rPr>
        <w:t>第九条 【规划编制要求】</w:t>
      </w:r>
      <w:r>
        <w:rPr>
          <w:rFonts w:hint="eastAsia" w:ascii="仿宋" w:hAnsi="仿宋" w:eastAsia="仿宋" w:cs="仿宋"/>
          <w:color w:val="auto"/>
          <w:sz w:val="32"/>
          <w:szCs w:val="32"/>
          <w:highlight w:val="none"/>
          <w:lang w:val="en-US" w:eastAsia="zh-CN" w:bidi="ar"/>
        </w:rPr>
        <w:t>乡村振兴示范带规划编制工作应当按照因地制宜、合理布局、节约土地、集约发展和先规划后建设原则，根据本行政区划的区位特点、人口规模、经济产业基础、自然生态环境、文化民俗等条件，围绕产业兴旺、环境改善、风貌提升、乡风文明、设施完善、治理有效六大要素，对乡村生产力布局、村庄设计、农房设计、沿线景观和设施等内容进行规划，并同县、乡镇国土空间总体规划、专项规划及村庄规划相协调，体现乡村特点、地域特色和示范带主题定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第十条 【规划编制职责分工】</w:t>
      </w:r>
      <w:r>
        <w:rPr>
          <w:rFonts w:hint="eastAsia" w:ascii="仿宋" w:hAnsi="仿宋" w:eastAsia="仿宋" w:cs="仿宋"/>
          <w:color w:val="auto"/>
          <w:sz w:val="32"/>
          <w:szCs w:val="32"/>
          <w:highlight w:val="none"/>
          <w:lang w:val="en-US" w:eastAsia="zh-CN" w:bidi="ar"/>
        </w:rPr>
        <w:t>市人民政府</w:t>
      </w:r>
      <w:r>
        <w:rPr>
          <w:rFonts w:hint="default" w:ascii="仿宋" w:hAnsi="仿宋" w:eastAsia="仿宋" w:cs="仿宋"/>
          <w:color w:val="auto"/>
          <w:sz w:val="32"/>
          <w:szCs w:val="32"/>
          <w:highlight w:val="none"/>
          <w:lang w:val="en-US" w:eastAsia="zh-CN" w:bidi="ar"/>
        </w:rPr>
        <w:t>领导</w:t>
      </w:r>
      <w:r>
        <w:rPr>
          <w:rFonts w:hint="eastAsia" w:ascii="仿宋" w:hAnsi="仿宋" w:eastAsia="仿宋" w:cs="仿宋"/>
          <w:color w:val="auto"/>
          <w:sz w:val="32"/>
          <w:szCs w:val="32"/>
          <w:highlight w:val="none"/>
          <w:lang w:val="en-US" w:eastAsia="zh-CN" w:bidi="ar"/>
        </w:rPr>
        <w:t>本市乡村振兴示范带规划编制工作。县、镇人民政府负责组织推进乡村振兴示范带规划编制工作，严格执行县、乡镇国土空间总体规划、专项规划及村庄规划。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级以上人民政府自然资源、住房和城乡建设、农业农村等有关主管部门应当按照各自职责共同做好乡村振兴示范带规划、建设和管理的相关工作，提供村庄规划编制、农村住房设计、村容村貌提升等方面的技术指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第十一条 【总体规划编制和批准】</w:t>
      </w:r>
      <w:r>
        <w:rPr>
          <w:rFonts w:hint="eastAsia" w:ascii="仿宋" w:hAnsi="仿宋" w:eastAsia="仿宋" w:cs="仿宋"/>
          <w:color w:val="auto"/>
          <w:sz w:val="32"/>
          <w:szCs w:val="32"/>
          <w:highlight w:val="none"/>
          <w:lang w:val="en-US" w:eastAsia="zh-CN" w:bidi="ar"/>
        </w:rPr>
        <w:t>县人民政府组织编制县乡村振兴示范带总体规划，经县人民代表大会常务委员会审议，报市人民政府批准。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镇人民政府组织编制本级乡村振兴示范带总体规划，经本级人民代表大会审议后，逐级报市人民政府批准。乡村振兴示范带规划涉及两个以上镇的，由县人民政府组织编制，提请本级人民代表大会常务委员会审议后，报市人民政府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经依法批准的总体规划，任何单位和个人不得擅自变更；确需变更的，应当按照原审批程序报批。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第十二条 【示范带开发边界内详细规划编制和批准】</w:t>
      </w:r>
      <w:r>
        <w:rPr>
          <w:rFonts w:hint="eastAsia" w:ascii="仿宋" w:hAnsi="仿宋" w:eastAsia="仿宋" w:cs="仿宋"/>
          <w:color w:val="auto"/>
          <w:sz w:val="32"/>
          <w:szCs w:val="32"/>
          <w:highlight w:val="none"/>
          <w:lang w:val="en-US" w:eastAsia="zh-CN" w:bidi="ar"/>
        </w:rPr>
        <w:t>自然资源主管部门负责组织编制乡村振兴示范带开发边界内的村庄规划，经本级人民政府批准后，报本级人大常委会备案。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经依法批准的详细规划，任何单位和个人不得擅自变更；确需变更的，应当按照原审批程序报批。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第十三条 【示范带开发边界外村庄规划编制和批准】</w:t>
      </w:r>
      <w:r>
        <w:rPr>
          <w:rFonts w:hint="eastAsia" w:ascii="仿宋" w:hAnsi="仿宋" w:eastAsia="仿宋" w:cs="仿宋"/>
          <w:color w:val="auto"/>
          <w:sz w:val="32"/>
          <w:szCs w:val="32"/>
          <w:highlight w:val="none"/>
          <w:lang w:val="en-US" w:eastAsia="zh-CN" w:bidi="ar"/>
        </w:rPr>
        <w:t>乡村振兴示范带开发边界外的村庄规划由镇人民政府以一个或者几个行政村为单元组织编制，经村民会议或者村民代表会议讨论同意后，报上一级人民政府批准。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对紧邻乡村振兴示范带开发边界内的村庄纳入所在地的详细规划，统一规划管理，不再单独编制村庄规划。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经依法批准的村庄规划，任何单位和个人不得擅自变更；确需变更的，应当按照原审批程序报批。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第十四条 【专项规划编制和审批】</w:t>
      </w:r>
      <w:r>
        <w:rPr>
          <w:rFonts w:hint="eastAsia" w:ascii="仿宋" w:hAnsi="仿宋" w:eastAsia="仿宋" w:cs="仿宋"/>
          <w:color w:val="auto"/>
          <w:sz w:val="32"/>
          <w:szCs w:val="32"/>
          <w:highlight w:val="none"/>
          <w:lang w:val="en-US" w:eastAsia="zh-CN" w:bidi="ar"/>
        </w:rPr>
        <w:t>自然资源主管部门应当会同住房和城乡建设、农业农村等部门，根据乡村振兴示范带总体规划和示范带所在地需求，组织编制本级乡村振兴示范带专项规划，经市人民政府批准后实施。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专项规划应当综合考虑产业兴旺、环境改善、风貌提升、乡风文明、设施完善、治理有效等要素，符合国土空间总体规划，科学确定示范带创建主题和定位，统筹项目资金、建设工程设计、建设规模、建设时序等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经依法批准的专项规划，任何单位和个人不得擅自变更；确需变更的，应当按照原审批程序报批。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第十五条 【点状供地规划和审批】</w:t>
      </w:r>
      <w:r>
        <w:rPr>
          <w:rFonts w:hint="eastAsia" w:ascii="仿宋" w:hAnsi="仿宋" w:eastAsia="仿宋" w:cs="仿宋"/>
          <w:color w:val="auto"/>
          <w:sz w:val="32"/>
          <w:szCs w:val="32"/>
          <w:highlight w:val="none"/>
          <w:lang w:val="en-US" w:eastAsia="zh-CN" w:bidi="ar"/>
        </w:rPr>
        <w:t>现代种养业、农产品加工流通业、乡村休闲旅游业、乡土特色产业、乡村信息产业及乡村新型服务业等项目所需建设用地可以适用点状供地。选址位于相关规划确定的禁止建设区、建设用地涉及占用永久基本农田或突破生态保护红线的项目，不符合国家和省的法律法规以及相关产业政策规定的项目，商品住宅和别墅类房地产开发项目所需建设用地不适用点状供地</w:t>
      </w:r>
      <w:r>
        <w:rPr>
          <w:rFonts w:hint="default" w:ascii="仿宋" w:hAnsi="仿宋" w:eastAsia="仿宋" w:cs="仿宋"/>
          <w:color w:val="auto"/>
          <w:sz w:val="32"/>
          <w:szCs w:val="32"/>
          <w:highlight w:val="none"/>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 xml:space="preserve"> 县人民政府应当将</w:t>
      </w:r>
      <w:r>
        <w:rPr>
          <w:rFonts w:hint="default" w:ascii="仿宋" w:hAnsi="仿宋" w:eastAsia="仿宋" w:cs="仿宋"/>
          <w:color w:val="auto"/>
          <w:sz w:val="32"/>
          <w:szCs w:val="32"/>
          <w:highlight w:val="none"/>
          <w:lang w:eastAsia="zh-CN" w:bidi="ar"/>
        </w:rPr>
        <w:t>乡村振兴示范带</w:t>
      </w:r>
      <w:r>
        <w:rPr>
          <w:rFonts w:hint="eastAsia" w:ascii="仿宋" w:hAnsi="仿宋" w:eastAsia="仿宋" w:cs="仿宋"/>
          <w:color w:val="auto"/>
          <w:sz w:val="32"/>
          <w:szCs w:val="32"/>
          <w:highlight w:val="none"/>
          <w:lang w:val="en-US" w:eastAsia="zh-CN" w:bidi="ar"/>
        </w:rPr>
        <w:t>产业用地纳入国土空间规划</w:t>
      </w:r>
      <w:r>
        <w:rPr>
          <w:rFonts w:hint="default" w:ascii="仿宋" w:hAnsi="仿宋" w:eastAsia="仿宋" w:cs="仿宋"/>
          <w:color w:val="auto"/>
          <w:sz w:val="32"/>
          <w:szCs w:val="32"/>
          <w:highlight w:val="none"/>
          <w:lang w:eastAsia="zh-CN" w:bidi="ar"/>
        </w:rPr>
        <w:t>体系，</w:t>
      </w:r>
      <w:r>
        <w:rPr>
          <w:rFonts w:hint="eastAsia" w:ascii="仿宋" w:hAnsi="仿宋" w:eastAsia="仿宋" w:cs="仿宋"/>
          <w:color w:val="auto"/>
          <w:sz w:val="32"/>
          <w:szCs w:val="32"/>
          <w:highlight w:val="none"/>
          <w:lang w:val="en-US" w:eastAsia="zh-CN" w:bidi="ar"/>
        </w:rPr>
        <w:t>在国土空间总体规划和村庄规划中预留不超过</w:t>
      </w:r>
      <w:r>
        <w:rPr>
          <w:rFonts w:hint="default" w:ascii="Times New Roman" w:hAnsi="Times New Roman" w:eastAsia="仿宋" w:cs="Times New Roman"/>
          <w:color w:val="auto"/>
          <w:sz w:val="32"/>
          <w:szCs w:val="32"/>
          <w:highlight w:val="none"/>
          <w:lang w:val="en-US" w:eastAsia="zh-CN" w:bidi="ar"/>
        </w:rPr>
        <w:t>5%的</w:t>
      </w:r>
      <w:r>
        <w:rPr>
          <w:rFonts w:hint="eastAsia" w:ascii="仿宋" w:hAnsi="仿宋" w:eastAsia="仿宋" w:cs="仿宋"/>
          <w:color w:val="auto"/>
          <w:sz w:val="32"/>
          <w:szCs w:val="32"/>
          <w:highlight w:val="none"/>
          <w:lang w:val="en-US" w:eastAsia="zh-CN" w:bidi="ar"/>
        </w:rPr>
        <w:t>城乡建设用地规模，优先用于保障点状供地项目建设，点状供地项目确需使用预留城乡建设用地规模的，由属地镇街政府向市自然资源局提出申请，经市</w:t>
      </w:r>
      <w:r>
        <w:rPr>
          <w:rFonts w:hint="default" w:ascii="仿宋" w:hAnsi="仿宋" w:eastAsia="仿宋" w:cs="仿宋"/>
          <w:color w:val="auto"/>
          <w:sz w:val="32"/>
          <w:szCs w:val="32"/>
          <w:highlight w:val="none"/>
          <w:lang w:eastAsia="zh-CN" w:bidi="ar"/>
        </w:rPr>
        <w:t>人民</w:t>
      </w:r>
      <w:r>
        <w:rPr>
          <w:rFonts w:hint="eastAsia" w:ascii="仿宋" w:hAnsi="仿宋" w:eastAsia="仿宋" w:cs="仿宋"/>
          <w:color w:val="auto"/>
          <w:sz w:val="32"/>
          <w:szCs w:val="32"/>
          <w:highlight w:val="none"/>
          <w:lang w:val="en-US" w:eastAsia="zh-CN" w:bidi="ar"/>
        </w:rPr>
        <w:t>政府批准后按程序组织相关规划的调整。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第十六条 【规划公示公告】</w:t>
      </w:r>
      <w:r>
        <w:rPr>
          <w:rFonts w:hint="eastAsia" w:ascii="仿宋" w:hAnsi="仿宋" w:eastAsia="仿宋" w:cs="仿宋"/>
          <w:color w:val="auto"/>
          <w:sz w:val="32"/>
          <w:szCs w:val="32"/>
          <w:highlight w:val="none"/>
          <w:lang w:val="en-US" w:eastAsia="zh-CN" w:bidi="ar"/>
        </w:rPr>
        <w:t>规划编制单位编制乡村振兴示范带规划应当采取公示、座谈会、论证会、听证会或者其他方式充分征求专家和公众意见，对专家和公众意见进行收集、整理和反馈，并在报送组织编制机关的材料中附具意见采纳情况的说明和理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依法批准的乡村振兴示范带规划应当通过政府网站、新闻媒体或者在专门场所及时公布，并作为政府网站或者常设的专门场所长期公布的内容。未经公布的乡村振兴示范带规划，不得作为规划管理和示范带建设的依据，但法律、法规另有规定的除外。</w:t>
      </w:r>
    </w:p>
    <w:p>
      <w:pPr>
        <w:keepNext/>
        <w:keepLines w:val="0"/>
        <w:pageBreakBefore w:val="0"/>
        <w:widowControl w:val="0"/>
        <w:suppressLineNumbers w:val="0"/>
        <w:kinsoku/>
        <w:wordWrap/>
        <w:overflowPunct/>
        <w:topLinePunct w:val="0"/>
        <w:autoSpaceDE/>
        <w:autoSpaceDN/>
        <w:bidi w:val="0"/>
        <w:adjustRightInd/>
        <w:snapToGrid/>
        <w:spacing w:before="240" w:beforeAutospacing="0" w:after="120" w:afterAutospacing="0" w:line="600" w:lineRule="exact"/>
        <w:ind w:right="0"/>
        <w:jc w:val="center"/>
        <w:textAlignment w:val="auto"/>
        <w:outlineLvl w:val="0"/>
        <w:rPr>
          <w:rFonts w:hint="eastAsia" w:ascii="黑体" w:hAnsi="黑体" w:eastAsia="黑体" w:cs="黑体"/>
          <w:b w:val="0"/>
          <w:bCs/>
          <w:color w:val="auto"/>
          <w:kern w:val="2"/>
          <w:sz w:val="32"/>
          <w:szCs w:val="32"/>
          <w:highlight w:val="none"/>
          <w:lang w:val="en-US" w:eastAsia="zh-CN" w:bidi="ar"/>
        </w:rPr>
      </w:pPr>
      <w:r>
        <w:rPr>
          <w:rFonts w:hint="eastAsia" w:ascii="黑体" w:hAnsi="黑体" w:eastAsia="黑体" w:cs="黑体"/>
          <w:b w:val="0"/>
          <w:bCs/>
          <w:color w:val="auto"/>
          <w:kern w:val="2"/>
          <w:sz w:val="32"/>
          <w:szCs w:val="32"/>
          <w:highlight w:val="none"/>
          <w:lang w:val="en-US" w:eastAsia="zh-CN" w:bidi="ar"/>
        </w:rPr>
        <w:t>第三章 示范带建设内容</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第十七条</w:t>
      </w:r>
      <w:r>
        <w:rPr>
          <w:rFonts w:hint="eastAsia" w:ascii="仿宋" w:hAnsi="仿宋" w:eastAsia="仿宋" w:cs="仿宋"/>
          <w:color w:val="auto"/>
          <w:sz w:val="32"/>
          <w:szCs w:val="32"/>
          <w:highlight w:val="none"/>
          <w:lang w:val="en-US" w:eastAsia="zh-CN" w:bidi="ar"/>
        </w:rPr>
        <w:t xml:space="preserve"> </w:t>
      </w:r>
      <w:r>
        <w:rPr>
          <w:rFonts w:hint="eastAsia" w:ascii="黑体" w:hAnsi="黑体" w:eastAsia="黑体" w:cs="黑体"/>
          <w:color w:val="auto"/>
          <w:sz w:val="32"/>
          <w:szCs w:val="32"/>
          <w:highlight w:val="none"/>
          <w:lang w:val="en-US" w:eastAsia="zh-CN" w:bidi="ar"/>
        </w:rPr>
        <w:t>【建设要求】</w:t>
      </w:r>
      <w:r>
        <w:rPr>
          <w:rFonts w:hint="eastAsia" w:ascii="仿宋" w:hAnsi="仿宋" w:eastAsia="仿宋" w:cs="仿宋"/>
          <w:color w:val="auto"/>
          <w:sz w:val="32"/>
          <w:szCs w:val="32"/>
          <w:highlight w:val="none"/>
          <w:lang w:val="en-US" w:eastAsia="zh-CN" w:bidi="ar"/>
        </w:rPr>
        <w:t>县人民政府应当制定乡村人居环境整治提升实施方案，推进乡村人居环境整治提升、农房管控和乡村风貌提升，促进乡村文化发展，加强乡村设施建设和红色阵地建设，打造特色鲜明、优势突出的乡村风貌带，建设生态宜居美丽乡村。</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第十八条 【厕所、污水、垃圾治理、系统治理】</w:t>
      </w:r>
      <w:r>
        <w:rPr>
          <w:rFonts w:hint="eastAsia" w:ascii="仿宋" w:hAnsi="仿宋" w:eastAsia="仿宋" w:cs="仿宋"/>
          <w:color w:val="auto"/>
          <w:sz w:val="32"/>
          <w:szCs w:val="32"/>
          <w:highlight w:val="none"/>
          <w:lang w:val="en-US" w:eastAsia="zh-CN" w:bidi="ar"/>
        </w:rPr>
        <w:t>县人民政府应当推进厕所建设改造、生活污水和生活垃圾治理，建立村庄保洁机制和农村厕所、生活垃圾、污水处理设施设备运行维护机制，开展乡村绿化美化工作，全面提升村容村貌。</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县人民政府应当坚持节约优先、保护优先、自然恢复为主的方针，统筹推进山水林田湖草沙系统治理，全面提升示范带内人居环境。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第十九条 【美丽通道、美丽田园建设】</w:t>
      </w:r>
      <w:r>
        <w:rPr>
          <w:rFonts w:hint="eastAsia" w:ascii="仿宋" w:hAnsi="仿宋" w:eastAsia="仿宋" w:cs="仿宋"/>
          <w:color w:val="auto"/>
          <w:sz w:val="32"/>
          <w:szCs w:val="32"/>
          <w:highlight w:val="none"/>
          <w:lang w:val="en-US" w:eastAsia="zh-CN" w:bidi="ar"/>
        </w:rPr>
        <w:t>县人民政府应当加强示范带道路交通基础设施的建设与运营管理，全面推进示范带道路综合整治，实施绿化美化，进行整体风貌提升。</w:t>
      </w:r>
    </w:p>
    <w:p>
      <w:pPr>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人民政府应当对土地进行综合治理，在群众自愿基础上推进农用地互换并地整合，实现规模化经营，统一示范带内农业设施用房的规划设计，实施标准化建设，美化农业生产设施，配建休闲观赏设施，打造示范带生态生产新景观。</w:t>
      </w:r>
    </w:p>
    <w:p>
      <w:pPr>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第二十条 【设施完善】</w:t>
      </w:r>
      <w:r>
        <w:rPr>
          <w:rFonts w:hint="eastAsia" w:ascii="仿宋" w:hAnsi="仿宋" w:eastAsia="仿宋" w:cs="仿宋"/>
          <w:color w:val="auto"/>
          <w:sz w:val="32"/>
          <w:szCs w:val="32"/>
          <w:highlight w:val="none"/>
          <w:lang w:val="en-US" w:eastAsia="zh-CN" w:bidi="ar"/>
        </w:rPr>
        <w:t>县人民政府应当加强基础设施建设，统筹建设乡村旅游设施，实施数字乡村建设行动，开展数字乡村示范试点建设。</w:t>
      </w:r>
    </w:p>
    <w:p>
      <w:pPr>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乡镇人民政府应当完成党群服务中心、集中供水、村内道路、公共照明、卫生服务站等基础设施建设，按需建有幼儿园、养老设施、防灾减灾、治安防护、旅游咨询等设施。</w:t>
      </w:r>
      <w:r>
        <w:rPr>
          <w:rFonts w:hint="default" w:ascii="仿宋" w:hAnsi="仿宋" w:eastAsia="仿宋" w:cs="仿宋"/>
          <w:color w:val="auto"/>
          <w:sz w:val="32"/>
          <w:szCs w:val="32"/>
          <w:highlight w:val="none"/>
          <w:lang w:eastAsia="zh-CN" w:bidi="ar"/>
        </w:rPr>
        <w:t>优化</w:t>
      </w:r>
      <w:r>
        <w:rPr>
          <w:rFonts w:hint="eastAsia" w:ascii="仿宋" w:hAnsi="仿宋" w:eastAsia="仿宋" w:cs="仿宋"/>
          <w:color w:val="auto"/>
          <w:sz w:val="32"/>
          <w:szCs w:val="32"/>
          <w:highlight w:val="none"/>
          <w:lang w:val="en-US" w:eastAsia="zh-CN" w:bidi="ar"/>
        </w:rPr>
        <w:t>行政服务、农村教育、社会保障、医疗卫生、供销、农技推广、法律等社区公共服务，基本实现城乡基本公共服务均等化。建设乡村旅游服务设施，完善旅游基础设施，鼓励旅游业发展。推动数字乡村标准化建设，加强乡村政务、教育、医疗、文化数字化建设，</w:t>
      </w:r>
      <w:r>
        <w:rPr>
          <w:rFonts w:hint="default" w:ascii="仿宋" w:hAnsi="仿宋" w:eastAsia="仿宋" w:cs="仿宋"/>
          <w:color w:val="auto"/>
          <w:sz w:val="32"/>
          <w:szCs w:val="32"/>
          <w:highlight w:val="none"/>
          <w:lang w:val="en-US" w:eastAsia="zh-CN" w:bidi="ar"/>
        </w:rPr>
        <w:t>推进乡村信息基础设施优化升级</w:t>
      </w:r>
      <w:r>
        <w:rPr>
          <w:rFonts w:hint="eastAsia" w:ascii="仿宋" w:hAnsi="仿宋" w:eastAsia="仿宋" w:cs="仿宋"/>
          <w:color w:val="auto"/>
          <w:sz w:val="32"/>
          <w:szCs w:val="32"/>
          <w:highlight w:val="none"/>
          <w:lang w:val="en-US" w:eastAsia="zh-CN" w:bidi="ar"/>
        </w:rPr>
        <w:t>，</w:t>
      </w:r>
      <w:r>
        <w:rPr>
          <w:rFonts w:hint="default" w:ascii="仿宋" w:hAnsi="仿宋" w:eastAsia="仿宋" w:cs="仿宋"/>
          <w:color w:val="auto"/>
          <w:sz w:val="32"/>
          <w:szCs w:val="32"/>
          <w:highlight w:val="none"/>
          <w:lang w:val="en-US" w:eastAsia="zh-CN" w:bidi="ar"/>
        </w:rPr>
        <w:t>健全农村信息服务体系</w:t>
      </w:r>
      <w:r>
        <w:rPr>
          <w:rFonts w:hint="eastAsia" w:ascii="仿宋" w:hAnsi="仿宋" w:eastAsia="仿宋" w:cs="仿宋"/>
          <w:color w:val="auto"/>
          <w:sz w:val="32"/>
          <w:szCs w:val="32"/>
          <w:highlight w:val="none"/>
          <w:lang w:val="en-US" w:eastAsia="zh-CN" w:bidi="ar"/>
        </w:rPr>
        <w:t>。</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第二十一条 【风貌提升】</w:t>
      </w:r>
      <w:r>
        <w:rPr>
          <w:rFonts w:hint="eastAsia" w:ascii="仿宋" w:hAnsi="仿宋" w:eastAsia="仿宋" w:cs="仿宋"/>
          <w:color w:val="auto"/>
          <w:sz w:val="32"/>
          <w:szCs w:val="32"/>
          <w:highlight w:val="none"/>
          <w:lang w:val="en-US" w:eastAsia="zh-CN" w:bidi="ar"/>
        </w:rPr>
        <w:t>县级以上人民政府可以结合民俗文化、产业发展特征，通过示范引领，统筹推动乡村风貌联村联镇、集片成带提升。</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人民政府应当根据经批准的村庄规划，结合当地实际情况，采取有效措施，指导农村住房建设管理和服务，强化农村住房用地和风貌管理，推进现有农村住房升级改造。县人民政府住房和城乡建设等有关主管部门应当建立、完善并落实农村住房建设质量安全管理制度，负责指导农村住房建设，编制农房建设绿色技术导则或者设计图集等，免费提供给农民自建住宅使用并给予技术指导。</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乡镇人民政府应当指导村民优先利用符合规划和用途管制要求的原有宅基地、村内空闲地建房。加强农村危房管理，消除安全隐患；安全隐患消除前，应当采取围蔽、警戒措施，保障安全。</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村民委员会可以根据法律法规和政策，在村规民约中明确新建农村住房的面积、层高、式样、色彩等要求，协助乡镇人民政府采取有效措施引导住房风貌。</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鼓励村民采用绿色环保建筑技术、建筑材料建房。</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第二十二条 【乡风文明】</w:t>
      </w:r>
      <w:r>
        <w:rPr>
          <w:rFonts w:hint="eastAsia" w:ascii="仿宋" w:hAnsi="仿宋" w:eastAsia="仿宋" w:cs="仿宋"/>
          <w:color w:val="auto"/>
          <w:sz w:val="32"/>
          <w:szCs w:val="32"/>
          <w:highlight w:val="none"/>
          <w:lang w:val="en-US" w:eastAsia="zh-CN" w:bidi="ar"/>
        </w:rPr>
        <w:t>县人民政府应当组织开展新时代乡村文明建设，加强农村思想文化阵地建设，建设新时代文明实践中心（所、站），广泛开展各类新时代文明实践活动，全面推动移风易俗，夯实农村思想道德基础，传承和弘扬优秀传统文化，繁荣发展乡村文化，培育特色文化品牌，形成文明乡风、良好家风、淳朴民风。</w:t>
      </w:r>
    </w:p>
    <w:p>
      <w:pPr>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第二十三条 【红色阵地】</w:t>
      </w:r>
      <w:r>
        <w:rPr>
          <w:rFonts w:hint="eastAsia" w:ascii="仿宋" w:hAnsi="仿宋" w:eastAsia="仿宋" w:cs="仿宋"/>
          <w:color w:val="auto"/>
          <w:sz w:val="32"/>
          <w:szCs w:val="32"/>
          <w:highlight w:val="none"/>
          <w:lang w:val="en-US" w:eastAsia="zh-CN" w:bidi="ar"/>
        </w:rPr>
        <w:t>县人民政府应当深挖乡村红色资源，加强红色阵地建设，开展革命遗址修缮保护和展陈提升，将革命遗址建设成为党性教育基地、爱国教育基地、干部培训基地、红色体验基地。促进乡村红色资源整合连片发展，因地制宜建立红色线路，大力发展红色展览、红色旅游、红色研学等业态。发动基层党员讲好红色故事，开展红色文化宣讲活动、农民群众红色经典读书活动，让广大群众铭记党的历史、接受红色洗礼、传承红色基因。</w:t>
      </w:r>
    </w:p>
    <w:p>
      <w:pPr>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第二十四条 【管护机制】</w:t>
      </w:r>
      <w:r>
        <w:rPr>
          <w:rFonts w:hint="eastAsia" w:ascii="仿宋" w:hAnsi="仿宋" w:eastAsia="仿宋" w:cs="仿宋"/>
          <w:color w:val="auto"/>
          <w:sz w:val="32"/>
          <w:szCs w:val="32"/>
          <w:highlight w:val="none"/>
          <w:lang w:val="en-US" w:eastAsia="zh-CN" w:bidi="ar"/>
        </w:rPr>
        <w:t>县以上人民政府应当保障农村公共设施管护和运行经费的投入，将应由政府承担的农村公共设施管护和运行经费纳入财政预算。</w:t>
      </w:r>
    </w:p>
    <w:p>
      <w:pPr>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县以上人民政府农业农村、生态环境、住房城乡建设、水利等有关主管部门及乡镇人民政府应当建立乡村人居环境长效管护机制，推动农村厕所、生活污水垃圾处理设施设备和村庄保洁等一体化运行管护。</w:t>
      </w:r>
    </w:p>
    <w:p>
      <w:pPr>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乡镇人民政府应当建立河湖等重点水体水质巡查管护制度，落实巡查管护人员，做好农村河、湖、库、渠等清洁保洁工作。</w:t>
      </w:r>
    </w:p>
    <w:p>
      <w:pPr>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村民委员会应当制定村庄保洁制度，落实保洁人员，做好本村公共区域的日常保洁和维护工作。</w:t>
      </w:r>
    </w:p>
    <w:p>
      <w:pPr>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auto"/>
          <w:kern w:val="2"/>
          <w:sz w:val="32"/>
          <w:szCs w:val="32"/>
          <w:highlight w:val="none"/>
          <w:lang w:val="en-US" w:eastAsia="zh-CN" w:bidi="ar"/>
        </w:rPr>
      </w:pPr>
      <w:r>
        <w:rPr>
          <w:rFonts w:hint="eastAsia" w:ascii="黑体" w:hAnsi="黑体" w:eastAsia="黑体" w:cs="黑体"/>
          <w:b w:val="0"/>
          <w:bCs/>
          <w:color w:val="auto"/>
          <w:kern w:val="2"/>
          <w:sz w:val="32"/>
          <w:szCs w:val="32"/>
          <w:highlight w:val="none"/>
          <w:lang w:val="en-US" w:eastAsia="zh-CN" w:bidi="ar"/>
        </w:rPr>
        <w:t>第四章 示范带管理经营</w:t>
      </w:r>
    </w:p>
    <w:p>
      <w:pPr>
        <w:keepNext w:val="0"/>
        <w:keepLines w:val="0"/>
        <w:pageBreakBefore w:val="0"/>
        <w:widowControl/>
        <w:numPr>
          <w:ilvl w:val="-1"/>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b w:val="0"/>
          <w:bCs w:val="0"/>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第二十五条【管理职责】</w:t>
      </w:r>
      <w:r>
        <w:rPr>
          <w:rFonts w:hint="eastAsia" w:ascii="仿宋" w:hAnsi="仿宋" w:eastAsia="仿宋" w:cs="仿宋"/>
          <w:color w:val="auto"/>
          <w:sz w:val="32"/>
          <w:szCs w:val="32"/>
          <w:highlight w:val="none"/>
          <w:lang w:val="en-US" w:eastAsia="zh-CN" w:bidi="ar"/>
        </w:rPr>
        <w:t>县级以上</w:t>
      </w:r>
      <w:r>
        <w:rPr>
          <w:rFonts w:hint="eastAsia" w:ascii="仿宋" w:hAnsi="仿宋" w:eastAsia="仿宋" w:cs="仿宋"/>
          <w:b w:val="0"/>
          <w:bCs w:val="0"/>
          <w:color w:val="auto"/>
          <w:sz w:val="32"/>
          <w:szCs w:val="32"/>
          <w:highlight w:val="none"/>
          <w:lang w:val="en-US" w:eastAsia="zh-CN" w:bidi="ar"/>
        </w:rPr>
        <w:t>人民政府应当建立健全</w:t>
      </w:r>
      <w:r>
        <w:rPr>
          <w:rFonts w:hint="eastAsia" w:ascii="仿宋" w:hAnsi="仿宋" w:eastAsia="仿宋" w:cs="仿宋"/>
          <w:color w:val="auto"/>
          <w:sz w:val="32"/>
          <w:szCs w:val="32"/>
          <w:highlight w:val="none"/>
          <w:lang w:val="en-US" w:eastAsia="zh-CN" w:bidi="ar"/>
        </w:rPr>
        <w:t>乡村振兴示范带产业运营平台，完善经营规则和相关制度，规范经营活动，落实经营主体、农村集体经济组织、农民个人对乡村振兴示范带经营的管理维护责任。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县级以上人民政府应当对当地经营乡村振兴示范带一年以上的经营主体进行年度考核。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县级以上</w:t>
      </w:r>
      <w:r>
        <w:rPr>
          <w:rFonts w:hint="eastAsia" w:ascii="仿宋" w:hAnsi="仿宋" w:eastAsia="仿宋" w:cs="仿宋"/>
          <w:b w:val="0"/>
          <w:bCs w:val="0"/>
          <w:color w:val="auto"/>
          <w:sz w:val="32"/>
          <w:szCs w:val="32"/>
          <w:highlight w:val="none"/>
          <w:lang w:val="en-US" w:eastAsia="zh-CN" w:bidi="ar"/>
        </w:rPr>
        <w:t>人民政府应当建立健全</w:t>
      </w:r>
      <w:r>
        <w:rPr>
          <w:rFonts w:hint="eastAsia" w:ascii="仿宋" w:hAnsi="仿宋" w:eastAsia="仿宋" w:cs="仿宋"/>
          <w:color w:val="auto"/>
          <w:sz w:val="32"/>
          <w:szCs w:val="32"/>
          <w:highlight w:val="none"/>
          <w:lang w:val="en-US" w:eastAsia="zh-CN" w:bidi="ar"/>
        </w:rPr>
        <w:t>乡村振兴示范带产业经营管理体系，推动全市各级经营管理平台的互联互通和数据共享。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第二十六条 【促进经营】</w:t>
      </w:r>
      <w:r>
        <w:rPr>
          <w:rFonts w:hint="eastAsia" w:ascii="仿宋" w:hAnsi="仿宋" w:eastAsia="仿宋" w:cs="仿宋"/>
          <w:color w:val="auto"/>
          <w:sz w:val="32"/>
          <w:szCs w:val="32"/>
          <w:highlight w:val="none"/>
          <w:lang w:val="en-US" w:eastAsia="zh-CN" w:bidi="ar"/>
        </w:rPr>
        <w:t>鼓励和支持社会各界参与示范带经营，发挥当地乡村资源优势，培育新产业、新业态、新模式和新型农业经营主体，因地制宜适用经营方式，推动农民增收、壮大农村集体经济、推进镇域经济发展相结合，创造良好经营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bidi="ar"/>
        </w:rPr>
        <w:t>第二十七条 【经营主体的多元化】</w:t>
      </w:r>
      <w:r>
        <w:rPr>
          <w:rFonts w:hint="eastAsia" w:ascii="仿宋" w:hAnsi="仿宋" w:eastAsia="仿宋" w:cs="仿宋"/>
          <w:color w:val="auto"/>
          <w:sz w:val="32"/>
          <w:szCs w:val="32"/>
          <w:highlight w:val="none"/>
          <w:lang w:val="en-US" w:eastAsia="zh-CN" w:bidi="ar"/>
        </w:rPr>
        <w:t>鼓励和支持引入社会资本，</w:t>
      </w:r>
      <w:r>
        <w:rPr>
          <w:rFonts w:hint="eastAsia" w:ascii="仿宋" w:hAnsi="仿宋" w:eastAsia="仿宋" w:cs="仿宋"/>
          <w:color w:val="auto"/>
          <w:sz w:val="32"/>
          <w:szCs w:val="32"/>
          <w:highlight w:val="none"/>
          <w:lang w:val="en-US" w:eastAsia="zh-CN"/>
        </w:rPr>
        <w:t>培育发展家庭农场、农民合作社和农业社会化服务组织等新型农业经营主体和服务主体，促进小农户与现代农业发展有机衔接。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鼓励引入乡村运营师、乡村创客、农业职业经理人等多种形式的运营团队参与乡村振兴示范带的经营，支持、培养乡村本土能人成为经营主体。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县人民政府应当按照国家和省有关规定，合理区分国有企业、民营企业、农村集体经济组织和其他社会组织；市场监督主管部门应当加强管理，保障国有和农村集体资产安全。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strike w:val="0"/>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第二十八条 【经营方式的多样化】</w:t>
      </w:r>
      <w:r>
        <w:rPr>
          <w:rFonts w:hint="eastAsia" w:ascii="仿宋" w:hAnsi="仿宋" w:eastAsia="仿宋" w:cs="仿宋"/>
          <w:color w:val="auto"/>
          <w:sz w:val="32"/>
          <w:szCs w:val="32"/>
          <w:highlight w:val="none"/>
          <w:lang w:val="en-US" w:eastAsia="zh-CN" w:bidi="ar"/>
        </w:rPr>
        <w:t>支持社会资本推行先进的经营方式，运用市场营销策划理念和工业化发展思维，通过特色资源和传统文化融合等方式发展现代都市型精品农业，持续提升乡村建设的经济价值、文化价值、生态价值</w:t>
      </w:r>
      <w:r>
        <w:rPr>
          <w:rFonts w:hint="eastAsia" w:ascii="仿宋" w:hAnsi="仿宋" w:eastAsia="仿宋" w:cs="仿宋"/>
          <w:strike w:val="0"/>
          <w:color w:val="auto"/>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第二十九条 【农民增收】</w:t>
      </w:r>
      <w:r>
        <w:rPr>
          <w:rFonts w:hint="eastAsia" w:ascii="仿宋" w:hAnsi="仿宋" w:eastAsia="仿宋" w:cs="仿宋"/>
          <w:color w:val="auto"/>
          <w:sz w:val="32"/>
          <w:szCs w:val="32"/>
          <w:highlight w:val="none"/>
          <w:lang w:val="en-US" w:eastAsia="zh-CN" w:bidi="ar"/>
        </w:rPr>
        <w:t>县人民政府应当根据国家和省的有关规定结合实际研究制定农民增收计划，通过投工投劳、以奖代补、以工代赈、入股分红等方式，引导农民参与乡村旅游、民宿、农村电商、都市型现代农业等产业建设，</w:t>
      </w:r>
      <w:r>
        <w:rPr>
          <w:rFonts w:hint="default" w:ascii="仿宋" w:hAnsi="仿宋" w:eastAsia="仿宋" w:cs="仿宋"/>
          <w:color w:val="auto"/>
          <w:sz w:val="32"/>
          <w:szCs w:val="32"/>
          <w:highlight w:val="none"/>
          <w:lang w:val="en-US" w:eastAsia="zh-CN" w:bidi="ar"/>
        </w:rPr>
        <w:t>提升劳动技能，促进</w:t>
      </w:r>
      <w:r>
        <w:rPr>
          <w:rFonts w:hint="eastAsia" w:ascii="仿宋" w:hAnsi="仿宋" w:eastAsia="仿宋" w:cs="仿宋"/>
          <w:color w:val="auto"/>
          <w:sz w:val="32"/>
          <w:szCs w:val="32"/>
          <w:highlight w:val="none"/>
          <w:lang w:val="en-US" w:eastAsia="zh-CN" w:bidi="ar"/>
        </w:rPr>
        <w:t>农民</w:t>
      </w:r>
      <w:r>
        <w:rPr>
          <w:rFonts w:hint="default" w:ascii="仿宋" w:hAnsi="仿宋" w:eastAsia="仿宋" w:cs="仿宋"/>
          <w:color w:val="auto"/>
          <w:sz w:val="32"/>
          <w:szCs w:val="32"/>
          <w:highlight w:val="none"/>
          <w:lang w:val="en-US" w:eastAsia="zh-CN" w:bidi="ar"/>
        </w:rPr>
        <w:t>就业创业</w:t>
      </w:r>
      <w:r>
        <w:rPr>
          <w:rFonts w:hint="eastAsia" w:ascii="仿宋" w:hAnsi="仿宋" w:eastAsia="仿宋" w:cs="仿宋"/>
          <w:color w:val="auto"/>
          <w:sz w:val="32"/>
          <w:szCs w:val="32"/>
          <w:highlight w:val="none"/>
          <w:lang w:val="en-US" w:eastAsia="zh-CN" w:bidi="ar"/>
        </w:rPr>
        <w:t>；</w:t>
      </w:r>
      <w:r>
        <w:rPr>
          <w:rFonts w:hint="default" w:ascii="仿宋" w:hAnsi="仿宋" w:eastAsia="仿宋" w:cs="仿宋"/>
          <w:color w:val="auto"/>
          <w:sz w:val="32"/>
          <w:szCs w:val="32"/>
          <w:highlight w:val="none"/>
          <w:lang w:val="en-US" w:eastAsia="zh-CN" w:bidi="ar"/>
        </w:rPr>
        <w:t>引导各类经营主体与农户建立保底收益、按股分红等利益联结机制，促进农民增收。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第三十条 【产业发展】</w:t>
      </w:r>
      <w:r>
        <w:rPr>
          <w:rFonts w:hint="eastAsia" w:ascii="仿宋" w:hAnsi="仿宋" w:eastAsia="仿宋" w:cs="仿宋"/>
          <w:color w:val="auto"/>
          <w:sz w:val="32"/>
          <w:szCs w:val="32"/>
          <w:highlight w:val="none"/>
          <w:lang w:val="en-US" w:eastAsia="zh-CN" w:bidi="ar"/>
        </w:rPr>
        <w:t>县人民政府应当采取扶持措施，发展壮大农村集体经济，为社会资本参与农村集体经济提供指导和服务。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鼓励农村集体经济组织利用现有资源，优化资源配置和利用效率，以自主开发、合资合作、出租入股等方式，发展现代农业、休闲农业等项目，探索农村集体经济组织与社会资本合作等多元发展模式，参与乡村振兴示范带的运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支持有条件的农村集体组织拓宽投资渠道，提升经营效益。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b w:val="0"/>
          <w:bCs w:val="0"/>
          <w:color w:val="auto"/>
          <w:sz w:val="32"/>
          <w:szCs w:val="32"/>
          <w:highlight w:val="none"/>
          <w:lang w:val="en-US" w:eastAsia="zh-CN" w:bidi="ar"/>
        </w:rPr>
        <w:t>第三十一条 【资产管理】</w:t>
      </w:r>
      <w:r>
        <w:rPr>
          <w:rFonts w:hint="eastAsia" w:ascii="仿宋" w:hAnsi="仿宋" w:eastAsia="仿宋" w:cs="仿宋"/>
          <w:color w:val="auto"/>
          <w:sz w:val="32"/>
          <w:szCs w:val="32"/>
          <w:highlight w:val="none"/>
          <w:lang w:val="en-US" w:eastAsia="zh-CN" w:bidi="ar"/>
        </w:rPr>
        <w:t>市农业农村主管部门负责统筹、协调和指导本市农村集体资产交易管理工作。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fill="auto"/>
          <w:lang w:bidi="ar"/>
        </w:rPr>
      </w:pPr>
      <w:r>
        <w:rPr>
          <w:rFonts w:hint="eastAsia" w:ascii="仿宋" w:hAnsi="仿宋" w:eastAsia="仿宋" w:cs="仿宋"/>
          <w:i w:val="0"/>
          <w:iCs w:val="0"/>
          <w:caps w:val="0"/>
          <w:color w:val="auto"/>
          <w:spacing w:val="0"/>
          <w:sz w:val="32"/>
          <w:szCs w:val="32"/>
          <w:highlight w:val="none"/>
          <w:shd w:val="clear" w:fill="auto"/>
          <w:lang w:val="en-US" w:eastAsia="zh-CN" w:bidi="ar"/>
        </w:rPr>
        <w:t>县</w:t>
      </w:r>
      <w:r>
        <w:rPr>
          <w:rFonts w:hint="eastAsia" w:ascii="仿宋" w:hAnsi="仿宋" w:eastAsia="仿宋" w:cs="仿宋"/>
          <w:i w:val="0"/>
          <w:iCs w:val="0"/>
          <w:caps w:val="0"/>
          <w:color w:val="auto"/>
          <w:spacing w:val="0"/>
          <w:sz w:val="32"/>
          <w:szCs w:val="32"/>
          <w:highlight w:val="none"/>
          <w:shd w:val="clear" w:fill="auto"/>
          <w:lang w:bidi="ar"/>
        </w:rPr>
        <w:t>人民政府负责指导和监督管理本辖区内农村集体资产交易，建立农村集体资产交易服务机构和农村集体资产信息化监管平台</w:t>
      </w:r>
      <w:r>
        <w:rPr>
          <w:rFonts w:hint="eastAsia" w:ascii="仿宋" w:hAnsi="仿宋" w:eastAsia="仿宋" w:cs="仿宋"/>
          <w:i w:val="0"/>
          <w:iCs w:val="0"/>
          <w:caps w:val="0"/>
          <w:color w:val="auto"/>
          <w:spacing w:val="0"/>
          <w:sz w:val="32"/>
          <w:szCs w:val="32"/>
          <w:highlight w:val="none"/>
          <w:shd w:val="clear" w:fill="auto"/>
          <w:lang w:eastAsia="zh-CN" w:bidi="ar"/>
        </w:rPr>
        <w:t>，</w:t>
      </w:r>
      <w:r>
        <w:rPr>
          <w:rFonts w:hint="eastAsia" w:ascii="仿宋" w:hAnsi="仿宋" w:eastAsia="仿宋" w:cs="仿宋"/>
          <w:i w:val="0"/>
          <w:iCs w:val="0"/>
          <w:caps w:val="0"/>
          <w:color w:val="auto"/>
          <w:spacing w:val="0"/>
          <w:sz w:val="32"/>
          <w:szCs w:val="32"/>
          <w:highlight w:val="none"/>
          <w:shd w:val="clear" w:fill="auto"/>
          <w:lang w:bidi="ar"/>
        </w:rPr>
        <w:t>完善交易规则和相关制度，规范农村集体资产交易活动。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i w:val="0"/>
          <w:iCs w:val="0"/>
          <w:caps w:val="0"/>
          <w:color w:val="auto"/>
          <w:spacing w:val="0"/>
          <w:sz w:val="32"/>
          <w:szCs w:val="32"/>
          <w:highlight w:val="none"/>
          <w:shd w:val="clear" w:fill="auto"/>
          <w:lang w:bidi="ar"/>
        </w:rPr>
        <w:t>乡镇人民政府</w:t>
      </w:r>
      <w:r>
        <w:rPr>
          <w:rFonts w:hint="eastAsia" w:ascii="仿宋" w:hAnsi="仿宋" w:eastAsia="仿宋" w:cs="仿宋"/>
          <w:i w:val="0"/>
          <w:iCs w:val="0"/>
          <w:caps w:val="0"/>
          <w:color w:val="auto"/>
          <w:spacing w:val="0"/>
          <w:sz w:val="32"/>
          <w:szCs w:val="32"/>
          <w:highlight w:val="none"/>
          <w:shd w:val="clear" w:fill="auto"/>
          <w:lang w:eastAsia="zh-CN" w:bidi="ar"/>
        </w:rPr>
        <w:t>、</w:t>
      </w:r>
      <w:r>
        <w:rPr>
          <w:rFonts w:hint="eastAsia" w:ascii="仿宋" w:hAnsi="仿宋" w:eastAsia="仿宋" w:cs="仿宋"/>
          <w:i w:val="0"/>
          <w:iCs w:val="0"/>
          <w:caps w:val="0"/>
          <w:color w:val="auto"/>
          <w:spacing w:val="0"/>
          <w:sz w:val="32"/>
          <w:szCs w:val="32"/>
          <w:highlight w:val="none"/>
          <w:shd w:val="clear" w:fill="auto"/>
          <w:lang w:val="en-US" w:eastAsia="zh-CN" w:bidi="ar"/>
        </w:rPr>
        <w:t>村民委员会负责协助县人民政府及其有关职能部门开展农村集体资产交易监督管理工作，指导</w:t>
      </w:r>
      <w:r>
        <w:rPr>
          <w:rFonts w:hint="eastAsia" w:ascii="仿宋" w:hAnsi="仿宋" w:eastAsia="仿宋" w:cs="仿宋"/>
          <w:i w:val="0"/>
          <w:iCs w:val="0"/>
          <w:caps w:val="0"/>
          <w:color w:val="auto"/>
          <w:spacing w:val="0"/>
          <w:sz w:val="32"/>
          <w:szCs w:val="32"/>
          <w:highlight w:val="none"/>
          <w:shd w:val="clear" w:fill="auto"/>
          <w:lang w:bidi="ar"/>
        </w:rPr>
        <w:t>农村集体经济组织</w:t>
      </w:r>
      <w:r>
        <w:rPr>
          <w:rFonts w:hint="eastAsia" w:ascii="仿宋" w:hAnsi="仿宋" w:eastAsia="仿宋" w:cs="仿宋"/>
          <w:i w:val="0"/>
          <w:iCs w:val="0"/>
          <w:caps w:val="0"/>
          <w:color w:val="auto"/>
          <w:spacing w:val="0"/>
          <w:sz w:val="32"/>
          <w:szCs w:val="32"/>
          <w:highlight w:val="none"/>
          <w:shd w:val="clear" w:fill="auto"/>
          <w:lang w:val="en-US" w:eastAsia="zh-CN" w:bidi="ar"/>
        </w:rPr>
        <w:t>建立健全</w:t>
      </w:r>
      <w:r>
        <w:rPr>
          <w:rFonts w:hint="eastAsia" w:ascii="仿宋" w:hAnsi="仿宋" w:eastAsia="仿宋" w:cs="仿宋"/>
          <w:i w:val="0"/>
          <w:iCs w:val="0"/>
          <w:caps w:val="0"/>
          <w:color w:val="auto"/>
          <w:spacing w:val="0"/>
          <w:sz w:val="32"/>
          <w:szCs w:val="32"/>
          <w:highlight w:val="none"/>
          <w:shd w:val="clear" w:fill="auto"/>
          <w:lang w:bidi="ar"/>
        </w:rPr>
        <w:t>资产清查、台账建立和年度盘点，以及</w:t>
      </w:r>
      <w:r>
        <w:rPr>
          <w:rFonts w:hint="eastAsia" w:ascii="仿宋" w:hAnsi="仿宋" w:eastAsia="仿宋" w:cs="仿宋"/>
          <w:i w:val="0"/>
          <w:iCs w:val="0"/>
          <w:caps w:val="0"/>
          <w:color w:val="auto"/>
          <w:spacing w:val="0"/>
          <w:sz w:val="32"/>
          <w:szCs w:val="32"/>
          <w:highlight w:val="none"/>
          <w:shd w:val="clear" w:fill="auto"/>
          <w:lang w:val="en-US" w:eastAsia="zh-CN" w:bidi="ar"/>
        </w:rPr>
        <w:t>建立</w:t>
      </w:r>
      <w:r>
        <w:rPr>
          <w:rFonts w:hint="eastAsia" w:ascii="仿宋" w:hAnsi="仿宋" w:eastAsia="仿宋" w:cs="仿宋"/>
          <w:i w:val="0"/>
          <w:iCs w:val="0"/>
          <w:caps w:val="0"/>
          <w:color w:val="auto"/>
          <w:spacing w:val="0"/>
          <w:sz w:val="32"/>
          <w:szCs w:val="32"/>
          <w:highlight w:val="none"/>
          <w:shd w:val="clear" w:fill="auto"/>
          <w:lang w:bidi="ar"/>
        </w:rPr>
        <w:t>固定资产登记、保管使用、折旧等管理制度</w:t>
      </w:r>
      <w:r>
        <w:rPr>
          <w:rFonts w:hint="eastAsia" w:ascii="仿宋" w:hAnsi="仿宋" w:eastAsia="仿宋" w:cs="仿宋"/>
          <w:i w:val="0"/>
          <w:iCs w:val="0"/>
          <w:caps w:val="0"/>
          <w:color w:val="auto"/>
          <w:spacing w:val="0"/>
          <w:sz w:val="32"/>
          <w:szCs w:val="32"/>
          <w:highlight w:val="none"/>
          <w:shd w:val="clear" w:fill="auto"/>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第三十二条 【土地保障】</w:t>
      </w:r>
      <w:r>
        <w:rPr>
          <w:rFonts w:hint="eastAsia" w:ascii="仿宋" w:hAnsi="仿宋" w:eastAsia="仿宋" w:cs="仿宋"/>
          <w:color w:val="auto"/>
          <w:sz w:val="32"/>
          <w:szCs w:val="32"/>
          <w:highlight w:val="none"/>
          <w:lang w:val="en-US" w:eastAsia="zh-CN" w:bidi="ar"/>
        </w:rPr>
        <w:t>县人民政府应当严格执行乡镇国土空间总体规划和村庄规划，依法完善土地流转制度，引导农村集体经济组织和农户通过土地预流转、统筹经营、经营权入股等形式放活土地经营权，充分利用土地资源。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人民政府应当开展土地整治活动，加强耕地保护，优化土地利用空间布局；通过土地整治将农村建设用地垦造为农用地后腾出的建设用地指标，应当按照国家和省有关规定优先满足土地整治项目所在村乡村振兴发展用地需求；节余的建设用地指标调剂取得的收益，应当按照国家和省有关规定优先用于土地整治项目所在村涉及乡村振兴发展项目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鼓励和支持村集体利用闲置的办公用房、校舍、仓库、旧厂房等资产，通过租赁、托管、合作等方式，发展休闲农业、乡村旅游、餐饮民宿、电子商务等符合乡村特点的新产业、新业态、新模式。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第三十三条 【镇域经济发展】</w:t>
      </w:r>
      <w:r>
        <w:rPr>
          <w:rFonts w:hint="eastAsia" w:ascii="仿宋" w:hAnsi="仿宋" w:eastAsia="仿宋" w:cs="仿宋"/>
          <w:color w:val="auto"/>
          <w:sz w:val="32"/>
          <w:szCs w:val="32"/>
          <w:highlight w:val="none"/>
          <w:lang w:val="en-US" w:eastAsia="zh-CN" w:bidi="ar"/>
        </w:rPr>
        <w:t>鼓励社会资本合作参与乡村振兴示范带镇域产业发展，结合本地资源，培育主导产业、特色产业，发展具有地域特色的产业强镇、专业村镇促进镇村联动发展，推动镇域经济发展。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第三十四条 【市场化运营评估】</w:t>
      </w:r>
      <w:r>
        <w:rPr>
          <w:rFonts w:hint="eastAsia" w:ascii="仿宋" w:hAnsi="仿宋" w:eastAsia="仿宋" w:cs="仿宋"/>
          <w:color w:val="auto"/>
          <w:sz w:val="32"/>
          <w:szCs w:val="32"/>
          <w:highlight w:val="none"/>
          <w:lang w:val="en-US" w:eastAsia="zh-CN" w:bidi="ar"/>
        </w:rPr>
        <w:t>县人民政府应当对已规划建设的乡村振兴示范带进行市场化运营评估。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县人民政府可以选择建设程度较为完善的乡村振兴示范带或者重要节点、项目，由业主单位聘请有资质的第三方单位进行市场化运营评估，准确估算示范带日常经营收入和管理维护成本支出。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进行市场化运营评估时，应当避免因信息不对称导致的收益评估误差。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第三十五条 【市场化运营试点与提升】</w:t>
      </w:r>
      <w:r>
        <w:rPr>
          <w:rFonts w:hint="eastAsia" w:ascii="仿宋" w:hAnsi="仿宋" w:eastAsia="仿宋" w:cs="仿宋"/>
          <w:color w:val="auto"/>
          <w:sz w:val="32"/>
          <w:szCs w:val="32"/>
          <w:highlight w:val="none"/>
          <w:lang w:val="en-US" w:eastAsia="zh-CN" w:bidi="ar"/>
        </w:rPr>
        <w:t>对于经评估，具备成熟运营条件的乡村振兴示范带，县人民政府完善验收、确权等手续后，可以移交乡镇人民政府或者村民委员会开展市场化运营试点。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对于经评估，日常收入不能覆盖管理维护成本的，或者不具备其他运营条件的乡村振兴示范带，应当依据法律法规，合理科学调整、改造和提质升级。</w:t>
      </w:r>
    </w:p>
    <w:p>
      <w:pPr>
        <w:keepNext/>
        <w:keepLines w:val="0"/>
        <w:pageBreakBefore w:val="0"/>
        <w:widowControl w:val="0"/>
        <w:suppressLineNumbers w:val="0"/>
        <w:kinsoku/>
        <w:wordWrap/>
        <w:overflowPunct/>
        <w:topLinePunct w:val="0"/>
        <w:autoSpaceDE/>
        <w:autoSpaceDN/>
        <w:bidi w:val="0"/>
        <w:adjustRightInd/>
        <w:snapToGrid/>
        <w:spacing w:before="240" w:beforeAutospacing="0" w:after="120" w:afterAutospacing="0" w:line="600" w:lineRule="exact"/>
        <w:ind w:right="0"/>
        <w:jc w:val="center"/>
        <w:textAlignment w:val="auto"/>
        <w:outlineLvl w:val="0"/>
        <w:rPr>
          <w:rFonts w:hint="eastAsia" w:ascii="黑体" w:hAnsi="黑体" w:eastAsia="黑体" w:cs="黑体"/>
          <w:b w:val="0"/>
          <w:bCs/>
          <w:color w:val="auto"/>
          <w:kern w:val="2"/>
          <w:sz w:val="32"/>
          <w:szCs w:val="32"/>
          <w:highlight w:val="none"/>
          <w:lang w:val="en-US" w:eastAsia="zh-CN" w:bidi="ar"/>
        </w:rPr>
      </w:pPr>
      <w:r>
        <w:rPr>
          <w:rFonts w:hint="eastAsia" w:ascii="黑体" w:hAnsi="黑体" w:eastAsia="黑体" w:cs="黑体"/>
          <w:b w:val="0"/>
          <w:bCs/>
          <w:color w:val="auto"/>
          <w:kern w:val="2"/>
          <w:sz w:val="32"/>
          <w:szCs w:val="32"/>
          <w:highlight w:val="none"/>
          <w:lang w:val="en-US" w:eastAsia="zh-CN" w:bidi="ar"/>
        </w:rPr>
        <w:t>第五章 示范带融合治理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第三十六条 【治理要求】</w:t>
      </w:r>
      <w:r>
        <w:rPr>
          <w:rFonts w:hint="eastAsia" w:ascii="仿宋" w:hAnsi="仿宋" w:eastAsia="仿宋" w:cs="仿宋"/>
          <w:color w:val="auto"/>
          <w:sz w:val="32"/>
          <w:szCs w:val="32"/>
          <w:highlight w:val="none"/>
          <w:lang w:val="en-US" w:eastAsia="zh-CN" w:bidi="ar"/>
        </w:rPr>
        <w:t>县人民政府应当坚持和加强党对乡村振兴示范带建设的全面领导</w:t>
      </w:r>
      <w:r>
        <w:rPr>
          <w:rFonts w:hint="eastAsia"/>
          <w:color w:val="auto"/>
          <w:sz w:val="32"/>
          <w:szCs w:val="32"/>
          <w:highlight w:val="none"/>
          <w:lang w:eastAsia="zh-CN"/>
        </w:rPr>
        <w:t>，</w:t>
      </w:r>
      <w:r>
        <w:rPr>
          <w:rFonts w:hint="eastAsia" w:ascii="仿宋" w:hAnsi="仿宋" w:eastAsia="仿宋" w:cs="仿宋"/>
          <w:color w:val="auto"/>
          <w:sz w:val="32"/>
          <w:szCs w:val="32"/>
          <w:highlight w:val="none"/>
          <w:lang w:val="en-US" w:eastAsia="zh-CN" w:bidi="ar"/>
        </w:rPr>
        <w:t>建立健全现代乡村治理体系和自治、法治、德治相结合的乡村社会治理体系，培育和践行社会主义核心价值观，完善基层社会治理机制，统筹推进数字乡村建设，建设平安乡村，打造共建共治共享的社会治理格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第三十七条 【党建引领】</w:t>
      </w:r>
      <w:r>
        <w:rPr>
          <w:rFonts w:hint="eastAsia" w:ascii="仿宋" w:hAnsi="仿宋" w:eastAsia="仿宋" w:cs="仿宋"/>
          <w:color w:val="auto"/>
          <w:sz w:val="32"/>
          <w:szCs w:val="32"/>
          <w:highlight w:val="none"/>
          <w:lang w:val="en-US" w:eastAsia="zh-CN" w:bidi="ar"/>
        </w:rPr>
        <w:t>乡村振兴示范带建设工作应当坚持党的领导，实现党的组织和工作对乡村振兴示范带的全覆盖，发挥基层党组织在乡村振兴示范带融合治理工作中的领导作用，加强以村党组织为核心的村级组织配套建设，确保党在乡村振兴示范带建设工作中</w:t>
      </w:r>
      <w:r>
        <w:rPr>
          <w:rFonts w:hint="default" w:ascii="仿宋" w:hAnsi="仿宋" w:eastAsia="仿宋" w:cs="仿宋"/>
          <w:color w:val="auto"/>
          <w:sz w:val="32"/>
          <w:szCs w:val="32"/>
          <w:highlight w:val="none"/>
          <w:lang w:eastAsia="zh-CN" w:bidi="ar"/>
        </w:rPr>
        <w:t>总揽全局</w:t>
      </w:r>
      <w:r>
        <w:rPr>
          <w:rFonts w:hint="eastAsia" w:ascii="仿宋" w:hAnsi="仿宋" w:eastAsia="仿宋" w:cs="仿宋"/>
          <w:color w:val="auto"/>
          <w:sz w:val="32"/>
          <w:szCs w:val="32"/>
          <w:highlight w:val="none"/>
          <w:lang w:val="en-US" w:eastAsia="zh-CN" w:bidi="ar"/>
        </w:rPr>
        <w:t>、协调各方。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eastAsia="zh-CN"/>
        </w:rPr>
      </w:pPr>
      <w:r>
        <w:rPr>
          <w:rFonts w:hint="eastAsia" w:ascii="黑体" w:hAnsi="黑体" w:eastAsia="黑体" w:cs="黑体"/>
          <w:color w:val="auto"/>
          <w:sz w:val="32"/>
          <w:szCs w:val="32"/>
          <w:highlight w:val="none"/>
          <w:lang w:val="en-US" w:eastAsia="zh-CN" w:bidi="ar"/>
        </w:rPr>
        <w:t>第三十八条 【三治融合】</w:t>
      </w:r>
      <w:r>
        <w:rPr>
          <w:rFonts w:hint="eastAsia" w:ascii="仿宋" w:hAnsi="仿宋" w:eastAsia="仿宋" w:cs="仿宋"/>
          <w:color w:val="auto"/>
          <w:sz w:val="32"/>
          <w:szCs w:val="32"/>
          <w:highlight w:val="none"/>
          <w:lang w:val="en-US" w:eastAsia="zh-CN" w:bidi="ar"/>
        </w:rPr>
        <w:t>县人民政府</w:t>
      </w:r>
      <w:r>
        <w:rPr>
          <w:rFonts w:hint="eastAsia" w:ascii="仿宋" w:hAnsi="仿宋" w:eastAsia="仿宋" w:cs="仿宋"/>
          <w:color w:val="auto"/>
          <w:sz w:val="32"/>
          <w:szCs w:val="32"/>
          <w:highlight w:val="none"/>
        </w:rPr>
        <w:t>应当完善农村法治文化阵地建设，开展民主法治示范村创建活动和乡村法律明白人、农村学法用法示范户培养工作，定期组织普法志愿者进村入户开展法治宣传教育，增强农民群众的法治观念和法治素养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推进法治乡村建设</w:t>
      </w:r>
      <w:r>
        <w:rPr>
          <w:rFonts w:hint="eastAsia" w:ascii="仿宋" w:hAnsi="仿宋" w:eastAsia="仿宋" w:cs="仿宋"/>
          <w:color w:val="auto"/>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bidi="ar"/>
        </w:rPr>
        <w:t>县人民政府</w:t>
      </w:r>
      <w:r>
        <w:rPr>
          <w:rFonts w:hint="eastAsia" w:ascii="仿宋" w:hAnsi="仿宋" w:eastAsia="仿宋" w:cs="仿宋"/>
          <w:color w:val="auto"/>
          <w:sz w:val="32"/>
          <w:szCs w:val="32"/>
          <w:highlight w:val="none"/>
        </w:rPr>
        <w:t>应当健全乡村公共法律服务体系，加强乡村公共法律服务工作站点和乡村人民调解组织队伍建设，完善农村法律顾问等制度，提升乡村公共法律服务水平。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乡镇人民政府应当确定负责重大行政决策、重大行政执法决定、行政规范性文件、行政合同等事项的合法性审核机构和人员，做好合法性审核工作，可以通过政府购买法律服务等辅助方式开展审核工作</w:t>
      </w:r>
      <w:r>
        <w:rPr>
          <w:rFonts w:hint="eastAsia" w:ascii="仿宋" w:hAnsi="仿宋" w:eastAsia="仿宋" w:cs="仿宋"/>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第三十九条 【网格化服务管理】</w:t>
      </w:r>
      <w:r>
        <w:rPr>
          <w:rFonts w:hint="eastAsia" w:ascii="仿宋" w:hAnsi="仿宋" w:eastAsia="仿宋" w:cs="仿宋"/>
          <w:color w:val="auto"/>
          <w:sz w:val="32"/>
          <w:szCs w:val="32"/>
          <w:highlight w:val="none"/>
          <w:lang w:val="en-US" w:eastAsia="zh-CN" w:bidi="ar"/>
        </w:rPr>
        <w:t>县级以上人民政府负责统筹、组织、指导、监督、保障乡村振兴示范带网格化服务管理工作。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乡镇人民政府、村民委员会负责本行政区域内的乡村振兴示范带网格化服务管理具体工作。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网格化服务管理工作经费，列入同级人民政府财政预算。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第四十条 【大数据治理】</w:t>
      </w:r>
      <w:r>
        <w:rPr>
          <w:rFonts w:hint="eastAsia" w:ascii="仿宋" w:hAnsi="仿宋" w:eastAsia="仿宋" w:cs="仿宋"/>
          <w:color w:val="auto"/>
          <w:sz w:val="32"/>
          <w:szCs w:val="32"/>
          <w:highlight w:val="none"/>
          <w:lang w:val="en-US" w:eastAsia="zh-CN" w:bidi="ar"/>
        </w:rPr>
        <w:t>县级以上人民政府应当支持建设乡村振兴示范带大数据治理平台，推进乡村振兴示范带公共文化数字化建设，全面推动智慧乡村振兴示范带建设。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第四十一条 【平安乡村】</w:t>
      </w:r>
      <w:r>
        <w:rPr>
          <w:rFonts w:hint="eastAsia" w:ascii="仿宋" w:hAnsi="仿宋" w:eastAsia="仿宋" w:cs="仿宋"/>
          <w:color w:val="auto"/>
          <w:sz w:val="32"/>
          <w:szCs w:val="32"/>
          <w:highlight w:val="none"/>
          <w:lang w:val="en-US" w:eastAsia="zh-CN" w:bidi="ar"/>
        </w:rPr>
        <w:t>县人民政府及有关部门应当统筹发展和安全，落实平安建设责任制，推行乡村治理积分制、清单制；建立健全农村社会治安防控体系以及食品、药品、交通、消防和森林防火等公共安全体系，加强自然灾害防治，加强平安乡村建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村民委员会应当组织村民协助做好农村生产生活安全、防灾减灾救灾等治理工作。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鼓励将农村环境卫生、农房管控、耕地撂荒整治、移风易俗、文化保护等纳入村规民约的重点内容，维护乡村平安和谐。</w:t>
      </w:r>
    </w:p>
    <w:p>
      <w:pPr>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bidi="ar"/>
        </w:rPr>
        <w:t>第四十二条 【施行时间】</w:t>
      </w:r>
      <w:r>
        <w:rPr>
          <w:rFonts w:hint="eastAsia" w:ascii="仿宋" w:hAnsi="仿宋" w:eastAsia="仿宋" w:cs="仿宋"/>
          <w:color w:val="auto"/>
          <w:kern w:val="0"/>
          <w:sz w:val="32"/>
          <w:szCs w:val="32"/>
          <w:highlight w:val="none"/>
          <w:lang w:val="en-US" w:eastAsia="zh-CN" w:bidi="ar"/>
        </w:rPr>
        <w:t>本条例自   年   月  日起施行。</w:t>
      </w:r>
    </w:p>
    <w:p>
      <w:pPr>
        <w:pStyle w:val="4"/>
        <w:ind w:left="0" w:leftChars="0" w:firstLine="0" w:firstLineChars="0"/>
        <w:jc w:val="both"/>
        <w:rPr>
          <w:rFonts w:hint="eastAsia"/>
          <w:lang w:val="en-US" w:eastAsia="zh-CN"/>
        </w:rPr>
      </w:pPr>
    </w:p>
    <w:p>
      <w:pPr>
        <w:pStyle w:val="4"/>
        <w:ind w:left="0" w:leftChars="0" w:firstLine="0" w:firstLineChars="0"/>
        <w:jc w:val="both"/>
        <w:rPr>
          <w:rFonts w:hint="eastAsia" w:ascii="黑体" w:hAnsi="黑体" w:eastAsia="黑体" w:cs="黑体"/>
          <w:lang w:val="en-US" w:eastAsia="zh-CN"/>
        </w:rPr>
      </w:pPr>
      <w:bookmarkStart w:id="0" w:name="_GoBack"/>
      <w:bookmarkEnd w:id="0"/>
    </w:p>
    <w:sectPr>
      <w:headerReference r:id="rId3" w:type="default"/>
      <w:pgSz w:w="11906" w:h="16838"/>
      <w:pgMar w:top="2098" w:right="1531" w:bottom="1587" w:left="1531" w:header="851" w:footer="136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ODk1YTZkOWYwODYxMTc5MjhiYjAzNTEyZTg0ODYifQ=="/>
  </w:docVars>
  <w:rsids>
    <w:rsidRoot w:val="00025BEC"/>
    <w:rsid w:val="00006A2C"/>
    <w:rsid w:val="00025BEC"/>
    <w:rsid w:val="000A1F63"/>
    <w:rsid w:val="000C245E"/>
    <w:rsid w:val="000D19D8"/>
    <w:rsid w:val="001C542B"/>
    <w:rsid w:val="00262E93"/>
    <w:rsid w:val="002C600C"/>
    <w:rsid w:val="003B2AF0"/>
    <w:rsid w:val="003C6025"/>
    <w:rsid w:val="003F72A3"/>
    <w:rsid w:val="004029D9"/>
    <w:rsid w:val="00423567"/>
    <w:rsid w:val="00486D4E"/>
    <w:rsid w:val="00490B10"/>
    <w:rsid w:val="004B542A"/>
    <w:rsid w:val="00551A86"/>
    <w:rsid w:val="005F5DC0"/>
    <w:rsid w:val="00607174"/>
    <w:rsid w:val="00741869"/>
    <w:rsid w:val="0081412C"/>
    <w:rsid w:val="00816CFD"/>
    <w:rsid w:val="008B2BED"/>
    <w:rsid w:val="008E4E62"/>
    <w:rsid w:val="008E7714"/>
    <w:rsid w:val="00996E2C"/>
    <w:rsid w:val="00A33090"/>
    <w:rsid w:val="00A63255"/>
    <w:rsid w:val="00B24154"/>
    <w:rsid w:val="00B81A07"/>
    <w:rsid w:val="00B87DAD"/>
    <w:rsid w:val="00BA15F0"/>
    <w:rsid w:val="00BD54C6"/>
    <w:rsid w:val="00CC4EF7"/>
    <w:rsid w:val="00CE51DD"/>
    <w:rsid w:val="00D11F13"/>
    <w:rsid w:val="00D73B72"/>
    <w:rsid w:val="00DC3A66"/>
    <w:rsid w:val="00E4210A"/>
    <w:rsid w:val="00E46C00"/>
    <w:rsid w:val="00E868F6"/>
    <w:rsid w:val="00EA4442"/>
    <w:rsid w:val="00ED5A07"/>
    <w:rsid w:val="00F96B26"/>
    <w:rsid w:val="00FD588D"/>
    <w:rsid w:val="00FE7BB9"/>
    <w:rsid w:val="01080C7E"/>
    <w:rsid w:val="01100084"/>
    <w:rsid w:val="011F533C"/>
    <w:rsid w:val="017B4FA3"/>
    <w:rsid w:val="01D40D2C"/>
    <w:rsid w:val="020C66C3"/>
    <w:rsid w:val="023A2565"/>
    <w:rsid w:val="03AC2702"/>
    <w:rsid w:val="03B54ED7"/>
    <w:rsid w:val="03EB7C33"/>
    <w:rsid w:val="056C41F7"/>
    <w:rsid w:val="05E26D48"/>
    <w:rsid w:val="06150CDA"/>
    <w:rsid w:val="06430A2F"/>
    <w:rsid w:val="06B075F9"/>
    <w:rsid w:val="07E70EAF"/>
    <w:rsid w:val="08045C80"/>
    <w:rsid w:val="08680CED"/>
    <w:rsid w:val="08C60A78"/>
    <w:rsid w:val="09986F06"/>
    <w:rsid w:val="09F23278"/>
    <w:rsid w:val="0AA66F20"/>
    <w:rsid w:val="0ABD0252"/>
    <w:rsid w:val="0B0F0FFF"/>
    <w:rsid w:val="0B4D4D58"/>
    <w:rsid w:val="0C0131E1"/>
    <w:rsid w:val="0C243B65"/>
    <w:rsid w:val="0C2B435F"/>
    <w:rsid w:val="0C726070"/>
    <w:rsid w:val="0D0C449D"/>
    <w:rsid w:val="0D1D5B44"/>
    <w:rsid w:val="0D734297"/>
    <w:rsid w:val="0D863A42"/>
    <w:rsid w:val="0DF5161E"/>
    <w:rsid w:val="0EC9760A"/>
    <w:rsid w:val="0EE749C0"/>
    <w:rsid w:val="0F2B5994"/>
    <w:rsid w:val="0F3C2494"/>
    <w:rsid w:val="0F8F6086"/>
    <w:rsid w:val="0FAE40EA"/>
    <w:rsid w:val="101D6ED1"/>
    <w:rsid w:val="1063264E"/>
    <w:rsid w:val="10ED05FD"/>
    <w:rsid w:val="10F74978"/>
    <w:rsid w:val="114B201C"/>
    <w:rsid w:val="11630224"/>
    <w:rsid w:val="118D6968"/>
    <w:rsid w:val="122850AD"/>
    <w:rsid w:val="12304AEF"/>
    <w:rsid w:val="128A7B95"/>
    <w:rsid w:val="12CC6A62"/>
    <w:rsid w:val="12ED203D"/>
    <w:rsid w:val="134F35CF"/>
    <w:rsid w:val="13872F6E"/>
    <w:rsid w:val="13CF4EA2"/>
    <w:rsid w:val="14025EFC"/>
    <w:rsid w:val="14341AFB"/>
    <w:rsid w:val="148F6F89"/>
    <w:rsid w:val="14E12326"/>
    <w:rsid w:val="152939C2"/>
    <w:rsid w:val="152B7F87"/>
    <w:rsid w:val="16045EF3"/>
    <w:rsid w:val="16641888"/>
    <w:rsid w:val="17651690"/>
    <w:rsid w:val="176A26BE"/>
    <w:rsid w:val="176F2A9B"/>
    <w:rsid w:val="1776087C"/>
    <w:rsid w:val="182C7AC4"/>
    <w:rsid w:val="182D1392"/>
    <w:rsid w:val="186A3B99"/>
    <w:rsid w:val="18EF4573"/>
    <w:rsid w:val="19CF506C"/>
    <w:rsid w:val="1B5753EC"/>
    <w:rsid w:val="1BC36486"/>
    <w:rsid w:val="1BFB76CD"/>
    <w:rsid w:val="1C470485"/>
    <w:rsid w:val="1C70309C"/>
    <w:rsid w:val="1CBA6298"/>
    <w:rsid w:val="1E215523"/>
    <w:rsid w:val="1EF204F7"/>
    <w:rsid w:val="1F120F21"/>
    <w:rsid w:val="1F2C678E"/>
    <w:rsid w:val="1F5C434D"/>
    <w:rsid w:val="1F9210A8"/>
    <w:rsid w:val="1FAC7FE4"/>
    <w:rsid w:val="1FE8648D"/>
    <w:rsid w:val="203236AA"/>
    <w:rsid w:val="205058C9"/>
    <w:rsid w:val="208B4A22"/>
    <w:rsid w:val="21151A15"/>
    <w:rsid w:val="214C5E98"/>
    <w:rsid w:val="21FF0D89"/>
    <w:rsid w:val="22215E57"/>
    <w:rsid w:val="22695B2D"/>
    <w:rsid w:val="22A5532B"/>
    <w:rsid w:val="22D622C7"/>
    <w:rsid w:val="235331D9"/>
    <w:rsid w:val="2531218A"/>
    <w:rsid w:val="25F01112"/>
    <w:rsid w:val="26142FCB"/>
    <w:rsid w:val="27A33281"/>
    <w:rsid w:val="27FA30B2"/>
    <w:rsid w:val="285E0117"/>
    <w:rsid w:val="289130EC"/>
    <w:rsid w:val="28FD67FF"/>
    <w:rsid w:val="2A221C90"/>
    <w:rsid w:val="2A3E0DBA"/>
    <w:rsid w:val="2B342EAC"/>
    <w:rsid w:val="2BB4270B"/>
    <w:rsid w:val="2BDC773B"/>
    <w:rsid w:val="2C05343F"/>
    <w:rsid w:val="2C6E5D4A"/>
    <w:rsid w:val="2CB804FD"/>
    <w:rsid w:val="2CDD5E02"/>
    <w:rsid w:val="2D7563B4"/>
    <w:rsid w:val="2D9F2D77"/>
    <w:rsid w:val="2DD30EE1"/>
    <w:rsid w:val="2DD47816"/>
    <w:rsid w:val="2E365C4F"/>
    <w:rsid w:val="2E810638"/>
    <w:rsid w:val="2ECA7416"/>
    <w:rsid w:val="2ED218F7"/>
    <w:rsid w:val="312667A6"/>
    <w:rsid w:val="32BE1A22"/>
    <w:rsid w:val="330C7C31"/>
    <w:rsid w:val="33526A2D"/>
    <w:rsid w:val="345B7856"/>
    <w:rsid w:val="34953BA6"/>
    <w:rsid w:val="351256B7"/>
    <w:rsid w:val="355569A1"/>
    <w:rsid w:val="356263B6"/>
    <w:rsid w:val="36274ED8"/>
    <w:rsid w:val="365B6AA7"/>
    <w:rsid w:val="366A00AB"/>
    <w:rsid w:val="36EB6928"/>
    <w:rsid w:val="37715684"/>
    <w:rsid w:val="38296113"/>
    <w:rsid w:val="38731CB4"/>
    <w:rsid w:val="38B74E16"/>
    <w:rsid w:val="38C53EAA"/>
    <w:rsid w:val="391D463B"/>
    <w:rsid w:val="39D1273C"/>
    <w:rsid w:val="3AFA3547"/>
    <w:rsid w:val="3B4C5FC5"/>
    <w:rsid w:val="3C270804"/>
    <w:rsid w:val="3C5A23A4"/>
    <w:rsid w:val="3CCD38C2"/>
    <w:rsid w:val="3D8F465A"/>
    <w:rsid w:val="3E1703FB"/>
    <w:rsid w:val="3EA23D98"/>
    <w:rsid w:val="3ED935DD"/>
    <w:rsid w:val="3EFB3B9F"/>
    <w:rsid w:val="40E47F9D"/>
    <w:rsid w:val="4203665D"/>
    <w:rsid w:val="42880356"/>
    <w:rsid w:val="42E132E9"/>
    <w:rsid w:val="430A12F5"/>
    <w:rsid w:val="4358393E"/>
    <w:rsid w:val="43643F8C"/>
    <w:rsid w:val="43795779"/>
    <w:rsid w:val="437D074B"/>
    <w:rsid w:val="44731F07"/>
    <w:rsid w:val="447F4114"/>
    <w:rsid w:val="44FC57C6"/>
    <w:rsid w:val="459D59A6"/>
    <w:rsid w:val="460E199C"/>
    <w:rsid w:val="461B490F"/>
    <w:rsid w:val="465C029D"/>
    <w:rsid w:val="465D49D6"/>
    <w:rsid w:val="46BF35E8"/>
    <w:rsid w:val="46CB23BC"/>
    <w:rsid w:val="47CA7C90"/>
    <w:rsid w:val="47D85234"/>
    <w:rsid w:val="47E37B8D"/>
    <w:rsid w:val="480B6AD7"/>
    <w:rsid w:val="48292F00"/>
    <w:rsid w:val="486B1B7D"/>
    <w:rsid w:val="48AE1BBB"/>
    <w:rsid w:val="48D1697C"/>
    <w:rsid w:val="49AF34B5"/>
    <w:rsid w:val="49EB6FDF"/>
    <w:rsid w:val="4A0A5E7C"/>
    <w:rsid w:val="4A35203B"/>
    <w:rsid w:val="4A5B6501"/>
    <w:rsid w:val="4AAB77B5"/>
    <w:rsid w:val="4BBB6972"/>
    <w:rsid w:val="4BCA2309"/>
    <w:rsid w:val="4BE31F73"/>
    <w:rsid w:val="4C105BF4"/>
    <w:rsid w:val="4C996833"/>
    <w:rsid w:val="4CB33370"/>
    <w:rsid w:val="4CFB4C1B"/>
    <w:rsid w:val="4D3B56A2"/>
    <w:rsid w:val="4D5C705E"/>
    <w:rsid w:val="4DC32212"/>
    <w:rsid w:val="4DDE628E"/>
    <w:rsid w:val="4E453398"/>
    <w:rsid w:val="4E7460AA"/>
    <w:rsid w:val="4E8E5D5E"/>
    <w:rsid w:val="4ED9607E"/>
    <w:rsid w:val="4F0A0AD1"/>
    <w:rsid w:val="4F4062DA"/>
    <w:rsid w:val="4F620AD9"/>
    <w:rsid w:val="50687338"/>
    <w:rsid w:val="510A0454"/>
    <w:rsid w:val="512B2D7D"/>
    <w:rsid w:val="515D4FD0"/>
    <w:rsid w:val="51B331CC"/>
    <w:rsid w:val="51C07F3E"/>
    <w:rsid w:val="51D448F1"/>
    <w:rsid w:val="5243059D"/>
    <w:rsid w:val="525505B3"/>
    <w:rsid w:val="52C356AE"/>
    <w:rsid w:val="52CF08B8"/>
    <w:rsid w:val="534F5321"/>
    <w:rsid w:val="53654271"/>
    <w:rsid w:val="538E12F2"/>
    <w:rsid w:val="53FF35FF"/>
    <w:rsid w:val="550023FE"/>
    <w:rsid w:val="553236C7"/>
    <w:rsid w:val="55800378"/>
    <w:rsid w:val="559B5D9A"/>
    <w:rsid w:val="56DB1F52"/>
    <w:rsid w:val="573F0267"/>
    <w:rsid w:val="57B71F92"/>
    <w:rsid w:val="57E40EDB"/>
    <w:rsid w:val="57E42CA0"/>
    <w:rsid w:val="584709D8"/>
    <w:rsid w:val="58D70CD3"/>
    <w:rsid w:val="593B0F34"/>
    <w:rsid w:val="596F425D"/>
    <w:rsid w:val="59C243D3"/>
    <w:rsid w:val="59D84A9E"/>
    <w:rsid w:val="5A4309B2"/>
    <w:rsid w:val="5A6E20D5"/>
    <w:rsid w:val="5AD43D8A"/>
    <w:rsid w:val="5B285E7E"/>
    <w:rsid w:val="5B532539"/>
    <w:rsid w:val="5C50644C"/>
    <w:rsid w:val="5CF2244C"/>
    <w:rsid w:val="5DC82E72"/>
    <w:rsid w:val="5FA267D1"/>
    <w:rsid w:val="5FD364D8"/>
    <w:rsid w:val="604F536C"/>
    <w:rsid w:val="60635D51"/>
    <w:rsid w:val="60BE7854"/>
    <w:rsid w:val="61E353FB"/>
    <w:rsid w:val="61EC7ADF"/>
    <w:rsid w:val="6202633D"/>
    <w:rsid w:val="626845D5"/>
    <w:rsid w:val="62823A5F"/>
    <w:rsid w:val="637F298E"/>
    <w:rsid w:val="639265EF"/>
    <w:rsid w:val="642C104E"/>
    <w:rsid w:val="648E5B31"/>
    <w:rsid w:val="64DF5A71"/>
    <w:rsid w:val="655B21E0"/>
    <w:rsid w:val="656156B2"/>
    <w:rsid w:val="658A1742"/>
    <w:rsid w:val="65A748F9"/>
    <w:rsid w:val="663B0543"/>
    <w:rsid w:val="6648009D"/>
    <w:rsid w:val="691E1EEB"/>
    <w:rsid w:val="69321E4F"/>
    <w:rsid w:val="6965550E"/>
    <w:rsid w:val="69954E5B"/>
    <w:rsid w:val="6A771266"/>
    <w:rsid w:val="6B2431B6"/>
    <w:rsid w:val="6B5032FC"/>
    <w:rsid w:val="6B710ED3"/>
    <w:rsid w:val="6BC526A1"/>
    <w:rsid w:val="6C0C14CA"/>
    <w:rsid w:val="6C3552FA"/>
    <w:rsid w:val="6C586883"/>
    <w:rsid w:val="6CA313EC"/>
    <w:rsid w:val="6CC32871"/>
    <w:rsid w:val="6D641E06"/>
    <w:rsid w:val="6E415C49"/>
    <w:rsid w:val="6E684FE1"/>
    <w:rsid w:val="70335BE6"/>
    <w:rsid w:val="706A6DBF"/>
    <w:rsid w:val="71A51F15"/>
    <w:rsid w:val="71BA5DE9"/>
    <w:rsid w:val="72962EEE"/>
    <w:rsid w:val="730E1150"/>
    <w:rsid w:val="73D90073"/>
    <w:rsid w:val="73F02D26"/>
    <w:rsid w:val="755C6F71"/>
    <w:rsid w:val="76D5647D"/>
    <w:rsid w:val="77795879"/>
    <w:rsid w:val="777D5957"/>
    <w:rsid w:val="77E26C8F"/>
    <w:rsid w:val="77EB3401"/>
    <w:rsid w:val="7801742C"/>
    <w:rsid w:val="783E0B37"/>
    <w:rsid w:val="786C26FE"/>
    <w:rsid w:val="787C7CA5"/>
    <w:rsid w:val="78956518"/>
    <w:rsid w:val="79282C7A"/>
    <w:rsid w:val="792F79F0"/>
    <w:rsid w:val="79611467"/>
    <w:rsid w:val="796554E5"/>
    <w:rsid w:val="7A036087"/>
    <w:rsid w:val="7ABD456F"/>
    <w:rsid w:val="7B636759"/>
    <w:rsid w:val="7C8736BC"/>
    <w:rsid w:val="7C926EE4"/>
    <w:rsid w:val="7CA51062"/>
    <w:rsid w:val="7D7307AC"/>
    <w:rsid w:val="7ECE51DC"/>
    <w:rsid w:val="7EF0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unhideWhenUsed/>
    <w:qFormat/>
    <w:uiPriority w:val="9"/>
    <w:pPr>
      <w:keepNext/>
      <w:keepLines/>
      <w:outlineLvl w:val="1"/>
    </w:pPr>
    <w:rPr>
      <w:rFonts w:eastAsia="楷体" w:cs="Times New Roman"/>
      <w:b/>
      <w:bCs/>
      <w:sz w:val="32"/>
      <w:szCs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next w:val="1"/>
    <w:qFormat/>
    <w:uiPriority w:val="0"/>
    <w:pPr>
      <w:spacing w:after="0" w:line="600" w:lineRule="exact"/>
    </w:pPr>
    <w:rPr>
      <w:rFonts w:ascii="仿宋" w:hAnsi="仿宋" w:eastAsia="仿宋" w:cs="宋体"/>
      <w:sz w:val="32"/>
    </w:rPr>
  </w:style>
  <w:style w:type="paragraph" w:styleId="6">
    <w:name w:val="Body Text Indent"/>
    <w:basedOn w:val="1"/>
    <w:next w:val="1"/>
    <w:link w:val="17"/>
    <w:unhideWhenUsed/>
    <w:qFormat/>
    <w:uiPriority w:val="0"/>
    <w:rPr>
      <w:rFonts w:ascii="Times New Roman" w:hAnsi="Times New Roman" w:cs="Times New Roman"/>
      <w:szCs w:val="20"/>
    </w:rPr>
  </w:style>
  <w:style w:type="paragraph" w:styleId="7">
    <w:name w:val="Date"/>
    <w:basedOn w:val="1"/>
    <w:next w:val="1"/>
    <w:link w:val="18"/>
    <w:semiHidden/>
    <w:unhideWhenUsed/>
    <w:qFormat/>
    <w:uiPriority w:val="99"/>
    <w:pPr>
      <w:ind w:left="100" w:leftChars="2500"/>
    </w:p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Body Text First Indent 2"/>
    <w:basedOn w:val="6"/>
    <w:next w:val="4"/>
    <w:qFormat/>
    <w:uiPriority w:val="0"/>
    <w:pPr>
      <w:ind w:firstLine="420" w:firstLineChars="200"/>
    </w:p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2"/>
    <w:basedOn w:val="1"/>
    <w:next w:val="1"/>
    <w:qFormat/>
    <w:uiPriority w:val="0"/>
    <w:pPr>
      <w:ind w:left="420" w:leftChars="20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眉 Char"/>
    <w:basedOn w:val="12"/>
    <w:link w:val="10"/>
    <w:semiHidden/>
    <w:qFormat/>
    <w:uiPriority w:val="99"/>
    <w:rPr>
      <w:sz w:val="18"/>
      <w:szCs w:val="18"/>
    </w:rPr>
  </w:style>
  <w:style w:type="character" w:customStyle="1" w:styleId="16">
    <w:name w:val="页脚 Char"/>
    <w:basedOn w:val="12"/>
    <w:link w:val="8"/>
    <w:qFormat/>
    <w:uiPriority w:val="99"/>
    <w:rPr>
      <w:sz w:val="18"/>
      <w:szCs w:val="18"/>
    </w:rPr>
  </w:style>
  <w:style w:type="character" w:customStyle="1" w:styleId="17">
    <w:name w:val="正文文本缩进 Char"/>
    <w:basedOn w:val="12"/>
    <w:link w:val="6"/>
    <w:qFormat/>
    <w:uiPriority w:val="0"/>
    <w:rPr>
      <w:rFonts w:ascii="Times New Roman" w:hAnsi="Times New Roman" w:eastAsia="宋体" w:cs="Times New Roman"/>
      <w:szCs w:val="20"/>
    </w:rPr>
  </w:style>
  <w:style w:type="character" w:customStyle="1" w:styleId="18">
    <w:name w:val="日期 Char"/>
    <w:basedOn w:val="12"/>
    <w:link w:val="7"/>
    <w:semiHidden/>
    <w:qFormat/>
    <w:uiPriority w:val="99"/>
    <w:rPr>
      <w:rFonts w:ascii="Calibri" w:hAnsi="Calibri" w:eastAsia="宋体" w:cs="黑体"/>
      <w:szCs w:val="24"/>
    </w:rPr>
  </w:style>
  <w:style w:type="paragraph" w:customStyle="1" w:styleId="19">
    <w:name w:val="_Style 1"/>
    <w:basedOn w:val="1"/>
    <w:qFormat/>
    <w:uiPriority w:val="0"/>
    <w:pPr>
      <w:widowControl/>
      <w:spacing w:after="160" w:line="240" w:lineRule="exact"/>
      <w:jc w:val="left"/>
    </w:pPr>
    <w:rPr>
      <w:rFonts w:cs="Times New Roman"/>
    </w:rPr>
  </w:style>
  <w:style w:type="paragraph" w:customStyle="1" w:styleId="20">
    <w:name w:val="正文文本缩进 21"/>
    <w:basedOn w:val="1"/>
    <w:qFormat/>
    <w:uiPriority w:val="0"/>
    <w:pPr>
      <w:spacing w:after="120" w:line="480" w:lineRule="auto"/>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2B754-EBC5-41BC-BF13-1976B49C98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11153</Words>
  <Characters>11256</Characters>
  <Lines>10</Lines>
  <Paragraphs>2</Paragraphs>
  <TotalTime>6</TotalTime>
  <ScaleCrop>false</ScaleCrop>
  <LinksUpToDate>false</LinksUpToDate>
  <CharactersWithSpaces>11412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2018-05-18T03:16:00Z</dcterms:created>
  <dc:creator>陈棱子</dc:creator>
  <cp:lastModifiedBy>徐建冬</cp:lastModifiedBy>
  <cp:lastPrinted>2023-05-05T09:55:00Z</cp:lastPrinted>
  <dcterms:modified xsi:type="dcterms:W3CDTF">2023-05-06T07:06:34Z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EB7ED16216184464A8E7B446F855295E</vt:lpwstr>
  </property>
</Properties>
</file>