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Style w:val="5"/>
          <w:rFonts w:hint="eastAsia" w:ascii="方正大标宋简体" w:hAnsi="方正大标宋简体" w:eastAsia="方正大标宋简体" w:cs="方正大标宋简体"/>
          <w:b w:val="0"/>
          <w:bCs w:val="0"/>
          <w:color w:val="252525"/>
          <w:sz w:val="72"/>
          <w:szCs w:val="72"/>
          <w:lang w:val="en-US" w:eastAsia="zh-CN"/>
        </w:rPr>
      </w:pPr>
      <w:r>
        <w:rPr>
          <w:rStyle w:val="5"/>
          <w:rFonts w:hint="eastAsia" w:ascii="方正大标宋简体" w:hAnsi="方正大标宋简体" w:eastAsia="方正大标宋简体" w:cs="方正大标宋简体"/>
          <w:b w:val="0"/>
          <w:bCs w:val="0"/>
          <w:color w:val="252525"/>
          <w:sz w:val="72"/>
          <w:szCs w:val="72"/>
          <w:lang w:val="en-US" w:eastAsia="zh-CN"/>
        </w:rPr>
        <w:t xml:space="preserve">巩固“创强”成果  </w:t>
      </w:r>
    </w:p>
    <w:p>
      <w:pPr>
        <w:jc w:val="center"/>
        <w:rPr>
          <w:rStyle w:val="5"/>
          <w:rFonts w:hint="eastAsia" w:ascii="仿宋" w:hAnsi="仿宋" w:eastAsia="仿宋"/>
          <w:color w:val="252525"/>
          <w:sz w:val="44"/>
          <w:szCs w:val="44"/>
          <w:lang w:val="en-US" w:eastAsia="zh-CN"/>
        </w:rPr>
      </w:pPr>
      <w:r>
        <w:rPr>
          <w:rStyle w:val="5"/>
          <w:rFonts w:hint="eastAsia" w:ascii="方正大标宋简体" w:hAnsi="方正大标宋简体" w:eastAsia="方正大标宋简体" w:cs="方正大标宋简体"/>
          <w:b w:val="0"/>
          <w:bCs w:val="0"/>
          <w:color w:val="252525"/>
          <w:sz w:val="72"/>
          <w:szCs w:val="72"/>
          <w:lang w:val="en-US" w:eastAsia="zh-CN"/>
        </w:rPr>
        <w:t xml:space="preserve"> 谱写新田教育新篇章</w:t>
      </w:r>
    </w:p>
    <w:p>
      <w:pPr>
        <w:jc w:val="center"/>
        <w:rPr>
          <w:rStyle w:val="5"/>
          <w:rFonts w:hint="eastAsia" w:ascii="仿宋_GB2312" w:hAnsi="仿宋_GB2312" w:eastAsia="仿宋_GB2312" w:cs="仿宋_GB2312"/>
          <w:color w:val="252525"/>
          <w:sz w:val="36"/>
          <w:szCs w:val="36"/>
          <w:lang w:val="en-US" w:eastAsia="zh-CN"/>
        </w:rPr>
      </w:pPr>
      <w:r>
        <w:rPr>
          <w:rStyle w:val="5"/>
          <w:rFonts w:hint="eastAsia" w:ascii="仿宋_GB2312" w:hAnsi="仿宋_GB2312" w:eastAsia="仿宋_GB2312" w:cs="仿宋_GB2312"/>
          <w:color w:val="252525"/>
          <w:sz w:val="36"/>
          <w:szCs w:val="36"/>
          <w:lang w:val="en-US" w:eastAsia="zh-CN"/>
        </w:rPr>
        <w:t>--陆河县新田镇教育强镇复评自评报告</w:t>
      </w:r>
    </w:p>
    <w:p>
      <w:pPr>
        <w:rPr>
          <w:rStyle w:val="5"/>
          <w:rFonts w:hint="eastAsia" w:ascii="仿宋" w:hAnsi="仿宋" w:eastAsia="仿宋"/>
          <w:color w:val="252525"/>
          <w:sz w:val="44"/>
          <w:szCs w:val="44"/>
          <w:lang w:val="en-US" w:eastAsia="zh-CN"/>
        </w:rPr>
      </w:pPr>
    </w:p>
    <w:p>
      <w:pPr>
        <w:rPr>
          <w:rStyle w:val="5"/>
          <w:rFonts w:hint="eastAsia" w:ascii="仿宋" w:hAnsi="仿宋" w:eastAsia="仿宋"/>
          <w:color w:val="252525"/>
          <w:sz w:val="44"/>
          <w:szCs w:val="44"/>
          <w:lang w:val="en-US" w:eastAsia="zh-CN"/>
        </w:rPr>
      </w:pPr>
    </w:p>
    <w:p>
      <w:pPr>
        <w:rPr>
          <w:rStyle w:val="5"/>
          <w:rFonts w:hint="eastAsia" w:ascii="仿宋" w:hAnsi="仿宋" w:eastAsia="仿宋"/>
          <w:color w:val="252525"/>
          <w:sz w:val="44"/>
          <w:szCs w:val="44"/>
          <w:lang w:val="en-US" w:eastAsia="zh-CN"/>
        </w:rPr>
      </w:pPr>
    </w:p>
    <w:p>
      <w:pPr>
        <w:rPr>
          <w:rStyle w:val="5"/>
          <w:rFonts w:hint="eastAsia" w:ascii="仿宋" w:hAnsi="仿宋" w:eastAsia="仿宋"/>
          <w:color w:val="252525"/>
          <w:sz w:val="44"/>
          <w:szCs w:val="44"/>
          <w:lang w:val="en-US" w:eastAsia="zh-CN"/>
        </w:rPr>
      </w:pPr>
    </w:p>
    <w:p>
      <w:pPr>
        <w:rPr>
          <w:rStyle w:val="5"/>
          <w:rFonts w:hint="eastAsia" w:ascii="仿宋" w:hAnsi="仿宋" w:eastAsia="仿宋"/>
          <w:color w:val="252525"/>
          <w:sz w:val="44"/>
          <w:szCs w:val="44"/>
          <w:lang w:val="en-US" w:eastAsia="zh-CN"/>
        </w:rPr>
      </w:pPr>
    </w:p>
    <w:p>
      <w:pPr>
        <w:rPr>
          <w:rStyle w:val="5"/>
          <w:rFonts w:hint="eastAsia" w:ascii="仿宋" w:hAnsi="仿宋" w:eastAsia="仿宋"/>
          <w:color w:val="252525"/>
          <w:sz w:val="44"/>
          <w:szCs w:val="44"/>
          <w:lang w:val="en-US" w:eastAsia="zh-CN"/>
        </w:rPr>
      </w:pPr>
    </w:p>
    <w:p>
      <w:pPr>
        <w:rPr>
          <w:rStyle w:val="5"/>
          <w:rFonts w:hint="eastAsia" w:ascii="仿宋" w:hAnsi="仿宋" w:eastAsia="仿宋"/>
          <w:color w:val="252525"/>
          <w:sz w:val="44"/>
          <w:szCs w:val="44"/>
          <w:lang w:val="en-US" w:eastAsia="zh-CN"/>
        </w:rPr>
      </w:pPr>
    </w:p>
    <w:p>
      <w:pPr>
        <w:rPr>
          <w:rStyle w:val="5"/>
          <w:rFonts w:hint="eastAsia" w:ascii="仿宋" w:hAnsi="仿宋" w:eastAsia="仿宋"/>
          <w:color w:val="252525"/>
          <w:sz w:val="44"/>
          <w:szCs w:val="44"/>
          <w:lang w:val="en-US" w:eastAsia="zh-CN"/>
        </w:rPr>
      </w:pPr>
    </w:p>
    <w:p>
      <w:pPr>
        <w:rPr>
          <w:rStyle w:val="5"/>
          <w:rFonts w:hint="eastAsia" w:ascii="仿宋" w:hAnsi="仿宋" w:eastAsia="仿宋"/>
          <w:color w:val="252525"/>
          <w:sz w:val="44"/>
          <w:szCs w:val="44"/>
          <w:lang w:val="en-US" w:eastAsia="zh-CN"/>
        </w:rPr>
      </w:pPr>
    </w:p>
    <w:p>
      <w:pPr>
        <w:rPr>
          <w:rStyle w:val="5"/>
          <w:rFonts w:hint="eastAsia" w:ascii="仿宋" w:hAnsi="仿宋" w:eastAsia="仿宋"/>
          <w:color w:val="252525"/>
          <w:sz w:val="44"/>
          <w:szCs w:val="44"/>
          <w:lang w:val="en-US" w:eastAsia="zh-CN"/>
        </w:rPr>
      </w:pPr>
    </w:p>
    <w:p>
      <w:pPr>
        <w:jc w:val="both"/>
        <w:rPr>
          <w:rStyle w:val="5"/>
          <w:rFonts w:hint="eastAsia" w:ascii="仿宋" w:hAnsi="仿宋" w:eastAsia="仿宋"/>
          <w:color w:val="252525"/>
          <w:sz w:val="44"/>
          <w:szCs w:val="44"/>
          <w:lang w:val="en-US" w:eastAsia="zh-CN"/>
        </w:rPr>
      </w:pPr>
    </w:p>
    <w:p>
      <w:pPr>
        <w:jc w:val="center"/>
        <w:rPr>
          <w:rStyle w:val="5"/>
          <w:rFonts w:hint="eastAsia" w:ascii="仿宋" w:hAnsi="仿宋" w:eastAsia="仿宋"/>
          <w:b w:val="0"/>
          <w:bCs w:val="0"/>
          <w:color w:val="252525"/>
          <w:sz w:val="44"/>
          <w:szCs w:val="44"/>
          <w:lang w:val="en-US" w:eastAsia="zh-CN"/>
        </w:rPr>
      </w:pPr>
      <w:r>
        <w:rPr>
          <w:rStyle w:val="5"/>
          <w:rFonts w:hint="eastAsia" w:ascii="仿宋" w:hAnsi="仿宋" w:eastAsia="仿宋"/>
          <w:b w:val="0"/>
          <w:bCs w:val="0"/>
          <w:color w:val="252525"/>
          <w:sz w:val="44"/>
          <w:szCs w:val="44"/>
          <w:lang w:val="en-US" w:eastAsia="zh-CN"/>
        </w:rPr>
        <w:t>陆河县新田镇人民政府</w:t>
      </w:r>
    </w:p>
    <w:p>
      <w:pPr>
        <w:jc w:val="center"/>
        <w:rPr>
          <w:rStyle w:val="5"/>
          <w:rFonts w:hint="eastAsia" w:ascii="仿宋" w:hAnsi="仿宋" w:eastAsia="仿宋"/>
          <w:b w:val="0"/>
          <w:bCs w:val="0"/>
          <w:color w:val="252525"/>
          <w:sz w:val="44"/>
          <w:szCs w:val="44"/>
          <w:lang w:val="en-US" w:eastAsia="zh-CN"/>
        </w:rPr>
      </w:pPr>
      <w:r>
        <w:rPr>
          <w:rStyle w:val="5"/>
          <w:rFonts w:hint="eastAsia" w:ascii="仿宋" w:hAnsi="仿宋" w:eastAsia="仿宋"/>
          <w:b w:val="0"/>
          <w:bCs w:val="0"/>
          <w:color w:val="252525"/>
          <w:sz w:val="44"/>
          <w:szCs w:val="44"/>
          <w:lang w:val="en-US" w:eastAsia="zh-CN"/>
        </w:rPr>
        <w:t>2018年3月9日</w:t>
      </w:r>
    </w:p>
    <w:p>
      <w:pPr>
        <w:jc w:val="center"/>
      </w:pP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宋体" w:eastAsia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陆河县新田镇在2015年成功创建“广东省教育强镇”以后，在实现经济社会快速持续发展的同时，镇党委、政府继续坚持教育优先发展的理念不动摇，把巩固教育“创强”成果纳入经济社会发展总体规划，采取多项措施优先发展教育，调整学校布局，优化教育资源配置，积极改善教学条件，加强学校管理和师资队伍建设，推进素质教育，全面提高教育教学质量，全镇教育事业得到很大的发展。</w:t>
      </w:r>
      <w:bookmarkStart w:id="0" w:name="_Toc10317"/>
      <w:bookmarkStart w:id="1" w:name="_Toc7441"/>
      <w:bookmarkStart w:id="2" w:name="_Toc2424"/>
      <w:bookmarkStart w:id="3" w:name="_Toc23438"/>
      <w:r>
        <w:rPr>
          <w:rFonts w:hint="eastAsia" w:ascii="仿宋_GB2312" w:hAnsi="宋体" w:eastAsia="仿宋_GB2312"/>
          <w:b w:val="0"/>
          <w:bCs w:val="0"/>
          <w:sz w:val="32"/>
          <w:szCs w:val="32"/>
        </w:rPr>
        <w:t>根据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  <w:t>广东省人民政府教育督导室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</w:rPr>
        <w:t>《关于做好教育强镇复评工作的通知》（粤府教督函[2017]23号）要求，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  <w:t>我镇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</w:rPr>
        <w:t>成立了以镇党委书记为组长的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  <w:t>教育强镇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</w:rPr>
        <w:t>复评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  <w:t>工作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</w:rPr>
        <w:t>领导小组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  <w:t>，制订了《陆河县河田镇教育强镇复评工作实施方案》，真抓实干，不断完善，促进全镇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教育事业稳定发展。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</w:rPr>
        <w:t>现对照省督导验收工作组提出的整改意见及《广东省教育强镇（乡、街道）督导验收方案（修订）》各项指标体系，就我镇申报广东省教育强镇复评工作自评报告如下。</w:t>
      </w:r>
    </w:p>
    <w:bookmarkEnd w:id="0"/>
    <w:bookmarkEnd w:id="1"/>
    <w:bookmarkEnd w:id="2"/>
    <w:bookmarkEnd w:id="3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bookmarkStart w:id="4" w:name="_Toc21816"/>
      <w:bookmarkStart w:id="5" w:name="_Toc451"/>
      <w:bookmarkStart w:id="6" w:name="_Toc23072"/>
      <w:bookmarkStart w:id="7" w:name="_Toc14786"/>
      <w:bookmarkStart w:id="8" w:name="_Toc29549"/>
      <w:bookmarkStart w:id="9" w:name="_Toc25496"/>
      <w:bookmarkStart w:id="10" w:name="_Toc8454"/>
      <w:bookmarkStart w:id="11" w:name="_Toc18156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一、基本情况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田镇位于陆河县的西南端，毗邻海丰、陆丰、惠东、紫金等四县（市）辖区面积182平方公里，下辖14个村委会和1个社区居委会，户籍人口3.8万人，常住人口2.6万人，是一个山多地少的山区农业镇。全镇设1所初级中学、，初中在校生955 人，设24 个教学班，教职工94 人，专任教师 84人，学历达标率为100%，5所完全小学和2个教学点，小学在校生 2263人，设 83个教学班，，教职工156人，专任教师136人，学历达标率100%，，公办幼儿园1所，民办幼儿园2 所，在园幼儿580人，幼儿园教师49人，保育16人，幼儿教师持证率77%。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田镇自然生态环境良好，盛产优质水果型木瓜、香瓜、柑橘、青梅、黄榄、油柑、荔枝、乌梨、菠萝、龙眼等特色果蔬，有横石自然生态休闲区、田心汤仔寨温泉、生宝种养基地、樱花种植基地，乌盾山茶叶是国家认证的有机茶。五我镇是著名的革命老区，革命根据地英烈纪念园、“红二师”纪念亭坐落在激石溪村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bookmarkStart w:id="12" w:name="_Toc8667"/>
      <w:bookmarkStart w:id="13" w:name="_Toc5667"/>
      <w:bookmarkStart w:id="14" w:name="_Toc346"/>
      <w:bookmarkStart w:id="15" w:name="_Toc18226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二、整改情况</w:t>
      </w:r>
    </w:p>
    <w:p>
      <w:pPr>
        <w:numPr>
          <w:ilvl w:val="0"/>
          <w:numId w:val="0"/>
        </w:numPr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（一）加大教育投入，完善办学条件，推进中小学建设。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我镇党委、政府牢固树立“投资教育，就是投资未来”迎难而上，积极调整财政开支结构，扩宽经济来源，保证教育经费优先解决。近几年来我镇政府累计投入资金3500万元，改善教育水平。</w:t>
      </w:r>
    </w:p>
    <w:p>
      <w:pPr>
        <w:numPr>
          <w:ilvl w:val="0"/>
          <w:numId w:val="1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整布局，优化资源。针对我镇存在的部分学校功能场室欠缺，设备设施落后，信息化办公落后制约教育发展的状况，我镇结合实际，投入资金70多万，对新田中学、逸夫小学、新田小学、新民小学、八一小学电脑室进行更新换代；购置教师用电脑150多台；安装中小学电教平台200台；完善中小学的校园网建设、增添图书资料、维修校舍等，所有学校均连接了教育网络，实现了“校校通”“班班通”。</w:t>
      </w:r>
    </w:p>
    <w:p>
      <w:pPr>
        <w:numPr>
          <w:ilvl w:val="0"/>
          <w:numId w:val="1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学校校园文化建设。政府投入资金660多万元，完善教育设施，建立文化场所。各校根据自身特点对学校的校园文化作出了统一的部署，学校增加了阅报栏、宣传橱窗、板报等设施；加强了图书室、阅览室的建设；教学楼、办公楼悬挂或张贴校训、校风、教风、学风等，充分反映学校的办学特色及办学理念，整体优化学校的校园环境，使校园文化成为学校特色的显性标志。为改善教师办公环境，采购办公桌椅300多套。新田镇横陇小学在2016年投入资金200多万，建立起3层教学楼并已投入使用。</w:t>
      </w:r>
    </w:p>
    <w:p>
      <w:pPr>
        <w:numPr>
          <w:ilvl w:val="0"/>
          <w:numId w:val="1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计算机和多媒体教学，推进现代化信息课程，实现办公自动化，教学管理信息化。经过培训我镇45岁以下教师基本能够操作使用计算机和多媒体教学平台，大部分学科能运用多媒体教学，使我镇各校使用现代化装备教学水平明显提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3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（二）加强教师队伍的建设，提升教师队伍的整体水平。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对照《中小学教师职业道德规范》建立健全学校管理制度。学校从管理制度着手，实行校长聘任制，教师双向选择制，教师根据自己的意愿、专长选择自己的岗位。同时还建立健全了一整套教学管理规章制度，用规章制度来严格约束每一位教师，充分调动教师的积极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2、我镇教师师资力量完备。目前，全镇小学专任教师136人，初中专任教师84人，其中本科学历67人，专任教师学历合格率100%；幼儿教师49人，其中大专以上学历多</w:t>
      </w:r>
      <w:bookmarkStart w:id="48" w:name="_GoBack"/>
      <w:bookmarkEnd w:id="48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人。为了适应现代化教学目标， 根据本镇学校实际，结合教师工作，组织教师学习教育学、心理学，开展业务专题讲座，学习先进的教学方法，掌握科学的教学手段，普及计算机应用技术，学习计算机基本知识和操作技能，帮助教师在实践的基础上学习理论，再用理论指导自己的实践，优化课堂教学结构，提高课堂教学水平，促进教学质量的提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加强信息培训。普及计算机应用技术,学习计算机基本知识和操作技能,采取专人指导与课余自学相结合。学校安排计算机专业教师进行专题培训,技术指导。老师们还利用课余时间自学自练，从而使每个教师的计算机应用水平都有所提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加强师德师风建设，提高教师的道德情操。开展了“德为人先、行为世范”的师德演讲活动，在活动中使教师牢固树立“热爱学生，教书育人；爱岗敬业，刻苦钻研；务实创新，甘于奉献；廉洁从教，为人师表；遵纪守法，诚实守信”的职业精神，以良好的道德素质和言行去影响和培养学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学校号召全体教师积极参与爱生工程，教师利用休息时间，根据学生的家庭状况和思想动态，有针对性地进行家访。组织教师进行重点家访，耐心细致地做学生思想工作，撰写家访小结和反思，拉近师生间心理距离，使学生感受到师爱如阳光般的温暖。</w:t>
      </w:r>
    </w:p>
    <w:p>
      <w:pPr>
        <w:spacing w:line="500" w:lineRule="exact"/>
        <w:ind w:firstLine="667" w:firstLineChars="200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pacing w:val="6"/>
          <w:kern w:val="0"/>
          <w:sz w:val="32"/>
          <w:szCs w:val="32"/>
          <w:lang w:eastAsia="zh-CN"/>
        </w:rPr>
        <w:t>（三）</w:t>
      </w:r>
      <w:r>
        <w:rPr>
          <w:rFonts w:hint="eastAsia" w:ascii="仿宋_GB2312" w:hAnsi="仿宋_GB2312" w:eastAsia="仿宋_GB2312" w:cs="仿宋_GB2312"/>
          <w:b/>
          <w:bCs w:val="0"/>
          <w:spacing w:val="6"/>
          <w:kern w:val="0"/>
          <w:sz w:val="32"/>
          <w:szCs w:val="32"/>
        </w:rPr>
        <w:t>加快学前教育规范化发展，进一步提高学前教育水平</w:t>
      </w:r>
      <w:r>
        <w:rPr>
          <w:rFonts w:hint="eastAsia" w:ascii="仿宋_GB2312" w:hAnsi="仿宋_GB2312" w:eastAsia="仿宋_GB2312" w:cs="仿宋_GB2312"/>
          <w:b/>
          <w:bCs w:val="0"/>
          <w:spacing w:val="6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完善幼儿园总体设施。对我镇中心幼儿园设备及房屋进行局部修缮，注重环境的有效创设，合理利用活动室空间环境，合理划分活动区。每个班级创设主题墙，满足不同水平幼儿发展需要。建设户外活动场地给幼儿一个身心开放的游戏场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2.学习法律法规，强化法律意识，健全幼儿园规章制度。制定《幼儿园管理条例》、《幼儿园工作规程》和《幼儿园教育指导纲要》，认真执行，形成依法治国、依法治教的氛围，使全园无违规乱纪现象发生。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规范办园行为，改善办园条件。为了改善幼儿教育小学化倾向的现状，镇政府根据各地区的实际情况，对幼儿教育的教学方式，教育方法，作息时间等提出了具体的要求；为杜绝各种以成绩来论成败的教学方式，保证孩子的休息时间和游戏时间，政府要求各幼儿园在课程设置上增加游戏、户外活动、手工课程等环节，通过游戏和寓教于乐的方式使孩子认知这个世界。在镇府的监督下，我镇各幼儿园积极响应，去掉小学化课程，按《幼儿园教育指导纲要》规定设置课程，开展户外活动。结合我镇实际，决定新建立一所公办幼儿园，目前已完成选址工作，我镇人民众志成城，积极工作，加快建立惠民学校进程，提升教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</w:rPr>
        <w:t>主要做法和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eastAsia="zh-CN"/>
        </w:rPr>
        <w:t>工作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</w:rPr>
        <w:t>成效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3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（一）优先发展教育，巩固“创强”成果。</w:t>
      </w:r>
      <w:bookmarkEnd w:id="12"/>
      <w:bookmarkEnd w:id="13"/>
      <w:bookmarkEnd w:id="14"/>
      <w:bookmarkEnd w:id="15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几年来，我镇不断加强对教育工作的领导，完善和健全相关制度，我镇历届党政班子本着“党以重教为先，政以兴教为本”的责任意识和服务宗旨，把巩固教育创强成果，推进教育现代化建设纳入全镇经济社会发展的总体规划，摆在优先发展的战略地位。为加强对省教育强镇复评工作的组织领导，确保复评工作的顺利开展，镇委、镇政府成立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工作领导小组，由镇委书记任组长。领导小组下设办公室，负责日常工作，确保创强复评工作有序进行。制定了《陆河县新田镇教育强镇复评工作实施方案》,以此指导全镇教育发展巩固创强成果；建立健全政府教育目标管理责任制，党政主要领导亲自抓教育，及时研究解决涉及教育强镇现代化建设的重大问题，特别是财政投入、教师队伍建设、学前教育等问题，纳入镇年度工作重点，切实抓好督查落实。镇政府定期向镇人民代表大会报告教育工作情况，认真听取人大代表相关意见和建议，自觉接受同级人大代表的监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3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（二）推进课程改革，提高教育质量。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我镇扎实推进新课程改革，形成了富有成效的师资培训、教学研究、课堂管理等工作机制。依照国家课程方案和课程标准，着力开齐课程，开足课时，大力开发和开设校本课程。 不断强化教育教学管理。尊重教育教学规律，强化规范化、精细化管理，坚持走内涵式发展道路，积极开展教育质量提升年、精细化管理年以及各类创建活动，着力建立我镇教育教学工作检测体系和评价体系，促进教育教学质量不断提升。近几年来，中小学的办学水平和办学成效得到广泛认可，受到各级党委、政府的表彰，获得了各种荣誉，2017年度张素泳老师荣获县小学语文素养评比二等奖,丘高婷老师荣获县小学英语优质课比赛三等奖,李翠杏老师荣获县小学数学优质课比赛一等奖,林洁老师荣获县小学音乐优质课比赛二等奖.2017年叶小丽老师被评为“县名师”。三镇交流在参城八一学校举行，叶小丽老师上了一节数学示范课，刘志强老师并作了“充分研读，精准备课”为主题的报告。我镇教师近三年来在课题研究上取得了一定的成绩。中小学已结题的课题研究7个，正在研究课题11个。教师参加汕尾市教育教学论文评选获奖有100多人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3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（三）强化教师队伍，培养优秀骨干。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努力优化教师队伍。我镇坚持把师风师德作为教师队伍建设的重点来抓，全面贯彻《中小学教师职业道德规范》，深入开展师风师德教育活动，严格要求全体教师履行岗位职责，爱岗敬业，教书育人。鼓励教师争当名教师、优秀教师、优秀班主任、教改积极分子，帮助教师树立正确的世界观、人生观、价值观，端正教育思想，增强责任感，时刻以人民教师职业道德严格要求自己。我镇关注教师福利待遇问题，亲自过问教师在工作、家庭、生活中遇到的困难，努力为他们排忧解难，并设立专项资金，奖励优秀教师。去年党委、镇政府拨出10万专款慰问全镇中小学教师，表彰教育先进单位，奖励县、镇先进教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加强教师的业务培训和继续教育，开展多层次的系列培训，包括校长、行政管理干部、骨干教师、青年教师和新教师的专项培训、全员培训、学历培训等。引导教师加强教育理论学习，促进教师专业化发展，提升教师的专业素质。大力实施名师工程，发挥骨干教师和学科带头人的作用，用他们的专长带动青年教师的成长。全方位不断提高教师待遇，全面落实教师绩效工资。加大教师奖励力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开展教学研究，提高教学水平。提高集体备课质量。各教研组有研讨主题，备课组有活动重点。如：语文组开展了“单元专题整合”教研活动，单元整合，既是同一主题的横向开拓，又是不同教学内容的纵向展开。在研讨过程中，三年级的五位教师开设了公开课，经历了个体的思考与设计。数学组开展了“快乐的数学活动周”活动，内容有“数学小报我来办”、“数学故事大王比赛”、“趣味数学竞赛”、“数学游戏大家玩”，激发了学生对数学的兴趣，领悟到数学的神奇。深入开展教研活动。内容多元，形式多样，途径多种，重点采取“走出去听听”和“请进来讲讲”两种形式。安排教师外出学习，参会教师均能认真领会会议精神，详细记录学习体会，及时梳理并传达新课改理念。开展课题研究活动。在课题研究方面，学校起步早，参与面广，承担的课题多，学校承担了省、市级多项课题研究，涉及到教材、教法、教学模式、家庭教育等方面的改革。科研气氛浓厚，老师们在教学和开展课题研究的过程中，不断反思，不断总结经验，积极撰写教育教学论文</w:t>
      </w:r>
      <w:bookmarkStart w:id="16" w:name="_Toc384"/>
      <w:bookmarkStart w:id="17" w:name="_Toc5495"/>
      <w:bookmarkStart w:id="18" w:name="_Toc31189"/>
      <w:bookmarkStart w:id="19" w:name="_Toc10652"/>
      <w:bookmarkStart w:id="20" w:name="_Toc27416"/>
      <w:bookmarkStart w:id="21" w:name="_Toc5124"/>
      <w:bookmarkStart w:id="22" w:name="_Toc26389"/>
      <w:bookmarkStart w:id="23" w:name="_Toc2624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3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（四）实施素质教育，促进全面发展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着力于加强德体卫工作。坚持“育人为本、德育为先”的工作方针，配齐德育工作队伍，努力打造“学校—家庭—社会”三结合的德育工作网络。坚持校内校外并重原则，狠抓德育阵地建设，抓紧市青少年校外活动中心建设，强化阵地教育功效。全市定点学校配有符合要求的卫生心理咨询室和兼职辅导老师。积极贯彻落实中央文件精神，大力开展阳光体育运动，增强学生体质，加强校园文化建设，彰显我镇校园办学特色，提升校园文化的品味，办好校园网、校刊、专栏、标语、教室板报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加大校园周边环境的整治，创建良好的育人环境，确保教育教学工作安全、稳定、有序开展。健全教育管理制度。镇党委制定的《新田镇“防流控辍”工作方案》的出台，形成了镇、村、校齐抓共管的局面，在一定程度上减少了辍学现象。广泛宣传《义务教育法》《未成年人保护法》等法律法规，提高人民群众法律意识。切实解决贫困家庭学生，生活，学习上的困难，不让学生因贫辍学。坚持实施奖学助困措施。为鼓励青少年好学上进，让贫困学生上得起学，我镇十分重视奖学助困工作，建立以学校为主、社会筹措为辅的奖学济困机制。关注留守儿童心理健康，学校建立留了守儿童管理机制，定期联系家长，使留守儿童处于可控状态，确保其正常的学习和生活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通过以上措施，收到了良好效果，全镇中小学都形成了良好的校风、教风、学风，多年来学生违法犯罪率为零。</w:t>
      </w:r>
      <w:bookmarkStart w:id="24" w:name="_Toc17709"/>
      <w:bookmarkStart w:id="25" w:name="_Toc15639"/>
      <w:bookmarkStart w:id="26" w:name="_Toc14603"/>
      <w:bookmarkStart w:id="27" w:name="_Toc29914"/>
    </w:p>
    <w:p>
      <w:pPr>
        <w:numPr>
          <w:ilvl w:val="0"/>
          <w:numId w:val="0"/>
        </w:numPr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28" w:name="_Toc23877"/>
      <w:bookmarkStart w:id="29" w:name="_Toc10817"/>
      <w:bookmarkStart w:id="30" w:name="_Toc2754"/>
      <w:bookmarkStart w:id="31" w:name="_Toc1969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（五）统筹发展教育，完善教育体系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我镇在巩固提高义务教育水平的同时，统筹发展学前教育，成人教育，活跃社区文化，构建了学前教育、基础教育、成人教育和社区教育协调发展的国民教育体系。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规范办园行为，促进学前教育发展。我镇多渠道筹资建设中心幼儿园，配套完善保教设施设备。我镇重视对民办幼儿园的管理，规范办园行为，提升了学前教育水平。幼儿园占地面积、建筑面积、设备设施均达到规范化幼儿园要求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大力加强成人教育，促进农村经济发展，提升全民综合素质。我镇坚持全面、科学的教育发展观，在大力发展义务教育的同时，积极开展成人教育。成人文化技术学校依托人社、科协、开展实用知识技术和劳动技能培训，逐年扩大培训面，提高广大农民的文化水平和劳动就业技能，为镇村经济发展做出贡献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广泛开展社区教育，丰富群众文化生活。近年来，我镇针对不同人群需求，积极开展丰富多彩的群众性文化活动，不断提高群众的文化素养，促进学习型社会形成。一是积极开展青少年校外教育活动，组织青少年参加各种有益身心健康的活动和社会实践活动。如读书活动，图片展览。二是开展村民文化活动。在镇文化站的指导下，各村民组织开展喜闻乐见，形式多样的文艺活动。如广场舞文化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bookmarkStart w:id="32" w:name="_Toc5977"/>
      <w:bookmarkStart w:id="33" w:name="_Toc1731"/>
      <w:bookmarkStart w:id="34" w:name="_Toc16763"/>
      <w:bookmarkStart w:id="35" w:name="_Toc20912"/>
      <w:bookmarkStart w:id="36" w:name="_Toc9747"/>
      <w:bookmarkStart w:id="37" w:name="_Toc14732"/>
      <w:bookmarkStart w:id="38" w:name="_Toc21514"/>
      <w:bookmarkStart w:id="39" w:name="_Toc7895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四、存在问题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（一）财政薄弱，可支配资金有限，教育经费拨给存在问题。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（二）师资力量较发达地区存在一定差异，整体素质有待加强。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（三）现代化教学水平、学校管理制度和科研水平有待提高。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五、努力方向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（一）大力发展经济，增加财政收入，多渠道筹集资金，加大教育投入，完善教育设备设施，提高教育现代化和信息化水平。推进成人文化教育，提高农村劳动力的技能和综合素质，扩宽就业、致富门路。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（二）加大教师培训力度，坚持走科研促教，科研兴校的道路，进一步加强教师队伍建设，提高教师的整体素质。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（三）转变教育观念，学习现代教育技术。完善学校管理机制，加大管理力度，提高学校综合管理水平。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我镇认真筹划，精心组织，深化改革，全力推进教育现代化学校建设，着力改善中小学的办学条件，提高办学质量，使我镇的综合教育实力不断增强，为推进现代化教育打下了良好的基础。</w:t>
      </w:r>
    </w:p>
    <w:p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</w:t>
      </w:r>
      <w:bookmarkStart w:id="40" w:name="_Toc2586"/>
      <w:bookmarkStart w:id="41" w:name="_Toc21028"/>
      <w:bookmarkStart w:id="42" w:name="_Toc29476"/>
      <w:bookmarkStart w:id="43" w:name="_Toc30637"/>
      <w:bookmarkStart w:id="44" w:name="_Toc8532"/>
      <w:bookmarkStart w:id="45" w:name="_Toc15390"/>
      <w:bookmarkStart w:id="46" w:name="_Toc8894"/>
      <w:bookmarkStart w:id="47" w:name="_Toc28365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 六、自评结果。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对照《广东省教育强镇督导验收方案》，我们进行了认真、细致和实事求是在自查自评。自评得分：政府责任66.6分，占分值96.5%  ；教育管理与素质教育31分，占分值 100%，总分97.6，占总分值97.6%；各项必达指标全部达标。我们认为，我镇已达到“广东省教育强镇”的标准，特向省人民政府教育督导室提出复评申请，请予以督导验收。</w:t>
      </w:r>
    </w:p>
    <w:p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陆河县新田镇人民政府</w:t>
      </w:r>
    </w:p>
    <w:p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2018年3月9日</w:t>
      </w:r>
    </w:p>
    <w:p>
      <w:pPr>
        <w:numPr>
          <w:ilvl w:val="0"/>
          <w:numId w:val="0"/>
        </w:numPr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综艺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4716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B2161"/>
    <w:multiLevelType w:val="singleLevel"/>
    <w:tmpl w:val="5AAB216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B6E72"/>
    <w:rsid w:val="014726C6"/>
    <w:rsid w:val="014B5CFF"/>
    <w:rsid w:val="016D4116"/>
    <w:rsid w:val="02BA2B2A"/>
    <w:rsid w:val="033B3145"/>
    <w:rsid w:val="03D914B1"/>
    <w:rsid w:val="03DE33FD"/>
    <w:rsid w:val="04AD6E55"/>
    <w:rsid w:val="04BA158D"/>
    <w:rsid w:val="07045F25"/>
    <w:rsid w:val="07741F25"/>
    <w:rsid w:val="088201F0"/>
    <w:rsid w:val="08E3633B"/>
    <w:rsid w:val="08F265EA"/>
    <w:rsid w:val="09214B33"/>
    <w:rsid w:val="09460A08"/>
    <w:rsid w:val="09D2715E"/>
    <w:rsid w:val="0A271EA1"/>
    <w:rsid w:val="0A38615E"/>
    <w:rsid w:val="0ABB2680"/>
    <w:rsid w:val="0B442AB8"/>
    <w:rsid w:val="0B907A11"/>
    <w:rsid w:val="0BA6675F"/>
    <w:rsid w:val="0BB164B3"/>
    <w:rsid w:val="0E296DE7"/>
    <w:rsid w:val="0E784DC9"/>
    <w:rsid w:val="0EA45AD5"/>
    <w:rsid w:val="0F670B09"/>
    <w:rsid w:val="1090395D"/>
    <w:rsid w:val="10D6739E"/>
    <w:rsid w:val="10EF6309"/>
    <w:rsid w:val="122E106B"/>
    <w:rsid w:val="13227F76"/>
    <w:rsid w:val="13E80B65"/>
    <w:rsid w:val="14476449"/>
    <w:rsid w:val="14672747"/>
    <w:rsid w:val="154B02FF"/>
    <w:rsid w:val="15957058"/>
    <w:rsid w:val="15D448BE"/>
    <w:rsid w:val="1610799B"/>
    <w:rsid w:val="166950BA"/>
    <w:rsid w:val="167E4E56"/>
    <w:rsid w:val="16D63A3D"/>
    <w:rsid w:val="1787792E"/>
    <w:rsid w:val="19EC17F3"/>
    <w:rsid w:val="1ACC4C38"/>
    <w:rsid w:val="1B9603D7"/>
    <w:rsid w:val="1C3C22A8"/>
    <w:rsid w:val="1C8B70A2"/>
    <w:rsid w:val="1CDB255D"/>
    <w:rsid w:val="1DC4027D"/>
    <w:rsid w:val="1E1F06CE"/>
    <w:rsid w:val="1E52252C"/>
    <w:rsid w:val="1F1955A4"/>
    <w:rsid w:val="1F8301A7"/>
    <w:rsid w:val="20532154"/>
    <w:rsid w:val="22402652"/>
    <w:rsid w:val="226D76E7"/>
    <w:rsid w:val="22F84B7C"/>
    <w:rsid w:val="232E3852"/>
    <w:rsid w:val="23582515"/>
    <w:rsid w:val="2437207B"/>
    <w:rsid w:val="24542B5F"/>
    <w:rsid w:val="25054167"/>
    <w:rsid w:val="257A298D"/>
    <w:rsid w:val="258973ED"/>
    <w:rsid w:val="26FA456B"/>
    <w:rsid w:val="273A37E1"/>
    <w:rsid w:val="283E3C92"/>
    <w:rsid w:val="28815F58"/>
    <w:rsid w:val="28A243C1"/>
    <w:rsid w:val="28DD4ADA"/>
    <w:rsid w:val="29E125CC"/>
    <w:rsid w:val="2A937B13"/>
    <w:rsid w:val="2B8F74E9"/>
    <w:rsid w:val="2D6D1AC4"/>
    <w:rsid w:val="2D6E7545"/>
    <w:rsid w:val="2EE03CB1"/>
    <w:rsid w:val="2F545853"/>
    <w:rsid w:val="2F6F1AED"/>
    <w:rsid w:val="312009ED"/>
    <w:rsid w:val="32740F06"/>
    <w:rsid w:val="33400602"/>
    <w:rsid w:val="33A22ABB"/>
    <w:rsid w:val="3584727A"/>
    <w:rsid w:val="35C7577E"/>
    <w:rsid w:val="35D71161"/>
    <w:rsid w:val="379050A9"/>
    <w:rsid w:val="38A639DC"/>
    <w:rsid w:val="399D7875"/>
    <w:rsid w:val="3A592A70"/>
    <w:rsid w:val="3B0E1DB0"/>
    <w:rsid w:val="3D012C96"/>
    <w:rsid w:val="3D4B1A84"/>
    <w:rsid w:val="3D6C3EFE"/>
    <w:rsid w:val="3DBC3E53"/>
    <w:rsid w:val="3DC94588"/>
    <w:rsid w:val="3EA209B9"/>
    <w:rsid w:val="3EDD34E5"/>
    <w:rsid w:val="3FD45F8E"/>
    <w:rsid w:val="41325682"/>
    <w:rsid w:val="41BE5ADD"/>
    <w:rsid w:val="41F30A57"/>
    <w:rsid w:val="44502DAE"/>
    <w:rsid w:val="448D7283"/>
    <w:rsid w:val="44DB04E4"/>
    <w:rsid w:val="4542417D"/>
    <w:rsid w:val="455A3D89"/>
    <w:rsid w:val="45FE1014"/>
    <w:rsid w:val="465C02E8"/>
    <w:rsid w:val="469D3BB1"/>
    <w:rsid w:val="47E512F5"/>
    <w:rsid w:val="488F6265"/>
    <w:rsid w:val="49127989"/>
    <w:rsid w:val="49244036"/>
    <w:rsid w:val="4A5B5AE6"/>
    <w:rsid w:val="4B4F344F"/>
    <w:rsid w:val="4BF804D9"/>
    <w:rsid w:val="4C18067A"/>
    <w:rsid w:val="4C7938DC"/>
    <w:rsid w:val="4D103C2D"/>
    <w:rsid w:val="4D4D2E83"/>
    <w:rsid w:val="4DCC0F41"/>
    <w:rsid w:val="4F3A11C6"/>
    <w:rsid w:val="4F4A25EB"/>
    <w:rsid w:val="503D08C0"/>
    <w:rsid w:val="50532379"/>
    <w:rsid w:val="50FA2316"/>
    <w:rsid w:val="516E395A"/>
    <w:rsid w:val="541779FE"/>
    <w:rsid w:val="5474457E"/>
    <w:rsid w:val="548E2B4E"/>
    <w:rsid w:val="54AC6B65"/>
    <w:rsid w:val="54FE2268"/>
    <w:rsid w:val="56844DCB"/>
    <w:rsid w:val="568B779A"/>
    <w:rsid w:val="57FF3787"/>
    <w:rsid w:val="582507AA"/>
    <w:rsid w:val="583B380F"/>
    <w:rsid w:val="58E13ED5"/>
    <w:rsid w:val="598F75D9"/>
    <w:rsid w:val="5CB63D99"/>
    <w:rsid w:val="5D4D41B9"/>
    <w:rsid w:val="5D6A0179"/>
    <w:rsid w:val="5DA8192D"/>
    <w:rsid w:val="5E797FC2"/>
    <w:rsid w:val="5E8B5B0C"/>
    <w:rsid w:val="5EB1619A"/>
    <w:rsid w:val="60587F5B"/>
    <w:rsid w:val="61640B6F"/>
    <w:rsid w:val="620058E7"/>
    <w:rsid w:val="623421D9"/>
    <w:rsid w:val="623D0A12"/>
    <w:rsid w:val="624A4BD1"/>
    <w:rsid w:val="637A560B"/>
    <w:rsid w:val="63AB62AA"/>
    <w:rsid w:val="649A61AE"/>
    <w:rsid w:val="657D6978"/>
    <w:rsid w:val="65E34A4B"/>
    <w:rsid w:val="670C2619"/>
    <w:rsid w:val="67154E6C"/>
    <w:rsid w:val="6A090D15"/>
    <w:rsid w:val="6AEB19AE"/>
    <w:rsid w:val="6BBC75EF"/>
    <w:rsid w:val="6C922A30"/>
    <w:rsid w:val="6CA93A51"/>
    <w:rsid w:val="6EBF0FDF"/>
    <w:rsid w:val="6ED865B8"/>
    <w:rsid w:val="6EDD1E74"/>
    <w:rsid w:val="6EDE33CF"/>
    <w:rsid w:val="6F256B78"/>
    <w:rsid w:val="6F316C2F"/>
    <w:rsid w:val="6FB720E7"/>
    <w:rsid w:val="70F34078"/>
    <w:rsid w:val="71FF5A26"/>
    <w:rsid w:val="721F1F7B"/>
    <w:rsid w:val="72586169"/>
    <w:rsid w:val="7345260B"/>
    <w:rsid w:val="7356607A"/>
    <w:rsid w:val="7379223D"/>
    <w:rsid w:val="778656A9"/>
    <w:rsid w:val="77F96073"/>
    <w:rsid w:val="78537EB2"/>
    <w:rsid w:val="785758FF"/>
    <w:rsid w:val="786A57E1"/>
    <w:rsid w:val="787919AC"/>
    <w:rsid w:val="78F6680F"/>
    <w:rsid w:val="793F26BD"/>
    <w:rsid w:val="79934FD8"/>
    <w:rsid w:val="79D32060"/>
    <w:rsid w:val="7A1B0053"/>
    <w:rsid w:val="7AAA3889"/>
    <w:rsid w:val="7ADF74F5"/>
    <w:rsid w:val="7AF15677"/>
    <w:rsid w:val="7AFF458B"/>
    <w:rsid w:val="7CC65BDD"/>
    <w:rsid w:val="7DD564D2"/>
    <w:rsid w:val="7E1A2A2D"/>
    <w:rsid w:val="7EC22ACC"/>
    <w:rsid w:val="7EF502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6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Strong"/>
    <w:basedOn w:val="4"/>
    <w:qFormat/>
    <w:uiPriority w:val="0"/>
    <w:rPr>
      <w:b/>
      <w:bCs/>
    </w:rPr>
  </w:style>
  <w:style w:type="paragraph" w:customStyle="1" w:styleId="7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8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Words>5098</Words>
  <Characters>5176</Characters>
  <Paragraphs>65</Paragraphs>
  <ScaleCrop>false</ScaleCrop>
  <LinksUpToDate>false</LinksUpToDate>
  <CharactersWithSpaces>5355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2018-03-08T09:46:00Z</dcterms:created>
  <dc:creator>Administrator</dc:creator>
  <cp:lastModifiedBy>15</cp:lastModifiedBy>
  <cp:lastPrinted>2018-03-08T07:35:00Z</cp:lastPrinted>
  <dcterms:modified xsi:type="dcterms:W3CDTF">2018-03-19T00:42:12Z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