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方正大标宋简体" w:hAnsi="方正大标宋简体" w:eastAsia="方正大标宋简体" w:cs="方正大标宋简体"/>
          <w:b w:val="0"/>
          <w:bCs/>
          <w:color w:val="auto"/>
          <w:sz w:val="72"/>
          <w:szCs w:val="72"/>
        </w:rPr>
      </w:pPr>
    </w:p>
    <w:p>
      <w:pPr>
        <w:jc w:val="center"/>
        <w:rPr>
          <w:rFonts w:hint="eastAsia" w:ascii="方正大标宋简体" w:hAnsi="方正大标宋简体" w:eastAsia="方正大标宋简体" w:cs="方正大标宋简体"/>
          <w:b w:val="0"/>
          <w:bCs/>
          <w:color w:val="auto"/>
          <w:sz w:val="72"/>
          <w:szCs w:val="72"/>
        </w:rPr>
      </w:pPr>
      <w:r>
        <w:rPr>
          <w:rFonts w:hint="eastAsia" w:ascii="方正大标宋简体" w:hAnsi="方正大标宋简体" w:eastAsia="方正大标宋简体" w:cs="方正大标宋简体"/>
          <w:b w:val="0"/>
          <w:bCs/>
          <w:color w:val="auto"/>
          <w:sz w:val="72"/>
          <w:szCs w:val="72"/>
        </w:rPr>
        <w:t>绿色前行，不忘初心</w:t>
      </w:r>
    </w:p>
    <w:p>
      <w:pPr>
        <w:jc w:val="center"/>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eastAsia="zh-CN"/>
        </w:rPr>
        <w:t>陆河县</w:t>
      </w:r>
      <w:r>
        <w:rPr>
          <w:rFonts w:hint="eastAsia" w:ascii="仿宋_GB2312" w:hAnsi="仿宋_GB2312" w:eastAsia="仿宋_GB2312" w:cs="仿宋_GB2312"/>
          <w:b w:val="0"/>
          <w:bCs/>
          <w:color w:val="auto"/>
          <w:sz w:val="32"/>
          <w:szCs w:val="32"/>
        </w:rPr>
        <w:t>南万镇教育强镇复评自评报告</w:t>
      </w:r>
    </w:p>
    <w:p>
      <w:pPr>
        <w:ind w:firstLine="640" w:firstLineChars="200"/>
        <w:jc w:val="center"/>
        <w:rPr>
          <w:rFonts w:hint="eastAsia" w:ascii="仿宋" w:hAnsi="仿宋" w:eastAsia="仿宋"/>
          <w:b w:val="0"/>
          <w:bCs/>
          <w:color w:val="auto"/>
          <w:sz w:val="32"/>
          <w:szCs w:val="32"/>
        </w:rPr>
      </w:pPr>
    </w:p>
    <w:p>
      <w:pPr>
        <w:ind w:firstLine="640" w:firstLineChars="200"/>
        <w:jc w:val="center"/>
        <w:rPr>
          <w:rFonts w:hint="eastAsia" w:ascii="仿宋" w:hAnsi="仿宋" w:eastAsia="仿宋"/>
          <w:b w:val="0"/>
          <w:bCs/>
          <w:color w:val="auto"/>
          <w:sz w:val="32"/>
          <w:szCs w:val="32"/>
        </w:rPr>
      </w:pPr>
    </w:p>
    <w:p>
      <w:pPr>
        <w:ind w:firstLine="640" w:firstLineChars="200"/>
        <w:jc w:val="center"/>
        <w:rPr>
          <w:rFonts w:hint="eastAsia" w:ascii="仿宋" w:hAnsi="仿宋" w:eastAsia="仿宋"/>
          <w:b w:val="0"/>
          <w:bCs/>
          <w:color w:val="auto"/>
          <w:sz w:val="32"/>
          <w:szCs w:val="32"/>
        </w:rPr>
      </w:pPr>
    </w:p>
    <w:p>
      <w:pPr>
        <w:ind w:firstLine="640" w:firstLineChars="200"/>
        <w:jc w:val="center"/>
        <w:rPr>
          <w:rFonts w:hint="eastAsia" w:ascii="仿宋" w:hAnsi="仿宋" w:eastAsia="仿宋"/>
          <w:b w:val="0"/>
          <w:bCs/>
          <w:color w:val="auto"/>
          <w:sz w:val="32"/>
          <w:szCs w:val="32"/>
        </w:rPr>
      </w:pPr>
    </w:p>
    <w:p>
      <w:pPr>
        <w:ind w:firstLine="640" w:firstLineChars="200"/>
        <w:jc w:val="center"/>
        <w:rPr>
          <w:rFonts w:hint="eastAsia" w:ascii="仿宋" w:hAnsi="仿宋" w:eastAsia="仿宋"/>
          <w:b w:val="0"/>
          <w:bCs/>
          <w:color w:val="auto"/>
          <w:sz w:val="32"/>
          <w:szCs w:val="32"/>
        </w:rPr>
      </w:pPr>
    </w:p>
    <w:p>
      <w:pPr>
        <w:ind w:firstLine="640" w:firstLineChars="200"/>
        <w:jc w:val="center"/>
        <w:rPr>
          <w:rFonts w:hint="eastAsia" w:ascii="仿宋" w:hAnsi="仿宋" w:eastAsia="仿宋"/>
          <w:b w:val="0"/>
          <w:bCs/>
          <w:color w:val="auto"/>
          <w:sz w:val="32"/>
          <w:szCs w:val="32"/>
        </w:rPr>
      </w:pPr>
    </w:p>
    <w:p>
      <w:pPr>
        <w:ind w:firstLine="640" w:firstLineChars="200"/>
        <w:jc w:val="center"/>
        <w:rPr>
          <w:rFonts w:hint="eastAsia" w:ascii="仿宋" w:hAnsi="仿宋" w:eastAsia="仿宋"/>
          <w:b w:val="0"/>
          <w:bCs/>
          <w:color w:val="auto"/>
          <w:sz w:val="32"/>
          <w:szCs w:val="32"/>
        </w:rPr>
      </w:pPr>
    </w:p>
    <w:p>
      <w:pPr>
        <w:ind w:firstLine="640" w:firstLineChars="200"/>
        <w:jc w:val="center"/>
        <w:rPr>
          <w:rFonts w:hint="eastAsia" w:ascii="仿宋" w:hAnsi="仿宋" w:eastAsia="仿宋"/>
          <w:b w:val="0"/>
          <w:bCs/>
          <w:color w:val="auto"/>
          <w:sz w:val="32"/>
          <w:szCs w:val="32"/>
        </w:rPr>
      </w:pPr>
    </w:p>
    <w:p>
      <w:pPr>
        <w:ind w:firstLine="640" w:firstLineChars="200"/>
        <w:jc w:val="center"/>
        <w:rPr>
          <w:rFonts w:hint="eastAsia" w:ascii="仿宋" w:hAnsi="仿宋" w:eastAsia="仿宋"/>
          <w:b w:val="0"/>
          <w:bCs/>
          <w:color w:val="auto"/>
          <w:sz w:val="32"/>
          <w:szCs w:val="32"/>
        </w:rPr>
      </w:pPr>
    </w:p>
    <w:p>
      <w:pPr>
        <w:ind w:firstLine="640" w:firstLineChars="200"/>
        <w:jc w:val="center"/>
        <w:rPr>
          <w:rFonts w:hint="eastAsia" w:ascii="仿宋" w:hAnsi="仿宋" w:eastAsia="仿宋"/>
          <w:b w:val="0"/>
          <w:bCs/>
          <w:color w:val="auto"/>
          <w:sz w:val="32"/>
          <w:szCs w:val="32"/>
        </w:rPr>
      </w:pPr>
    </w:p>
    <w:p>
      <w:pPr>
        <w:ind w:firstLine="640" w:firstLineChars="200"/>
        <w:jc w:val="center"/>
        <w:rPr>
          <w:rFonts w:hint="eastAsia" w:ascii="仿宋" w:hAnsi="仿宋" w:eastAsia="仿宋"/>
          <w:b w:val="0"/>
          <w:bCs/>
          <w:color w:val="auto"/>
          <w:sz w:val="32"/>
          <w:szCs w:val="32"/>
        </w:rPr>
      </w:pPr>
    </w:p>
    <w:p>
      <w:pPr>
        <w:ind w:firstLine="640" w:firstLineChars="200"/>
        <w:jc w:val="center"/>
        <w:rPr>
          <w:rFonts w:hint="eastAsia" w:ascii="仿宋" w:hAnsi="仿宋" w:eastAsia="仿宋"/>
          <w:b w:val="0"/>
          <w:bCs/>
          <w:color w:val="auto"/>
          <w:sz w:val="32"/>
          <w:szCs w:val="32"/>
        </w:rPr>
      </w:pPr>
    </w:p>
    <w:p>
      <w:pPr>
        <w:ind w:firstLine="640" w:firstLineChars="200"/>
        <w:jc w:val="center"/>
        <w:rPr>
          <w:rFonts w:hint="eastAsia" w:ascii="仿宋" w:hAnsi="仿宋" w:eastAsia="仿宋"/>
          <w:b w:val="0"/>
          <w:bCs/>
          <w:color w:val="auto"/>
          <w:sz w:val="32"/>
          <w:szCs w:val="32"/>
        </w:rPr>
      </w:pPr>
    </w:p>
    <w:p>
      <w:pPr>
        <w:ind w:firstLine="640" w:firstLineChars="200"/>
        <w:jc w:val="center"/>
        <w:rPr>
          <w:rFonts w:hint="eastAsia" w:asciiTheme="minorEastAsia" w:hAnsiTheme="minorEastAsia" w:eastAsiaTheme="minorEastAsia" w:cstheme="minorEastAsia"/>
          <w:b w:val="0"/>
          <w:bCs/>
          <w:color w:val="auto"/>
          <w:sz w:val="32"/>
          <w:szCs w:val="32"/>
        </w:rPr>
      </w:pPr>
      <w:r>
        <w:rPr>
          <w:rFonts w:hint="eastAsia" w:asciiTheme="minorEastAsia" w:hAnsiTheme="minorEastAsia" w:eastAsiaTheme="minorEastAsia" w:cstheme="minorEastAsia"/>
          <w:b w:val="0"/>
          <w:bCs/>
          <w:color w:val="auto"/>
          <w:sz w:val="32"/>
          <w:szCs w:val="32"/>
        </w:rPr>
        <w:t>陆河县南万镇人民政府</w:t>
      </w:r>
    </w:p>
    <w:p>
      <w:pPr>
        <w:ind w:firstLine="640" w:firstLineChars="200"/>
        <w:jc w:val="center"/>
        <w:rPr>
          <w:rFonts w:hint="eastAsia" w:asciiTheme="minorEastAsia" w:hAnsiTheme="minorEastAsia" w:eastAsiaTheme="minorEastAsia" w:cstheme="minorEastAsia"/>
          <w:b w:val="0"/>
          <w:bCs/>
          <w:color w:val="auto"/>
          <w:sz w:val="32"/>
          <w:szCs w:val="32"/>
        </w:rPr>
      </w:pPr>
      <w:r>
        <w:rPr>
          <w:rFonts w:hint="eastAsia" w:asciiTheme="minorEastAsia" w:hAnsiTheme="minorEastAsia" w:eastAsiaTheme="minorEastAsia" w:cstheme="minorEastAsia"/>
          <w:b w:val="0"/>
          <w:bCs/>
          <w:color w:val="auto"/>
          <w:sz w:val="32"/>
          <w:szCs w:val="32"/>
        </w:rPr>
        <w:t>二○一八年三月</w:t>
      </w:r>
    </w:p>
    <w:p>
      <w:pPr>
        <w:rPr>
          <w:b w:val="0"/>
          <w:bCs/>
          <w:color w:val="auto"/>
        </w:rPr>
      </w:pPr>
    </w:p>
    <w:p>
      <w:pPr>
        <w:jc w:val="center"/>
        <w:rPr>
          <w:rFonts w:hint="eastAsia" w:asciiTheme="majorEastAsia" w:hAnsiTheme="majorEastAsia" w:eastAsiaTheme="majorEastAsia"/>
          <w:b w:val="0"/>
          <w:bCs/>
          <w:color w:val="auto"/>
          <w:sz w:val="52"/>
          <w:szCs w:val="52"/>
        </w:rPr>
      </w:pP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2013年6月，南万镇顺利通过省教育强镇督导验收。五年来，镇党委、政府继续把教育事业作为工作重点，不忘初心，以教育强镇为起点，紧跟教育形势，结合本地区位优势，突出绿色生态特色，进一步加大对教育的投入，不断促进教育事业的发展。根据广东省人民政府教育督导室《关于做好教育强镇复评工作的通知》（粤府教督函[2017]23号）要求，我镇成立了以镇党委书记为组长的教育强镇复评工作领导小组，制订了《陆河县</w:t>
      </w:r>
      <w:r>
        <w:rPr>
          <w:rFonts w:hint="eastAsia" w:ascii="仿宋_GB2312" w:hAnsi="仿宋_GB2312" w:eastAsia="仿宋_GB2312" w:cs="仿宋_GB2312"/>
          <w:b w:val="0"/>
          <w:bCs/>
          <w:color w:val="auto"/>
          <w:sz w:val="32"/>
          <w:szCs w:val="32"/>
          <w:lang w:eastAsia="zh-CN"/>
        </w:rPr>
        <w:t>南万</w:t>
      </w:r>
      <w:r>
        <w:rPr>
          <w:rFonts w:hint="eastAsia" w:ascii="仿宋_GB2312" w:hAnsi="仿宋_GB2312" w:eastAsia="仿宋_GB2312" w:cs="仿宋_GB2312"/>
          <w:b w:val="0"/>
          <w:bCs/>
          <w:color w:val="auto"/>
          <w:sz w:val="32"/>
          <w:szCs w:val="32"/>
        </w:rPr>
        <w:t>镇教育强镇复评工作实施方案》。现对照省督导验收工作组提出的整改意见及《广东省教育强镇（乡、街道）督导验收方案（修订）》各项指标体系，就我镇申报广东省教育强镇复评工作自评报告如下。</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jc w:val="left"/>
        <w:textAlignment w:val="auto"/>
        <w:outlineLvl w:val="9"/>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一、基本情况</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南万镇位于汕尾市陆河县西北部的高寒山区，海拔在400～800米之间，距县城21公里，毗邻河源市紫金、梅州市五华两县。辖区面积109平方公里，下辖14个村委会，总人口1.4万人。南万镇交通道路九曲回环，素有“汕尾西伯利亚”和“九山半水半分田”之称，与全县相比，经济较为落后，但境内山清水秀、风景宜人、生态环境良好，陆（河）紫（金）公路（县道X123）贯穿全境，是广东省首批生态文明示范镇之一。</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镇内有省级红锥林保护区、汕尾市南告电厂、红椎林生态公园、神象山公园以及市级大鲵自然保护区、花鳗鲡自然保护区等省、市级单位。当地旅游资源丰富，南告水库库容近8千万立方米，碧波荡漾，库区四周山林茂盛，被称为“南天湖”；水库边上的“神象山”，酷似一头大象，神清气闲地吸着湖水，近30米高的观音坐像屹立在神象山上，是陆河八景之一“神象映湖”； 8万多亩红椎树天然林终年苍翠欲滴，是汕尾八景之“南万椎涛”；散落在山间的古老村落民居，还有古大存等老一辈革命先驱生活过的万西岳坑祠革命老区。如画的山光水色，旖旎的田园风光，丰富的客家文化，构成了南万特有的山区自然人文景观。白叶单丛茶、美人芋丝、客家黄酒、咸菜、蜂蜜、菜干等特色农业产品远近闻名，深受消费者的喜爱。水力发电是南万镇的支柱产业之一，已建成小水电站19座，总装机容量近1万千瓦，年发电量2000万千瓦时，产值800多万元。</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南万镇民风淳朴、人杰地灵，尊师重教、崇文尚学。历届党委、政府高度重视教育事业。现在，南万镇精准把握区位优势，充分利用本地绿色资源，带领全镇群众打造“花海山城”，大力展旅游产业。以经济促进教育，以教育提升品位，积极推进特色学校建设，突出绿色生态主题。</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目前，我镇有1所九年一贯制学校，1个教学点，1所成人文化技术学校，1所中心幼儿园；在园幼儿58人，在校学生302人，在职教职工60人。</w:t>
      </w:r>
    </w:p>
    <w:p>
      <w:pPr>
        <w:keepNext w:val="0"/>
        <w:keepLines w:val="0"/>
        <w:pageBreakBefore w:val="0"/>
        <w:widowControl w:val="0"/>
        <w:numPr>
          <w:ilvl w:val="0"/>
          <w:numId w:val="1"/>
        </w:numPr>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黑体" w:hAnsi="黑体" w:eastAsia="黑体" w:cs="黑体"/>
          <w:b w:val="0"/>
          <w:bCs/>
          <w:color w:val="auto"/>
          <w:sz w:val="32"/>
          <w:szCs w:val="32"/>
          <w:lang w:eastAsia="zh-CN"/>
        </w:rPr>
      </w:pPr>
      <w:r>
        <w:rPr>
          <w:rFonts w:hint="eastAsia" w:ascii="黑体" w:hAnsi="黑体" w:eastAsia="黑体" w:cs="黑体"/>
          <w:b w:val="0"/>
          <w:bCs/>
          <w:color w:val="auto"/>
          <w:sz w:val="32"/>
          <w:szCs w:val="32"/>
          <w:lang w:eastAsia="zh-CN"/>
        </w:rPr>
        <w:t>整改情况</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30" w:firstLineChars="196"/>
        <w:textAlignment w:val="auto"/>
        <w:rPr>
          <w:rFonts w:hint="eastAsia" w:ascii="楷体_GB2312" w:hAnsi="华文仿宋" w:eastAsia="楷体_GB2312"/>
          <w:b/>
          <w:bCs w:val="0"/>
          <w:color w:val="auto"/>
          <w:sz w:val="32"/>
          <w:szCs w:val="32"/>
        </w:rPr>
      </w:pPr>
      <w:r>
        <w:rPr>
          <w:rFonts w:hint="eastAsia" w:ascii="楷体_GB2312" w:hAnsi="华文仿宋" w:eastAsia="楷体_GB2312"/>
          <w:b/>
          <w:bCs w:val="0"/>
          <w:color w:val="auto"/>
          <w:sz w:val="32"/>
          <w:szCs w:val="32"/>
        </w:rPr>
        <w:t>（一）加大投入，不断完善办学条件。</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1、</w:t>
      </w:r>
      <w:r>
        <w:rPr>
          <w:rFonts w:hint="eastAsia" w:ascii="仿宋_GB2312" w:hAnsi="仿宋_GB2312" w:eastAsia="仿宋_GB2312" w:cs="仿宋_GB2312"/>
          <w:b w:val="0"/>
          <w:bCs/>
          <w:color w:val="auto"/>
          <w:sz w:val="32"/>
          <w:szCs w:val="32"/>
        </w:rPr>
        <w:t>进一步加大财政投入。在义务教育“以县为主”的基础上，镇政府多方筹集资金，加大教育投入。2014年至2017年，我镇发展教育事业经费投入分别为33万元、35万元、42万元、48万元；不断改善中心幼儿园的办园条件，2015年投入1.5万元，2016年投入2.1万元，2017年投入3万元，为进一步办好中心幼儿园，提高学前教育水平提供了经费保障；生均教育经费逐年增长，生均公用经费分别为2390元、2500元、2800元、3200元，年均增长10.3%；教师月收入、年均收入逐年增长：2014年至2016年，教师年均收入依次为33000元、38000元、40000元、42000元，年均增长率达8.6%。教师医疗保险、住房公积金等福利待遇实现逐年增长。</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华文仿宋" w:eastAsia="仿宋_GB2312"/>
          <w:b w:val="0"/>
          <w:bCs/>
          <w:color w:val="FF0000"/>
          <w:sz w:val="32"/>
          <w:szCs w:val="32"/>
        </w:rPr>
      </w:pPr>
      <w:r>
        <w:rPr>
          <w:rFonts w:hint="eastAsia" w:ascii="仿宋_GB2312" w:hAnsi="仿宋_GB2312" w:eastAsia="仿宋_GB2312" w:cs="仿宋_GB2312"/>
          <w:b w:val="0"/>
          <w:bCs/>
          <w:color w:val="auto"/>
          <w:sz w:val="32"/>
          <w:szCs w:val="32"/>
          <w:lang w:val="en-US" w:eastAsia="zh-CN"/>
        </w:rPr>
        <w:t>2、</w:t>
      </w:r>
      <w:r>
        <w:rPr>
          <w:rFonts w:hint="eastAsia" w:ascii="仿宋_GB2312" w:hAnsi="仿宋_GB2312" w:eastAsia="仿宋_GB2312" w:cs="仿宋_GB2312"/>
          <w:b w:val="0"/>
          <w:bCs/>
          <w:color w:val="auto"/>
          <w:sz w:val="32"/>
          <w:szCs w:val="32"/>
        </w:rPr>
        <w:t>加大社会筹资。我镇重视南万中学社会贤达、历届校友对家乡建设、学校教育的关心和支持，发挥各界力量办好教育事业是镇党政领导一贯的工作主张。团镇委积极联系各界慈善帮扶单位或个人，捐资捐物；历界校友也利用同学会的契机，为我镇教育事业的发展出一份力。如，2014年10月，香港儒释道功德会给我校捐赠了10台电脑，4800元图书，并资助了一批生活困难的学生；2015年，2000届校友捐资2万多元，建设了12平方米的室外电子显示屏；2016年10月，84届校友会捐资1.2万元，为南万中学校本部装备了一批急需的多媒体设备；2018年春节，95届、98届同学会为学校捐资捐物……滴水成涓，涓流成海。众人拾柴火焰高，社会热心人士对我镇教育事业支持，有力地促进了我镇教育事业的发展。</w:t>
      </w:r>
    </w:p>
    <w:p>
      <w:pPr>
        <w:keepNext w:val="0"/>
        <w:keepLines w:val="0"/>
        <w:pageBreakBefore w:val="0"/>
        <w:widowControl w:val="0"/>
        <w:numPr>
          <w:ilvl w:val="0"/>
          <w:numId w:val="2"/>
        </w:numPr>
        <w:kinsoku/>
        <w:wordWrap/>
        <w:overflowPunct/>
        <w:topLinePunct w:val="0"/>
        <w:autoSpaceDE/>
        <w:autoSpaceDN/>
        <w:bidi w:val="0"/>
        <w:adjustRightInd/>
        <w:snapToGrid/>
        <w:spacing w:after="0" w:line="500" w:lineRule="exact"/>
        <w:ind w:left="0" w:leftChars="0" w:right="0" w:rightChars="0" w:firstLine="643" w:firstLineChars="200"/>
        <w:textAlignment w:val="auto"/>
        <w:rPr>
          <w:rFonts w:hint="eastAsia" w:ascii="楷体_GB2312" w:eastAsia="楷体_GB2312"/>
          <w:b/>
          <w:bCs w:val="0"/>
          <w:color w:val="auto"/>
          <w:sz w:val="32"/>
          <w:szCs w:val="32"/>
        </w:rPr>
      </w:pPr>
      <w:r>
        <w:rPr>
          <w:rFonts w:hint="eastAsia" w:ascii="楷体_GB2312" w:eastAsia="楷体_GB2312"/>
          <w:b/>
          <w:bCs w:val="0"/>
          <w:color w:val="auto"/>
          <w:sz w:val="32"/>
          <w:szCs w:val="32"/>
        </w:rPr>
        <w:t>深化内涵发展，提升教育综合实力。</w:t>
      </w:r>
    </w:p>
    <w:p>
      <w:pPr>
        <w:keepNext w:val="0"/>
        <w:keepLines w:val="0"/>
        <w:pageBreakBefore w:val="0"/>
        <w:widowControl w:val="0"/>
        <w:numPr>
          <w:ilvl w:val="0"/>
          <w:numId w:val="3"/>
        </w:numPr>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制订发展规划，促进科学发展。结合我镇经济、社会及人口发展的趋势，制订了《南万镇教育事业发展“十三五”规划》，对教育</w:t>
      </w:r>
      <w:r>
        <w:rPr>
          <w:rFonts w:hint="eastAsia" w:ascii="仿宋_GB2312" w:hAnsi="仿宋_GB2312" w:eastAsia="仿宋_GB2312" w:cs="仿宋_GB2312"/>
          <w:b w:val="0"/>
          <w:bCs/>
          <w:color w:val="auto"/>
          <w:sz w:val="32"/>
          <w:szCs w:val="32"/>
          <w:lang w:eastAsia="zh-CN"/>
        </w:rPr>
        <w:t>师资</w:t>
      </w:r>
      <w:r>
        <w:rPr>
          <w:rFonts w:hint="eastAsia" w:ascii="仿宋_GB2312" w:hAnsi="仿宋_GB2312" w:eastAsia="仿宋_GB2312" w:cs="仿宋_GB2312"/>
          <w:b w:val="0"/>
          <w:bCs/>
          <w:color w:val="auto"/>
          <w:sz w:val="32"/>
          <w:szCs w:val="32"/>
        </w:rPr>
        <w:t>配置、招生规划、硬件设施、师资建设等方面提出了一系列具体的指标及相应的措施，引领我镇教育事业朝着均衡、规范、有效、优质的道路上发展。</w:t>
      </w:r>
    </w:p>
    <w:p>
      <w:pPr>
        <w:keepNext w:val="0"/>
        <w:keepLines w:val="0"/>
        <w:pageBreakBefore w:val="0"/>
        <w:widowControl w:val="0"/>
        <w:numPr>
          <w:ilvl w:val="0"/>
          <w:numId w:val="3"/>
        </w:numPr>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抓好继续教育，提高教师素质</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我镇狠抓教师的职业道德建设和继续教育工作。一是开展以“三爱”为主要内容的师德师风教育活动。严格要求全体教师履行岗位职责，爱岗敬业，教书育人。二是鼓励、支持教师参加函授、自考和远程教育等多种形式的学历进修，提高学历层次。全镇教师学历合格率100%，其中本科以上学历占18.3%；三是加强教师的在职培训。在培训教师方面，我镇年均投入资金3万元，采取“请进来，走出去”的方法，聘请教育专家到学校讲学，组织教师外出学习、培训，开拓视野。我们注重教师现代教育技术的培训，全镇45周岁以下的教师能够掌握计算机网络使用和多媒体教学技能。加大幼儿教师的培训力度，进一步规范幼儿园的办园行为，不断提高学前教育水平。</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eastAsia="仿宋_GB2312"/>
          <w:b w:val="0"/>
          <w:bCs/>
          <w:color w:val="FF0000"/>
          <w:sz w:val="32"/>
          <w:szCs w:val="32"/>
        </w:rPr>
      </w:pPr>
      <w:r>
        <w:rPr>
          <w:rFonts w:hint="eastAsia" w:ascii="仿宋_GB2312" w:hAnsi="仿宋_GB2312" w:eastAsia="仿宋_GB2312" w:cs="仿宋_GB2312"/>
          <w:b w:val="0"/>
          <w:bCs/>
          <w:color w:val="auto"/>
          <w:sz w:val="32"/>
          <w:szCs w:val="32"/>
          <w:lang w:val="en-US" w:eastAsia="zh-CN"/>
        </w:rPr>
        <w:t>3、</w:t>
      </w:r>
      <w:r>
        <w:rPr>
          <w:rFonts w:hint="eastAsia" w:ascii="仿宋_GB2312" w:hAnsi="仿宋_GB2312" w:eastAsia="仿宋_GB2312" w:cs="仿宋_GB2312"/>
          <w:b w:val="0"/>
          <w:bCs/>
          <w:color w:val="auto"/>
          <w:sz w:val="32"/>
          <w:szCs w:val="32"/>
        </w:rPr>
        <w:t>增强办园水平</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发展幼儿教育。为落实省《关于加快农村学前教育发展的意见》文件精神，加强学前教育，继续完善中心幼儿园的建设，五年来，共投入资金110万 元，安装了监控，充实了图书，购置了一批幼儿学习和玩乐设备设施，并保证足额的资金用以日常修缮。加快师资队伍建设，提高幼儿教师学历水平，进一步加强师资力量的培训，不断增强办园水平。从硬件和软件两方面着手，使中心幼儿园办园水平与“县一级幼儿园”相匹配。</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三、主要</w:t>
      </w:r>
      <w:r>
        <w:rPr>
          <w:rFonts w:hint="eastAsia" w:ascii="黑体" w:hAnsi="黑体" w:eastAsia="黑体" w:cs="黑体"/>
          <w:b w:val="0"/>
          <w:bCs/>
          <w:color w:val="auto"/>
          <w:sz w:val="32"/>
          <w:szCs w:val="32"/>
          <w:lang w:eastAsia="zh-CN"/>
        </w:rPr>
        <w:t>做法</w:t>
      </w:r>
      <w:r>
        <w:rPr>
          <w:rFonts w:hint="eastAsia" w:ascii="黑体" w:hAnsi="黑体" w:eastAsia="黑体" w:cs="黑体"/>
          <w:b w:val="0"/>
          <w:bCs/>
          <w:color w:val="auto"/>
          <w:sz w:val="32"/>
          <w:szCs w:val="32"/>
        </w:rPr>
        <w:t>和</w:t>
      </w:r>
      <w:r>
        <w:rPr>
          <w:rFonts w:hint="eastAsia" w:ascii="黑体" w:hAnsi="黑体" w:eastAsia="黑体" w:cs="黑体"/>
          <w:b w:val="0"/>
          <w:bCs/>
          <w:color w:val="auto"/>
          <w:sz w:val="32"/>
          <w:szCs w:val="32"/>
          <w:lang w:eastAsia="zh-CN"/>
        </w:rPr>
        <w:t>工作</w:t>
      </w:r>
      <w:r>
        <w:rPr>
          <w:rFonts w:hint="eastAsia" w:ascii="黑体" w:hAnsi="黑体" w:eastAsia="黑体" w:cs="黑体"/>
          <w:b w:val="0"/>
          <w:bCs/>
          <w:color w:val="auto"/>
          <w:sz w:val="32"/>
          <w:szCs w:val="32"/>
        </w:rPr>
        <w:t>成效</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3" w:firstLineChars="200"/>
        <w:textAlignment w:val="auto"/>
        <w:outlineLvl w:val="9"/>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（一）以科学发展观为引领，深入推进“科教兴镇”战略</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1、</w:t>
      </w:r>
      <w:r>
        <w:rPr>
          <w:rFonts w:hint="eastAsia" w:ascii="仿宋_GB2312" w:hAnsi="仿宋_GB2312" w:eastAsia="仿宋_GB2312" w:cs="仿宋_GB2312"/>
          <w:b w:val="0"/>
          <w:bCs/>
          <w:color w:val="auto"/>
          <w:sz w:val="32"/>
          <w:szCs w:val="32"/>
        </w:rPr>
        <w:t>加强依法办学观念，着力解决教育问题。我镇按照“以县为主，乡镇政府相应承担义务教育办学责任”的办学体制要求，认真贯彻执行党和国家的教育方针、《教育法》、《教师法》等政策和法律法规，依法履行教育管理职能。进一步完善联席会议制度，定期召开党政、学校、村委联席会议，研究和学习《中国教育改革和发展纲要》、《中共中央国务院关于深化教育改革，全面推进素质教育的决定》等文件及有关会议精神，以教育强镇为起点，着力解决我镇教育工作存在的问题。五年来，我镇重点研究后创强时代教育事业发展瓶颈问题，如生源减少、留守儿童、学校规范化建设、师资稳定、校园安全、食品安全等问题，并对照检查，逐一落实解决。</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2、</w:t>
      </w:r>
      <w:r>
        <w:rPr>
          <w:rFonts w:hint="eastAsia" w:ascii="仿宋_GB2312" w:hAnsi="仿宋_GB2312" w:eastAsia="仿宋_GB2312" w:cs="仿宋_GB2312"/>
          <w:b w:val="0"/>
          <w:bCs/>
          <w:color w:val="auto"/>
          <w:sz w:val="32"/>
          <w:szCs w:val="32"/>
        </w:rPr>
        <w:t>加强教育工作宣传，充分展示教育动态和教育成果。我镇改变以往教育工作闭门造车的做法，扩大了宣传。近年来，我镇常住人口不断外迁，生源进一步减少。这个现实存在的迫切问题，既削弱了学校的正常发展，又影响了师资队伍的稳定。为了取得群众对教育工作的支持，重拾对南万教育的信心，我们改变了宣传工作方式。一是强化和教育部门的工作联系，统一学校教育工作的信息发布。除采用标语、横幅、宣传栏、电视广播、流动宣传车等形式外，还充分利用室外电子显示屏、网络、社交软件等自媒体，向群众积极宣传上级有关教育政策法规，动态播送学校日常教育活动，使群众能随时了解我镇教育工作的现状。二是利用节庆日，举办主题文体活动，积极凸现学校教育特色，如，六一儿童节，学校举办别开生面的游园活动，邀请家长与师生互动；十一国庆节，举办“青春风彩”主题演讲活动；每年元旦期间，在镇文体中心举办全校师生包括中心幼儿园小朋友参演的大型文体汇演活动，已成为我镇标志性的文化特色。以各种学校活动为平台，向全镇群众群众充分展示教育强镇验收以来学校所取得的各项教育成果。</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3、</w:t>
      </w:r>
      <w:r>
        <w:rPr>
          <w:rFonts w:hint="eastAsia" w:ascii="仿宋_GB2312" w:hAnsi="仿宋_GB2312" w:eastAsia="仿宋_GB2312" w:cs="仿宋_GB2312"/>
          <w:b w:val="0"/>
          <w:bCs/>
          <w:color w:val="auto"/>
          <w:sz w:val="32"/>
          <w:szCs w:val="32"/>
        </w:rPr>
        <w:t>深入社会调研，密切关注教育动态。镇党政主要领导经常深入农村、学校调研，时刻关注教育，及时为学校、教师、学生排忧解难，坚持为学校办好事、办实事。镇党政领导班子牢固树立“科教兴镇”的发展观，把发展教育事业作为社会工程和民心工程列入镇的经济社会发展规划。</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3" w:firstLineChars="200"/>
        <w:textAlignment w:val="auto"/>
        <w:outlineLvl w:val="9"/>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（二）继续加大教育投入，改善办学条件</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由于受地理位置和自然条件的制约，我镇经济基础较差，镇、村两级集体经济收入十分薄弱，人民群众的生活水平普遍低下。面对困境，我们没有退缩，迎难而上，认真履行政府职责，提出了“党以重教为先，政以兴教为责，民以支教为乐，商以助教为善，师以从教为荣”的口号，调整财政开支结构，拓宽经费来源，广泛调动乡贤社会各界人士的积极性，多方筹资，千方百计加大教育投入。同时，充分发挥各单位、部门和村委的职能作用，实施“防流控辍”，创建平安校园，全镇形成了齐抓共管，人人支持教育的良好局面。</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3" w:firstLineChars="200"/>
        <w:textAlignment w:val="auto"/>
        <w:outlineLvl w:val="9"/>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lang w:eastAsia="zh-CN"/>
        </w:rPr>
        <w:t>（三）</w:t>
      </w:r>
      <w:r>
        <w:rPr>
          <w:rFonts w:hint="eastAsia" w:ascii="仿宋_GB2312" w:hAnsi="仿宋_GB2312" w:eastAsia="仿宋_GB2312" w:cs="仿宋_GB2312"/>
          <w:b/>
          <w:bCs w:val="0"/>
          <w:color w:val="auto"/>
          <w:sz w:val="32"/>
          <w:szCs w:val="32"/>
        </w:rPr>
        <w:t>坚持“防流控辍”，巩固“普九”成果</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 xml:space="preserve">五年来，我们进一步巩固了“普九”成果，防流控辍工作取得明显成效。一是强化政府职责。我镇制订了《南万镇“防流控辍”工作措施》，层层落实责任，把防流控辍工作作为各级一项年度考核指标。二是在全社会营造尊师重教氛围。采取宣传栏、横幅标语、镇村干部会议、学生家长会、校会、班会等各种形式，大力宣传《义务教育法》、《教师法》、《未成年人保护法》等法律法规，切实提高人民群众“普九”、“普高”自觉性。同时，大力营造尊师重教、崇文尚学的良好社会氛围，让教师乐于教、学生喜于学，为学生创造一个积极向上的学习环境。三是帮扶学困生。学校引导教师树立“转化一个学困生与培养一个优秀生同等重要”的思想，开展一对一的帮教活动，努力做好学困生的教育转化工作，防止他们辍学。全面实施素质教育，优化课堂教学，全面更新教育理念，充分调动学生学习的兴趣和积极性，切实有效地提高教育教学质量；组织开展第二课堂活动，促进学生全面发展，让学生进得来、留得住、学得好。四是关爱“留守学生”。我镇是劳务输出较多的乡镇，留守学生问题相对突出，做好留守学生工作是防流控辍是否成功的关键性工作。为此，学校建立留守学生管理机制，实行结对帮扶、建立家校联系信息卡，确保家校联系沟通渠道的畅通，同时进一步加强针对性家访工作，以解决留守学生的实际问题为工作目标，积极排解留守学生的心理问题，同时，以丰富多彩的第二课堂活动为依托，努力减弱留守学生的孤独感，增强他们对学校的依恋，把校园当成第二个家。多管齐下，促使留守学生在正确的成长轨道上不断进步。五是落实贫困生生活困难补助，精准帮扶贫困学生，确保学生不因家庭贫困而辍学。2014年至2017年，我镇小学适龄儿童入学率、初中阶段毛入学率均为100%，小学年辍学率为零，初中年辍学率在1.5%以下；残疾儿童、少年入学率为100%。较好地完成了义务教育阶段的教育，巩固了“普九”成果。  </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3" w:firstLineChars="200"/>
        <w:textAlignment w:val="auto"/>
        <w:outlineLvl w:val="9"/>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lang w:eastAsia="zh-CN"/>
        </w:rPr>
        <w:t>（四）</w:t>
      </w:r>
      <w:r>
        <w:rPr>
          <w:rFonts w:hint="eastAsia" w:ascii="仿宋_GB2312" w:hAnsi="仿宋_GB2312" w:eastAsia="仿宋_GB2312" w:cs="仿宋_GB2312"/>
          <w:b/>
          <w:bCs w:val="0"/>
          <w:color w:val="auto"/>
          <w:sz w:val="32"/>
          <w:szCs w:val="32"/>
        </w:rPr>
        <w:t>加强安全管理，创建平安校园</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为保证良好的教学环境，我镇依据有关文件和上级会议精神，制订了《南万镇关于维护学校周边环境，保护校园师生人身安全的若干规定》，统筹规划校园周边环境的建设和管理。相关部门密切配合，加大对学校周边环境的管理和整治力度：一是取缔了学校周边非法经营的黑网吧、电子游戏室；二是大力整治学校周围交通秩序，完善各类交通设施；三是加强学校内部安全管理。全校包括教学点安装监控，消除安全盲区。完善安全工作制度，落实责任制，值日领导、值日老师一周一轮值，一层一岗位，定时定点，对楼梯、门口，教室、操场等较易发生安全事故的地点加强守护和巡查。制订应急预案，定期进行地震、火灾疏散演练，督促学校及时消除安全隐患，杜绝火灾、食物中毒等恶性事故的发生。五年来，学校、幼儿园没有发生安全事故；四是定期开展安全和法律知识教育。随着全县禁毒工作的深入开展，我们在每学期开学的第一天，结合“开学第一课”，积极开展禁毒讲座、禁毒宣誓、集体签名等活动。学校聘任派出所民警为法制副校长，派出所民警、镇安全监督员定期到学校授课，讲解法律和安全方面的知识，有效地增强了学生的法律意识和自我保护意识。多年来，全镇师生违法犯罪率为零，学校被评为镇文明单位。</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3" w:firstLineChars="200"/>
        <w:textAlignment w:val="auto"/>
        <w:outlineLvl w:val="9"/>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w:t>
      </w:r>
      <w:r>
        <w:rPr>
          <w:rFonts w:hint="eastAsia" w:ascii="仿宋_GB2312" w:hAnsi="仿宋_GB2312" w:eastAsia="仿宋_GB2312" w:cs="仿宋_GB2312"/>
          <w:b/>
          <w:bCs w:val="0"/>
          <w:color w:val="auto"/>
          <w:sz w:val="32"/>
          <w:szCs w:val="32"/>
          <w:lang w:eastAsia="zh-CN"/>
        </w:rPr>
        <w:t>五</w:t>
      </w:r>
      <w:r>
        <w:rPr>
          <w:rFonts w:hint="eastAsia" w:ascii="仿宋_GB2312" w:hAnsi="仿宋_GB2312" w:eastAsia="仿宋_GB2312" w:cs="仿宋_GB2312"/>
          <w:b/>
          <w:bCs w:val="0"/>
          <w:color w:val="auto"/>
          <w:sz w:val="32"/>
          <w:szCs w:val="32"/>
        </w:rPr>
        <w:t>）优化资源，做大做强一所学校</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五年来，我们把工作重心转移到提升学校品位的建设上，狠抓学校的规范化建设。2014年至今，我镇多方筹资，累计投入教育资金110多万元：完善中心幼儿园设备设施，完善学生、教师食堂；添置、购置教学仪器，完善功能场室；充实图书；加强了校园文化建设。目前，南万</w:t>
      </w:r>
      <w:r>
        <w:rPr>
          <w:rFonts w:hint="eastAsia" w:ascii="仿宋_GB2312" w:hAnsi="仿宋_GB2312" w:eastAsia="仿宋_GB2312" w:cs="仿宋_GB2312"/>
          <w:b w:val="0"/>
          <w:bCs/>
          <w:color w:val="auto"/>
          <w:sz w:val="32"/>
          <w:szCs w:val="32"/>
          <w:lang w:eastAsia="zh-CN"/>
        </w:rPr>
        <w:t>中学</w:t>
      </w:r>
      <w:bookmarkStart w:id="0" w:name="_GoBack"/>
      <w:bookmarkEnd w:id="0"/>
      <w:r>
        <w:rPr>
          <w:rFonts w:hint="eastAsia" w:ascii="仿宋_GB2312" w:hAnsi="仿宋_GB2312" w:eastAsia="仿宋_GB2312" w:cs="仿宋_GB2312"/>
          <w:b w:val="0"/>
          <w:bCs/>
          <w:color w:val="auto"/>
          <w:sz w:val="32"/>
          <w:szCs w:val="32"/>
        </w:rPr>
        <w:t>功能场室、设备设施齐全，校舍楼房满足教育教学需要。</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3" w:firstLineChars="200"/>
        <w:textAlignment w:val="auto"/>
        <w:outlineLvl w:val="9"/>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w:t>
      </w:r>
      <w:r>
        <w:rPr>
          <w:rFonts w:hint="eastAsia" w:ascii="仿宋_GB2312" w:hAnsi="仿宋_GB2312" w:eastAsia="仿宋_GB2312" w:cs="仿宋_GB2312"/>
          <w:b/>
          <w:bCs w:val="0"/>
          <w:color w:val="auto"/>
          <w:sz w:val="32"/>
          <w:szCs w:val="32"/>
          <w:lang w:eastAsia="zh-CN"/>
        </w:rPr>
        <w:t>六</w:t>
      </w:r>
      <w:r>
        <w:rPr>
          <w:rFonts w:hint="eastAsia" w:ascii="仿宋_GB2312" w:hAnsi="仿宋_GB2312" w:eastAsia="仿宋_GB2312" w:cs="仿宋_GB2312"/>
          <w:b/>
          <w:bCs w:val="0"/>
          <w:color w:val="auto"/>
          <w:sz w:val="32"/>
          <w:szCs w:val="32"/>
        </w:rPr>
        <w:t>）尊师重教，提升素质，打造强校师资队伍</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抓好教师队伍建设是办好教育的关键。我镇十分注重强师兴校战略，努力加强学校领导班子和教师队伍建设，继续实施“能者上，平者让，庸者下”的管理模式；通过建立激励机制、加强班子建设、抓好继续教育等措施，不断提高教师队伍的整体素质，全镇教育质量正在稳步提高。</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1.建立激励机制，营造良好氛围</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 xml:space="preserve">为营造尊师重教的良好氛围，激励教师在工作岗位上不断进取，我镇党政主要领导身体力行，经常深入教师队伍了解他们的生活、工作情况，帮助解决实际问题和困难，激励他们艰苦奋斗、服务山区。学校制订了《学校常规制度》、《教师评优制度》、《班主任评优制度》等，用制度管理人、激励人、调动人，提高管理效益。 </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镇党委、政府每年主持召开教师节表彰大会，对优秀教师、优秀教育工作者、对教育事业有突出贡献的单位、社会热心人士等予以表彰奖励，号召广大人民群众尊重教师，支持教育事业。镇财政每年安排资金对考取重点本科院校的南万籍学生给予奖励。各村委全力支持学校建设，教师节期间对教师进行慰问。全镇尊师重教的氛围十分浓厚，教师工资、福利待遇逐年提高，为教师安心教学提供了生活保障。</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2.加强班子建设，促进师生共同成长</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镇政府健全了学校领导岗位责任制，落实校长任期目标责任制和考核制度。以激励机制增促工作，任人唯贤，增强了班子的战斗力。学校班子建设和办学成效得到上级和社会的一致认可和肯定。学校先后荣获“汕尾市绿色学校”、“陆河县教育工作先进集体”、“陆河县先进党支部”、“陆河县先进单位”、“安全文明小区”、等称号；学校领导、教师多人次获得省、市、县“优秀教育工作者”、“先进教师”、“优秀班主任”、“最美教师”等荣誉称号，2016年9月，、陈丽玲老师、罗烈床校长分别被评为“汕尾市优秀教师”、“陆河县十大最美教师”，2017年9月，陈小燕老师被评为“汕尾市优秀班主任”。</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五年来，全镇教师参加市级以上论文评比获奖40多篇；陈丽玲老师获得2015年度中学数学说课比赛全县第一名，并代表陆河县参加市级比赛，取得优异成绩；陈小燕老师、李石铭老师分别获得2016年度全县优质课评比历史组、地理组第一名；范德怀老师获得2016年度“汕尾市优秀少先队辅导员”；罗烈床校长被评为2016年度“全县十大最美教师”。2016年9月，南万中学少先队校本部中队被评为“汕尾市优秀中队”。 12月，七年级陈职畅、陈苏拉等22名学生在CYAA“梦想杯”全国青少年美术作品大赛初赛获得金、银、铜奖，11名学生进入决赛，其中，陈苏拉同学获金奖。 2017年9月，在第十六届陆河县青少年科技创新大赛中，罗秀闲老师带领陈湘钰等5名同学参赛，成绩名列前茅，其中陈湘钰同学获全县第一名，并获市第二名。</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3" w:firstLineChars="200"/>
        <w:textAlignment w:val="auto"/>
        <w:outlineLvl w:val="9"/>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w:t>
      </w:r>
      <w:r>
        <w:rPr>
          <w:rFonts w:hint="eastAsia" w:ascii="仿宋_GB2312" w:hAnsi="仿宋_GB2312" w:eastAsia="仿宋_GB2312" w:cs="仿宋_GB2312"/>
          <w:b/>
          <w:bCs w:val="0"/>
          <w:color w:val="auto"/>
          <w:sz w:val="32"/>
          <w:szCs w:val="32"/>
          <w:lang w:eastAsia="zh-CN"/>
        </w:rPr>
        <w:t>七</w:t>
      </w:r>
      <w:r>
        <w:rPr>
          <w:rFonts w:hint="eastAsia" w:ascii="仿宋_GB2312" w:hAnsi="仿宋_GB2312" w:eastAsia="仿宋_GB2312" w:cs="仿宋_GB2312"/>
          <w:b/>
          <w:bCs w:val="0"/>
          <w:color w:val="auto"/>
          <w:sz w:val="32"/>
          <w:szCs w:val="32"/>
        </w:rPr>
        <w:t>）拓宽内涵，多元发展，努力推进全民教育</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我镇在全面普及九年义务教育，着力提高义务教育质量的同时，重视学前教育和成人教育，组织村居文化、娱乐活动，促进了各类教育协调、健康发展。</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1.加强学前教育，继续完善中心幼儿园的建设，五年来，共投入资金110万 元，完善各类设施设备；加强师资力量培训，不断增强办园水平，使中心幼儿园办园水平与“县一级幼儿园”相匹配。</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2</w:t>
      </w:r>
      <w:r>
        <w:rPr>
          <w:rFonts w:hint="eastAsia" w:ascii="仿宋_GB2312" w:hAnsi="仿宋_GB2312" w:eastAsia="仿宋_GB2312" w:cs="仿宋_GB2312"/>
          <w:b w:val="0"/>
          <w:bCs/>
          <w:color w:val="auto"/>
          <w:sz w:val="32"/>
          <w:szCs w:val="32"/>
        </w:rPr>
        <w:t>.进一步办好成人学校。我镇成人文化技术学校成立以来，本着“立足农村、服务农民”的精神，以广大农民群众自愿参与为基础，依托劳动、科协、农业等部门，积极举办各类培训，获得了良好的社会效益。五年来，共培训我镇农村劳动力3500多人次，培训内容包括计算机操作、建筑装饰、养蜂、果树栽培、青梅种植、茶叶种植、美人芋产品加工等种养项目。各类培训课程的举办成效明显且受到广大人民群众的一致好评，为发挥教育在解决“三农”问题中的积极作用，扎实推进镇成人教育上新水平，全面提高农村劳动者的科技素质，促进建设经济和社会事业全面发展，作出了贡献。</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3.进一步加强社区文化建设。一是加强基础设施建设。我镇结合实际，把建设校园文化与社区文化建设融为一体，在校园广场增设舞台、音响、户外健身器材等设备设施，为丰富群众文化体育生活提供场地。在14个村安装党员网络远程教育设备，配置了农家书屋。二是大力推进生态文明村镇建设。我镇2003年被评为广东省首批“生态文明示范镇”，有2个村是省级“生态文明示范村”，有2个村是市级“生态文明示范村”。在2016年12月，我镇 “南万花海”成功立项，建设工作正逐步展开。在2017年全国生态年会上获“全国生态特色旅游镇”的称号。牢固树立“绿水青山就是金山银山”的理念，坚定不移地走绿色生态的发展道路，成了全镇干部群众的一致共识。三是进一步发展社团文化。我镇组建了象歌表演队、老年人活动协会、南万花海舞蹈队等群众性民间文艺组织。集中培训，定期排练，结合重大节庆活动组织演出。既增添了我镇的文化气息，又丰富了老年人精神生活，也使“象歌”这一省非物质文化遗产项目得到了保护和传承。</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四、存在的问题</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1.</w:t>
      </w:r>
      <w:r>
        <w:rPr>
          <w:rFonts w:hint="eastAsia" w:ascii="仿宋_GB2312" w:hAnsi="仿宋_GB2312" w:eastAsia="仿宋_GB2312" w:cs="仿宋_GB2312"/>
          <w:b w:val="0"/>
          <w:bCs/>
          <w:color w:val="auto"/>
          <w:sz w:val="32"/>
          <w:szCs w:val="32"/>
        </w:rPr>
        <w:t>镇本级财政收入少，投入教育的资金有限</w:t>
      </w:r>
      <w:r>
        <w:rPr>
          <w:rFonts w:hint="eastAsia" w:ascii="仿宋_GB2312" w:hAnsi="仿宋_GB2312" w:eastAsia="仿宋_GB2312" w:cs="仿宋_GB2312"/>
          <w:b w:val="0"/>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2.</w:t>
      </w:r>
      <w:r>
        <w:rPr>
          <w:rFonts w:hint="eastAsia" w:ascii="仿宋_GB2312" w:hAnsi="仿宋_GB2312" w:eastAsia="仿宋_GB2312" w:cs="仿宋_GB2312"/>
          <w:b w:val="0"/>
          <w:bCs/>
          <w:color w:val="auto"/>
          <w:sz w:val="32"/>
          <w:szCs w:val="32"/>
        </w:rPr>
        <w:t>教师队伍整体素质有待进一步提高，教学带头人较少，教研能力相对薄弱；</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3.</w:t>
      </w:r>
      <w:r>
        <w:rPr>
          <w:rFonts w:hint="eastAsia" w:ascii="仿宋_GB2312" w:hAnsi="仿宋_GB2312" w:eastAsia="仿宋_GB2312" w:cs="仿宋_GB2312"/>
          <w:b w:val="0"/>
          <w:bCs/>
          <w:color w:val="auto"/>
          <w:sz w:val="32"/>
          <w:szCs w:val="32"/>
        </w:rPr>
        <w:t>学校现代化教育设备设施需要进一步完善；</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黑体" w:hAnsi="黑体" w:eastAsia="黑体" w:cs="黑体"/>
          <w:b w:val="0"/>
          <w:bCs/>
          <w:color w:val="auto"/>
          <w:sz w:val="32"/>
          <w:szCs w:val="32"/>
          <w:lang w:eastAsia="zh-CN"/>
        </w:rPr>
        <w:t>五、</w:t>
      </w:r>
      <w:r>
        <w:rPr>
          <w:rFonts w:hint="eastAsia" w:ascii="黑体" w:hAnsi="黑体" w:eastAsia="黑体" w:cs="黑体"/>
          <w:b w:val="0"/>
          <w:bCs/>
          <w:color w:val="auto"/>
          <w:sz w:val="32"/>
          <w:szCs w:val="32"/>
        </w:rPr>
        <w:t>发展方向</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1.</w:t>
      </w:r>
      <w:r>
        <w:rPr>
          <w:rFonts w:hint="eastAsia" w:ascii="仿宋_GB2312" w:hAnsi="仿宋_GB2312" w:eastAsia="仿宋_GB2312" w:cs="仿宋_GB2312"/>
          <w:b w:val="0"/>
          <w:bCs/>
          <w:color w:val="auto"/>
          <w:sz w:val="32"/>
          <w:szCs w:val="32"/>
        </w:rPr>
        <w:t>大力发展经济，增加镇财政收入，多渠道筹措资金，加大教育投入，进一步完善办学条件；</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2.</w:t>
      </w:r>
      <w:r>
        <w:rPr>
          <w:rFonts w:hint="eastAsia" w:ascii="仿宋_GB2312" w:hAnsi="仿宋_GB2312" w:eastAsia="仿宋_GB2312" w:cs="仿宋_GB2312"/>
          <w:b w:val="0"/>
          <w:bCs/>
          <w:color w:val="auto"/>
          <w:sz w:val="32"/>
          <w:szCs w:val="32"/>
        </w:rPr>
        <w:t>进一步深化教育改革，注重培养学科带头人和骨干教师，提高教育教学、教科研水平，全面提高教育教学质量。</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六</w:t>
      </w:r>
      <w:r>
        <w:rPr>
          <w:rFonts w:hint="eastAsia" w:ascii="黑体" w:hAnsi="黑体" w:eastAsia="黑体" w:cs="黑体"/>
          <w:b w:val="0"/>
          <w:bCs/>
          <w:color w:val="auto"/>
          <w:sz w:val="32"/>
          <w:szCs w:val="32"/>
        </w:rPr>
        <w:t>、自评结果</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对照《广东省教育强镇（乡）督导验收方案》，我们进行了认真的自查。自评得分为99分，奖励加分0分，合计99分，占总分值99%。符合广东省教育强镇复评的条件要求，特向省人民政府教育督导室提出申请，请专家组予以评估验收。</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rPr>
      </w:pP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jc w:val="right"/>
        <w:textAlignment w:val="auto"/>
        <w:outlineLvl w:val="9"/>
        <w:rPr>
          <w:rFonts w:hint="eastAsia" w:ascii="仿宋_GB2312" w:hAnsi="仿宋_GB2312" w:eastAsia="仿宋_GB2312" w:cs="仿宋_GB2312"/>
          <w:b w:val="0"/>
          <w:bCs/>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jc w:val="right"/>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eastAsia="zh-CN"/>
        </w:rPr>
        <w:t>陆河县南万镇人民政府</w:t>
      </w:r>
    </w:p>
    <w:p>
      <w:pPr>
        <w:keepNext w:val="0"/>
        <w:keepLines w:val="0"/>
        <w:pageBreakBefore w:val="0"/>
        <w:widowControl w:val="0"/>
        <w:kinsoku/>
        <w:wordWrap/>
        <w:overflowPunct/>
        <w:topLinePunct w:val="0"/>
        <w:autoSpaceDE/>
        <w:autoSpaceDN/>
        <w:bidi w:val="0"/>
        <w:adjustRightInd/>
        <w:snapToGrid/>
        <w:spacing w:after="0" w:line="500" w:lineRule="exact"/>
        <w:ind w:left="0" w:leftChars="0" w:right="0" w:rightChars="0" w:firstLine="640" w:firstLineChars="200"/>
        <w:jc w:val="right"/>
        <w:textAlignment w:val="auto"/>
        <w:outlineLvl w:val="9"/>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 xml:space="preserve">  二○一八年三月</w:t>
      </w:r>
      <w:r>
        <w:rPr>
          <w:rFonts w:hint="eastAsia" w:ascii="仿宋_GB2312" w:hAnsi="仿宋_GB2312" w:eastAsia="仿宋_GB2312" w:cs="仿宋_GB2312"/>
          <w:b w:val="0"/>
          <w:bCs/>
          <w:color w:val="auto"/>
          <w:sz w:val="32"/>
          <w:szCs w:val="32"/>
          <w:lang w:eastAsia="zh-CN"/>
        </w:rPr>
        <w:t>十日</w:t>
      </w:r>
    </w:p>
    <w:sectPr>
      <w:footerReference r:id="rId6" w:type="first"/>
      <w:headerReference r:id="rId3" w:type="default"/>
      <w:footerReference r:id="rId4" w:type="default"/>
      <w:footerReference r:id="rId5" w:type="even"/>
      <w:pgSz w:w="11906" w:h="16838"/>
      <w:pgMar w:top="1440" w:right="1474" w:bottom="1440" w:left="1474"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方正大标宋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8" o:spid="_x0000_s4098"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424F84"/>
    <w:multiLevelType w:val="singleLevel"/>
    <w:tmpl w:val="95424F84"/>
    <w:lvl w:ilvl="0" w:tentative="0">
      <w:start w:val="1"/>
      <w:numFmt w:val="decimal"/>
      <w:suff w:val="nothing"/>
      <w:lvlText w:val="%1、"/>
      <w:lvlJc w:val="left"/>
    </w:lvl>
  </w:abstractNum>
  <w:abstractNum w:abstractNumId="1">
    <w:nsid w:val="B5343D65"/>
    <w:multiLevelType w:val="singleLevel"/>
    <w:tmpl w:val="B5343D65"/>
    <w:lvl w:ilvl="0" w:tentative="0">
      <w:start w:val="2"/>
      <w:numFmt w:val="chineseCounting"/>
      <w:suff w:val="nothing"/>
      <w:lvlText w:val="%1、"/>
      <w:lvlJc w:val="left"/>
      <w:rPr>
        <w:rFonts w:hint="eastAsia"/>
      </w:rPr>
    </w:lvl>
  </w:abstractNum>
  <w:abstractNum w:abstractNumId="2">
    <w:nsid w:val="7D7A7DE7"/>
    <w:multiLevelType w:val="singleLevel"/>
    <w:tmpl w:val="7D7A7DE7"/>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characterSpacingControl w:val="doNotCompress"/>
  <w:hdrShapeDefaults>
    <o:shapelayout v:ext="edit">
      <o:idmap v:ext="edit" data="3,4"/>
    </o:shapelayout>
  </w:hdrShapeDefaults>
  <w:compat>
    <w:useFELayout/>
    <w:compatSetting w:name="compatibilityMode" w:uri="http://schemas.microsoft.com/office/word" w:val="12"/>
  </w:compat>
  <w:rsids>
    <w:rsidRoot w:val="007E6B0F"/>
    <w:rsid w:val="000014BA"/>
    <w:rsid w:val="00011BA8"/>
    <w:rsid w:val="00012BBB"/>
    <w:rsid w:val="00031919"/>
    <w:rsid w:val="000414DA"/>
    <w:rsid w:val="000429DE"/>
    <w:rsid w:val="00046336"/>
    <w:rsid w:val="00047447"/>
    <w:rsid w:val="00047840"/>
    <w:rsid w:val="00053351"/>
    <w:rsid w:val="00055D0A"/>
    <w:rsid w:val="00064199"/>
    <w:rsid w:val="00064324"/>
    <w:rsid w:val="00066122"/>
    <w:rsid w:val="00066C1B"/>
    <w:rsid w:val="00073F77"/>
    <w:rsid w:val="00082B75"/>
    <w:rsid w:val="00084A2D"/>
    <w:rsid w:val="00086A5C"/>
    <w:rsid w:val="000910A9"/>
    <w:rsid w:val="000A08AD"/>
    <w:rsid w:val="000A66EB"/>
    <w:rsid w:val="000B049E"/>
    <w:rsid w:val="000B62DD"/>
    <w:rsid w:val="000C4CF4"/>
    <w:rsid w:val="000C6D82"/>
    <w:rsid w:val="000E34FC"/>
    <w:rsid w:val="000F6AE4"/>
    <w:rsid w:val="00112EB1"/>
    <w:rsid w:val="00113035"/>
    <w:rsid w:val="00114C8C"/>
    <w:rsid w:val="00115B79"/>
    <w:rsid w:val="00122D3B"/>
    <w:rsid w:val="001319AE"/>
    <w:rsid w:val="001418F7"/>
    <w:rsid w:val="0015237E"/>
    <w:rsid w:val="00157C2A"/>
    <w:rsid w:val="0016212A"/>
    <w:rsid w:val="00171A84"/>
    <w:rsid w:val="001721A4"/>
    <w:rsid w:val="00175287"/>
    <w:rsid w:val="00180841"/>
    <w:rsid w:val="00185093"/>
    <w:rsid w:val="00190C49"/>
    <w:rsid w:val="00191153"/>
    <w:rsid w:val="00191CDE"/>
    <w:rsid w:val="00192B52"/>
    <w:rsid w:val="00193D6C"/>
    <w:rsid w:val="001977B1"/>
    <w:rsid w:val="001A0561"/>
    <w:rsid w:val="001A060D"/>
    <w:rsid w:val="001B5109"/>
    <w:rsid w:val="001B7F6D"/>
    <w:rsid w:val="001C41E4"/>
    <w:rsid w:val="001C742C"/>
    <w:rsid w:val="001D7D31"/>
    <w:rsid w:val="001F045F"/>
    <w:rsid w:val="001F43FE"/>
    <w:rsid w:val="002115A7"/>
    <w:rsid w:val="0022554A"/>
    <w:rsid w:val="00231153"/>
    <w:rsid w:val="002339A7"/>
    <w:rsid w:val="00234709"/>
    <w:rsid w:val="00242EDF"/>
    <w:rsid w:val="00254273"/>
    <w:rsid w:val="00254CAD"/>
    <w:rsid w:val="00261E86"/>
    <w:rsid w:val="00264060"/>
    <w:rsid w:val="00264086"/>
    <w:rsid w:val="002674CF"/>
    <w:rsid w:val="00267AD7"/>
    <w:rsid w:val="00274CBA"/>
    <w:rsid w:val="002848ED"/>
    <w:rsid w:val="002866C6"/>
    <w:rsid w:val="00290272"/>
    <w:rsid w:val="002905BE"/>
    <w:rsid w:val="00297D7D"/>
    <w:rsid w:val="002A339F"/>
    <w:rsid w:val="002B3693"/>
    <w:rsid w:val="002D4B36"/>
    <w:rsid w:val="002D61AC"/>
    <w:rsid w:val="002E5E0A"/>
    <w:rsid w:val="00302903"/>
    <w:rsid w:val="00303D07"/>
    <w:rsid w:val="003052BC"/>
    <w:rsid w:val="00307A16"/>
    <w:rsid w:val="00307FCE"/>
    <w:rsid w:val="00310D62"/>
    <w:rsid w:val="0031464F"/>
    <w:rsid w:val="0031563B"/>
    <w:rsid w:val="00323B43"/>
    <w:rsid w:val="0032558D"/>
    <w:rsid w:val="003350E5"/>
    <w:rsid w:val="0033557C"/>
    <w:rsid w:val="003362D8"/>
    <w:rsid w:val="00337788"/>
    <w:rsid w:val="0034117B"/>
    <w:rsid w:val="00347357"/>
    <w:rsid w:val="00352B9B"/>
    <w:rsid w:val="00357DB7"/>
    <w:rsid w:val="0036050E"/>
    <w:rsid w:val="00365391"/>
    <w:rsid w:val="0036781D"/>
    <w:rsid w:val="00370BE8"/>
    <w:rsid w:val="00374FEF"/>
    <w:rsid w:val="00377080"/>
    <w:rsid w:val="003774E2"/>
    <w:rsid w:val="00380726"/>
    <w:rsid w:val="0038478D"/>
    <w:rsid w:val="00385A50"/>
    <w:rsid w:val="00387617"/>
    <w:rsid w:val="00396D81"/>
    <w:rsid w:val="003A6F77"/>
    <w:rsid w:val="003B020C"/>
    <w:rsid w:val="003B502B"/>
    <w:rsid w:val="003B5F40"/>
    <w:rsid w:val="003B6895"/>
    <w:rsid w:val="003C54C4"/>
    <w:rsid w:val="003D371A"/>
    <w:rsid w:val="003D37D8"/>
    <w:rsid w:val="003D3AD2"/>
    <w:rsid w:val="003E1322"/>
    <w:rsid w:val="003E15C9"/>
    <w:rsid w:val="003E2C9A"/>
    <w:rsid w:val="003E3C5B"/>
    <w:rsid w:val="003E7A3F"/>
    <w:rsid w:val="003F6C30"/>
    <w:rsid w:val="004004E3"/>
    <w:rsid w:val="00402DEA"/>
    <w:rsid w:val="004073F4"/>
    <w:rsid w:val="004137E8"/>
    <w:rsid w:val="004141EA"/>
    <w:rsid w:val="00416C5C"/>
    <w:rsid w:val="00426631"/>
    <w:rsid w:val="00427A86"/>
    <w:rsid w:val="00435568"/>
    <w:rsid w:val="004358AB"/>
    <w:rsid w:val="00435D7F"/>
    <w:rsid w:val="00436125"/>
    <w:rsid w:val="00442515"/>
    <w:rsid w:val="0044618E"/>
    <w:rsid w:val="00455A54"/>
    <w:rsid w:val="004632F8"/>
    <w:rsid w:val="00465901"/>
    <w:rsid w:val="00465F12"/>
    <w:rsid w:val="00466A9F"/>
    <w:rsid w:val="00467225"/>
    <w:rsid w:val="0047296C"/>
    <w:rsid w:val="004763CE"/>
    <w:rsid w:val="004829FD"/>
    <w:rsid w:val="0048382B"/>
    <w:rsid w:val="004845F2"/>
    <w:rsid w:val="00493053"/>
    <w:rsid w:val="00494B9D"/>
    <w:rsid w:val="004956E7"/>
    <w:rsid w:val="004A0765"/>
    <w:rsid w:val="004A5D31"/>
    <w:rsid w:val="004B2AAB"/>
    <w:rsid w:val="004B5372"/>
    <w:rsid w:val="004C605B"/>
    <w:rsid w:val="004C6168"/>
    <w:rsid w:val="004C7FCF"/>
    <w:rsid w:val="004F0ACD"/>
    <w:rsid w:val="004F0E68"/>
    <w:rsid w:val="004F2F3B"/>
    <w:rsid w:val="005015AC"/>
    <w:rsid w:val="005130BD"/>
    <w:rsid w:val="0052090C"/>
    <w:rsid w:val="0052640D"/>
    <w:rsid w:val="00527A14"/>
    <w:rsid w:val="0053521B"/>
    <w:rsid w:val="005403E8"/>
    <w:rsid w:val="00552969"/>
    <w:rsid w:val="00554D5D"/>
    <w:rsid w:val="00555205"/>
    <w:rsid w:val="005621BF"/>
    <w:rsid w:val="005707E4"/>
    <w:rsid w:val="00570979"/>
    <w:rsid w:val="00573040"/>
    <w:rsid w:val="005767D5"/>
    <w:rsid w:val="00595681"/>
    <w:rsid w:val="00596D0E"/>
    <w:rsid w:val="00597A78"/>
    <w:rsid w:val="005A566B"/>
    <w:rsid w:val="005A7710"/>
    <w:rsid w:val="005D4435"/>
    <w:rsid w:val="005D4752"/>
    <w:rsid w:val="005D4D6E"/>
    <w:rsid w:val="005D573C"/>
    <w:rsid w:val="005D5D2A"/>
    <w:rsid w:val="005E03AF"/>
    <w:rsid w:val="005E631C"/>
    <w:rsid w:val="005F0E02"/>
    <w:rsid w:val="005F5948"/>
    <w:rsid w:val="005F6668"/>
    <w:rsid w:val="00602DA5"/>
    <w:rsid w:val="00606839"/>
    <w:rsid w:val="006139F5"/>
    <w:rsid w:val="00616518"/>
    <w:rsid w:val="00622DE9"/>
    <w:rsid w:val="00626174"/>
    <w:rsid w:val="00627D90"/>
    <w:rsid w:val="0063077E"/>
    <w:rsid w:val="006315F7"/>
    <w:rsid w:val="006410EE"/>
    <w:rsid w:val="00641500"/>
    <w:rsid w:val="0064466C"/>
    <w:rsid w:val="00651EC5"/>
    <w:rsid w:val="00654FE5"/>
    <w:rsid w:val="00655266"/>
    <w:rsid w:val="00656473"/>
    <w:rsid w:val="0065723B"/>
    <w:rsid w:val="00662380"/>
    <w:rsid w:val="00662D2B"/>
    <w:rsid w:val="00664271"/>
    <w:rsid w:val="006653DB"/>
    <w:rsid w:val="00671EF2"/>
    <w:rsid w:val="00675F33"/>
    <w:rsid w:val="00692226"/>
    <w:rsid w:val="00693811"/>
    <w:rsid w:val="006962AE"/>
    <w:rsid w:val="00697C99"/>
    <w:rsid w:val="006A04EC"/>
    <w:rsid w:val="006A6653"/>
    <w:rsid w:val="006A66B9"/>
    <w:rsid w:val="006B02E6"/>
    <w:rsid w:val="006C026C"/>
    <w:rsid w:val="006D1D7B"/>
    <w:rsid w:val="006D301C"/>
    <w:rsid w:val="006E0D89"/>
    <w:rsid w:val="006E429B"/>
    <w:rsid w:val="006E77B6"/>
    <w:rsid w:val="006E7A2A"/>
    <w:rsid w:val="006F0FD2"/>
    <w:rsid w:val="006F4DFB"/>
    <w:rsid w:val="006F5D38"/>
    <w:rsid w:val="006F7AD3"/>
    <w:rsid w:val="00714A3D"/>
    <w:rsid w:val="0072104E"/>
    <w:rsid w:val="00722C04"/>
    <w:rsid w:val="0072320B"/>
    <w:rsid w:val="00726962"/>
    <w:rsid w:val="00731BD7"/>
    <w:rsid w:val="0073657D"/>
    <w:rsid w:val="0074329B"/>
    <w:rsid w:val="00750388"/>
    <w:rsid w:val="007569EB"/>
    <w:rsid w:val="00756CA4"/>
    <w:rsid w:val="00762DBE"/>
    <w:rsid w:val="0076412C"/>
    <w:rsid w:val="00776ABE"/>
    <w:rsid w:val="00785203"/>
    <w:rsid w:val="007930A9"/>
    <w:rsid w:val="00793CC1"/>
    <w:rsid w:val="007A57DF"/>
    <w:rsid w:val="007B1F69"/>
    <w:rsid w:val="007B22BC"/>
    <w:rsid w:val="007B3943"/>
    <w:rsid w:val="007C7DBF"/>
    <w:rsid w:val="007D492B"/>
    <w:rsid w:val="007D496A"/>
    <w:rsid w:val="007E6B0F"/>
    <w:rsid w:val="007F0FFB"/>
    <w:rsid w:val="007F5C2A"/>
    <w:rsid w:val="0080164E"/>
    <w:rsid w:val="0080776A"/>
    <w:rsid w:val="00811CD8"/>
    <w:rsid w:val="008200BC"/>
    <w:rsid w:val="008235D2"/>
    <w:rsid w:val="00823AFA"/>
    <w:rsid w:val="00823BEB"/>
    <w:rsid w:val="00824C21"/>
    <w:rsid w:val="00853FD2"/>
    <w:rsid w:val="0086175B"/>
    <w:rsid w:val="00861F73"/>
    <w:rsid w:val="00864EC4"/>
    <w:rsid w:val="00865217"/>
    <w:rsid w:val="0087036D"/>
    <w:rsid w:val="00871925"/>
    <w:rsid w:val="00871FF7"/>
    <w:rsid w:val="00876A28"/>
    <w:rsid w:val="00881DAE"/>
    <w:rsid w:val="00882190"/>
    <w:rsid w:val="00891440"/>
    <w:rsid w:val="00896A36"/>
    <w:rsid w:val="008A4699"/>
    <w:rsid w:val="008A75E9"/>
    <w:rsid w:val="008B22BD"/>
    <w:rsid w:val="008B462B"/>
    <w:rsid w:val="008B56FA"/>
    <w:rsid w:val="008B7726"/>
    <w:rsid w:val="008D045E"/>
    <w:rsid w:val="008D11F6"/>
    <w:rsid w:val="008D36BF"/>
    <w:rsid w:val="008D6ED9"/>
    <w:rsid w:val="008E10D8"/>
    <w:rsid w:val="008E416B"/>
    <w:rsid w:val="00906408"/>
    <w:rsid w:val="00912EA5"/>
    <w:rsid w:val="009201D1"/>
    <w:rsid w:val="00922AE9"/>
    <w:rsid w:val="009233B6"/>
    <w:rsid w:val="009260E2"/>
    <w:rsid w:val="00930A6A"/>
    <w:rsid w:val="009403E5"/>
    <w:rsid w:val="00944EEB"/>
    <w:rsid w:val="009473E1"/>
    <w:rsid w:val="00951D7C"/>
    <w:rsid w:val="00957280"/>
    <w:rsid w:val="00985E02"/>
    <w:rsid w:val="009864FC"/>
    <w:rsid w:val="00996B8D"/>
    <w:rsid w:val="009A14CE"/>
    <w:rsid w:val="009A6917"/>
    <w:rsid w:val="009B1B71"/>
    <w:rsid w:val="009B3C77"/>
    <w:rsid w:val="009B3E7F"/>
    <w:rsid w:val="009C7DE5"/>
    <w:rsid w:val="009D690E"/>
    <w:rsid w:val="009E1622"/>
    <w:rsid w:val="009F6DC5"/>
    <w:rsid w:val="00A02FF2"/>
    <w:rsid w:val="00A064FF"/>
    <w:rsid w:val="00A07BF9"/>
    <w:rsid w:val="00A15ED5"/>
    <w:rsid w:val="00A21B60"/>
    <w:rsid w:val="00A25834"/>
    <w:rsid w:val="00A32B4C"/>
    <w:rsid w:val="00A4631A"/>
    <w:rsid w:val="00A47B23"/>
    <w:rsid w:val="00A52A57"/>
    <w:rsid w:val="00A55343"/>
    <w:rsid w:val="00A55858"/>
    <w:rsid w:val="00A603CD"/>
    <w:rsid w:val="00A65124"/>
    <w:rsid w:val="00A66185"/>
    <w:rsid w:val="00A672B1"/>
    <w:rsid w:val="00A836EF"/>
    <w:rsid w:val="00A83B45"/>
    <w:rsid w:val="00A845D1"/>
    <w:rsid w:val="00A86337"/>
    <w:rsid w:val="00A95602"/>
    <w:rsid w:val="00A96440"/>
    <w:rsid w:val="00A973BE"/>
    <w:rsid w:val="00A97C29"/>
    <w:rsid w:val="00AA09C0"/>
    <w:rsid w:val="00AA0E2A"/>
    <w:rsid w:val="00AA2698"/>
    <w:rsid w:val="00AA49E5"/>
    <w:rsid w:val="00AA7760"/>
    <w:rsid w:val="00AA7EFA"/>
    <w:rsid w:val="00AC115E"/>
    <w:rsid w:val="00AC34BE"/>
    <w:rsid w:val="00AD09ED"/>
    <w:rsid w:val="00AD345D"/>
    <w:rsid w:val="00AD6210"/>
    <w:rsid w:val="00AE5081"/>
    <w:rsid w:val="00AE60D1"/>
    <w:rsid w:val="00AE6C32"/>
    <w:rsid w:val="00B000F8"/>
    <w:rsid w:val="00B02C9D"/>
    <w:rsid w:val="00B041A3"/>
    <w:rsid w:val="00B04D4B"/>
    <w:rsid w:val="00B1292A"/>
    <w:rsid w:val="00B12D33"/>
    <w:rsid w:val="00B139CB"/>
    <w:rsid w:val="00B14454"/>
    <w:rsid w:val="00B1519D"/>
    <w:rsid w:val="00B156C5"/>
    <w:rsid w:val="00B31941"/>
    <w:rsid w:val="00B3411B"/>
    <w:rsid w:val="00B53FDF"/>
    <w:rsid w:val="00B565AF"/>
    <w:rsid w:val="00B64400"/>
    <w:rsid w:val="00B7092C"/>
    <w:rsid w:val="00B74369"/>
    <w:rsid w:val="00B77D17"/>
    <w:rsid w:val="00B83E68"/>
    <w:rsid w:val="00B86400"/>
    <w:rsid w:val="00B936C8"/>
    <w:rsid w:val="00B94131"/>
    <w:rsid w:val="00B94FA0"/>
    <w:rsid w:val="00BA0F38"/>
    <w:rsid w:val="00BA1830"/>
    <w:rsid w:val="00BA3364"/>
    <w:rsid w:val="00BB01DF"/>
    <w:rsid w:val="00BB0D77"/>
    <w:rsid w:val="00BB308F"/>
    <w:rsid w:val="00BB45B4"/>
    <w:rsid w:val="00BB5FEA"/>
    <w:rsid w:val="00BC0917"/>
    <w:rsid w:val="00BC1993"/>
    <w:rsid w:val="00BC21D7"/>
    <w:rsid w:val="00BD1D76"/>
    <w:rsid w:val="00BD4825"/>
    <w:rsid w:val="00BD5723"/>
    <w:rsid w:val="00BD64EC"/>
    <w:rsid w:val="00BE4F5B"/>
    <w:rsid w:val="00BE7941"/>
    <w:rsid w:val="00BF1326"/>
    <w:rsid w:val="00BF6FD6"/>
    <w:rsid w:val="00C07471"/>
    <w:rsid w:val="00C075FF"/>
    <w:rsid w:val="00C11AE5"/>
    <w:rsid w:val="00C1582E"/>
    <w:rsid w:val="00C26F7A"/>
    <w:rsid w:val="00C30E39"/>
    <w:rsid w:val="00C315D9"/>
    <w:rsid w:val="00C43C9D"/>
    <w:rsid w:val="00C52172"/>
    <w:rsid w:val="00C645A3"/>
    <w:rsid w:val="00C663B5"/>
    <w:rsid w:val="00C74DA7"/>
    <w:rsid w:val="00C763A6"/>
    <w:rsid w:val="00C763DE"/>
    <w:rsid w:val="00C82643"/>
    <w:rsid w:val="00C935C3"/>
    <w:rsid w:val="00C978C7"/>
    <w:rsid w:val="00CA26B4"/>
    <w:rsid w:val="00CA570C"/>
    <w:rsid w:val="00CA5AB7"/>
    <w:rsid w:val="00CA5E16"/>
    <w:rsid w:val="00CA6726"/>
    <w:rsid w:val="00CB039B"/>
    <w:rsid w:val="00CB318A"/>
    <w:rsid w:val="00CB6AB6"/>
    <w:rsid w:val="00CC0F2A"/>
    <w:rsid w:val="00CC3FF4"/>
    <w:rsid w:val="00CD6965"/>
    <w:rsid w:val="00CD7B83"/>
    <w:rsid w:val="00D0575C"/>
    <w:rsid w:val="00D27A14"/>
    <w:rsid w:val="00D4230E"/>
    <w:rsid w:val="00D42766"/>
    <w:rsid w:val="00D46284"/>
    <w:rsid w:val="00D47DDE"/>
    <w:rsid w:val="00D560B7"/>
    <w:rsid w:val="00D57584"/>
    <w:rsid w:val="00D57C65"/>
    <w:rsid w:val="00D61E0A"/>
    <w:rsid w:val="00D64E00"/>
    <w:rsid w:val="00D716BB"/>
    <w:rsid w:val="00D812C1"/>
    <w:rsid w:val="00D81D38"/>
    <w:rsid w:val="00D8208A"/>
    <w:rsid w:val="00D82B8E"/>
    <w:rsid w:val="00D84638"/>
    <w:rsid w:val="00D90396"/>
    <w:rsid w:val="00D96DAE"/>
    <w:rsid w:val="00D972B3"/>
    <w:rsid w:val="00DA25B6"/>
    <w:rsid w:val="00DB17AD"/>
    <w:rsid w:val="00DB36DF"/>
    <w:rsid w:val="00DB773B"/>
    <w:rsid w:val="00DC3F49"/>
    <w:rsid w:val="00DD0556"/>
    <w:rsid w:val="00DD4C34"/>
    <w:rsid w:val="00DD57D0"/>
    <w:rsid w:val="00DD5862"/>
    <w:rsid w:val="00DE20BB"/>
    <w:rsid w:val="00E00D27"/>
    <w:rsid w:val="00E03EC1"/>
    <w:rsid w:val="00E072C3"/>
    <w:rsid w:val="00E07635"/>
    <w:rsid w:val="00E1259F"/>
    <w:rsid w:val="00E12A3D"/>
    <w:rsid w:val="00E17142"/>
    <w:rsid w:val="00E20A20"/>
    <w:rsid w:val="00E24E21"/>
    <w:rsid w:val="00E259A8"/>
    <w:rsid w:val="00E406B6"/>
    <w:rsid w:val="00E50B44"/>
    <w:rsid w:val="00E66767"/>
    <w:rsid w:val="00E74843"/>
    <w:rsid w:val="00E82B33"/>
    <w:rsid w:val="00E841D1"/>
    <w:rsid w:val="00E84EED"/>
    <w:rsid w:val="00E87AC3"/>
    <w:rsid w:val="00E91887"/>
    <w:rsid w:val="00E91C99"/>
    <w:rsid w:val="00E92AC0"/>
    <w:rsid w:val="00E94054"/>
    <w:rsid w:val="00E9436E"/>
    <w:rsid w:val="00EA2B8A"/>
    <w:rsid w:val="00EA64DE"/>
    <w:rsid w:val="00EB0B96"/>
    <w:rsid w:val="00EB42F0"/>
    <w:rsid w:val="00EB49AE"/>
    <w:rsid w:val="00EB7A50"/>
    <w:rsid w:val="00EC03C6"/>
    <w:rsid w:val="00EC3799"/>
    <w:rsid w:val="00EC4EDB"/>
    <w:rsid w:val="00EC5C0F"/>
    <w:rsid w:val="00EC7A3A"/>
    <w:rsid w:val="00ED2187"/>
    <w:rsid w:val="00ED2C4F"/>
    <w:rsid w:val="00ED33B4"/>
    <w:rsid w:val="00EE3474"/>
    <w:rsid w:val="00F042C8"/>
    <w:rsid w:val="00F10BCB"/>
    <w:rsid w:val="00F17A4E"/>
    <w:rsid w:val="00F201AF"/>
    <w:rsid w:val="00F2197A"/>
    <w:rsid w:val="00F21E4A"/>
    <w:rsid w:val="00F223CB"/>
    <w:rsid w:val="00F24C0E"/>
    <w:rsid w:val="00F25EFF"/>
    <w:rsid w:val="00F30184"/>
    <w:rsid w:val="00F33FC9"/>
    <w:rsid w:val="00F46260"/>
    <w:rsid w:val="00F475D5"/>
    <w:rsid w:val="00F51A32"/>
    <w:rsid w:val="00F51E4C"/>
    <w:rsid w:val="00F6303A"/>
    <w:rsid w:val="00F81532"/>
    <w:rsid w:val="00F852BD"/>
    <w:rsid w:val="00F87BB0"/>
    <w:rsid w:val="00F90EE1"/>
    <w:rsid w:val="00F93392"/>
    <w:rsid w:val="00F94960"/>
    <w:rsid w:val="00F95D0D"/>
    <w:rsid w:val="00FA41E6"/>
    <w:rsid w:val="00FA430E"/>
    <w:rsid w:val="00FA7CBC"/>
    <w:rsid w:val="00FB2E12"/>
    <w:rsid w:val="00FB4C24"/>
    <w:rsid w:val="00FC706A"/>
    <w:rsid w:val="00FC765A"/>
    <w:rsid w:val="00FD1FBE"/>
    <w:rsid w:val="00FD29FF"/>
    <w:rsid w:val="00FD398C"/>
    <w:rsid w:val="00FD49E3"/>
    <w:rsid w:val="00FE0BF9"/>
    <w:rsid w:val="00FE76D4"/>
    <w:rsid w:val="05B65858"/>
    <w:rsid w:val="194B69CF"/>
    <w:rsid w:val="23954140"/>
    <w:rsid w:val="3A9850CE"/>
    <w:rsid w:val="43BB7B75"/>
    <w:rsid w:val="58AA5E05"/>
    <w:rsid w:val="6863084A"/>
    <w:rsid w:val="79772E48"/>
    <w:rsid w:val="7CAD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9"/>
    <w:qFormat/>
    <w:uiPriority w:val="0"/>
    <w:pPr>
      <w:spacing w:line="560" w:lineRule="exact"/>
      <w:ind w:firstLine="640" w:firstLineChars="200"/>
    </w:pPr>
    <w:rPr>
      <w:rFonts w:ascii="仿宋_GB2312" w:eastAsia="仿宋_GB2312" w:hAnsiTheme="minorHAnsi" w:cstheme="minorBidi"/>
      <w:sz w:val="32"/>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8">
    <w:name w:val="正文文本缩进 Char"/>
    <w:basedOn w:val="5"/>
    <w:link w:val="2"/>
    <w:uiPriority w:val="0"/>
    <w:rPr>
      <w:rFonts w:ascii="仿宋_GB2312" w:eastAsia="仿宋_GB2312"/>
      <w:kern w:val="2"/>
      <w:sz w:val="32"/>
      <w:szCs w:val="24"/>
    </w:rPr>
  </w:style>
  <w:style w:type="character" w:customStyle="1" w:styleId="9">
    <w:name w:val="正文文本缩进 Char1"/>
    <w:basedOn w:val="5"/>
    <w:link w:val="2"/>
    <w:semiHidden/>
    <w:qFormat/>
    <w:uiPriority w:val="99"/>
    <w:rPr>
      <w:rFonts w:ascii="Times New Roman" w:hAnsi="Times New Roman" w:eastAsia="宋体" w:cs="Times New Roman"/>
      <w:kern w:val="2"/>
      <w:sz w:val="21"/>
      <w:szCs w:val="24"/>
    </w:rPr>
  </w:style>
  <w:style w:type="character" w:customStyle="1" w:styleId="10">
    <w:name w:val="页眉 Char"/>
    <w:basedOn w:val="5"/>
    <w:link w:val="4"/>
    <w:uiPriority w:val="0"/>
    <w:rPr>
      <w:rFonts w:ascii="Times New Roman" w:hAnsi="Times New Roman" w:eastAsia="宋体" w:cs="Times New Roman"/>
      <w:kern w:val="2"/>
      <w:sz w:val="18"/>
      <w:szCs w:val="18"/>
    </w:rPr>
  </w:style>
  <w:style w:type="character" w:customStyle="1" w:styleId="11">
    <w:name w:val="页脚 Char"/>
    <w:basedOn w:val="5"/>
    <w:link w:val="3"/>
    <w:uiPriority w:val="99"/>
    <w:rPr>
      <w:rFonts w:ascii="Times New Roman" w:hAnsi="Times New Roman" w:eastAsia="宋体" w:cs="Times New Roman"/>
      <w:kern w:val="2"/>
      <w:sz w:val="18"/>
      <w:szCs w:val="18"/>
    </w:rPr>
  </w:style>
  <w:style w:type="paragraph" w:customStyle="1" w:styleId="12">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1101</Words>
  <Characters>6279</Characters>
  <Lines>52</Lines>
  <Paragraphs>14</Paragraphs>
  <ScaleCrop>false</ScaleCrop>
  <LinksUpToDate>false</LinksUpToDate>
  <CharactersWithSpaces>7366</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2017-03-03T12:40:00Z</dcterms:created>
  <dc:creator>Windows</dc:creator>
  <cp:lastModifiedBy>luo</cp:lastModifiedBy>
  <cp:lastPrinted>2018-03-09T02:47:00Z</cp:lastPrinted>
  <dcterms:modified xsi:type="dcterms:W3CDTF">2018-03-15T13:40:24Z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