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both"/>
        <w:rPr>
          <w:rFonts w:hint="eastAsia" w:ascii="黑体" w:hAnsi="黑体" w:eastAsia="黑体"/>
          <w:b/>
          <w:bCs/>
          <w:color w:val="000000"/>
          <w:sz w:val="32"/>
          <w:szCs w:val="32"/>
          <w:lang w:eastAsia="zh-CN"/>
        </w:rPr>
      </w:pPr>
      <w:r>
        <w:rPr>
          <w:rFonts w:hint="eastAsia" w:ascii="黑体" w:hAnsi="黑体" w:eastAsia="黑体"/>
          <w:b/>
          <w:bCs/>
          <w:color w:val="000000"/>
          <w:sz w:val="32"/>
          <w:szCs w:val="32"/>
          <w:lang w:val="en-US" w:eastAsia="zh-CN"/>
        </w:rPr>
        <w:t xml:space="preserve">            汕尾市城区</w:t>
      </w:r>
      <w:r>
        <w:rPr>
          <w:rFonts w:hint="eastAsia" w:ascii="黑体" w:hAnsi="黑体" w:eastAsia="黑体"/>
          <w:b/>
          <w:bCs/>
          <w:color w:val="000000"/>
          <w:sz w:val="32"/>
          <w:szCs w:val="32"/>
        </w:rPr>
        <w:t>食品药品</w:t>
      </w:r>
      <w:r>
        <w:rPr>
          <w:rFonts w:hint="eastAsia" w:ascii="黑体" w:hAnsi="黑体" w:eastAsia="黑体"/>
          <w:b/>
          <w:bCs/>
          <w:color w:val="000000"/>
          <w:sz w:val="32"/>
          <w:szCs w:val="32"/>
          <w:lang w:eastAsia="zh-CN"/>
        </w:rPr>
        <w:t>监督管理局</w:t>
      </w:r>
    </w:p>
    <w:p>
      <w:pPr>
        <w:autoSpaceDE w:val="0"/>
        <w:autoSpaceDN w:val="0"/>
        <w:adjustRightInd w:val="0"/>
        <w:jc w:val="center"/>
        <w:rPr>
          <w:b/>
          <w:color w:val="000000"/>
          <w:kern w:val="0"/>
          <w:sz w:val="44"/>
          <w:szCs w:val="44"/>
        </w:rPr>
      </w:pPr>
      <w:r>
        <w:rPr>
          <w:rFonts w:hint="eastAsia"/>
          <w:b/>
          <w:color w:val="000000"/>
          <w:kern w:val="0"/>
          <w:sz w:val="44"/>
          <w:szCs w:val="44"/>
        </w:rPr>
        <w:t>行政处罚决定书</w:t>
      </w:r>
    </w:p>
    <w:p>
      <w:pPr>
        <w:autoSpaceDE w:val="0"/>
        <w:autoSpaceDN w:val="0"/>
        <w:adjustRightInd w:val="0"/>
        <w:spacing w:before="156" w:beforeLines="50"/>
        <w:jc w:val="right"/>
        <w:rPr>
          <w:rFonts w:hint="eastAsia" w:ascii="仿宋_GB2312" w:hAnsi="仿宋" w:eastAsia="仿宋_GB2312"/>
          <w:color w:val="000000"/>
          <w:kern w:val="0"/>
          <w:sz w:val="20"/>
        </w:rPr>
      </w:pPr>
      <w:r>
        <w:rPr>
          <w:rFonts w:hint="eastAsia" w:ascii="仿宋_GB2312" w:hAnsi="仿宋" w:eastAsia="仿宋_GB2312"/>
          <w:color w:val="000000"/>
          <w:szCs w:val="21"/>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298450</wp:posOffset>
                </wp:positionV>
                <wp:extent cx="5615940" cy="635"/>
                <wp:effectExtent l="0" t="0" r="0" b="0"/>
                <wp:wrapNone/>
                <wp:docPr id="1" name="Line 75"/>
                <wp:cNvGraphicFramePr/>
                <a:graphic xmlns:a="http://schemas.openxmlformats.org/drawingml/2006/main">
                  <a:graphicData uri="http://schemas.microsoft.com/office/word/2010/wordprocessingShape">
                    <wps:wsp>
                      <wps:cNvCnPr/>
                      <wps:spPr>
                        <a:xfrm>
                          <a:off x="0" y="0"/>
                          <a:ext cx="5615940" cy="63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Line 75" o:spid="_x0000_s1026" o:spt="20" style="position:absolute;left:0pt;margin-left:-9pt;margin-top:23.5pt;height:0.05pt;width:442.2pt;z-index:251658240;mso-width-relative:page;mso-height-relative:page;" filled="f" stroked="t" coordsize="21600,21600" o:gfxdata="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DT02H1wAAAAkBAAAPAAAAAAAAAAEAIAAAACIAAABkcnMvZG93bnJl&#10;di54bWxQSwECFAAUAAAACACHTuJApOrhbsUBAACPAwAADgAAAAAAAAABACAAAAAmAQAAZHJzL2Uy&#10;b0RvYy54bWxQSwUGAAAAAAYABgBZAQAAXQUAAAAA&#10;">
                <v:fill on="f" focussize="0,0"/>
                <v:stroke weight="1.5pt" color="#000000" joinstyle="round"/>
                <v:imagedata o:title=""/>
                <o:lock v:ext="edit" aspectratio="f"/>
              </v:line>
            </w:pict>
          </mc:Fallback>
        </mc:AlternateContent>
      </w:r>
      <w:r>
        <w:rPr>
          <w:rFonts w:hint="eastAsia" w:ascii="仿宋_GB2312" w:hAnsi="仿宋" w:eastAsia="仿宋_GB2312"/>
          <w:color w:val="000000"/>
          <w:sz w:val="20"/>
        </w:rPr>
        <w:t>（</w:t>
      </w:r>
      <w:r>
        <w:rPr>
          <w:rFonts w:hint="eastAsia" w:ascii="仿宋_GB2312" w:hAnsi="仿宋" w:eastAsia="仿宋_GB2312" w:cs="仿宋"/>
          <w:color w:val="000000"/>
          <w:szCs w:val="21"/>
          <w:lang w:eastAsia="zh-CN"/>
        </w:rPr>
        <w:t>汕市区</w:t>
      </w:r>
      <w:r>
        <w:rPr>
          <w:rFonts w:hint="eastAsia" w:ascii="仿宋_GB2312" w:hAnsi="仿宋" w:eastAsia="仿宋_GB2312"/>
          <w:color w:val="000000"/>
          <w:sz w:val="20"/>
        </w:rPr>
        <w:t>）食药监</w:t>
      </w:r>
      <w:r>
        <w:rPr>
          <w:rFonts w:hint="eastAsia" w:ascii="仿宋_GB2312" w:hAnsi="仿宋" w:eastAsia="仿宋_GB2312"/>
          <w:color w:val="000000"/>
          <w:kern w:val="0"/>
          <w:sz w:val="20"/>
        </w:rPr>
        <w:t>罚</w:t>
      </w:r>
      <w:r>
        <w:rPr>
          <w:rFonts w:hint="eastAsia" w:ascii="仿宋_GB2312" w:hAnsi="仿宋" w:eastAsia="仿宋_GB2312"/>
          <w:color w:val="000000"/>
          <w:sz w:val="20"/>
        </w:rPr>
        <w:t>〔</w:t>
      </w:r>
      <w:r>
        <w:rPr>
          <w:rFonts w:hint="eastAsia" w:ascii="仿宋_GB2312" w:hAnsi="仿宋" w:eastAsia="仿宋_GB2312"/>
          <w:color w:val="000000"/>
          <w:sz w:val="20"/>
          <w:lang w:val="en-US" w:eastAsia="zh-CN"/>
        </w:rPr>
        <w:t>2018</w:t>
      </w:r>
      <w:r>
        <w:rPr>
          <w:rFonts w:hint="eastAsia" w:ascii="仿宋_GB2312" w:hAnsi="仿宋" w:eastAsia="仿宋_GB2312"/>
          <w:color w:val="000000"/>
          <w:sz w:val="20"/>
        </w:rPr>
        <w:t>〕</w:t>
      </w:r>
      <w:r>
        <w:rPr>
          <w:rFonts w:hint="eastAsia" w:ascii="仿宋_GB2312" w:hAnsi="仿宋" w:eastAsia="仿宋_GB2312"/>
          <w:color w:val="000000"/>
          <w:sz w:val="20"/>
          <w:lang w:val="en-US" w:eastAsia="zh-CN"/>
        </w:rPr>
        <w:t>7</w:t>
      </w:r>
      <w:r>
        <w:rPr>
          <w:rFonts w:hint="eastAsia" w:ascii="仿宋_GB2312" w:hAnsi="仿宋" w:eastAsia="仿宋_GB2312"/>
          <w:color w:val="000000"/>
          <w:kern w:val="0"/>
          <w:sz w:val="20"/>
        </w:rPr>
        <w:t>号</w:t>
      </w:r>
    </w:p>
    <w:p>
      <w:pPr>
        <w:keepNext w:val="0"/>
        <w:keepLines w:val="0"/>
        <w:pageBreakBefore w:val="0"/>
        <w:widowControl w:val="0"/>
        <w:kinsoku/>
        <w:wordWrap/>
        <w:overflowPunct/>
        <w:topLinePunct w:val="0"/>
        <w:autoSpaceDE w:val="0"/>
        <w:autoSpaceDN w:val="0"/>
        <w:bidi w:val="0"/>
        <w:adjustRightInd w:val="0"/>
        <w:snapToGrid/>
        <w:spacing w:line="540" w:lineRule="exact"/>
        <w:ind w:left="0" w:leftChars="0" w:right="0" w:rightChars="0" w:firstLine="0" w:firstLineChars="0"/>
        <w:jc w:val="left"/>
        <w:textAlignment w:val="auto"/>
        <w:outlineLvl w:val="9"/>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当事人：李位彦（汕尾市城区新百汇酒家经营者）</w:t>
      </w:r>
    </w:p>
    <w:p>
      <w:pPr>
        <w:keepNext w:val="0"/>
        <w:keepLines w:val="0"/>
        <w:pageBreakBefore w:val="0"/>
        <w:widowControl w:val="0"/>
        <w:kinsoku/>
        <w:wordWrap/>
        <w:overflowPunct/>
        <w:topLinePunct w:val="0"/>
        <w:autoSpaceDE w:val="0"/>
        <w:autoSpaceDN w:val="0"/>
        <w:bidi w:val="0"/>
        <w:adjustRightInd w:val="0"/>
        <w:snapToGrid/>
        <w:spacing w:line="540" w:lineRule="exact"/>
        <w:ind w:left="0" w:leftChars="0" w:right="0" w:rightChars="0" w:firstLine="0" w:firstLineChars="0"/>
        <w:jc w:val="left"/>
        <w:textAlignment w:val="auto"/>
        <w:outlineLvl w:val="9"/>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rPr>
        <w:t>违法事实：</w:t>
      </w:r>
      <w:r>
        <w:rPr>
          <w:rFonts w:hint="eastAsia" w:ascii="仿宋" w:hAnsi="仿宋" w:eastAsia="仿宋" w:cs="仿宋"/>
          <w:color w:val="000000"/>
          <w:kern w:val="0"/>
          <w:sz w:val="32"/>
          <w:szCs w:val="32"/>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540" w:lineRule="exact"/>
        <w:ind w:left="0" w:leftChars="0" w:right="0" w:rightChars="0" w:firstLine="640" w:firstLineChars="0"/>
        <w:jc w:val="both"/>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2018年3月6日，广东省食品药品监督管理局对位于汕尾市区通航路百汇广场屋顶花园第二层商场之三的汕尾市城区新百汇酒家进行监督抽检。当事人采购的食品原料“红旦”（批次：2018-03-06）经广东省药品检验所检测，不符合相关标准要求，检测结论为不合格。(报告编号：2018A03085)。2018年4月12日，我局于向当事人送达检测报告并立案进行调查，提取有关证据材料。经查及当事人供述：本案当事人的违法所得为人民币30元。经核算，本案涉案物品货值金额为人民币129元。</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40" w:lineRule="exact"/>
        <w:ind w:left="0" w:leftChars="0" w:right="0" w:rightChars="0" w:firstLine="640" w:firstLineChars="200"/>
        <w:jc w:val="both"/>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当事人采购上述检测不合格的食品原料的行为违反了</w:t>
      </w:r>
      <w:r>
        <w:rPr>
          <w:rFonts w:hint="eastAsia" w:ascii="仿宋" w:hAnsi="仿宋" w:eastAsia="仿宋" w:cs="仿宋"/>
          <w:color w:val="000000"/>
          <w:sz w:val="32"/>
          <w:szCs w:val="32"/>
          <w:lang w:eastAsia="zh-CN"/>
        </w:rPr>
        <w:t>《中华人民共和国食品安全法》第五十五条</w:t>
      </w:r>
      <w:r>
        <w:rPr>
          <w:rFonts w:hint="eastAsia" w:ascii="仿宋" w:hAnsi="仿宋" w:eastAsia="仿宋" w:cs="仿宋"/>
          <w:color w:val="000000"/>
          <w:kern w:val="0"/>
          <w:sz w:val="32"/>
          <w:szCs w:val="32"/>
          <w:lang w:val="en-US" w:eastAsia="zh-CN"/>
        </w:rPr>
        <w:t>，属于</w:t>
      </w:r>
      <w:r>
        <w:rPr>
          <w:rFonts w:hint="eastAsia" w:ascii="仿宋" w:hAnsi="仿宋" w:eastAsia="仿宋" w:cs="仿宋"/>
          <w:color w:val="000000"/>
          <w:sz w:val="32"/>
          <w:szCs w:val="32"/>
          <w:lang w:eastAsia="zh-CN"/>
        </w:rPr>
        <w:t>采购不符合食品安全标准的食品原料</w:t>
      </w:r>
      <w:r>
        <w:rPr>
          <w:rFonts w:hint="eastAsia" w:ascii="仿宋" w:hAnsi="仿宋" w:eastAsia="仿宋" w:cs="仿宋"/>
          <w:color w:val="000000"/>
          <w:kern w:val="0"/>
          <w:sz w:val="32"/>
          <w:szCs w:val="32"/>
          <w:lang w:val="en-US" w:eastAsia="zh-CN"/>
        </w:rPr>
        <w:t>的违法行为。</w:t>
      </w:r>
      <w:r>
        <w:rPr>
          <w:rFonts w:hint="eastAsia" w:ascii="仿宋" w:hAnsi="仿宋" w:eastAsia="仿宋" w:cs="仿宋"/>
          <w:color w:val="000000"/>
          <w:kern w:val="0"/>
          <w:sz w:val="32"/>
          <w:szCs w:val="32"/>
          <w:lang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540" w:lineRule="exact"/>
        <w:ind w:left="0" w:leftChars="0" w:right="0" w:rightChars="0" w:firstLine="0" w:firstLineChars="0"/>
        <w:jc w:val="both"/>
        <w:textAlignment w:val="auto"/>
        <w:outlineLvl w:val="9"/>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rPr>
        <w:t>相关证据</w:t>
      </w:r>
      <w:r>
        <w:rPr>
          <w:rFonts w:hint="eastAsia" w:ascii="仿宋" w:hAnsi="仿宋" w:eastAsia="仿宋" w:cs="仿宋"/>
          <w:color w:val="000000"/>
          <w:kern w:val="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540" w:lineRule="exact"/>
        <w:ind w:left="0" w:leftChars="0" w:right="0" w:rightChars="0" w:firstLine="0" w:firstLineChars="0"/>
        <w:jc w:val="both"/>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 xml:space="preserve">    1、</w:t>
      </w:r>
      <w:r>
        <w:rPr>
          <w:rFonts w:hint="eastAsia" w:ascii="仿宋" w:hAnsi="仿宋" w:eastAsia="仿宋" w:cs="仿宋"/>
          <w:sz w:val="32"/>
          <w:szCs w:val="32"/>
          <w:lang w:val="en-US" w:eastAsia="zh-CN"/>
        </w:rPr>
        <w:t>检测报告 1份</w:t>
      </w:r>
      <w:r>
        <w:rPr>
          <w:rFonts w:hint="eastAsia" w:ascii="仿宋" w:hAnsi="仿宋" w:eastAsia="仿宋" w:cs="仿宋"/>
          <w:color w:val="000000"/>
          <w:kern w:val="0"/>
          <w:sz w:val="32"/>
          <w:szCs w:val="32"/>
          <w:lang w:val="en-US" w:eastAsia="zh-CN"/>
        </w:rPr>
        <w:t>(报告编号：2018A03085）</w:t>
      </w:r>
      <w:r>
        <w:rPr>
          <w:rFonts w:hint="eastAsia" w:ascii="仿宋" w:hAnsi="仿宋" w:eastAsia="仿宋" w:cs="仿宋"/>
          <w:sz w:val="32"/>
          <w:szCs w:val="32"/>
          <w:lang w:val="en-US" w:eastAsia="zh-CN"/>
        </w:rPr>
        <w:t>；2、</w:t>
      </w:r>
      <w:r>
        <w:rPr>
          <w:rFonts w:hint="eastAsia" w:ascii="仿宋" w:hAnsi="仿宋" w:eastAsia="仿宋" w:cs="仿宋"/>
          <w:color w:val="000000"/>
          <w:kern w:val="0"/>
          <w:sz w:val="32"/>
          <w:szCs w:val="32"/>
          <w:lang w:val="en-US" w:eastAsia="zh-CN"/>
        </w:rPr>
        <w:t>现场检查笔录 1份；等</w:t>
      </w:r>
    </w:p>
    <w:p>
      <w:pPr>
        <w:keepNext w:val="0"/>
        <w:keepLines w:val="0"/>
        <w:pageBreakBefore w:val="0"/>
        <w:widowControl w:val="0"/>
        <w:kinsoku/>
        <w:wordWrap/>
        <w:overflowPunct/>
        <w:topLinePunct w:val="0"/>
        <w:autoSpaceDE w:val="0"/>
        <w:autoSpaceDN w:val="0"/>
        <w:bidi w:val="0"/>
        <w:adjustRightInd w:val="0"/>
        <w:snapToGrid/>
        <w:spacing w:line="540" w:lineRule="exact"/>
        <w:ind w:left="0" w:leftChars="0" w:right="0" w:rightChars="0" w:firstLine="640" w:firstLineChars="0"/>
        <w:jc w:val="both"/>
        <w:textAlignment w:val="auto"/>
        <w:outlineLvl w:val="9"/>
        <w:rPr>
          <w:rFonts w:hint="eastAsia" w:ascii="仿宋" w:hAnsi="仿宋" w:eastAsia="仿宋" w:cs="仿宋"/>
          <w:color w:val="000000"/>
          <w:kern w:val="0"/>
          <w:sz w:val="32"/>
          <w:szCs w:val="32"/>
          <w:lang w:eastAsia="zh-CN"/>
        </w:rPr>
      </w:pPr>
      <w:r>
        <w:rPr>
          <w:rFonts w:hint="eastAsia" w:ascii="仿宋" w:hAnsi="仿宋" w:eastAsia="仿宋" w:cs="仿宋"/>
          <w:color w:val="000000"/>
          <w:sz w:val="32"/>
          <w:szCs w:val="32"/>
          <w:lang w:eastAsia="zh-CN"/>
        </w:rPr>
        <w:t>当事人采购上述</w:t>
      </w:r>
      <w:r>
        <w:rPr>
          <w:rFonts w:hint="eastAsia" w:ascii="仿宋" w:hAnsi="仿宋" w:eastAsia="仿宋" w:cs="仿宋"/>
          <w:color w:val="000000"/>
          <w:kern w:val="0"/>
          <w:sz w:val="32"/>
          <w:szCs w:val="32"/>
          <w:lang w:val="en-US" w:eastAsia="zh-CN"/>
        </w:rPr>
        <w:t>不符合食品安全标准的</w:t>
      </w:r>
      <w:r>
        <w:rPr>
          <w:rFonts w:hint="eastAsia" w:ascii="仿宋" w:hAnsi="仿宋" w:eastAsia="仿宋" w:cs="仿宋"/>
          <w:color w:val="000000"/>
          <w:sz w:val="32"/>
          <w:szCs w:val="32"/>
          <w:lang w:eastAsia="zh-CN"/>
        </w:rPr>
        <w:t>食品原料的行为违反了《中华人民共和国食品安全法》第五十五条第一款</w:t>
      </w:r>
      <w:r>
        <w:rPr>
          <w:rFonts w:hint="eastAsia" w:ascii="仿宋" w:hAnsi="仿宋" w:eastAsia="仿宋" w:cs="仿宋"/>
          <w:color w:val="000000"/>
          <w:sz w:val="32"/>
          <w:szCs w:val="32"/>
          <w:lang w:val="en-US" w:eastAsia="zh-CN"/>
        </w:rPr>
        <w:t>“餐饮服务提供者应当制定并实施原料控制要求，不得采购不符合食品安全标准的食品原料。倡导餐饮服务提供者公开加工过程，公示食品原料及其来源等信息。”的规定，适用罚则《中华人民共和国食品安全法》第一百二十五条第一款第（四）项“违反本法规定，有下列情形之一的，由县级以上人民政府食品药品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四）食品生产经营者采购或者使用不符合食品安全标准的食品原料、食品添加剂、食品相关产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 xml:space="preserve">    综上所述，</w:t>
      </w:r>
      <w:r>
        <w:rPr>
          <w:rFonts w:hint="eastAsia" w:ascii="仿宋" w:hAnsi="仿宋" w:eastAsia="仿宋" w:cs="仿宋"/>
          <w:color w:val="000000"/>
          <w:kern w:val="0"/>
          <w:sz w:val="32"/>
          <w:szCs w:val="32"/>
        </w:rPr>
        <w:t>本局决定</w:t>
      </w:r>
      <w:r>
        <w:rPr>
          <w:rFonts w:hint="eastAsia" w:ascii="仿宋" w:hAnsi="仿宋" w:eastAsia="仿宋" w:cs="仿宋"/>
          <w:color w:val="000000"/>
          <w:kern w:val="0"/>
          <w:sz w:val="32"/>
          <w:szCs w:val="32"/>
          <w:lang w:eastAsia="zh-CN"/>
        </w:rPr>
        <w:t>责令当事人立即整改，并</w:t>
      </w:r>
      <w:r>
        <w:rPr>
          <w:rFonts w:hint="eastAsia" w:ascii="仿宋" w:hAnsi="仿宋" w:eastAsia="仿宋" w:cs="仿宋"/>
          <w:color w:val="000000"/>
          <w:kern w:val="0"/>
          <w:sz w:val="32"/>
          <w:szCs w:val="32"/>
        </w:rPr>
        <w:t>给予</w:t>
      </w:r>
      <w:r>
        <w:rPr>
          <w:rFonts w:hint="eastAsia" w:ascii="仿宋" w:hAnsi="仿宋" w:eastAsia="仿宋" w:cs="仿宋"/>
          <w:color w:val="000000"/>
          <w:kern w:val="0"/>
          <w:sz w:val="32"/>
          <w:szCs w:val="32"/>
          <w:lang w:eastAsia="zh-CN"/>
        </w:rPr>
        <w:t>当事人</w:t>
      </w:r>
      <w:r>
        <w:rPr>
          <w:rFonts w:hint="eastAsia" w:ascii="仿宋" w:hAnsi="仿宋" w:eastAsia="仿宋" w:cs="仿宋"/>
          <w:color w:val="000000"/>
          <w:kern w:val="0"/>
          <w:sz w:val="32"/>
          <w:szCs w:val="32"/>
        </w:rPr>
        <w:t>以下行政处罚：</w:t>
      </w:r>
      <w:r>
        <w:rPr>
          <w:rFonts w:hint="eastAsia" w:ascii="仿宋" w:hAnsi="仿宋" w:eastAsia="仿宋" w:cs="仿宋"/>
          <w:color w:val="000000"/>
          <w:kern w:val="0"/>
          <w:sz w:val="32"/>
          <w:szCs w:val="32"/>
          <w:u w:val="single"/>
          <w:lang w:val="en-US" w:eastAsia="zh-CN"/>
        </w:rPr>
        <w:t>1、没收违法所得人民币叁拾元整（30元整）；2、处罚款人民币伍仟元整（5000元整）。上述罚没款共计人民币伍仟零叁拾元整（5030元整）</w:t>
      </w:r>
      <w:r>
        <w:rPr>
          <w:rFonts w:hint="eastAsia" w:ascii="仿宋" w:hAnsi="仿宋" w:eastAsia="仿宋" w:cs="仿宋"/>
          <w:color w:val="000000"/>
          <w:kern w:val="0"/>
          <w:sz w:val="32"/>
          <w:szCs w:val="32"/>
          <w:lang w:val="en-US" w:eastAsia="zh-CN"/>
        </w:rPr>
        <w:t>。</w:t>
      </w:r>
      <w:r>
        <w:rPr>
          <w:rFonts w:hint="eastAsia" w:ascii="仿宋" w:hAnsi="仿宋" w:eastAsia="仿宋" w:cs="仿宋"/>
          <w:color w:val="000000"/>
          <w:kern w:val="0"/>
          <w:sz w:val="32"/>
          <w:szCs w:val="32"/>
          <w:lang w:eastAsia="zh-CN"/>
        </w:rPr>
        <w:t xml:space="preserve"> </w:t>
      </w:r>
      <w:r>
        <w:rPr>
          <w:rFonts w:hint="eastAsia" w:ascii="仿宋" w:hAnsi="仿宋" w:eastAsia="仿宋" w:cs="仿宋"/>
          <w:color w:val="000000"/>
          <w:kern w:val="0"/>
          <w:sz w:val="32"/>
          <w:szCs w:val="32"/>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540" w:lineRule="exact"/>
        <w:ind w:left="0" w:leftChars="0" w:right="0" w:rightChars="0" w:firstLine="0" w:firstLineChars="0"/>
        <w:jc w:val="both"/>
        <w:textAlignment w:val="auto"/>
        <w:outlineLvl w:val="9"/>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请在接到本处罚决定书之日起15日内将罚没款缴到</w:t>
      </w:r>
      <w:r>
        <w:rPr>
          <w:rFonts w:hint="eastAsia" w:ascii="仿宋" w:hAnsi="仿宋" w:eastAsia="仿宋" w:cs="仿宋"/>
          <w:color w:val="000000"/>
          <w:sz w:val="32"/>
          <w:szCs w:val="32"/>
          <w:lang w:eastAsia="zh-CN"/>
        </w:rPr>
        <w:t>中国邮政储蓄银行汕尾分行营业部</w:t>
      </w:r>
      <w:r>
        <w:rPr>
          <w:rFonts w:hint="eastAsia" w:ascii="仿宋" w:hAnsi="仿宋" w:eastAsia="仿宋" w:cs="仿宋"/>
          <w:color w:val="000000"/>
          <w:kern w:val="0"/>
          <w:sz w:val="32"/>
          <w:szCs w:val="32"/>
        </w:rPr>
        <w:t>。逾期不缴纳罚没款的，根据《中华人民共和国行政处罚法》第五十一条第一项的规定，每日按罚款数额的3%加处罚款，并将依法申请人民法院强制执行。</w:t>
      </w:r>
    </w:p>
    <w:p>
      <w:pPr>
        <w:keepNext w:val="0"/>
        <w:keepLines w:val="0"/>
        <w:pageBreakBefore w:val="0"/>
        <w:widowControl w:val="0"/>
        <w:kinsoku/>
        <w:wordWrap/>
        <w:overflowPunct/>
        <w:topLinePunct w:val="0"/>
        <w:autoSpaceDE w:val="0"/>
        <w:autoSpaceDN w:val="0"/>
        <w:bidi w:val="0"/>
        <w:adjustRightInd w:val="0"/>
        <w:snapToGrid/>
        <w:spacing w:line="540" w:lineRule="exact"/>
        <w:ind w:left="0" w:leftChars="0" w:right="0" w:rightChars="0" w:firstLine="0" w:firstLineChars="0"/>
        <w:jc w:val="both"/>
        <w:textAlignment w:val="auto"/>
        <w:outlineLvl w:val="9"/>
        <w:rPr>
          <w:rFonts w:hint="eastAsia" w:ascii="仿宋_GB2312" w:hAnsi="仿宋" w:eastAsia="仿宋_GB2312"/>
          <w:color w:val="000000"/>
          <w:kern w:val="0"/>
          <w:szCs w:val="21"/>
        </w:rPr>
      </w:pP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如不服本处罚决定，可在接到本处罚决定书之日起60日内向</w:t>
      </w:r>
      <w:r>
        <w:rPr>
          <w:rFonts w:hint="eastAsia" w:ascii="仿宋" w:hAnsi="仿宋" w:eastAsia="仿宋" w:cs="仿宋"/>
          <w:color w:val="000000"/>
          <w:sz w:val="32"/>
          <w:szCs w:val="32"/>
          <w:lang w:eastAsia="zh-CN"/>
        </w:rPr>
        <w:t>汕尾市</w:t>
      </w:r>
      <w:r>
        <w:rPr>
          <w:rFonts w:hint="eastAsia" w:ascii="仿宋" w:hAnsi="仿宋" w:eastAsia="仿宋" w:cs="仿宋"/>
          <w:color w:val="000000"/>
          <w:kern w:val="0"/>
          <w:sz w:val="32"/>
          <w:szCs w:val="32"/>
        </w:rPr>
        <w:t>食品药品监督管理局或者</w:t>
      </w:r>
      <w:r>
        <w:rPr>
          <w:rFonts w:hint="eastAsia" w:ascii="仿宋" w:hAnsi="仿宋" w:eastAsia="仿宋" w:cs="仿宋"/>
          <w:color w:val="000000"/>
          <w:sz w:val="32"/>
          <w:szCs w:val="32"/>
          <w:lang w:eastAsia="zh-CN"/>
        </w:rPr>
        <w:t>汕尾市城区</w:t>
      </w:r>
      <w:r>
        <w:rPr>
          <w:rFonts w:hint="eastAsia" w:ascii="仿宋" w:hAnsi="仿宋" w:eastAsia="仿宋" w:cs="仿宋"/>
          <w:color w:val="000000"/>
          <w:kern w:val="0"/>
          <w:sz w:val="32"/>
          <w:szCs w:val="32"/>
        </w:rPr>
        <w:t>人民政府申请行政复议</w:t>
      </w:r>
      <w:r>
        <w:rPr>
          <w:rFonts w:hint="eastAsia" w:ascii="仿宋" w:hAnsi="仿宋" w:eastAsia="仿宋" w:cs="仿宋"/>
          <w:color w:val="000000"/>
          <w:kern w:val="0"/>
          <w:sz w:val="32"/>
          <w:szCs w:val="32"/>
          <w:lang w:eastAsia="zh-CN"/>
        </w:rPr>
        <w:t>，也可以于</w:t>
      </w:r>
      <w:r>
        <w:rPr>
          <w:rFonts w:hint="eastAsia" w:ascii="仿宋" w:hAnsi="仿宋" w:eastAsia="仿宋" w:cs="仿宋"/>
          <w:color w:val="000000"/>
          <w:kern w:val="0"/>
          <w:sz w:val="32"/>
          <w:szCs w:val="32"/>
          <w:lang w:val="en-US" w:eastAsia="zh-CN"/>
        </w:rPr>
        <w:t>6个月内依法向汕尾市城区人民法院提起行政诉讼。</w:t>
      </w:r>
      <w:bookmarkStart w:id="0" w:name="_GoBack"/>
      <w:bookmarkEnd w:id="0"/>
      <w:r>
        <w:rPr>
          <w:rFonts w:hint="eastAsia" w:ascii="仿宋_GB2312" w:hAnsi="仿宋" w:eastAsia="仿宋_GB2312"/>
          <w:color w:val="000000"/>
          <w:kern w:val="0"/>
          <w:szCs w:val="21"/>
        </w:rPr>
        <w:t xml:space="preserve">  </w:t>
      </w:r>
    </w:p>
    <w:p>
      <w:pPr>
        <w:keepNext w:val="0"/>
        <w:keepLines w:val="0"/>
        <w:pageBreakBefore w:val="0"/>
        <w:widowControl w:val="0"/>
        <w:tabs>
          <w:tab w:val="left" w:pos="8364"/>
        </w:tabs>
        <w:kinsoku/>
        <w:wordWrap/>
        <w:overflowPunct/>
        <w:topLinePunct w:val="0"/>
        <w:autoSpaceDE w:val="0"/>
        <w:autoSpaceDN w:val="0"/>
        <w:bidi w:val="0"/>
        <w:adjustRightInd w:val="0"/>
        <w:snapToGrid/>
        <w:spacing w:before="156" w:beforeLines="50" w:line="510" w:lineRule="exact"/>
        <w:ind w:left="0" w:leftChars="0" w:right="420" w:firstLine="0" w:firstLineChars="0"/>
        <w:jc w:val="center"/>
        <w:textAlignment w:val="auto"/>
        <w:outlineLvl w:val="9"/>
        <w:rPr>
          <w:rFonts w:hint="eastAsia" w:ascii="仿宋_GB2312" w:hAnsi="仿宋" w:eastAsia="仿宋_GB2312" w:cs="仿宋"/>
          <w:color w:val="000000"/>
          <w:sz w:val="32"/>
          <w:szCs w:val="32"/>
        </w:rPr>
      </w:pPr>
      <w:r>
        <w:rPr>
          <w:rFonts w:hint="eastAsia" w:ascii="仿宋_GB2312" w:hAnsi="仿宋" w:eastAsia="仿宋_GB2312"/>
          <w:color w:val="000000"/>
          <w:kern w:val="0"/>
          <w:szCs w:val="21"/>
          <w:lang w:val="en-US" w:eastAsia="zh-CN"/>
        </w:rPr>
        <w:t xml:space="preserve">                                             </w:t>
      </w:r>
      <w:r>
        <w:rPr>
          <w:rFonts w:hint="eastAsia" w:ascii="仿宋_GB2312" w:hAnsi="仿宋" w:eastAsia="仿宋_GB2312"/>
          <w:color w:val="000000"/>
          <w:kern w:val="0"/>
          <w:sz w:val="32"/>
          <w:szCs w:val="32"/>
          <w:lang w:val="en-US" w:eastAsia="zh-CN"/>
        </w:rPr>
        <w:t xml:space="preserve"> </w:t>
      </w:r>
      <w:r>
        <w:rPr>
          <w:rFonts w:hint="eastAsia" w:ascii="仿宋_GB2312" w:hAnsi="仿宋" w:eastAsia="仿宋_GB2312"/>
          <w:color w:val="000000"/>
          <w:kern w:val="0"/>
          <w:sz w:val="32"/>
          <w:szCs w:val="32"/>
        </w:rPr>
        <w:t xml:space="preserve">  </w:t>
      </w:r>
      <w:r>
        <w:rPr>
          <w:rFonts w:hint="eastAsia" w:ascii="仿宋_GB2312" w:hAnsi="仿宋" w:eastAsia="仿宋_GB2312"/>
          <w:color w:val="000000"/>
          <w:kern w:val="0"/>
          <w:sz w:val="32"/>
          <w:szCs w:val="32"/>
          <w:lang w:val="en-US" w:eastAsia="zh-CN"/>
        </w:rPr>
        <w:t xml:space="preserve">     </w:t>
      </w:r>
      <w:r>
        <w:rPr>
          <w:rFonts w:hint="eastAsia" w:ascii="仿宋_GB2312" w:hAnsi="仿宋" w:eastAsia="仿宋_GB2312"/>
          <w:color w:val="000000"/>
          <w:kern w:val="0"/>
          <w:sz w:val="32"/>
          <w:szCs w:val="32"/>
        </w:rPr>
        <w:t>（公   章）</w:t>
      </w:r>
      <w:r>
        <w:rPr>
          <w:rFonts w:hint="eastAsia" w:ascii="仿宋_GB2312" w:hAnsi="仿宋" w:eastAsia="仿宋_GB2312" w:cs="仿宋"/>
          <w:color w:val="000000"/>
          <w:sz w:val="32"/>
          <w:szCs w:val="32"/>
        </w:rPr>
        <w:t xml:space="preserve">                  </w:t>
      </w:r>
    </w:p>
    <w:p>
      <w:pPr>
        <w:keepNext w:val="0"/>
        <w:keepLines w:val="0"/>
        <w:pageBreakBefore w:val="0"/>
        <w:widowControl w:val="0"/>
        <w:kinsoku/>
        <w:wordWrap/>
        <w:overflowPunct/>
        <w:topLinePunct w:val="0"/>
        <w:autoSpaceDE w:val="0"/>
        <w:autoSpaceDN w:val="0"/>
        <w:bidi w:val="0"/>
        <w:adjustRightInd w:val="0"/>
        <w:snapToGrid/>
        <w:spacing w:before="156" w:beforeLines="50" w:line="510" w:lineRule="exact"/>
        <w:ind w:left="0" w:leftChars="0" w:firstLine="0" w:firstLineChars="0"/>
        <w:textAlignment w:val="auto"/>
        <w:outlineLvl w:val="9"/>
      </w:pPr>
      <w:r>
        <w:rPr>
          <w:rFonts w:hint="eastAsia" w:ascii="仿宋_GB2312" w:hAnsi="仿宋" w:eastAsia="仿宋_GB2312" w:cs="仿宋"/>
          <w:color w:val="000000"/>
          <w:sz w:val="32"/>
          <w:szCs w:val="32"/>
          <w:lang w:val="en-US" w:eastAsia="zh-CN"/>
        </w:rPr>
        <w:t xml:space="preserve">                                     </w:t>
      </w:r>
      <w:r>
        <w:rPr>
          <w:rFonts w:hint="eastAsia" w:ascii="仿宋_GB2312" w:hAnsi="仿宋" w:eastAsia="仿宋_GB2312" w:cs="仿宋"/>
          <w:color w:val="000000"/>
          <w:spacing w:val="20"/>
          <w:sz w:val="32"/>
          <w:szCs w:val="32"/>
          <w:lang w:val="en-US" w:eastAsia="zh-CN"/>
        </w:rPr>
        <w:t>2018</w:t>
      </w:r>
      <w:r>
        <w:rPr>
          <w:rFonts w:hint="eastAsia" w:ascii="仿宋_GB2312" w:hAnsi="仿宋" w:eastAsia="仿宋_GB2312"/>
          <w:color w:val="000000"/>
          <w:spacing w:val="20"/>
          <w:kern w:val="0"/>
          <w:sz w:val="32"/>
          <w:szCs w:val="32"/>
        </w:rPr>
        <w:t>年</w:t>
      </w:r>
      <w:r>
        <w:rPr>
          <w:rFonts w:hint="eastAsia" w:ascii="仿宋_GB2312" w:hAnsi="仿宋" w:eastAsia="仿宋_GB2312"/>
          <w:color w:val="000000"/>
          <w:spacing w:val="20"/>
          <w:kern w:val="0"/>
          <w:sz w:val="32"/>
          <w:szCs w:val="32"/>
          <w:lang w:val="en-US" w:eastAsia="zh-CN"/>
        </w:rPr>
        <w:t>5</w:t>
      </w:r>
      <w:r>
        <w:rPr>
          <w:rFonts w:hint="eastAsia" w:ascii="仿宋_GB2312" w:hAnsi="仿宋" w:eastAsia="仿宋_GB2312"/>
          <w:color w:val="000000"/>
          <w:spacing w:val="20"/>
          <w:kern w:val="0"/>
          <w:sz w:val="32"/>
          <w:szCs w:val="32"/>
        </w:rPr>
        <w:t>月</w:t>
      </w:r>
      <w:r>
        <w:rPr>
          <w:rFonts w:hint="eastAsia" w:ascii="仿宋_GB2312" w:hAnsi="仿宋" w:eastAsia="仿宋_GB2312"/>
          <w:color w:val="000000"/>
          <w:spacing w:val="20"/>
          <w:kern w:val="0"/>
          <w:sz w:val="32"/>
          <w:szCs w:val="32"/>
          <w:lang w:val="en-US" w:eastAsia="zh-CN"/>
        </w:rPr>
        <w:t>4</w:t>
      </w:r>
      <w:r>
        <w:rPr>
          <w:rFonts w:hint="eastAsia" w:ascii="仿宋_GB2312" w:hAnsi="仿宋" w:eastAsia="仿宋_GB2312"/>
          <w:color w:val="000000"/>
          <w:spacing w:val="20"/>
          <w:kern w:val="0"/>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84206D"/>
    <w:rsid w:val="0005666C"/>
    <w:rsid w:val="000736BE"/>
    <w:rsid w:val="00175166"/>
    <w:rsid w:val="002D7BF0"/>
    <w:rsid w:val="004112BD"/>
    <w:rsid w:val="00663D99"/>
    <w:rsid w:val="006817ED"/>
    <w:rsid w:val="006D27B5"/>
    <w:rsid w:val="006F10A7"/>
    <w:rsid w:val="007505E3"/>
    <w:rsid w:val="00751647"/>
    <w:rsid w:val="007D0E3A"/>
    <w:rsid w:val="00A46C08"/>
    <w:rsid w:val="00AB2562"/>
    <w:rsid w:val="00B52976"/>
    <w:rsid w:val="00CF778D"/>
    <w:rsid w:val="00D401DB"/>
    <w:rsid w:val="00D71433"/>
    <w:rsid w:val="00D86ADD"/>
    <w:rsid w:val="00E855B4"/>
    <w:rsid w:val="00EE59CD"/>
    <w:rsid w:val="00F418F9"/>
    <w:rsid w:val="023B47FC"/>
    <w:rsid w:val="04166875"/>
    <w:rsid w:val="045A2E04"/>
    <w:rsid w:val="097C548B"/>
    <w:rsid w:val="0C162172"/>
    <w:rsid w:val="0D2D5F6C"/>
    <w:rsid w:val="0D701448"/>
    <w:rsid w:val="0DAE3356"/>
    <w:rsid w:val="104208A8"/>
    <w:rsid w:val="123B5637"/>
    <w:rsid w:val="15E57647"/>
    <w:rsid w:val="18D63865"/>
    <w:rsid w:val="19003712"/>
    <w:rsid w:val="19197E92"/>
    <w:rsid w:val="1966605A"/>
    <w:rsid w:val="19775564"/>
    <w:rsid w:val="197D395D"/>
    <w:rsid w:val="1C2F0D57"/>
    <w:rsid w:val="1D360D8D"/>
    <w:rsid w:val="1D954AD4"/>
    <w:rsid w:val="1F434AB2"/>
    <w:rsid w:val="21E37DDD"/>
    <w:rsid w:val="225C3D5F"/>
    <w:rsid w:val="229342E5"/>
    <w:rsid w:val="2294150B"/>
    <w:rsid w:val="234E45F2"/>
    <w:rsid w:val="241F4096"/>
    <w:rsid w:val="24E72D19"/>
    <w:rsid w:val="28167DD4"/>
    <w:rsid w:val="285E5324"/>
    <w:rsid w:val="28701B57"/>
    <w:rsid w:val="2A6B4DED"/>
    <w:rsid w:val="2B7A0E24"/>
    <w:rsid w:val="2E8E6E01"/>
    <w:rsid w:val="2EB65832"/>
    <w:rsid w:val="2EE03AD3"/>
    <w:rsid w:val="36B405AC"/>
    <w:rsid w:val="38176F72"/>
    <w:rsid w:val="3A174075"/>
    <w:rsid w:val="3A8446FF"/>
    <w:rsid w:val="3D072323"/>
    <w:rsid w:val="3DCA6B01"/>
    <w:rsid w:val="40C66314"/>
    <w:rsid w:val="40F9356A"/>
    <w:rsid w:val="420B1B43"/>
    <w:rsid w:val="42C17D15"/>
    <w:rsid w:val="453706B5"/>
    <w:rsid w:val="459F17E1"/>
    <w:rsid w:val="463C5E5C"/>
    <w:rsid w:val="4B8961FD"/>
    <w:rsid w:val="4D350B18"/>
    <w:rsid w:val="4D9709B3"/>
    <w:rsid w:val="4E366AD3"/>
    <w:rsid w:val="503F45D0"/>
    <w:rsid w:val="55D74DF9"/>
    <w:rsid w:val="55E909A8"/>
    <w:rsid w:val="5684206D"/>
    <w:rsid w:val="5743123B"/>
    <w:rsid w:val="57E56F77"/>
    <w:rsid w:val="595F3FA8"/>
    <w:rsid w:val="5A050D32"/>
    <w:rsid w:val="5ABB1D49"/>
    <w:rsid w:val="5B6B6D6F"/>
    <w:rsid w:val="5BFE5B76"/>
    <w:rsid w:val="5C405E39"/>
    <w:rsid w:val="5D0250CD"/>
    <w:rsid w:val="5D993C99"/>
    <w:rsid w:val="604B39CB"/>
    <w:rsid w:val="610B17D5"/>
    <w:rsid w:val="632C6BAD"/>
    <w:rsid w:val="64D303FD"/>
    <w:rsid w:val="65AC68B8"/>
    <w:rsid w:val="66E42D38"/>
    <w:rsid w:val="67750540"/>
    <w:rsid w:val="67C0311C"/>
    <w:rsid w:val="68DA5789"/>
    <w:rsid w:val="69C7586D"/>
    <w:rsid w:val="6C8F7570"/>
    <w:rsid w:val="6CDB086D"/>
    <w:rsid w:val="6D31475B"/>
    <w:rsid w:val="6F692081"/>
    <w:rsid w:val="70C97BBE"/>
    <w:rsid w:val="70F5453A"/>
    <w:rsid w:val="74DC56EF"/>
    <w:rsid w:val="76352F92"/>
    <w:rsid w:val="78077D21"/>
    <w:rsid w:val="7D8656D9"/>
    <w:rsid w:val="7E936BB7"/>
    <w:rsid w:val="7FEE45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snapToGrid w:val="0"/>
      <w:ind w:firstLine="570"/>
    </w:pPr>
    <w:rPr>
      <w:rFonts w:eastAsia="宋体"/>
      <w:b/>
      <w:bCs/>
      <w:kern w:val="2"/>
      <w:sz w:val="28"/>
      <w:lang w:val="en-US" w:eastAsia="zh-CN" w:bidi="ar-SA"/>
    </w:rPr>
  </w:style>
  <w:style w:type="paragraph" w:customStyle="1" w:styleId="5">
    <w:name w:val="p17"/>
    <w:basedOn w:val="1"/>
    <w:qFormat/>
    <w:uiPriority w:val="0"/>
    <w:pPr>
      <w:widowControl/>
      <w:spacing w:before="100" w:after="100"/>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2788;&#32602;&#25991;&#20070;\&#34892;&#25919;&#22788;&#32602;&#20915;&#23450;&#2007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行政处罚决定书.dot</Template>
  <Pages>1</Pages>
  <Words>497</Words>
  <Characters>503</Characters>
  <Lines>5</Lines>
  <Paragraphs>1</Paragraphs>
  <TotalTime>1</TotalTime>
  <ScaleCrop>false</ScaleCrop>
  <LinksUpToDate>false</LinksUpToDate>
  <CharactersWithSpaces>754</CharactersWithSpaces>
  <Application>WPS Office_10.1.0.7440_F1E327BC-269C-435d-A152-05C5408002CA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2016-01-06T03:29:00Z</dcterms:created>
  <dc:creator>yj5</dc:creator>
  <cp:lastModifiedBy>半海</cp:lastModifiedBy>
  <cp:lastPrinted>2017-12-14T07:49:00Z</cp:lastPrinted>
  <dcterms:modified xsi:type="dcterms:W3CDTF">2018-07-19T06:11:23Z</dcterms:modified>
  <dc:title>表1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2052-10.1.0.7440</vt:lpwstr>
  </property>
</Properties>
</file>