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rPr>
        <w:t>汕尾市城区食品药品监督管理局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T02H1wAAAAkBAAAPAAAAAAAAAAEAIAAAACIAAABkcnMvZG93bnJldi54bWxQSwEC&#10;FAAUAAAACACHTuJAah9pBbwBAACDAwAADgAAAAAAAAABACAAAAAmAQAAZHJzL2Uyb0RvYy54bWxQ&#10;SwUGAAAAAAYABgBZAQAAVA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s="仿宋"/>
          <w:color w:val="000000"/>
          <w:szCs w:val="21"/>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〔2018〕2</w:t>
      </w:r>
      <w:r>
        <w:rPr>
          <w:rFonts w:hint="eastAsia" w:ascii="仿宋_GB2312" w:hAnsi="仿宋" w:eastAsia="仿宋_GB2312"/>
          <w:color w:val="000000"/>
          <w:kern w:val="0"/>
          <w:sz w:val="20"/>
        </w:rPr>
        <w:t>号</w:t>
      </w:r>
    </w:p>
    <w:p>
      <w:pPr>
        <w:autoSpaceDE w:val="0"/>
        <w:autoSpaceDN w:val="0"/>
        <w:adjustRightInd w:val="0"/>
        <w:spacing w:line="520" w:lineRule="exact"/>
        <w:ind w:left="1280" w:hanging="1280" w:hangingChars="400"/>
        <w:jc w:val="left"/>
        <w:rPr>
          <w:rFonts w:ascii="仿宋" w:hAnsi="仿宋" w:eastAsia="仿宋" w:cs="仿宋"/>
          <w:color w:val="000000"/>
          <w:sz w:val="32"/>
          <w:szCs w:val="32"/>
        </w:rPr>
      </w:pPr>
      <w:r>
        <w:rPr>
          <w:rFonts w:hint="eastAsia" w:ascii="仿宋" w:hAnsi="仿宋" w:eastAsia="仿宋" w:cs="仿宋"/>
          <w:color w:val="000000"/>
          <w:kern w:val="0"/>
          <w:sz w:val="32"/>
          <w:szCs w:val="32"/>
        </w:rPr>
        <w:t>当事人：</w:t>
      </w:r>
      <w:r>
        <w:rPr>
          <w:rFonts w:hint="eastAsia" w:ascii="仿宋" w:hAnsi="仿宋" w:eastAsia="仿宋" w:cs="仿宋"/>
          <w:color w:val="000000"/>
          <w:sz w:val="32"/>
          <w:szCs w:val="32"/>
        </w:rPr>
        <w:t>汕尾市国荣广信药业连锁店有限公司城区采芝林大药房</w:t>
      </w:r>
    </w:p>
    <w:p>
      <w:pPr>
        <w:autoSpaceDE w:val="0"/>
        <w:autoSpaceDN w:val="0"/>
        <w:adjustRightInd w:val="0"/>
        <w:spacing w:line="52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违法事实：</w:t>
      </w:r>
    </w:p>
    <w:p>
      <w:pPr>
        <w:autoSpaceDE w:val="0"/>
        <w:autoSpaceDN w:val="0"/>
        <w:adjustRightInd w:val="0"/>
        <w:spacing w:line="52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2018年1月12日，我局根据投诉举报线索（2018年1月2日、2018年1月8日两份转办件）对位于汕尾市城区汕尾大道南段东侧的汕尾市国荣广信药业连锁店有限公司城区采芝林大药房进行监督检查。经调查，</w:t>
      </w:r>
      <w:r>
        <w:rPr>
          <w:rFonts w:hint="eastAsia" w:ascii="仿宋" w:hAnsi="仿宋" w:eastAsia="仿宋" w:cs="仿宋"/>
          <w:color w:val="000000"/>
          <w:kern w:val="0"/>
          <w:sz w:val="32"/>
          <w:szCs w:val="32"/>
          <w:lang w:eastAsia="zh-CN"/>
        </w:rPr>
        <w:t>该案</w:t>
      </w:r>
      <w:r>
        <w:rPr>
          <w:rFonts w:hint="eastAsia" w:ascii="仿宋" w:hAnsi="仿宋" w:eastAsia="仿宋" w:cs="仿宋"/>
          <w:color w:val="000000"/>
          <w:kern w:val="0"/>
          <w:sz w:val="32"/>
          <w:szCs w:val="32"/>
        </w:rPr>
        <w:t>货值金额为28元，违法所得为28元。</w:t>
      </w:r>
    </w:p>
    <w:p>
      <w:pPr>
        <w:autoSpaceDE w:val="0"/>
        <w:autoSpaceDN w:val="0"/>
        <w:adjustRightInd w:val="0"/>
        <w:spacing w:line="52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相关证据：</w:t>
      </w:r>
    </w:p>
    <w:p>
      <w:pPr>
        <w:autoSpaceDE w:val="0"/>
        <w:autoSpaceDN w:val="0"/>
        <w:adjustRightInd w:val="0"/>
        <w:spacing w:line="520" w:lineRule="exact"/>
        <w:jc w:val="left"/>
        <w:rPr>
          <w:rFonts w:ascii="仿宋" w:hAnsi="仿宋" w:eastAsia="仿宋" w:cs="仿宋"/>
          <w:color w:val="000000"/>
          <w:sz w:val="32"/>
          <w:szCs w:val="32"/>
        </w:rPr>
      </w:pPr>
      <w:r>
        <w:rPr>
          <w:rFonts w:hint="eastAsia" w:ascii="仿宋" w:hAnsi="仿宋" w:eastAsia="仿宋" w:cs="仿宋"/>
          <w:color w:val="000000"/>
          <w:kern w:val="0"/>
          <w:sz w:val="32"/>
          <w:szCs w:val="32"/>
        </w:rPr>
        <w:t xml:space="preserve">    1、现场检查笔录1份；2、投诉举报材料一份；</w:t>
      </w:r>
      <w:r>
        <w:rPr>
          <w:rFonts w:hint="eastAsia" w:ascii="仿宋" w:hAnsi="仿宋" w:eastAsia="仿宋" w:cs="仿宋"/>
          <w:color w:val="000000"/>
          <w:kern w:val="0"/>
          <w:sz w:val="32"/>
          <w:szCs w:val="32"/>
          <w:lang w:eastAsia="zh-CN"/>
        </w:rPr>
        <w:t>等</w:t>
      </w:r>
      <w:r>
        <w:rPr>
          <w:rFonts w:hint="eastAsia" w:ascii="仿宋" w:hAnsi="仿宋" w:eastAsia="仿宋" w:cs="仿宋"/>
          <w:color w:val="000000"/>
          <w:sz w:val="32"/>
          <w:szCs w:val="32"/>
        </w:rPr>
        <w:t xml:space="preserve"> </w:t>
      </w:r>
    </w:p>
    <w:p>
      <w:pPr>
        <w:autoSpaceDE w:val="0"/>
        <w:autoSpaceDN w:val="0"/>
        <w:adjustRightInd w:val="0"/>
        <w:spacing w:line="52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autoSpaceDE w:val="0"/>
        <w:autoSpaceDN w:val="0"/>
        <w:adjustRightInd w:val="0"/>
        <w:spacing w:line="52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你（单位）当事人销售标签不符合规定的食品的行为违反了《中华人民共和国食品安全法》第六十七条第一款：“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的规定。适用罚则《中华人民共和国食品安全法》第一百二十五条第一款第二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  </w:t>
      </w:r>
    </w:p>
    <w:p>
      <w:pPr>
        <w:autoSpaceDE w:val="0"/>
        <w:autoSpaceDN w:val="0"/>
        <w:adjustRightInd w:val="0"/>
        <w:spacing w:line="520" w:lineRule="exact"/>
        <w:ind w:firstLine="480" w:firstLineChars="15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 xml:space="preserve"> 综上所诉，本局决定责令你店改正并给予以下行政处罚：</w:t>
      </w:r>
      <w:r>
        <w:rPr>
          <w:rFonts w:hint="eastAsia" w:ascii="仿宋" w:hAnsi="仿宋" w:eastAsia="仿宋" w:cs="仿宋"/>
          <w:color w:val="000000"/>
          <w:kern w:val="0"/>
          <w:sz w:val="32"/>
          <w:szCs w:val="32"/>
          <w:u w:val="single"/>
        </w:rPr>
        <w:t xml:space="preserve">1、没收违法所得贰拾捌元（28元）；2、罚款人民币伍仟元整（5000元）；3、罚没款共计伍仟零贰拾捌元（5028元）。   </w:t>
      </w:r>
    </w:p>
    <w:p>
      <w:pPr>
        <w:autoSpaceDE w:val="0"/>
        <w:autoSpaceDN w:val="0"/>
        <w:adjustRightInd w:val="0"/>
        <w:spacing w:line="520" w:lineRule="exact"/>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 xml:space="preserve">    请在接到本处罚决定书之日起15日内将罚没款缴到</w:t>
      </w:r>
      <w:r>
        <w:rPr>
          <w:rFonts w:hint="eastAsia" w:ascii="仿宋" w:hAnsi="仿宋" w:eastAsia="仿宋" w:cs="仿宋"/>
          <w:color w:val="000000"/>
          <w:sz w:val="32"/>
          <w:szCs w:val="32"/>
        </w:rPr>
        <w:t>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autoSpaceDE w:val="0"/>
        <w:autoSpaceDN w:val="0"/>
        <w:adjustRightInd w:val="0"/>
        <w:spacing w:line="52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如不服本处罚决定，可在接到本处罚决定书之日起60日内向</w:t>
      </w:r>
      <w:r>
        <w:rPr>
          <w:rFonts w:hint="eastAsia" w:ascii="仿宋" w:hAnsi="仿宋" w:eastAsia="仿宋" w:cs="仿宋"/>
          <w:color w:val="000000"/>
          <w:sz w:val="32"/>
          <w:szCs w:val="32"/>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rPr>
        <w:t>汕尾市城区</w:t>
      </w:r>
      <w:r>
        <w:rPr>
          <w:rFonts w:hint="eastAsia" w:ascii="仿宋" w:hAnsi="仿宋" w:eastAsia="仿宋" w:cs="仿宋"/>
          <w:color w:val="000000"/>
          <w:kern w:val="0"/>
          <w:sz w:val="32"/>
          <w:szCs w:val="32"/>
        </w:rPr>
        <w:t>人民政府申请行政复议，也可以于6个月内依法向</w:t>
      </w:r>
      <w:r>
        <w:rPr>
          <w:rFonts w:hint="eastAsia" w:ascii="仿宋" w:hAnsi="仿宋" w:eastAsia="仿宋" w:cs="仿宋"/>
          <w:color w:val="000000"/>
          <w:sz w:val="32"/>
          <w:szCs w:val="32"/>
        </w:rPr>
        <w:t>汕尾市城区</w:t>
      </w:r>
      <w:r>
        <w:rPr>
          <w:rFonts w:hint="eastAsia" w:ascii="仿宋" w:hAnsi="仿宋" w:eastAsia="仿宋" w:cs="仿宋"/>
          <w:color w:val="000000"/>
          <w:kern w:val="0"/>
          <w:sz w:val="32"/>
          <w:szCs w:val="32"/>
        </w:rPr>
        <w:t>人民法院提起行政诉讼。</w:t>
      </w:r>
    </w:p>
    <w:p>
      <w:pPr>
        <w:tabs>
          <w:tab w:val="left" w:pos="8364"/>
        </w:tabs>
        <w:autoSpaceDE w:val="0"/>
        <w:autoSpaceDN w:val="0"/>
        <w:adjustRightInd w:val="0"/>
        <w:spacing w:before="156" w:beforeLines="50" w:line="300" w:lineRule="exact"/>
        <w:ind w:right="420"/>
        <w:jc w:val="center"/>
        <w:rPr>
          <w:rFonts w:ascii="仿宋_GB2312" w:hAnsi="仿宋" w:eastAsia="仿宋_GB2312"/>
          <w:color w:val="000000"/>
          <w:kern w:val="0"/>
          <w:szCs w:val="21"/>
        </w:rPr>
      </w:pPr>
      <w:r>
        <w:rPr>
          <w:rFonts w:hint="eastAsia" w:ascii="仿宋_GB2312" w:hAnsi="仿宋" w:eastAsia="仿宋_GB2312"/>
          <w:color w:val="000000"/>
          <w:kern w:val="0"/>
          <w:szCs w:val="21"/>
        </w:rPr>
        <w:t xml:space="preserve">                                                </w:t>
      </w:r>
    </w:p>
    <w:p>
      <w:pPr>
        <w:tabs>
          <w:tab w:val="left" w:pos="8364"/>
        </w:tabs>
        <w:autoSpaceDE w:val="0"/>
        <w:autoSpaceDN w:val="0"/>
        <w:adjustRightInd w:val="0"/>
        <w:spacing w:before="156" w:beforeLines="50" w:line="300" w:lineRule="exact"/>
        <w:ind w:right="420"/>
        <w:jc w:val="center"/>
        <w:rPr>
          <w:rFonts w:ascii="仿宋_GB2312" w:hAnsi="仿宋" w:eastAsia="仿宋_GB2312"/>
          <w:color w:val="000000"/>
          <w:kern w:val="0"/>
          <w:szCs w:val="21"/>
        </w:rPr>
      </w:pPr>
    </w:p>
    <w:p>
      <w:pPr>
        <w:tabs>
          <w:tab w:val="left" w:pos="8364"/>
        </w:tabs>
        <w:autoSpaceDE w:val="0"/>
        <w:autoSpaceDN w:val="0"/>
        <w:adjustRightInd w:val="0"/>
        <w:spacing w:before="156" w:beforeLines="50" w:line="300" w:lineRule="exact"/>
        <w:ind w:right="420"/>
        <w:jc w:val="center"/>
        <w:rPr>
          <w:rFonts w:ascii="仿宋_GB2312" w:hAnsi="仿宋" w:eastAsia="仿宋_GB2312"/>
          <w:color w:val="000000"/>
          <w:kern w:val="0"/>
          <w:szCs w:val="21"/>
        </w:rPr>
      </w:pPr>
    </w:p>
    <w:p>
      <w:pPr>
        <w:tabs>
          <w:tab w:val="left" w:pos="8364"/>
        </w:tabs>
        <w:autoSpaceDE w:val="0"/>
        <w:autoSpaceDN w:val="0"/>
        <w:adjustRightInd w:val="0"/>
        <w:spacing w:before="156" w:beforeLines="50" w:line="300" w:lineRule="exact"/>
        <w:ind w:right="420"/>
        <w:rPr>
          <w:rFonts w:ascii="仿宋_GB2312" w:hAnsi="仿宋" w:eastAsia="仿宋_GB2312"/>
          <w:color w:val="000000"/>
          <w:kern w:val="0"/>
          <w:szCs w:val="21"/>
        </w:rPr>
      </w:pPr>
    </w:p>
    <w:p>
      <w:pPr>
        <w:tabs>
          <w:tab w:val="left" w:pos="8364"/>
        </w:tabs>
        <w:autoSpaceDE w:val="0"/>
        <w:autoSpaceDN w:val="0"/>
        <w:adjustRightInd w:val="0"/>
        <w:spacing w:before="156" w:beforeLines="50" w:line="300" w:lineRule="exact"/>
        <w:ind w:right="420"/>
        <w:jc w:val="center"/>
        <w:rPr>
          <w:rFonts w:ascii="仿宋_GB2312" w:hAnsi="仿宋" w:eastAsia="仿宋_GB2312" w:cs="仿宋"/>
          <w:color w:val="000000"/>
          <w:sz w:val="32"/>
          <w:szCs w:val="32"/>
        </w:rPr>
      </w:pPr>
      <w:r>
        <w:rPr>
          <w:rFonts w:hint="eastAsia" w:ascii="仿宋_GB2312" w:hAnsi="仿宋" w:eastAsia="仿宋_GB2312"/>
          <w:color w:val="000000"/>
          <w:kern w:val="0"/>
          <w:szCs w:val="21"/>
        </w:rPr>
        <w:t xml:space="preserve">                                             </w:t>
      </w:r>
      <w:r>
        <w:rPr>
          <w:rFonts w:hint="eastAsia" w:ascii="仿宋_GB2312" w:hAnsi="仿宋" w:eastAsia="仿宋_GB2312"/>
          <w:color w:val="000000"/>
          <w:kern w:val="0"/>
          <w:sz w:val="32"/>
          <w:szCs w:val="32"/>
        </w:rPr>
        <w:t xml:space="preserve">    （公  章）</w:t>
      </w:r>
      <w:r>
        <w:rPr>
          <w:rFonts w:hint="eastAsia" w:ascii="仿宋_GB2312" w:hAnsi="仿宋" w:eastAsia="仿宋_GB2312" w:cs="仿宋"/>
          <w:color w:val="000000"/>
          <w:sz w:val="32"/>
          <w:szCs w:val="32"/>
        </w:rPr>
        <w:t xml:space="preserve">                  </w:t>
      </w:r>
    </w:p>
    <w:p>
      <w:pPr>
        <w:autoSpaceDE w:val="0"/>
        <w:autoSpaceDN w:val="0"/>
        <w:adjustRightInd w:val="0"/>
        <w:spacing w:before="156" w:beforeLines="50"/>
        <w:rPr>
          <w:rFonts w:ascii="仿宋_GB2312" w:hAnsi="仿宋" w:eastAsia="仿宋_GB2312"/>
          <w:color w:val="000000"/>
          <w:kern w:val="0"/>
          <w:sz w:val="32"/>
          <w:szCs w:val="32"/>
        </w:rPr>
      </w:pPr>
      <w:r>
        <w:rPr>
          <w:rFonts w:hint="eastAsia" w:ascii="仿宋_GB2312" w:hAnsi="仿宋" w:eastAsia="仿宋_GB2312" w:cs="仿宋"/>
          <w:color w:val="000000"/>
          <w:sz w:val="32"/>
          <w:szCs w:val="32"/>
        </w:rPr>
        <w:t xml:space="preserve">                                   2018</w:t>
      </w:r>
      <w:r>
        <w:rPr>
          <w:rFonts w:hint="eastAsia" w:ascii="仿宋_GB2312" w:hAnsi="仿宋" w:eastAsia="仿宋_GB2312"/>
          <w:color w:val="000000"/>
          <w:kern w:val="0"/>
          <w:sz w:val="32"/>
          <w:szCs w:val="32"/>
        </w:rPr>
        <w:t>年5月3日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14644"/>
    <w:rsid w:val="00027764"/>
    <w:rsid w:val="0005666C"/>
    <w:rsid w:val="000736BE"/>
    <w:rsid w:val="00074D59"/>
    <w:rsid w:val="00082C16"/>
    <w:rsid w:val="000B6032"/>
    <w:rsid w:val="00114724"/>
    <w:rsid w:val="00135548"/>
    <w:rsid w:val="00147748"/>
    <w:rsid w:val="00147A1F"/>
    <w:rsid w:val="00154039"/>
    <w:rsid w:val="00175166"/>
    <w:rsid w:val="001A198B"/>
    <w:rsid w:val="001B0E44"/>
    <w:rsid w:val="001B606A"/>
    <w:rsid w:val="001D2501"/>
    <w:rsid w:val="001F5EB1"/>
    <w:rsid w:val="00213E16"/>
    <w:rsid w:val="0026364B"/>
    <w:rsid w:val="00277764"/>
    <w:rsid w:val="00282432"/>
    <w:rsid w:val="00292BEB"/>
    <w:rsid w:val="002B2363"/>
    <w:rsid w:val="002D7BF0"/>
    <w:rsid w:val="002E183B"/>
    <w:rsid w:val="002E4927"/>
    <w:rsid w:val="00313B1C"/>
    <w:rsid w:val="00320A2D"/>
    <w:rsid w:val="00322520"/>
    <w:rsid w:val="00334C93"/>
    <w:rsid w:val="0036450A"/>
    <w:rsid w:val="003C40F6"/>
    <w:rsid w:val="003D3504"/>
    <w:rsid w:val="003E3756"/>
    <w:rsid w:val="003F7E19"/>
    <w:rsid w:val="004112BD"/>
    <w:rsid w:val="004220A1"/>
    <w:rsid w:val="0046110C"/>
    <w:rsid w:val="004B6787"/>
    <w:rsid w:val="004E481B"/>
    <w:rsid w:val="004E560C"/>
    <w:rsid w:val="00507BB7"/>
    <w:rsid w:val="005415D7"/>
    <w:rsid w:val="00570B86"/>
    <w:rsid w:val="0058033B"/>
    <w:rsid w:val="005A29DB"/>
    <w:rsid w:val="005B45F6"/>
    <w:rsid w:val="0060365B"/>
    <w:rsid w:val="00626643"/>
    <w:rsid w:val="00630AA1"/>
    <w:rsid w:val="006569E5"/>
    <w:rsid w:val="00663D99"/>
    <w:rsid w:val="006817ED"/>
    <w:rsid w:val="006A2BE1"/>
    <w:rsid w:val="006B6EE7"/>
    <w:rsid w:val="006C0206"/>
    <w:rsid w:val="006D27B5"/>
    <w:rsid w:val="006F072B"/>
    <w:rsid w:val="006F10A7"/>
    <w:rsid w:val="0072527C"/>
    <w:rsid w:val="00733CE8"/>
    <w:rsid w:val="007505E3"/>
    <w:rsid w:val="00751647"/>
    <w:rsid w:val="0078711C"/>
    <w:rsid w:val="007D0E3A"/>
    <w:rsid w:val="007F22C1"/>
    <w:rsid w:val="00801AB7"/>
    <w:rsid w:val="00850F32"/>
    <w:rsid w:val="0085356D"/>
    <w:rsid w:val="00893735"/>
    <w:rsid w:val="008B2DB8"/>
    <w:rsid w:val="008B5221"/>
    <w:rsid w:val="008E1FBF"/>
    <w:rsid w:val="009010F6"/>
    <w:rsid w:val="00944E3D"/>
    <w:rsid w:val="009724C6"/>
    <w:rsid w:val="009B3E6F"/>
    <w:rsid w:val="009E3E2D"/>
    <w:rsid w:val="009E46F0"/>
    <w:rsid w:val="00A23608"/>
    <w:rsid w:val="00A46C08"/>
    <w:rsid w:val="00A5222B"/>
    <w:rsid w:val="00A66AAD"/>
    <w:rsid w:val="00A735E2"/>
    <w:rsid w:val="00A749A3"/>
    <w:rsid w:val="00A75C20"/>
    <w:rsid w:val="00AA2D3A"/>
    <w:rsid w:val="00AB2562"/>
    <w:rsid w:val="00AF25D5"/>
    <w:rsid w:val="00B411CC"/>
    <w:rsid w:val="00B41A31"/>
    <w:rsid w:val="00B52976"/>
    <w:rsid w:val="00BB3167"/>
    <w:rsid w:val="00C04901"/>
    <w:rsid w:val="00C31537"/>
    <w:rsid w:val="00C433AD"/>
    <w:rsid w:val="00C5015F"/>
    <w:rsid w:val="00C6545A"/>
    <w:rsid w:val="00CB2ED2"/>
    <w:rsid w:val="00CD0A33"/>
    <w:rsid w:val="00CD7859"/>
    <w:rsid w:val="00CF778D"/>
    <w:rsid w:val="00D005AF"/>
    <w:rsid w:val="00D26E8A"/>
    <w:rsid w:val="00D4644C"/>
    <w:rsid w:val="00D63109"/>
    <w:rsid w:val="00D64A9F"/>
    <w:rsid w:val="00D71433"/>
    <w:rsid w:val="00D74371"/>
    <w:rsid w:val="00D86ADD"/>
    <w:rsid w:val="00DA2571"/>
    <w:rsid w:val="00DD625A"/>
    <w:rsid w:val="00DF1F5F"/>
    <w:rsid w:val="00E10DB3"/>
    <w:rsid w:val="00E46CAD"/>
    <w:rsid w:val="00E524B0"/>
    <w:rsid w:val="00E526F4"/>
    <w:rsid w:val="00E820B9"/>
    <w:rsid w:val="00E855B4"/>
    <w:rsid w:val="00E96A03"/>
    <w:rsid w:val="00EB0192"/>
    <w:rsid w:val="00ED7E3F"/>
    <w:rsid w:val="00EE59CD"/>
    <w:rsid w:val="00EF07C3"/>
    <w:rsid w:val="00F30F7C"/>
    <w:rsid w:val="00F418F9"/>
    <w:rsid w:val="00F73141"/>
    <w:rsid w:val="2A9E6F83"/>
    <w:rsid w:val="415A74E1"/>
    <w:rsid w:val="4E366AD3"/>
    <w:rsid w:val="5684206D"/>
    <w:rsid w:val="64B93FC4"/>
    <w:rsid w:val="7BD7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p17"/>
    <w:basedOn w:val="1"/>
    <w:qFormat/>
    <w:uiPriority w:val="0"/>
    <w:pPr>
      <w:widowControl/>
      <w:spacing w:before="100" w:after="100"/>
      <w:jc w:val="left"/>
    </w:pPr>
    <w:rPr>
      <w:rFonts w:ascii="宋体" w:hAnsi="宋体" w:cs="宋体"/>
      <w:kern w:val="0"/>
      <w:sz w:val="24"/>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Template>
  <Pages>3</Pages>
  <Words>242</Words>
  <Characters>1386</Characters>
  <Lines>11</Lines>
  <Paragraphs>3</Paragraphs>
  <TotalTime>699</TotalTime>
  <ScaleCrop>false</ScaleCrop>
  <LinksUpToDate>false</LinksUpToDate>
  <CharactersWithSpaces>1625</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2018-05-03T01:52:00Z</cp:lastPrinted>
  <dcterms:modified xsi:type="dcterms:W3CDTF">2018-07-19T06:13:45Z</dcterms:modified>
  <dc:title>表1</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