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rPr>
      </w:pPr>
      <w:r>
        <w:rPr>
          <w:rFonts w:hint="eastAsia" w:ascii="仿宋_GB2312" w:hAnsi="宋体" w:eastAsia="仿宋_GB2312"/>
        </w:rPr>
        <w:t>附录1：</w:t>
      </w:r>
    </w:p>
    <w:p>
      <w:pPr>
        <w:wordWrap w:val="0"/>
        <w:spacing w:line="360" w:lineRule="auto"/>
        <w:jc w:val="center"/>
        <w:rPr>
          <w:rFonts w:ascii="黑体" w:hAnsi="宋体" w:eastAsia="黑体" w:cs="黑体"/>
          <w:spacing w:val="20"/>
          <w:w w:val="104"/>
          <w:sz w:val="52"/>
        </w:rPr>
      </w:pPr>
      <w:r>
        <w:rPr>
          <w:rFonts w:hint="eastAsia" w:ascii="黑体" w:hAnsi="宋体" w:eastAsia="黑体" w:cs="黑体"/>
          <w:spacing w:val="20"/>
          <w:w w:val="104"/>
          <w:sz w:val="52"/>
        </w:rPr>
        <w:t>产品质量监督抽查实施细则</w:t>
      </w:r>
    </w:p>
    <w:p>
      <w:pPr>
        <w:wordWrap w:val="0"/>
        <w:spacing w:before="240" w:line="360" w:lineRule="auto"/>
        <w:jc w:val="right"/>
        <w:rPr>
          <w:rFonts w:ascii="黑体" w:hAnsi="宋体" w:eastAsia="黑体" w:cs="黑体"/>
          <w:sz w:val="28"/>
        </w:rPr>
      </w:pPr>
      <w:r>
        <mc:AlternateContent>
          <mc:Choice Requires="wps">
            <w:drawing>
              <wp:anchor distT="0" distB="0" distL="0" distR="0" simplePos="0" relativeHeight="1024" behindDoc="0" locked="0" layoutInCell="1" allowOverlap="1">
                <wp:simplePos x="0" y="0"/>
                <wp:positionH relativeFrom="column">
                  <wp:posOffset>0</wp:posOffset>
                </wp:positionH>
                <wp:positionV relativeFrom="paragraph">
                  <wp:posOffset>495300</wp:posOffset>
                </wp:positionV>
                <wp:extent cx="5829300" cy="635"/>
                <wp:effectExtent l="0" t="0" r="0" b="0"/>
                <wp:wrapNone/>
                <wp:docPr id="1" name="1026"/>
                <wp:cNvGraphicFramePr/>
                <a:graphic xmlns:a="http://schemas.openxmlformats.org/drawingml/2006/main">
                  <a:graphicData uri="http://schemas.microsoft.com/office/word/2010/wordprocessingShape">
                    <wps:wsp>
                      <wps:cNvSpPr/>
                      <wps:spPr>
                        <a:xfrm>
                          <a:off x="0" y="0"/>
                          <a:ext cx="5829300" cy="635"/>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1026" o:spid="_x0000_s1026" o:spt="20" style="position:absolute;left:0pt;margin-left:0pt;margin-top:39pt;height:0.05pt;width:459pt;z-index:1024;mso-width-relative:page;mso-height-relative:page;" filled="f" stroked="t" coordsize="21600,21600" o:gfxdata="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5UdEOtMAAAAGAQAADwAAAAAAAAABACAAAAAiAAAAZHJzL2Rvd25yZXYueG1sUEsB&#10;AhQAFAAAAAgAh07iQA3HyLnBAQAAjAMAAA4AAAAAAAAAAQAgAAAAIgEAAGRycy9lMm9Eb2MueG1s&#10;UEsFBgAAAAAGAAYAWQEAAFUFAAAAAA==&#10;">
                <v:fill on="f" focussize="0,0"/>
                <v:stroke weight="1pt" color="#800008" joinstyle="round"/>
                <v:imagedata o:title=""/>
                <o:lock v:ext="edit" aspectratio="f"/>
              </v:line>
            </w:pict>
          </mc:Fallback>
        </mc:AlternateContent>
      </w:r>
    </w:p>
    <w:p>
      <w:pPr>
        <w:wordWrap w:val="0"/>
        <w:adjustRightInd w:val="0"/>
        <w:snapToGrid w:val="0"/>
        <w:spacing w:line="360" w:lineRule="auto"/>
        <w:jc w:val="center"/>
        <w:rPr>
          <w:sz w:val="44"/>
        </w:rPr>
      </w:pPr>
    </w:p>
    <w:p>
      <w:pPr>
        <w:wordWrap w:val="0"/>
        <w:adjustRightInd w:val="0"/>
        <w:snapToGrid w:val="0"/>
        <w:spacing w:line="360" w:lineRule="auto"/>
        <w:jc w:val="center"/>
        <w:rPr>
          <w:sz w:val="44"/>
        </w:rPr>
      </w:pPr>
    </w:p>
    <w:p>
      <w:pPr>
        <w:wordWrap w:val="0"/>
        <w:adjustRightInd w:val="0"/>
        <w:snapToGrid w:val="0"/>
        <w:spacing w:line="360" w:lineRule="auto"/>
        <w:jc w:val="center"/>
        <w:rPr>
          <w:sz w:val="44"/>
        </w:rPr>
      </w:pPr>
    </w:p>
    <w:p>
      <w:pPr>
        <w:wordWrap w:val="0"/>
        <w:adjustRightInd w:val="0"/>
        <w:snapToGrid w:val="0"/>
        <w:spacing w:line="360" w:lineRule="auto"/>
        <w:ind w:left="-178" w:leftChars="-85"/>
        <w:jc w:val="center"/>
        <w:rPr>
          <w:rFonts w:ascii="黑体" w:hAnsi="宋体" w:eastAsia="黑体" w:cs="黑体"/>
          <w:sz w:val="44"/>
          <w:szCs w:val="44"/>
        </w:rPr>
      </w:pPr>
      <w:r>
        <w:rPr>
          <w:rFonts w:hint="eastAsia" w:ascii="黑体" w:hAnsi="宋体" w:eastAsia="黑体" w:cs="黑体"/>
          <w:sz w:val="44"/>
          <w:szCs w:val="44"/>
        </w:rPr>
        <w:t>配装眼镜</w:t>
      </w: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rPr>
          <w:sz w:val="28"/>
        </w:rPr>
      </w:pPr>
    </w:p>
    <w:p>
      <w:pPr>
        <w:wordWrap w:val="0"/>
        <w:spacing w:line="360" w:lineRule="auto"/>
        <w:jc w:val="center"/>
        <w:rPr>
          <w:sz w:val="28"/>
        </w:rPr>
      </w:pPr>
    </w:p>
    <w:p>
      <w:pPr>
        <w:wordWrap w:val="0"/>
        <w:spacing w:line="360" w:lineRule="auto"/>
        <w:jc w:val="center"/>
        <w:rPr>
          <w:sz w:val="28"/>
        </w:rPr>
      </w:pPr>
    </w:p>
    <w:p>
      <w:pPr>
        <w:wordWrap w:val="0"/>
        <w:spacing w:line="360" w:lineRule="auto"/>
        <w:jc w:val="center"/>
        <w:rPr>
          <w:sz w:val="28"/>
        </w:rPr>
      </w:pPr>
    </w:p>
    <w:p>
      <w:pPr>
        <w:wordWrap w:val="0"/>
        <w:snapToGrid w:val="0"/>
        <w:rPr>
          <w:u w:val="single"/>
        </w:rPr>
      </w:pPr>
      <w:r>
        <w:rPr>
          <w:snapToGrid w:val="0"/>
        </w:rPr>
        <mc:AlternateContent>
          <mc:Choice Requires="wps">
            <w:drawing>
              <wp:anchor distT="0" distB="0" distL="0" distR="0" simplePos="0" relativeHeight="1024" behindDoc="0" locked="0" layoutInCell="1" allowOverlap="1">
                <wp:simplePos x="0" y="0"/>
                <wp:positionH relativeFrom="column">
                  <wp:posOffset>114300</wp:posOffset>
                </wp:positionH>
                <wp:positionV relativeFrom="paragraph">
                  <wp:posOffset>37465</wp:posOffset>
                </wp:positionV>
                <wp:extent cx="5600700" cy="635"/>
                <wp:effectExtent l="0" t="0" r="0" b="0"/>
                <wp:wrapNone/>
                <wp:docPr id="2" name="1027"/>
                <wp:cNvGraphicFramePr/>
                <a:graphic xmlns:a="http://schemas.openxmlformats.org/drawingml/2006/main">
                  <a:graphicData uri="http://schemas.microsoft.com/office/word/2010/wordprocessingShape">
                    <wps:wsp>
                      <wps:cNvSp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1027" o:spid="_x0000_s1026" o:spt="20" style="position:absolute;left:0pt;margin-left:9pt;margin-top:2.95pt;height:0.05pt;width:441pt;z-index:1024;mso-width-relative:page;mso-height-relative:page;" filled="f" stroked="t" coordsize="21600,21600" o:gfxdata="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3wkEdQAAAAGAQAADwAAAAAAAAABACAAAAAiAAAAZHJzL2Rvd25yZXYueG1sUEsB&#10;AhQAFAAAAAgAh07iQC6769DAAQAAiwMAAA4AAAAAAAAAAQAgAAAAIwEAAGRycy9lMm9Eb2MueG1s&#10;UEsFBgAAAAAGAAYAWQEAAFUFAAAAAA==&#10;">
                <v:fill on="f" focussize="0,0"/>
                <v:stroke color="#000000" joinstyle="round"/>
                <v:imagedata o:title=""/>
                <o:lock v:ext="edit" aspectratio="f"/>
              </v:line>
            </w:pict>
          </mc:Fallback>
        </mc:AlternateContent>
      </w:r>
    </w:p>
    <w:p>
      <w:pPr>
        <w:wordWrap w:val="0"/>
        <w:snapToGrid w:val="0"/>
        <w:rPr>
          <w:u w:val="single"/>
        </w:rPr>
      </w:pPr>
    </w:p>
    <w:p>
      <w:pPr>
        <w:wordWrap w:val="0"/>
        <w:snapToGrid w:val="0"/>
        <w:jc w:val="center"/>
        <w:rPr>
          <w:rFonts w:ascii="黑体" w:eastAsia="黑体" w:cs="黑体"/>
          <w:w w:val="148"/>
          <w:sz w:val="36"/>
        </w:rPr>
      </w:pPr>
      <w:r>
        <w:rPr>
          <w:rFonts w:hint="eastAsia" w:ascii="黑体" w:eastAsia="黑体" w:cs="黑体"/>
          <w:w w:val="148"/>
          <w:sz w:val="36"/>
        </w:rPr>
        <w:t>广东汕尾市质量计量监督检测所</w:t>
      </w:r>
    </w:p>
    <w:p>
      <w:pPr>
        <w:spacing w:line="500" w:lineRule="exact"/>
        <w:jc w:val="left"/>
        <w:rPr>
          <w:rFonts w:ascii="宋体" w:hAnsi="宋体" w:cs="宋体"/>
          <w:sz w:val="24"/>
        </w:rPr>
      </w:pP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460" w:lineRule="exact"/>
        <w:rPr>
          <w:rFonts w:ascii="仿宋_GB2312" w:hAnsi="宋体" w:eastAsia="仿宋_GB2312"/>
        </w:rPr>
      </w:pPr>
    </w:p>
    <w:p>
      <w:pPr>
        <w:ind w:firstLine="810" w:firstLineChars="225"/>
        <w:jc w:val="center"/>
        <w:rPr>
          <w:sz w:val="32"/>
        </w:rPr>
      </w:pPr>
      <w:r>
        <w:rPr>
          <w:rFonts w:hint="eastAsia" w:ascii="仿宋_GB2312" w:eastAsia="仿宋_GB2312"/>
          <w:sz w:val="36"/>
          <w:szCs w:val="36"/>
        </w:rPr>
        <w:t>2018年汕尾市配装眼镜产品质量专项监督抽查实施细则</w:t>
      </w:r>
    </w:p>
    <w:p>
      <w:pPr>
        <w:rPr>
          <w:rFonts w:ascii="仿宋_GB2312" w:eastAsia="仿宋_GB2312"/>
          <w:bCs/>
          <w:sz w:val="32"/>
          <w:szCs w:val="32"/>
        </w:rPr>
      </w:pPr>
      <w:r>
        <w:rPr>
          <w:rFonts w:hint="eastAsia" w:ascii="仿宋_GB2312" w:eastAsia="仿宋_GB2312"/>
          <w:bCs/>
          <w:sz w:val="32"/>
          <w:szCs w:val="32"/>
        </w:rPr>
        <w:t>一、适用范围</w:t>
      </w:r>
    </w:p>
    <w:p>
      <w:pPr>
        <w:ind w:firstLine="720" w:firstLineChars="225"/>
        <w:rPr>
          <w:rFonts w:ascii="仿宋_GB2312" w:eastAsia="仿宋_GB2312"/>
          <w:sz w:val="32"/>
          <w:szCs w:val="32"/>
        </w:rPr>
      </w:pPr>
      <w:r>
        <w:rPr>
          <w:rFonts w:hint="eastAsia" w:ascii="仿宋_GB2312" w:eastAsia="仿宋_GB2312"/>
          <w:sz w:val="32"/>
          <w:szCs w:val="32"/>
        </w:rPr>
        <w:t>本实施细则适用于对汕尾市生产企业生产的配装眼镜产品质量监督检验。</w:t>
      </w:r>
    </w:p>
    <w:p>
      <w:pPr>
        <w:rPr>
          <w:rFonts w:ascii="仿宋_GB2312" w:eastAsia="仿宋_GB2312"/>
          <w:bCs/>
          <w:sz w:val="32"/>
          <w:szCs w:val="32"/>
        </w:rPr>
      </w:pPr>
      <w:r>
        <w:rPr>
          <w:rFonts w:hint="eastAsia" w:ascii="仿宋_GB2312" w:eastAsia="仿宋_GB2312"/>
          <w:bCs/>
          <w:sz w:val="32"/>
          <w:szCs w:val="32"/>
        </w:rPr>
        <w:t>二、抽查范围</w:t>
      </w:r>
    </w:p>
    <w:p>
      <w:pPr>
        <w:numPr>
          <w:ilvl w:val="0"/>
          <w:numId w:val="1"/>
        </w:numPr>
        <w:rPr>
          <w:rFonts w:ascii="仿宋_GB2312" w:eastAsia="仿宋_GB2312"/>
          <w:bCs/>
          <w:sz w:val="32"/>
          <w:szCs w:val="32"/>
        </w:rPr>
      </w:pPr>
      <w:r>
        <w:rPr>
          <w:rFonts w:hint="eastAsia" w:ascii="仿宋_GB2312" w:eastAsia="仿宋_GB2312"/>
          <w:sz w:val="32"/>
          <w:szCs w:val="32"/>
        </w:rPr>
        <w:t>抽查产品名称：</w:t>
      </w:r>
    </w:p>
    <w:p>
      <w:pPr>
        <w:ind w:firstLine="720" w:firstLineChars="225"/>
        <w:rPr>
          <w:rFonts w:ascii="仿宋_GB2312" w:eastAsia="仿宋_GB2312"/>
          <w:bCs/>
          <w:sz w:val="32"/>
          <w:szCs w:val="32"/>
        </w:rPr>
      </w:pPr>
      <w:r>
        <w:rPr>
          <w:rFonts w:hint="eastAsia" w:ascii="仿宋_GB2312" w:eastAsia="仿宋_GB2312"/>
          <w:sz w:val="32"/>
          <w:szCs w:val="32"/>
        </w:rPr>
        <w:t>配装眼镜。</w:t>
      </w:r>
    </w:p>
    <w:p>
      <w:pPr>
        <w:numPr>
          <w:ilvl w:val="0"/>
          <w:numId w:val="1"/>
        </w:numPr>
        <w:rPr>
          <w:rFonts w:ascii="仿宋_GB2312" w:eastAsia="仿宋_GB2312"/>
          <w:bCs/>
          <w:sz w:val="32"/>
          <w:szCs w:val="32"/>
        </w:rPr>
      </w:pPr>
      <w:r>
        <w:rPr>
          <w:rFonts w:hint="eastAsia" w:ascii="仿宋_GB2312" w:eastAsia="仿宋_GB2312"/>
          <w:sz w:val="32"/>
          <w:szCs w:val="32"/>
        </w:rPr>
        <w:t>抽查地区：</w:t>
      </w:r>
    </w:p>
    <w:p>
      <w:pPr>
        <w:ind w:firstLine="720" w:firstLineChars="225"/>
        <w:rPr>
          <w:rFonts w:ascii="仿宋_GB2312" w:eastAsia="仿宋_GB2312"/>
          <w:sz w:val="32"/>
          <w:szCs w:val="32"/>
        </w:rPr>
      </w:pPr>
      <w:r>
        <w:rPr>
          <w:rFonts w:hint="eastAsia" w:ascii="仿宋_GB2312" w:eastAsia="仿宋_GB2312"/>
          <w:sz w:val="32"/>
          <w:szCs w:val="32"/>
        </w:rPr>
        <w:t xml:space="preserve"> 广东省汕尾市地区内。</w:t>
      </w:r>
    </w:p>
    <w:p>
      <w:pPr>
        <w:numPr>
          <w:ilvl w:val="0"/>
          <w:numId w:val="1"/>
        </w:numPr>
        <w:rPr>
          <w:rFonts w:ascii="仿宋_GB2312" w:eastAsia="仿宋_GB2312"/>
          <w:bCs/>
          <w:sz w:val="32"/>
          <w:szCs w:val="32"/>
        </w:rPr>
      </w:pPr>
      <w:r>
        <w:rPr>
          <w:rFonts w:hint="eastAsia" w:ascii="仿宋_GB2312" w:eastAsia="仿宋_GB2312"/>
          <w:sz w:val="32"/>
          <w:szCs w:val="32"/>
        </w:rPr>
        <w:t>抽查数量：</w:t>
      </w:r>
    </w:p>
    <w:p>
      <w:pPr>
        <w:ind w:firstLine="720" w:firstLineChars="225"/>
        <w:rPr>
          <w:rFonts w:ascii="仿宋_GB2312" w:eastAsia="仿宋_GB2312"/>
          <w:sz w:val="32"/>
          <w:szCs w:val="32"/>
        </w:rPr>
      </w:pPr>
      <w:r>
        <w:rPr>
          <w:rFonts w:hint="eastAsia" w:ascii="仿宋_GB2312" w:eastAsia="仿宋_GB2312"/>
          <w:sz w:val="32"/>
          <w:szCs w:val="32"/>
        </w:rPr>
        <w:t>按照生产经营的品种及种类，每个生产企业可抽取至少1个规格的一份样品。</w:t>
      </w:r>
    </w:p>
    <w:p>
      <w:pPr>
        <w:rPr>
          <w:rFonts w:ascii="仿宋_GB2312" w:eastAsia="仿宋_GB2312"/>
          <w:bCs/>
          <w:sz w:val="32"/>
          <w:szCs w:val="32"/>
        </w:rPr>
      </w:pPr>
      <w:r>
        <w:rPr>
          <w:rFonts w:hint="eastAsia" w:ascii="仿宋_GB2312" w:eastAsia="仿宋_GB2312"/>
          <w:bCs/>
          <w:sz w:val="32"/>
          <w:szCs w:val="32"/>
        </w:rPr>
        <w:t>三、抽样方法</w:t>
      </w:r>
      <w:r>
        <w:rPr>
          <w:rFonts w:hint="eastAsia" w:ascii="仿宋_GB2312" w:eastAsia="仿宋_GB2312"/>
          <w:sz w:val="32"/>
          <w:szCs w:val="32"/>
        </w:rPr>
        <w:t>及数量</w:t>
      </w:r>
    </w:p>
    <w:p>
      <w:pPr>
        <w:numPr>
          <w:ilvl w:val="0"/>
          <w:numId w:val="2"/>
        </w:numPr>
        <w:rPr>
          <w:rFonts w:ascii="仿宋_GB2312" w:hAnsi="宋体" w:eastAsia="仿宋_GB2312"/>
          <w:sz w:val="32"/>
          <w:szCs w:val="32"/>
        </w:rPr>
      </w:pPr>
      <w:r>
        <w:rPr>
          <w:rFonts w:hint="eastAsia" w:ascii="仿宋_GB2312" w:hAnsi="宋体" w:eastAsia="仿宋_GB2312"/>
          <w:sz w:val="32"/>
          <w:szCs w:val="32"/>
        </w:rPr>
        <w:t>抽样地点：</w:t>
      </w:r>
    </w:p>
    <w:p>
      <w:pPr>
        <w:ind w:firstLine="480" w:firstLineChars="150"/>
        <w:rPr>
          <w:rFonts w:ascii="仿宋_GB2312" w:hAnsi="宋体" w:eastAsia="仿宋_GB2312"/>
          <w:sz w:val="32"/>
          <w:szCs w:val="32"/>
        </w:rPr>
      </w:pPr>
      <w:r>
        <w:rPr>
          <w:rFonts w:hint="eastAsia" w:ascii="仿宋_GB2312" w:hAnsi="宋体" w:eastAsia="仿宋_GB2312"/>
          <w:sz w:val="32"/>
          <w:szCs w:val="32"/>
        </w:rPr>
        <w:t>在企业成品柜台中随机抽样。</w:t>
      </w:r>
    </w:p>
    <w:p>
      <w:pPr>
        <w:numPr>
          <w:ilvl w:val="0"/>
          <w:numId w:val="2"/>
        </w:numPr>
        <w:rPr>
          <w:rFonts w:ascii="仿宋_GB2312" w:eastAsia="仿宋_GB2312"/>
          <w:sz w:val="32"/>
          <w:szCs w:val="32"/>
        </w:rPr>
      </w:pPr>
      <w:r>
        <w:rPr>
          <w:rFonts w:hint="eastAsia" w:ascii="仿宋_GB2312" w:eastAsia="仿宋_GB2312"/>
          <w:sz w:val="32"/>
          <w:szCs w:val="32"/>
        </w:rPr>
        <w:t>抽样方法：</w:t>
      </w:r>
    </w:p>
    <w:p>
      <w:pPr>
        <w:snapToGrid w:val="0"/>
        <w:spacing w:line="476" w:lineRule="exact"/>
        <w:ind w:firstLine="614" w:firstLineChars="192"/>
        <w:rPr>
          <w:rFonts w:ascii="仿宋_GB2312" w:eastAsia="仿宋_GB2312"/>
          <w:sz w:val="32"/>
          <w:szCs w:val="32"/>
        </w:rPr>
      </w:pPr>
      <w:r>
        <w:rPr>
          <w:rFonts w:hint="eastAsia" w:ascii="仿宋_GB2312" w:eastAsia="仿宋_GB2312"/>
          <w:sz w:val="32"/>
          <w:szCs w:val="32"/>
        </w:rPr>
        <w:t>从验配眼镜店随机抽取一副经检验合格可以交付顾客的定配眼镜。定配眼镜包含所有按处方定制的各类眼镜架以及使用玻璃或树脂镜片的成品。</w:t>
      </w:r>
    </w:p>
    <w:p>
      <w:pPr>
        <w:numPr>
          <w:ilvl w:val="0"/>
          <w:numId w:val="2"/>
        </w:numPr>
        <w:rPr>
          <w:rFonts w:ascii="仿宋_GB2312" w:eastAsia="仿宋_GB2312"/>
          <w:sz w:val="32"/>
          <w:szCs w:val="32"/>
        </w:rPr>
      </w:pPr>
      <w:r>
        <w:rPr>
          <w:rFonts w:hint="eastAsia" w:ascii="仿宋_GB2312" w:hAnsi="宋体" w:eastAsia="仿宋_GB2312"/>
          <w:sz w:val="32"/>
          <w:szCs w:val="32"/>
        </w:rPr>
        <w:t>抽样基数：</w:t>
      </w:r>
    </w:p>
    <w:p>
      <w:pPr>
        <w:ind w:firstLine="537" w:firstLineChars="168"/>
        <w:rPr>
          <w:rFonts w:ascii="仿宋_GB2312" w:eastAsia="仿宋_GB2312"/>
          <w:sz w:val="32"/>
          <w:szCs w:val="32"/>
        </w:rPr>
      </w:pPr>
      <w:r>
        <w:rPr>
          <w:rFonts w:hint="eastAsia" w:ascii="仿宋_GB2312" w:eastAsia="仿宋_GB2312"/>
          <w:sz w:val="32"/>
          <w:szCs w:val="32"/>
        </w:rPr>
        <w:t>配装眼镜，产品抽样基数应不少于1副。</w:t>
      </w:r>
    </w:p>
    <w:p>
      <w:pPr>
        <w:numPr>
          <w:ilvl w:val="0"/>
          <w:numId w:val="2"/>
        </w:numPr>
        <w:rPr>
          <w:rFonts w:ascii="仿宋_GB2312" w:eastAsia="仿宋_GB2312"/>
          <w:sz w:val="32"/>
          <w:szCs w:val="32"/>
        </w:rPr>
      </w:pPr>
      <w:r>
        <w:rPr>
          <w:rFonts w:hint="eastAsia" w:ascii="仿宋_GB2312" w:hAnsi="宋体" w:eastAsia="仿宋_GB2312"/>
          <w:sz w:val="32"/>
          <w:szCs w:val="32"/>
        </w:rPr>
        <w:t>抽样数量：</w:t>
      </w:r>
    </w:p>
    <w:p>
      <w:pPr>
        <w:ind w:firstLine="480" w:firstLineChars="150"/>
        <w:rPr>
          <w:rFonts w:ascii="仿宋_GB2312" w:eastAsia="仿宋_GB2312"/>
          <w:sz w:val="32"/>
          <w:szCs w:val="32"/>
        </w:rPr>
      </w:pPr>
      <w:r>
        <w:rPr>
          <w:rFonts w:hint="eastAsia" w:ascii="仿宋_GB2312" w:eastAsia="仿宋_GB2312"/>
          <w:sz w:val="32"/>
          <w:szCs w:val="32"/>
        </w:rPr>
        <w:t>配装眼镜，样品数量：1副。（无备样）</w:t>
      </w:r>
    </w:p>
    <w:p>
      <w:pPr>
        <w:numPr>
          <w:ilvl w:val="0"/>
          <w:numId w:val="2"/>
        </w:numPr>
        <w:rPr>
          <w:rFonts w:ascii="仿宋_GB2312" w:eastAsia="仿宋_GB2312"/>
          <w:sz w:val="32"/>
          <w:szCs w:val="32"/>
        </w:rPr>
      </w:pPr>
      <w:r>
        <w:rPr>
          <w:rFonts w:hint="eastAsia" w:ascii="仿宋_GB2312" w:hAnsi="宋体" w:eastAsia="仿宋_GB2312"/>
          <w:sz w:val="32"/>
          <w:szCs w:val="32"/>
        </w:rPr>
        <w:t>封样要求：</w:t>
      </w:r>
    </w:p>
    <w:p>
      <w:pPr>
        <w:ind w:firstLine="480" w:firstLineChars="150"/>
        <w:rPr>
          <w:rFonts w:ascii="仿宋_GB2312" w:eastAsia="仿宋_GB2312"/>
          <w:sz w:val="32"/>
          <w:szCs w:val="32"/>
        </w:rPr>
      </w:pPr>
      <w:r>
        <w:rPr>
          <w:rFonts w:hint="eastAsia" w:ascii="仿宋_GB2312" w:eastAsia="仿宋_GB2312"/>
          <w:sz w:val="32"/>
          <w:szCs w:val="32"/>
        </w:rPr>
        <w:t>检验样品应喷上抽样标识并贴上盖有质检部门印章的封条，并要求企业一同确认检查、记录样品的外观、状态、封条有无破损及其他可能对检测结果或者综合判定产生影响的情况，并确认样品与抽样单的记录是否相符。</w:t>
      </w:r>
    </w:p>
    <w:p>
      <w:pPr>
        <w:numPr>
          <w:ilvl w:val="0"/>
          <w:numId w:val="2"/>
        </w:numPr>
        <w:rPr>
          <w:rFonts w:ascii="仿宋_GB2312" w:eastAsia="仿宋_GB2312"/>
          <w:sz w:val="32"/>
          <w:szCs w:val="32"/>
        </w:rPr>
      </w:pPr>
      <w:r>
        <w:rPr>
          <w:rFonts w:hint="eastAsia" w:ascii="仿宋_GB2312" w:eastAsia="仿宋_GB2312"/>
          <w:sz w:val="32"/>
          <w:szCs w:val="32"/>
        </w:rPr>
        <w:t>其他说明（抽样过程要注意的问题）：</w:t>
      </w:r>
    </w:p>
    <w:p>
      <w:pPr>
        <w:ind w:firstLine="480" w:firstLineChars="150"/>
        <w:rPr>
          <w:rFonts w:ascii="仿宋_GB2312" w:eastAsia="仿宋_GB2312"/>
          <w:sz w:val="32"/>
          <w:szCs w:val="32"/>
        </w:rPr>
      </w:pPr>
      <w:r>
        <w:rPr>
          <w:rFonts w:hint="eastAsia" w:ascii="仿宋_GB2312" w:eastAsia="仿宋_GB2312"/>
          <w:sz w:val="32"/>
          <w:szCs w:val="32"/>
        </w:rPr>
        <w:t>配装眼镜的抽样按监督检验给定的处方定配眼镜，具体度数见监督检验的定配处方单。定配眼镜的镜片包装袋抽样时应一并抽取，并要求处方单的处方数据应按要求填写。</w:t>
      </w:r>
    </w:p>
    <w:p>
      <w:pPr>
        <w:rPr>
          <w:rFonts w:ascii="仿宋_GB2312" w:eastAsia="仿宋_GB2312"/>
          <w:bCs/>
          <w:sz w:val="32"/>
          <w:szCs w:val="32"/>
        </w:rPr>
      </w:pPr>
      <w:r>
        <w:rPr>
          <w:rFonts w:hint="eastAsia" w:ascii="仿宋_GB2312" w:eastAsia="仿宋_GB2312"/>
          <w:bCs/>
          <w:sz w:val="32"/>
          <w:szCs w:val="32"/>
        </w:rPr>
        <w:t>四、检验依据</w:t>
      </w:r>
    </w:p>
    <w:p>
      <w:pPr>
        <w:numPr>
          <w:ilvl w:val="0"/>
          <w:numId w:val="3"/>
        </w:numPr>
        <w:rPr>
          <w:rFonts w:ascii="仿宋_GB2312" w:eastAsia="仿宋_GB2312"/>
          <w:sz w:val="32"/>
          <w:szCs w:val="32"/>
        </w:rPr>
      </w:pPr>
      <w:r>
        <w:rPr>
          <w:rFonts w:hint="eastAsia" w:ascii="仿宋_GB2312" w:eastAsia="仿宋_GB2312"/>
          <w:sz w:val="32"/>
          <w:szCs w:val="32"/>
        </w:rPr>
        <w:t>GB 13511.1-2011《配装眼镜 第1部分：单光和多焦点》；</w:t>
      </w:r>
    </w:p>
    <w:p>
      <w:pPr>
        <w:numPr>
          <w:ilvl w:val="0"/>
          <w:numId w:val="3"/>
        </w:numPr>
        <w:rPr>
          <w:rFonts w:ascii="仿宋_GB2312" w:eastAsia="仿宋_GB2312"/>
          <w:sz w:val="32"/>
          <w:szCs w:val="32"/>
        </w:rPr>
      </w:pPr>
      <w:r>
        <w:rPr>
          <w:rFonts w:hint="eastAsia" w:ascii="仿宋_GB2312" w:eastAsia="仿宋_GB2312"/>
          <w:sz w:val="32"/>
          <w:szCs w:val="32"/>
        </w:rPr>
        <w:t>GB 13511.2-2011《配装眼镜 第2部分：渐变焦》；</w:t>
      </w:r>
    </w:p>
    <w:p>
      <w:pPr>
        <w:numPr>
          <w:ilvl w:val="0"/>
          <w:numId w:val="3"/>
        </w:numPr>
        <w:rPr>
          <w:rFonts w:ascii="仿宋_GB2312" w:eastAsia="仿宋_GB2312"/>
          <w:sz w:val="32"/>
          <w:szCs w:val="32"/>
        </w:rPr>
      </w:pPr>
      <w:r>
        <w:rPr>
          <w:rFonts w:hint="eastAsia" w:ascii="仿宋_GB2312" w:eastAsia="仿宋_GB2312"/>
          <w:sz w:val="32"/>
          <w:szCs w:val="32"/>
        </w:rPr>
        <w:t>GB 10810.1-2005《眼镜镜片 第1部分：单光和多焦点镜片》；</w:t>
      </w:r>
    </w:p>
    <w:p>
      <w:pPr>
        <w:numPr>
          <w:ilvl w:val="0"/>
          <w:numId w:val="3"/>
        </w:numPr>
        <w:rPr>
          <w:rFonts w:ascii="仿宋_GB2312" w:eastAsia="仿宋_GB2312"/>
          <w:sz w:val="32"/>
          <w:szCs w:val="32"/>
        </w:rPr>
      </w:pPr>
      <w:r>
        <w:rPr>
          <w:rFonts w:hint="eastAsia" w:ascii="仿宋_GB2312" w:eastAsia="仿宋_GB2312"/>
          <w:sz w:val="32"/>
          <w:szCs w:val="32"/>
        </w:rPr>
        <w:t>GB 10810.2-2006《眼镜镜片 第2部分：渐变焦镜片》；</w:t>
      </w:r>
    </w:p>
    <w:p>
      <w:pPr>
        <w:numPr>
          <w:ilvl w:val="0"/>
          <w:numId w:val="3"/>
        </w:numPr>
        <w:rPr>
          <w:rFonts w:ascii="仿宋_GB2312" w:eastAsia="仿宋_GB2312"/>
          <w:sz w:val="32"/>
          <w:szCs w:val="32"/>
        </w:rPr>
      </w:pPr>
      <w:r>
        <w:rPr>
          <w:rFonts w:hint="eastAsia" w:ascii="仿宋_GB2312" w:eastAsia="仿宋_GB2312"/>
          <w:sz w:val="32"/>
          <w:szCs w:val="32"/>
        </w:rPr>
        <w:t>GB 10810.3-2006《眼镜镜片及相关眼镜产品 第3部分：透射比规范及测量方法》；</w:t>
      </w:r>
    </w:p>
    <w:p>
      <w:pPr>
        <w:numPr>
          <w:ilvl w:val="0"/>
          <w:numId w:val="3"/>
        </w:numPr>
        <w:rPr>
          <w:rFonts w:ascii="仿宋_GB2312" w:eastAsia="仿宋_GB2312"/>
          <w:sz w:val="32"/>
          <w:szCs w:val="32"/>
        </w:rPr>
      </w:pPr>
      <w:r>
        <w:rPr>
          <w:rFonts w:hint="eastAsia" w:ascii="仿宋_GB2312" w:eastAsia="仿宋_GB2312"/>
          <w:sz w:val="32"/>
          <w:szCs w:val="32"/>
        </w:rPr>
        <w:t>GB/T 14214-2003《眼镜架 通用要求和试验方法》；</w:t>
      </w:r>
    </w:p>
    <w:p>
      <w:pPr>
        <w:numPr>
          <w:ilvl w:val="0"/>
          <w:numId w:val="3"/>
        </w:numPr>
        <w:rPr>
          <w:rFonts w:ascii="仿宋_GB2312" w:eastAsia="仿宋_GB2312"/>
          <w:sz w:val="32"/>
          <w:szCs w:val="32"/>
        </w:rPr>
      </w:pPr>
      <w:r>
        <w:rPr>
          <w:rFonts w:hint="eastAsia" w:ascii="仿宋_GB2312" w:hAnsi="宋体" w:eastAsia="仿宋_GB2312"/>
          <w:sz w:val="32"/>
          <w:szCs w:val="32"/>
        </w:rPr>
        <w:t>经备案现行有效的企业标准及产品明示质量指标和要求。</w:t>
      </w:r>
    </w:p>
    <w:p>
      <w:pPr>
        <w:rPr>
          <w:rFonts w:ascii="仿宋_GB2312" w:hAnsi="宋体" w:eastAsia="仿宋_GB2312" w:cs="Arial"/>
          <w:sz w:val="32"/>
          <w:szCs w:val="32"/>
        </w:rPr>
      </w:pPr>
      <w:r>
        <w:rPr>
          <w:rFonts w:hint="eastAsia" w:ascii="仿宋_GB2312" w:eastAsia="仿宋_GB2312"/>
          <w:bCs/>
          <w:sz w:val="32"/>
          <w:szCs w:val="32"/>
        </w:rPr>
        <w:t>五、</w:t>
      </w:r>
      <w:r>
        <w:rPr>
          <w:rFonts w:hint="eastAsia" w:ascii="仿宋_GB2312" w:hAnsi="宋体" w:eastAsia="仿宋_GB2312" w:cs="Arial"/>
          <w:sz w:val="32"/>
          <w:szCs w:val="32"/>
        </w:rPr>
        <w:t>检验项目及重要程度分类</w:t>
      </w:r>
    </w:p>
    <w:p>
      <w:pPr>
        <w:rPr>
          <w:rFonts w:ascii="仿宋_GB2312" w:eastAsia="仿宋_GB2312"/>
          <w:sz w:val="32"/>
          <w:szCs w:val="32"/>
        </w:rPr>
      </w:pPr>
      <w:r>
        <w:rPr>
          <w:rFonts w:hint="eastAsia" w:ascii="仿宋_GB2312" w:eastAsia="仿宋_GB2312"/>
          <w:sz w:val="32"/>
          <w:szCs w:val="32"/>
        </w:rPr>
        <w:t>配装眼镜</w:t>
      </w:r>
    </w:p>
    <w:tbl>
      <w:tblPr>
        <w:tblStyle w:val="5"/>
        <w:tblW w:w="87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98"/>
        <w:gridCol w:w="332"/>
        <w:gridCol w:w="1893"/>
        <w:gridCol w:w="1755"/>
        <w:gridCol w:w="853"/>
        <w:gridCol w:w="1980"/>
        <w:gridCol w:w="720"/>
        <w:gridCol w:w="5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98" w:type="dxa"/>
            <w:vMerge w:val="restart"/>
            <w:tcBorders>
              <w:top w:val="single" w:color="auto" w:sz="6" w:space="0"/>
              <w:left w:val="single" w:color="auto" w:sz="6" w:space="0"/>
            </w:tcBorders>
            <w:vAlign w:val="center"/>
          </w:tcPr>
          <w:p>
            <w:pPr>
              <w:snapToGrid w:val="0"/>
              <w:spacing w:line="320" w:lineRule="exact"/>
              <w:jc w:val="center"/>
              <w:rPr>
                <w:rFonts w:ascii="宋体" w:cs="Sim Sun"/>
                <w:b/>
                <w:kern w:val="0"/>
                <w:szCs w:val="21"/>
              </w:rPr>
            </w:pPr>
            <w:r>
              <w:rPr>
                <w:rFonts w:hint="eastAsia" w:ascii="宋体" w:cs="Sim Sun"/>
                <w:b/>
                <w:kern w:val="0"/>
                <w:szCs w:val="21"/>
              </w:rPr>
              <w:t>序号</w:t>
            </w:r>
          </w:p>
        </w:tc>
        <w:tc>
          <w:tcPr>
            <w:tcW w:w="2225" w:type="dxa"/>
            <w:gridSpan w:val="2"/>
            <w:vMerge w:val="restart"/>
            <w:tcBorders>
              <w:top w:val="single" w:color="auto" w:sz="6" w:space="0"/>
            </w:tcBorders>
            <w:vAlign w:val="center"/>
          </w:tcPr>
          <w:p>
            <w:pPr>
              <w:snapToGrid w:val="0"/>
              <w:spacing w:line="320" w:lineRule="exact"/>
              <w:jc w:val="center"/>
              <w:rPr>
                <w:rFonts w:ascii="宋体" w:cs="Sim Sun"/>
                <w:b/>
                <w:kern w:val="0"/>
                <w:szCs w:val="21"/>
              </w:rPr>
            </w:pPr>
            <w:r>
              <w:rPr>
                <w:rFonts w:hint="eastAsia" w:ascii="宋体" w:cs="Sim Sun"/>
                <w:b/>
                <w:kern w:val="0"/>
                <w:szCs w:val="21"/>
              </w:rPr>
              <w:t>检</w:t>
            </w:r>
            <w:r>
              <w:rPr>
                <w:rFonts w:ascii="宋体" w:cs="Sim Sun"/>
                <w:b/>
                <w:kern w:val="0"/>
                <w:szCs w:val="21"/>
              </w:rPr>
              <w:t xml:space="preserve"> </w:t>
            </w:r>
            <w:r>
              <w:rPr>
                <w:rFonts w:hint="eastAsia" w:ascii="宋体" w:cs="Sim Sun"/>
                <w:b/>
                <w:kern w:val="0"/>
                <w:szCs w:val="21"/>
              </w:rPr>
              <w:t>验</w:t>
            </w:r>
            <w:r>
              <w:rPr>
                <w:rFonts w:ascii="宋体" w:cs="Sim Sun"/>
                <w:b/>
                <w:kern w:val="0"/>
                <w:szCs w:val="21"/>
              </w:rPr>
              <w:t xml:space="preserve"> </w:t>
            </w:r>
            <w:r>
              <w:rPr>
                <w:rFonts w:hint="eastAsia" w:ascii="宋体" w:cs="Sim Sun"/>
                <w:b/>
                <w:kern w:val="0"/>
                <w:szCs w:val="21"/>
              </w:rPr>
              <w:t>项</w:t>
            </w:r>
            <w:r>
              <w:rPr>
                <w:rFonts w:ascii="宋体" w:cs="Sim Sun"/>
                <w:b/>
                <w:kern w:val="0"/>
                <w:szCs w:val="21"/>
              </w:rPr>
              <w:t xml:space="preserve"> </w:t>
            </w:r>
            <w:r>
              <w:rPr>
                <w:rFonts w:hint="eastAsia" w:ascii="宋体" w:cs="Sim Sun"/>
                <w:b/>
                <w:kern w:val="0"/>
                <w:szCs w:val="21"/>
              </w:rPr>
              <w:t>目</w:t>
            </w:r>
          </w:p>
        </w:tc>
        <w:tc>
          <w:tcPr>
            <w:tcW w:w="1755" w:type="dxa"/>
            <w:vMerge w:val="restart"/>
            <w:tcBorders>
              <w:top w:val="single" w:color="auto" w:sz="6" w:space="0"/>
            </w:tcBorders>
            <w:vAlign w:val="center"/>
          </w:tcPr>
          <w:p>
            <w:pPr>
              <w:snapToGrid w:val="0"/>
              <w:spacing w:line="320" w:lineRule="exact"/>
              <w:jc w:val="center"/>
              <w:rPr>
                <w:rFonts w:ascii="宋体" w:cs="Sim Sun"/>
                <w:b/>
                <w:kern w:val="0"/>
                <w:szCs w:val="21"/>
              </w:rPr>
            </w:pPr>
            <w:r>
              <w:rPr>
                <w:rFonts w:hint="eastAsia" w:ascii="宋体" w:cs="Sim Sun"/>
                <w:b/>
                <w:kern w:val="0"/>
                <w:szCs w:val="21"/>
              </w:rPr>
              <w:t>依据法律法规或标准条款</w:t>
            </w:r>
          </w:p>
        </w:tc>
        <w:tc>
          <w:tcPr>
            <w:tcW w:w="853" w:type="dxa"/>
            <w:vMerge w:val="restart"/>
            <w:tcBorders>
              <w:top w:val="single" w:color="auto" w:sz="6" w:space="0"/>
              <w:right w:val="single" w:color="auto" w:sz="4" w:space="0"/>
            </w:tcBorders>
            <w:vAlign w:val="center"/>
          </w:tcPr>
          <w:p>
            <w:pPr>
              <w:snapToGrid w:val="0"/>
              <w:spacing w:line="320" w:lineRule="exact"/>
              <w:jc w:val="center"/>
              <w:rPr>
                <w:rFonts w:ascii="宋体" w:cs="Sim Sun"/>
                <w:b/>
                <w:kern w:val="0"/>
                <w:szCs w:val="21"/>
              </w:rPr>
            </w:pPr>
            <w:r>
              <w:rPr>
                <w:rFonts w:hint="eastAsia" w:ascii="宋体" w:cs="Sim Sun"/>
                <w:b/>
                <w:kern w:val="0"/>
                <w:szCs w:val="21"/>
              </w:rPr>
              <w:t>强制性/</w:t>
            </w:r>
          </w:p>
          <w:p>
            <w:pPr>
              <w:snapToGrid w:val="0"/>
              <w:spacing w:line="320" w:lineRule="exact"/>
              <w:jc w:val="center"/>
              <w:rPr>
                <w:rFonts w:ascii="宋体" w:cs="Sim Sun"/>
                <w:b/>
                <w:kern w:val="0"/>
                <w:szCs w:val="21"/>
              </w:rPr>
            </w:pPr>
            <w:r>
              <w:rPr>
                <w:rFonts w:hint="eastAsia" w:ascii="宋体" w:cs="Sim Sun"/>
                <w:b/>
                <w:kern w:val="0"/>
                <w:szCs w:val="21"/>
              </w:rPr>
              <w:t>推荐性</w:t>
            </w:r>
          </w:p>
        </w:tc>
        <w:tc>
          <w:tcPr>
            <w:tcW w:w="1980" w:type="dxa"/>
            <w:vMerge w:val="restart"/>
            <w:tcBorders>
              <w:top w:val="single" w:color="auto" w:sz="6" w:space="0"/>
              <w:left w:val="single" w:color="auto" w:sz="4" w:space="0"/>
              <w:right w:val="single" w:color="auto" w:sz="4" w:space="0"/>
            </w:tcBorders>
            <w:vAlign w:val="center"/>
          </w:tcPr>
          <w:p>
            <w:pPr>
              <w:widowControl/>
              <w:jc w:val="left"/>
              <w:rPr>
                <w:rFonts w:ascii="宋体" w:cs="Sim Sun"/>
                <w:b/>
                <w:kern w:val="0"/>
                <w:szCs w:val="21"/>
              </w:rPr>
            </w:pPr>
          </w:p>
          <w:p>
            <w:pPr>
              <w:snapToGrid w:val="0"/>
              <w:spacing w:line="320" w:lineRule="exact"/>
              <w:jc w:val="center"/>
              <w:rPr>
                <w:rFonts w:ascii="宋体" w:cs="Sim Sun"/>
                <w:b/>
                <w:kern w:val="0"/>
                <w:szCs w:val="21"/>
              </w:rPr>
            </w:pPr>
            <w:r>
              <w:rPr>
                <w:rFonts w:hint="eastAsia" w:ascii="宋体" w:cs="Sim Sun"/>
                <w:b/>
                <w:kern w:val="0"/>
                <w:szCs w:val="21"/>
              </w:rPr>
              <w:t>检测方法</w:t>
            </w:r>
          </w:p>
        </w:tc>
        <w:tc>
          <w:tcPr>
            <w:tcW w:w="131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cs="Sim Sun"/>
                <w:b/>
                <w:kern w:val="0"/>
                <w:szCs w:val="21"/>
              </w:rPr>
            </w:pPr>
            <w:r>
              <w:rPr>
                <w:rFonts w:hint="eastAsia" w:ascii="宋体" w:hAnsi="宋体"/>
                <w:b/>
                <w:szCs w:val="21"/>
              </w:rPr>
              <w:t>重要程度分类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98" w:type="dxa"/>
            <w:vMerge w:val="continue"/>
            <w:tcBorders>
              <w:left w:val="single" w:color="auto" w:sz="6" w:space="0"/>
              <w:bottom w:val="single" w:color="auto" w:sz="6" w:space="0"/>
            </w:tcBorders>
            <w:vAlign w:val="center"/>
          </w:tcPr>
          <w:p>
            <w:pPr>
              <w:snapToGrid w:val="0"/>
              <w:spacing w:line="320" w:lineRule="exact"/>
              <w:jc w:val="center"/>
              <w:rPr>
                <w:rFonts w:ascii="宋体" w:cs="Sim Sun"/>
                <w:b/>
                <w:kern w:val="0"/>
                <w:szCs w:val="21"/>
              </w:rPr>
            </w:pPr>
          </w:p>
        </w:tc>
        <w:tc>
          <w:tcPr>
            <w:tcW w:w="2225" w:type="dxa"/>
            <w:gridSpan w:val="2"/>
            <w:vMerge w:val="continue"/>
            <w:tcBorders>
              <w:bottom w:val="single" w:color="auto" w:sz="6" w:space="0"/>
            </w:tcBorders>
            <w:vAlign w:val="center"/>
          </w:tcPr>
          <w:p>
            <w:pPr>
              <w:snapToGrid w:val="0"/>
              <w:spacing w:line="320" w:lineRule="exact"/>
              <w:jc w:val="center"/>
              <w:rPr>
                <w:rFonts w:ascii="宋体" w:cs="Sim Sun"/>
                <w:b/>
                <w:kern w:val="0"/>
                <w:szCs w:val="21"/>
              </w:rPr>
            </w:pPr>
          </w:p>
        </w:tc>
        <w:tc>
          <w:tcPr>
            <w:tcW w:w="1755" w:type="dxa"/>
            <w:vMerge w:val="continue"/>
            <w:vAlign w:val="center"/>
          </w:tcPr>
          <w:p>
            <w:pPr>
              <w:snapToGrid w:val="0"/>
              <w:spacing w:line="320" w:lineRule="exact"/>
              <w:jc w:val="center"/>
              <w:rPr>
                <w:rFonts w:ascii="宋体" w:cs="Sim Sun"/>
                <w:b/>
                <w:kern w:val="0"/>
                <w:szCs w:val="21"/>
              </w:rPr>
            </w:pPr>
          </w:p>
        </w:tc>
        <w:tc>
          <w:tcPr>
            <w:tcW w:w="853" w:type="dxa"/>
            <w:vMerge w:val="continue"/>
            <w:tcBorders>
              <w:right w:val="single" w:color="auto" w:sz="4" w:space="0"/>
            </w:tcBorders>
            <w:vAlign w:val="center"/>
          </w:tcPr>
          <w:p>
            <w:pPr>
              <w:snapToGrid w:val="0"/>
              <w:spacing w:line="320" w:lineRule="exact"/>
              <w:jc w:val="center"/>
              <w:rPr>
                <w:rFonts w:ascii="宋体" w:cs="Sim Sun"/>
                <w:b/>
                <w:kern w:val="0"/>
                <w:szCs w:val="21"/>
              </w:rPr>
            </w:pPr>
          </w:p>
        </w:tc>
        <w:tc>
          <w:tcPr>
            <w:tcW w:w="1980" w:type="dxa"/>
            <w:vMerge w:val="continue"/>
            <w:tcBorders>
              <w:left w:val="single" w:color="auto" w:sz="4" w:space="0"/>
              <w:right w:val="single" w:color="auto" w:sz="4" w:space="0"/>
            </w:tcBorders>
            <w:vAlign w:val="center"/>
          </w:tcPr>
          <w:p>
            <w:pPr>
              <w:snapToGrid w:val="0"/>
              <w:spacing w:line="320" w:lineRule="exact"/>
              <w:jc w:val="center"/>
              <w:rPr>
                <w:rFonts w:ascii="宋体" w:cs="Sim Sun"/>
                <w:b/>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cs="Sim Sun"/>
                <w:b/>
                <w:kern w:val="0"/>
                <w:szCs w:val="21"/>
              </w:rPr>
            </w:pPr>
            <w:r>
              <w:rPr>
                <w:rFonts w:hint="eastAsia" w:ascii="宋体" w:cs="Sim Sun"/>
                <w:b/>
                <w:kern w:val="0"/>
                <w:szCs w:val="21"/>
              </w:rPr>
              <w:t>A类</w:t>
            </w:r>
          </w:p>
        </w:tc>
        <w:tc>
          <w:tcPr>
            <w:tcW w:w="597" w:type="dxa"/>
            <w:tcBorders>
              <w:left w:val="single" w:color="auto" w:sz="4" w:space="0"/>
              <w:bottom w:val="single" w:color="auto" w:sz="4" w:space="0"/>
              <w:right w:val="single" w:color="auto" w:sz="4" w:space="0"/>
            </w:tcBorders>
            <w:vAlign w:val="center"/>
          </w:tcPr>
          <w:p>
            <w:pPr>
              <w:snapToGrid w:val="0"/>
              <w:spacing w:line="320" w:lineRule="exact"/>
              <w:jc w:val="center"/>
              <w:rPr>
                <w:rFonts w:ascii="宋体" w:cs="Sim Sun"/>
                <w:b/>
                <w:kern w:val="0"/>
                <w:szCs w:val="21"/>
              </w:rPr>
            </w:pPr>
            <w:r>
              <w:rPr>
                <w:rFonts w:hint="eastAsia" w:ascii="宋体" w:cs="Sim Sun"/>
                <w:b/>
                <w:kern w:val="0"/>
                <w:szCs w:val="21"/>
              </w:rPr>
              <w:t>B类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98" w:type="dxa"/>
            <w:tcBorders>
              <w:left w:val="single" w:color="auto" w:sz="6" w:space="0"/>
              <w:bottom w:val="single" w:color="auto" w:sz="6" w:space="0"/>
            </w:tcBorders>
            <w:vAlign w:val="center"/>
          </w:tcPr>
          <w:p>
            <w:pPr>
              <w:numPr>
                <w:ilvl w:val="0"/>
                <w:numId w:val="4"/>
              </w:numPr>
              <w:snapToGrid w:val="0"/>
              <w:spacing w:line="320" w:lineRule="exact"/>
              <w:jc w:val="center"/>
              <w:rPr>
                <w:rFonts w:ascii="宋体" w:cs="Sim Sun"/>
                <w:b/>
                <w:kern w:val="0"/>
                <w:szCs w:val="21"/>
              </w:rPr>
            </w:pPr>
          </w:p>
        </w:tc>
        <w:tc>
          <w:tcPr>
            <w:tcW w:w="2225" w:type="dxa"/>
            <w:gridSpan w:val="2"/>
            <w:tcBorders>
              <w:bottom w:val="single" w:color="auto" w:sz="6" w:space="0"/>
            </w:tcBorders>
            <w:vAlign w:val="center"/>
          </w:tcPr>
          <w:p>
            <w:pPr>
              <w:jc w:val="center"/>
              <w:rPr>
                <w:rFonts w:ascii="宋体" w:hAnsi="宋体"/>
                <w:szCs w:val="21"/>
              </w:rPr>
            </w:pPr>
            <w:r>
              <w:rPr>
                <w:rFonts w:ascii="宋体" w:hAnsi="宋体"/>
                <w:szCs w:val="21"/>
              </w:rPr>
              <w:t>镜片</w:t>
            </w:r>
            <w:r>
              <w:rPr>
                <w:rFonts w:hint="eastAsia" w:ascii="宋体" w:hAnsi="宋体"/>
                <w:szCs w:val="21"/>
              </w:rPr>
              <w:t>表</w:t>
            </w:r>
            <w:r>
              <w:rPr>
                <w:rFonts w:ascii="宋体" w:hAnsi="宋体"/>
                <w:szCs w:val="21"/>
              </w:rPr>
              <w:t>面质量和内在疵病</w:t>
            </w:r>
          </w:p>
        </w:tc>
        <w:tc>
          <w:tcPr>
            <w:tcW w:w="1755" w:type="dxa"/>
            <w:vAlign w:val="center"/>
          </w:tcPr>
          <w:p>
            <w:pPr>
              <w:jc w:val="center"/>
              <w:rPr>
                <w:rFonts w:ascii="宋体" w:hAnsi="宋体"/>
                <w:szCs w:val="21"/>
              </w:rPr>
            </w:pPr>
            <w:r>
              <w:rPr>
                <w:rFonts w:ascii="宋体" w:hAnsi="宋体"/>
                <w:szCs w:val="21"/>
              </w:rPr>
              <w:t>GB 13511</w:t>
            </w:r>
            <w:r>
              <w:rPr>
                <w:rFonts w:hint="eastAsia" w:ascii="宋体" w:hAnsi="宋体"/>
                <w:szCs w:val="21"/>
              </w:rPr>
              <w:t>.1 / 5.2</w:t>
            </w:r>
          </w:p>
        </w:tc>
        <w:tc>
          <w:tcPr>
            <w:tcW w:w="853" w:type="dxa"/>
            <w:tcBorders>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left w:val="single" w:color="auto" w:sz="4" w:space="0"/>
              <w:right w:val="single" w:color="auto" w:sz="4" w:space="0"/>
            </w:tcBorders>
            <w:vAlign w:val="center"/>
          </w:tcPr>
          <w:p>
            <w:pPr>
              <w:jc w:val="center"/>
              <w:rPr>
                <w:rFonts w:ascii="宋体" w:hAnsi="宋体"/>
                <w:szCs w:val="21"/>
              </w:rPr>
            </w:pPr>
            <w:r>
              <w:rPr>
                <w:rFonts w:ascii="宋体" w:hAnsi="宋体"/>
                <w:szCs w:val="21"/>
              </w:rPr>
              <w:t xml:space="preserve">GB </w:t>
            </w:r>
            <w:r>
              <w:rPr>
                <w:rFonts w:hint="eastAsia" w:ascii="宋体" w:hAnsi="宋体"/>
                <w:szCs w:val="21"/>
              </w:rPr>
              <w:t>10810.1 / 6.6</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97" w:type="dxa"/>
            <w:tcBorders>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4"/>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vAlign w:val="center"/>
          </w:tcPr>
          <w:p>
            <w:pPr>
              <w:jc w:val="center"/>
              <w:rPr>
                <w:rFonts w:ascii="宋体" w:hAnsi="宋体"/>
                <w:szCs w:val="21"/>
              </w:rPr>
            </w:pPr>
            <w:r>
              <w:rPr>
                <w:rFonts w:ascii="宋体" w:hAnsi="宋体"/>
                <w:szCs w:val="21"/>
              </w:rPr>
              <w:t>镜架外观质量</w:t>
            </w:r>
          </w:p>
        </w:tc>
        <w:tc>
          <w:tcPr>
            <w:tcW w:w="1755" w:type="dxa"/>
            <w:tcBorders>
              <w:top w:val="single" w:color="auto" w:sz="6" w:space="0"/>
              <w:bottom w:val="single" w:color="auto" w:sz="6"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5.4</w:t>
            </w:r>
          </w:p>
        </w:tc>
        <w:tc>
          <w:tcPr>
            <w:tcW w:w="853" w:type="dxa"/>
            <w:tcBorders>
              <w:top w:val="single" w:color="auto" w:sz="6"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 xml:space="preserve">GB </w:t>
            </w:r>
            <w:r>
              <w:rPr>
                <w:rFonts w:hint="eastAsia" w:ascii="宋体" w:hAnsi="宋体"/>
                <w:szCs w:val="21"/>
              </w:rPr>
              <w:t>14214 / 5.4</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4"/>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vAlign w:val="center"/>
          </w:tcPr>
          <w:p>
            <w:pPr>
              <w:jc w:val="center"/>
              <w:rPr>
                <w:rFonts w:ascii="宋体" w:hAnsi="宋体"/>
                <w:szCs w:val="21"/>
              </w:rPr>
            </w:pPr>
            <w:r>
              <w:rPr>
                <w:rFonts w:ascii="宋体" w:hAnsi="宋体"/>
                <w:szCs w:val="21"/>
              </w:rPr>
              <w:t>球镜顶焦度偏差（D）</w:t>
            </w:r>
          </w:p>
        </w:tc>
        <w:tc>
          <w:tcPr>
            <w:tcW w:w="1755" w:type="dxa"/>
            <w:tcBorders>
              <w:top w:val="single" w:color="auto" w:sz="6" w:space="0"/>
              <w:bottom w:val="single" w:color="auto" w:sz="6"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5.2</w:t>
            </w:r>
          </w:p>
        </w:tc>
        <w:tc>
          <w:tcPr>
            <w:tcW w:w="853" w:type="dxa"/>
            <w:tcBorders>
              <w:top w:val="single" w:color="auto" w:sz="6"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 xml:space="preserve">GB </w:t>
            </w:r>
            <w:r>
              <w:rPr>
                <w:rFonts w:hint="eastAsia" w:ascii="宋体" w:hAnsi="宋体"/>
                <w:szCs w:val="21"/>
              </w:rPr>
              <w:t>10810.1 / 6.1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4"/>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vAlign w:val="center"/>
          </w:tcPr>
          <w:p>
            <w:pPr>
              <w:jc w:val="center"/>
              <w:rPr>
                <w:rFonts w:ascii="宋体" w:hAnsi="宋体"/>
                <w:szCs w:val="21"/>
              </w:rPr>
            </w:pPr>
            <w:r>
              <w:rPr>
                <w:rFonts w:ascii="宋体" w:hAnsi="宋体"/>
                <w:szCs w:val="21"/>
              </w:rPr>
              <w:t>柱镜顶焦度偏差（D）</w:t>
            </w:r>
          </w:p>
        </w:tc>
        <w:tc>
          <w:tcPr>
            <w:tcW w:w="1755" w:type="dxa"/>
            <w:tcBorders>
              <w:top w:val="single" w:color="auto" w:sz="6" w:space="0"/>
              <w:bottom w:val="single" w:color="auto" w:sz="6"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5.2</w:t>
            </w:r>
          </w:p>
        </w:tc>
        <w:tc>
          <w:tcPr>
            <w:tcW w:w="853" w:type="dxa"/>
            <w:tcBorders>
              <w:top w:val="single" w:color="auto" w:sz="6"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 xml:space="preserve">GB </w:t>
            </w:r>
            <w:r>
              <w:rPr>
                <w:rFonts w:hint="eastAsia" w:ascii="宋体" w:hAnsi="宋体"/>
                <w:szCs w:val="21"/>
              </w:rPr>
              <w:t>10810.1 / 6.1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4"/>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vAlign w:val="center"/>
          </w:tcPr>
          <w:p>
            <w:pPr>
              <w:jc w:val="center"/>
              <w:rPr>
                <w:rFonts w:ascii="宋体" w:hAnsi="宋体"/>
                <w:szCs w:val="21"/>
              </w:rPr>
            </w:pPr>
            <w:r>
              <w:rPr>
                <w:rFonts w:ascii="宋体" w:hAnsi="宋体"/>
                <w:szCs w:val="21"/>
              </w:rPr>
              <w:t>柱镜轴位偏差（°）</w:t>
            </w:r>
          </w:p>
        </w:tc>
        <w:tc>
          <w:tcPr>
            <w:tcW w:w="1755" w:type="dxa"/>
            <w:tcBorders>
              <w:top w:val="single" w:color="auto" w:sz="6" w:space="0"/>
              <w:bottom w:val="single" w:color="auto" w:sz="6"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5.2</w:t>
            </w:r>
          </w:p>
        </w:tc>
        <w:tc>
          <w:tcPr>
            <w:tcW w:w="853" w:type="dxa"/>
            <w:tcBorders>
              <w:top w:val="single" w:color="auto" w:sz="6"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6.3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12" w:hRule="atLeas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4"/>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vAlign w:val="center"/>
          </w:tcPr>
          <w:p>
            <w:pPr>
              <w:jc w:val="center"/>
              <w:rPr>
                <w:rFonts w:ascii="宋体" w:hAnsi="宋体"/>
                <w:szCs w:val="21"/>
              </w:rPr>
            </w:pPr>
            <w:r>
              <w:rPr>
                <w:rFonts w:hint="eastAsia" w:ascii="宋体" w:hAnsi="宋体"/>
                <w:szCs w:val="21"/>
              </w:rPr>
              <w:t>棱镜度偏差（Δ）</w:t>
            </w:r>
          </w:p>
        </w:tc>
        <w:tc>
          <w:tcPr>
            <w:tcW w:w="1755" w:type="dxa"/>
            <w:tcBorders>
              <w:top w:val="single" w:color="auto" w:sz="6" w:space="0"/>
              <w:bottom w:val="single" w:color="auto" w:sz="6"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  </w:t>
            </w:r>
            <w:r>
              <w:rPr>
                <w:rFonts w:ascii="宋体" w:hAnsi="宋体"/>
                <w:szCs w:val="21"/>
              </w:rPr>
              <w:t>5.6.</w:t>
            </w:r>
            <w:r>
              <w:rPr>
                <w:rFonts w:hint="eastAsia" w:ascii="宋体" w:hAnsi="宋体"/>
                <w:szCs w:val="21"/>
              </w:rPr>
              <w:t>5</w:t>
            </w:r>
          </w:p>
        </w:tc>
        <w:tc>
          <w:tcPr>
            <w:tcW w:w="853" w:type="dxa"/>
            <w:tcBorders>
              <w:top w:val="single" w:color="auto" w:sz="6"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6.3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4"/>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vAlign w:val="center"/>
          </w:tcPr>
          <w:p>
            <w:pPr>
              <w:jc w:val="center"/>
              <w:rPr>
                <w:rFonts w:ascii="宋体" w:hAnsi="宋体"/>
                <w:szCs w:val="21"/>
              </w:rPr>
            </w:pPr>
            <w:r>
              <w:rPr>
                <w:rFonts w:hint="eastAsia" w:ascii="宋体" w:hAnsi="宋体"/>
                <w:szCs w:val="21"/>
              </w:rPr>
              <w:t>附加顶焦度（D）</w:t>
            </w:r>
          </w:p>
        </w:tc>
        <w:tc>
          <w:tcPr>
            <w:tcW w:w="1755" w:type="dxa"/>
            <w:tcBorders>
              <w:top w:val="single" w:color="auto" w:sz="6" w:space="0"/>
              <w:bottom w:val="single" w:color="auto" w:sz="6"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 </w:t>
            </w:r>
            <w:r>
              <w:rPr>
                <w:rFonts w:ascii="宋体" w:hAnsi="宋体"/>
                <w:szCs w:val="21"/>
              </w:rPr>
              <w:t>5.</w:t>
            </w:r>
            <w:r>
              <w:rPr>
                <w:rFonts w:hint="eastAsia" w:ascii="宋体" w:hAnsi="宋体"/>
                <w:szCs w:val="21"/>
              </w:rPr>
              <w:t>2</w:t>
            </w:r>
          </w:p>
        </w:tc>
        <w:tc>
          <w:tcPr>
            <w:tcW w:w="853" w:type="dxa"/>
            <w:tcBorders>
              <w:top w:val="single" w:color="auto" w:sz="6"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 xml:space="preserve">GB </w:t>
            </w:r>
            <w:r>
              <w:rPr>
                <w:rFonts w:hint="eastAsia" w:ascii="宋体" w:hAnsi="宋体"/>
                <w:szCs w:val="21"/>
              </w:rPr>
              <w:t>10810 / 6.4</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12" w:hRule="atLeas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4"/>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vAlign w:val="center"/>
          </w:tcPr>
          <w:p>
            <w:pPr>
              <w:jc w:val="center"/>
              <w:rPr>
                <w:rFonts w:ascii="宋体" w:hAnsi="宋体"/>
                <w:szCs w:val="21"/>
              </w:rPr>
            </w:pPr>
            <w:r>
              <w:rPr>
                <w:rFonts w:hint="eastAsia" w:ascii="宋体" w:hAnsi="宋体"/>
                <w:szCs w:val="21"/>
              </w:rPr>
              <w:t>光学中心单侧水平偏差</w:t>
            </w:r>
            <w:r>
              <w:rPr>
                <w:rFonts w:ascii="宋体" w:hAnsi="宋体"/>
                <w:szCs w:val="21"/>
              </w:rPr>
              <w:t>（mm）</w:t>
            </w:r>
          </w:p>
        </w:tc>
        <w:tc>
          <w:tcPr>
            <w:tcW w:w="1755" w:type="dxa"/>
            <w:tcBorders>
              <w:top w:val="single" w:color="auto" w:sz="6" w:space="0"/>
              <w:bottom w:val="single" w:color="auto" w:sz="6"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  </w:t>
            </w:r>
            <w:r>
              <w:rPr>
                <w:rFonts w:ascii="宋体" w:hAnsi="宋体"/>
                <w:szCs w:val="21"/>
              </w:rPr>
              <w:t>5.6.2</w:t>
            </w:r>
          </w:p>
        </w:tc>
        <w:tc>
          <w:tcPr>
            <w:tcW w:w="853" w:type="dxa"/>
            <w:tcBorders>
              <w:top w:val="single" w:color="auto" w:sz="6"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6.4</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97" w:hRule="atLeas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4"/>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vAlign w:val="center"/>
          </w:tcPr>
          <w:p>
            <w:pPr>
              <w:jc w:val="center"/>
              <w:rPr>
                <w:rFonts w:ascii="宋体" w:hAnsi="宋体"/>
                <w:szCs w:val="21"/>
              </w:rPr>
            </w:pPr>
            <w:r>
              <w:rPr>
                <w:rFonts w:ascii="宋体" w:hAnsi="宋体"/>
                <w:szCs w:val="21"/>
              </w:rPr>
              <w:t>光学中心垂直互差（mm）</w:t>
            </w:r>
          </w:p>
        </w:tc>
        <w:tc>
          <w:tcPr>
            <w:tcW w:w="1755" w:type="dxa"/>
            <w:tcBorders>
              <w:top w:val="single" w:color="auto" w:sz="6" w:space="0"/>
              <w:bottom w:val="single" w:color="auto" w:sz="6"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5.6.3</w:t>
            </w:r>
          </w:p>
        </w:tc>
        <w:tc>
          <w:tcPr>
            <w:tcW w:w="853" w:type="dxa"/>
            <w:tcBorders>
              <w:top w:val="single" w:color="auto" w:sz="6"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6.4</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0" w:hRule="atLeas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4"/>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vAlign w:val="center"/>
          </w:tcPr>
          <w:p>
            <w:pPr>
              <w:jc w:val="center"/>
              <w:rPr>
                <w:rFonts w:ascii="宋体" w:hAnsi="宋体"/>
                <w:szCs w:val="21"/>
              </w:rPr>
            </w:pPr>
            <w:r>
              <w:rPr>
                <w:rFonts w:ascii="宋体" w:hAnsi="宋体"/>
                <w:szCs w:val="21"/>
              </w:rPr>
              <w:t>光学中心水平</w:t>
            </w:r>
            <w:r>
              <w:rPr>
                <w:rFonts w:hint="eastAsia" w:ascii="宋体" w:hAnsi="宋体"/>
                <w:szCs w:val="21"/>
              </w:rPr>
              <w:t>距离</w:t>
            </w:r>
            <w:r>
              <w:rPr>
                <w:rFonts w:ascii="宋体" w:hAnsi="宋体"/>
                <w:szCs w:val="21"/>
              </w:rPr>
              <w:t>偏差（mm）</w:t>
            </w:r>
          </w:p>
        </w:tc>
        <w:tc>
          <w:tcPr>
            <w:tcW w:w="1755" w:type="dxa"/>
            <w:tcBorders>
              <w:top w:val="single" w:color="auto" w:sz="6" w:space="0"/>
              <w:bottom w:val="single" w:color="auto" w:sz="6"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5.6.1</w:t>
            </w:r>
          </w:p>
        </w:tc>
        <w:tc>
          <w:tcPr>
            <w:tcW w:w="853" w:type="dxa"/>
            <w:tcBorders>
              <w:top w:val="single" w:color="auto" w:sz="6"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6.4</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0" w:hRule="atLeast"/>
          <w:jc w:val="center"/>
        </w:trPr>
        <w:tc>
          <w:tcPr>
            <w:tcW w:w="598" w:type="dxa"/>
            <w:tcBorders>
              <w:top w:val="single" w:color="auto" w:sz="6" w:space="0"/>
              <w:left w:val="single" w:color="auto" w:sz="6" w:space="0"/>
              <w:bottom w:val="single" w:color="auto" w:sz="4" w:space="0"/>
              <w:right w:val="single" w:color="auto" w:sz="6" w:space="0"/>
            </w:tcBorders>
            <w:vAlign w:val="center"/>
          </w:tcPr>
          <w:p>
            <w:pPr>
              <w:numPr>
                <w:ilvl w:val="0"/>
                <w:numId w:val="4"/>
              </w:numPr>
              <w:snapToGrid w:val="0"/>
              <w:spacing w:line="320" w:lineRule="exact"/>
              <w:jc w:val="center"/>
              <w:rPr>
                <w:rFonts w:ascii="宋体" w:cs="Sim Sun"/>
                <w:kern w:val="0"/>
                <w:szCs w:val="21"/>
              </w:rPr>
            </w:pPr>
          </w:p>
        </w:tc>
        <w:tc>
          <w:tcPr>
            <w:tcW w:w="2225" w:type="dxa"/>
            <w:gridSpan w:val="2"/>
            <w:tcBorders>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可见</w:t>
            </w:r>
            <w:r>
              <w:rPr>
                <w:rFonts w:hint="eastAsia" w:ascii="宋体" w:hAnsi="宋体"/>
                <w:szCs w:val="21"/>
              </w:rPr>
              <w:t>光谱区</w:t>
            </w:r>
            <w:r>
              <w:rPr>
                <w:rFonts w:ascii="宋体" w:hAnsi="宋体"/>
                <w:szCs w:val="21"/>
              </w:rPr>
              <w:t>光透射比（%）</w:t>
            </w:r>
          </w:p>
        </w:tc>
        <w:tc>
          <w:tcPr>
            <w:tcW w:w="1755" w:type="dxa"/>
            <w:tcBorders>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5.3</w:t>
            </w:r>
          </w:p>
        </w:tc>
        <w:tc>
          <w:tcPr>
            <w:tcW w:w="853" w:type="dxa"/>
            <w:tcBorders>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 xml:space="preserve">GB </w:t>
            </w:r>
            <w:r>
              <w:rPr>
                <w:rFonts w:hint="eastAsia" w:ascii="宋体" w:hAnsi="宋体"/>
                <w:szCs w:val="21"/>
              </w:rPr>
              <w:t>10810.3 / 6.4</w:t>
            </w:r>
          </w:p>
        </w:tc>
        <w:tc>
          <w:tcPr>
            <w:tcW w:w="720" w:type="dxa"/>
            <w:tcBorders>
              <w:left w:val="single" w:color="auto" w:sz="4" w:space="0"/>
              <w:bottom w:val="single" w:color="auto" w:sz="4" w:space="0"/>
              <w:right w:val="single" w:color="auto" w:sz="4" w:space="0"/>
            </w:tcBorders>
            <w:vAlign w:val="center"/>
          </w:tcPr>
          <w:p>
            <w:pPr>
              <w:jc w:val="center"/>
              <w:rPr>
                <w:rFonts w:ascii="宋体" w:hAnsi="宋体"/>
                <w:szCs w:val="21"/>
              </w:rPr>
            </w:pPr>
          </w:p>
        </w:tc>
        <w:tc>
          <w:tcPr>
            <w:tcW w:w="597" w:type="dxa"/>
            <w:tcBorders>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spacing w:line="320" w:lineRule="exact"/>
              <w:jc w:val="center"/>
              <w:rPr>
                <w:rFonts w:ascii="宋体" w:cs="Sim Sun"/>
                <w:kern w:val="0"/>
                <w:szCs w:val="21"/>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紫外</w:t>
            </w:r>
            <w:r>
              <w:rPr>
                <w:rFonts w:hint="eastAsia" w:ascii="宋体" w:hAnsi="宋体"/>
                <w:szCs w:val="21"/>
              </w:rPr>
              <w:t>光谱区</w:t>
            </w:r>
            <w:r>
              <w:rPr>
                <w:rFonts w:ascii="宋体" w:hAnsi="宋体"/>
                <w:szCs w:val="21"/>
              </w:rPr>
              <w:t>透射比（%）</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5.3</w:t>
            </w:r>
          </w:p>
        </w:tc>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 xml:space="preserve">GB </w:t>
            </w:r>
            <w:r>
              <w:rPr>
                <w:rFonts w:hint="eastAsia" w:ascii="宋体" w:hAnsi="宋体"/>
                <w:szCs w:val="21"/>
              </w:rPr>
              <w:t>10810.3 / 6.5</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p>
            <w:pPr>
              <w:jc w:val="center"/>
              <w:rPr>
                <w:rFonts w:ascii="宋体" w:hAnsi="宋体"/>
                <w:szCs w:val="21"/>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spacing w:line="320" w:lineRule="exact"/>
              <w:jc w:val="center"/>
              <w:rPr>
                <w:rFonts w:ascii="宋体" w:cs="Sim Sun"/>
                <w:kern w:val="0"/>
                <w:szCs w:val="21"/>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镜片厚度（mm）</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5.2</w:t>
            </w:r>
          </w:p>
        </w:tc>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4"/>
              </w:numPr>
              <w:snapToGrid w:val="0"/>
              <w:spacing w:line="320" w:lineRule="exact"/>
              <w:jc w:val="center"/>
              <w:rPr>
                <w:rFonts w:ascii="宋体" w:cs="Sim Sun"/>
                <w:kern w:val="0"/>
                <w:szCs w:val="21"/>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镜片色泽</w:t>
            </w:r>
          </w:p>
        </w:tc>
        <w:tc>
          <w:tcPr>
            <w:tcW w:w="1755"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5.2</w:t>
            </w:r>
          </w:p>
        </w:tc>
        <w:tc>
          <w:tcPr>
            <w:tcW w:w="853"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5.2</w:t>
            </w:r>
          </w:p>
        </w:tc>
        <w:tc>
          <w:tcPr>
            <w:tcW w:w="720" w:type="dxa"/>
            <w:tcBorders>
              <w:left w:val="single" w:color="auto" w:sz="4" w:space="0"/>
              <w:right w:val="single" w:color="auto" w:sz="4" w:space="0"/>
            </w:tcBorders>
            <w:vAlign w:val="center"/>
          </w:tcPr>
          <w:p>
            <w:pPr>
              <w:jc w:val="center"/>
              <w:rPr>
                <w:rFonts w:ascii="宋体" w:hAnsi="宋体"/>
                <w:szCs w:val="21"/>
              </w:rPr>
            </w:pPr>
          </w:p>
        </w:tc>
        <w:tc>
          <w:tcPr>
            <w:tcW w:w="597" w:type="dxa"/>
            <w:tcBorders>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4"/>
              </w:numPr>
              <w:snapToGrid w:val="0"/>
              <w:spacing w:line="320" w:lineRule="exact"/>
              <w:jc w:val="center"/>
              <w:rPr>
                <w:rFonts w:ascii="宋体" w:cs="Sim Sun"/>
                <w:kern w:val="0"/>
                <w:szCs w:val="21"/>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装配质量</w:t>
            </w:r>
          </w:p>
        </w:tc>
        <w:tc>
          <w:tcPr>
            <w:tcW w:w="1755"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5.8</w:t>
            </w:r>
          </w:p>
        </w:tc>
        <w:tc>
          <w:tcPr>
            <w:tcW w:w="853"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5.8</w:t>
            </w:r>
          </w:p>
        </w:tc>
        <w:tc>
          <w:tcPr>
            <w:tcW w:w="720" w:type="dxa"/>
            <w:tcBorders>
              <w:left w:val="single" w:color="auto" w:sz="4" w:space="0"/>
              <w:right w:val="single" w:color="auto" w:sz="4" w:space="0"/>
            </w:tcBorders>
            <w:vAlign w:val="center"/>
          </w:tcPr>
          <w:p>
            <w:pPr>
              <w:jc w:val="center"/>
              <w:rPr>
                <w:rFonts w:ascii="宋体" w:hAnsi="宋体"/>
                <w:szCs w:val="21"/>
              </w:rPr>
            </w:pPr>
          </w:p>
        </w:tc>
        <w:tc>
          <w:tcPr>
            <w:tcW w:w="597" w:type="dxa"/>
            <w:tcBorders>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4"/>
              </w:numPr>
              <w:snapToGrid w:val="0"/>
              <w:spacing w:line="320" w:lineRule="exact"/>
              <w:jc w:val="center"/>
              <w:rPr>
                <w:rFonts w:ascii="宋体" w:cs="Sim Sun"/>
                <w:kern w:val="0"/>
                <w:szCs w:val="21"/>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标志1</w:t>
            </w:r>
          </w:p>
        </w:tc>
        <w:tc>
          <w:tcPr>
            <w:tcW w:w="1755"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7.1</w:t>
            </w:r>
          </w:p>
        </w:tc>
        <w:tc>
          <w:tcPr>
            <w:tcW w:w="853"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目测</w:t>
            </w:r>
          </w:p>
        </w:tc>
        <w:tc>
          <w:tcPr>
            <w:tcW w:w="720" w:type="dxa"/>
            <w:tcBorders>
              <w:left w:val="single" w:color="auto" w:sz="4" w:space="0"/>
              <w:right w:val="single" w:color="auto" w:sz="4" w:space="0"/>
            </w:tcBorders>
            <w:vAlign w:val="center"/>
          </w:tcPr>
          <w:p>
            <w:pPr>
              <w:jc w:val="center"/>
              <w:rPr>
                <w:rFonts w:ascii="宋体" w:hAnsi="宋体"/>
                <w:szCs w:val="21"/>
              </w:rPr>
            </w:pPr>
          </w:p>
        </w:tc>
        <w:tc>
          <w:tcPr>
            <w:tcW w:w="597" w:type="dxa"/>
            <w:tcBorders>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vAlign w:val="center"/>
          </w:tcPr>
          <w:p>
            <w:pPr>
              <w:numPr>
                <w:ilvl w:val="0"/>
                <w:numId w:val="4"/>
              </w:numPr>
              <w:snapToGrid w:val="0"/>
              <w:spacing w:line="320" w:lineRule="exact"/>
              <w:jc w:val="center"/>
              <w:rPr>
                <w:rFonts w:ascii="宋体" w:cs="Sim Sun"/>
                <w:kern w:val="0"/>
                <w:szCs w:val="21"/>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标志2</w:t>
            </w:r>
          </w:p>
        </w:tc>
        <w:tc>
          <w:tcPr>
            <w:tcW w:w="1755"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ascii="宋体" w:hAnsi="宋体"/>
                <w:szCs w:val="21"/>
              </w:rPr>
              <w:t>GB 13511</w:t>
            </w:r>
            <w:r>
              <w:rPr>
                <w:rFonts w:hint="eastAsia" w:ascii="宋体" w:hAnsi="宋体"/>
                <w:szCs w:val="21"/>
              </w:rPr>
              <w:t>.1 / 7.1</w:t>
            </w:r>
          </w:p>
        </w:tc>
        <w:tc>
          <w:tcPr>
            <w:tcW w:w="853"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强制性</w:t>
            </w:r>
          </w:p>
        </w:tc>
        <w:tc>
          <w:tcPr>
            <w:tcW w:w="1980"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目测</w:t>
            </w:r>
          </w:p>
        </w:tc>
        <w:tc>
          <w:tcPr>
            <w:tcW w:w="720" w:type="dxa"/>
            <w:tcBorders>
              <w:left w:val="single" w:color="auto" w:sz="4" w:space="0"/>
              <w:right w:val="single" w:color="auto" w:sz="4" w:space="0"/>
            </w:tcBorders>
            <w:vAlign w:val="center"/>
          </w:tcPr>
          <w:p>
            <w:pPr>
              <w:jc w:val="center"/>
              <w:rPr>
                <w:rFonts w:ascii="宋体" w:hAnsi="宋体"/>
                <w:szCs w:val="21"/>
              </w:rPr>
            </w:pPr>
          </w:p>
        </w:tc>
        <w:tc>
          <w:tcPr>
            <w:tcW w:w="597" w:type="dxa"/>
            <w:tcBorders>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16" w:hRule="atLeast"/>
          <w:jc w:val="center"/>
        </w:trPr>
        <w:tc>
          <w:tcPr>
            <w:tcW w:w="8728" w:type="dxa"/>
            <w:gridSpan w:val="8"/>
            <w:tcBorders>
              <w:top w:val="single" w:color="auto" w:sz="6" w:space="0"/>
              <w:left w:val="single" w:color="auto" w:sz="6" w:space="0"/>
              <w:bottom w:val="single" w:color="auto" w:sz="6" w:space="0"/>
              <w:right w:val="single" w:color="auto" w:sz="4" w:space="0"/>
            </w:tcBorders>
            <w:vAlign w:val="center"/>
          </w:tcPr>
          <w:p>
            <w:pPr>
              <w:spacing w:line="320" w:lineRule="exact"/>
              <w:rPr>
                <w:rFonts w:ascii="宋体" w:cs="Sim Sun"/>
                <w:kern w:val="0"/>
                <w:szCs w:val="21"/>
              </w:rPr>
            </w:pPr>
            <w:r>
              <w:rPr>
                <w:rFonts w:ascii="宋体" w:cs="Sim Sun"/>
                <w:kern w:val="0"/>
                <w:szCs w:val="21"/>
              </w:rPr>
              <w:t>a</w:t>
            </w:r>
            <w:r>
              <w:rPr>
                <w:rFonts w:hint="eastAsia" w:ascii="宋体" w:cs="Sim Sun"/>
                <w:kern w:val="0"/>
                <w:szCs w:val="21"/>
              </w:rPr>
              <w:t xml:space="preserve"> 极重要质量项目；</w:t>
            </w:r>
            <w:r>
              <w:rPr>
                <w:rFonts w:ascii="宋体" w:cs="Sim Sun"/>
                <w:kern w:val="0"/>
                <w:szCs w:val="21"/>
              </w:rPr>
              <w:t>b</w:t>
            </w:r>
            <w:r>
              <w:rPr>
                <w:rFonts w:hint="eastAsia" w:ascii="宋体" w:cs="Sim Sun"/>
                <w:kern w:val="0"/>
                <w:szCs w:val="21"/>
              </w:rPr>
              <w:t xml:space="preserve"> 重要质量项目。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300" w:hRule="atLeast"/>
          <w:jc w:val="center"/>
        </w:trPr>
        <w:tc>
          <w:tcPr>
            <w:tcW w:w="930" w:type="dxa"/>
            <w:gridSpan w:val="2"/>
            <w:tcBorders>
              <w:top w:val="single" w:color="auto" w:sz="6" w:space="0"/>
              <w:left w:val="single" w:color="auto" w:sz="6" w:space="0"/>
              <w:bottom w:val="single" w:color="auto" w:sz="6" w:space="0"/>
              <w:right w:val="single" w:color="auto" w:sz="4" w:space="0"/>
            </w:tcBorders>
            <w:vAlign w:val="center"/>
          </w:tcPr>
          <w:p>
            <w:pPr>
              <w:snapToGrid w:val="0"/>
              <w:spacing w:line="320" w:lineRule="exact"/>
              <w:ind w:left="630" w:right="-28" w:hanging="630" w:hangingChars="300"/>
              <w:jc w:val="center"/>
              <w:rPr>
                <w:rFonts w:ascii="宋体" w:cs="Sim Sun"/>
                <w:kern w:val="0"/>
                <w:szCs w:val="21"/>
              </w:rPr>
            </w:pPr>
            <w:r>
              <w:rPr>
                <w:rFonts w:hint="eastAsia" w:ascii="宋体" w:cs="Sim Sun"/>
                <w:kern w:val="0"/>
                <w:szCs w:val="21"/>
              </w:rPr>
              <w:t>备注</w:t>
            </w:r>
          </w:p>
        </w:tc>
        <w:tc>
          <w:tcPr>
            <w:tcW w:w="7798" w:type="dxa"/>
            <w:gridSpan w:val="6"/>
            <w:tcBorders>
              <w:top w:val="single" w:color="auto" w:sz="6" w:space="0"/>
              <w:left w:val="single" w:color="auto" w:sz="4" w:space="0"/>
              <w:bottom w:val="single" w:color="auto" w:sz="6" w:space="0"/>
              <w:right w:val="single" w:color="auto" w:sz="4" w:space="0"/>
            </w:tcBorders>
            <w:vAlign w:val="center"/>
          </w:tcPr>
          <w:p>
            <w:pPr>
              <w:numPr>
                <w:ilvl w:val="0"/>
                <w:numId w:val="5"/>
              </w:numPr>
              <w:snapToGrid w:val="0"/>
              <w:spacing w:line="320" w:lineRule="exact"/>
              <w:ind w:right="-28"/>
              <w:rPr>
                <w:rFonts w:ascii="宋体" w:cs="Sim Sun"/>
                <w:kern w:val="0"/>
                <w:szCs w:val="21"/>
              </w:rPr>
            </w:pPr>
            <w:r>
              <w:rPr>
                <w:rFonts w:hint="eastAsia" w:ascii="宋体" w:cs="Sim Sun"/>
                <w:kern w:val="0"/>
                <w:szCs w:val="21"/>
              </w:rPr>
              <w:t>定配眼镜所用镜片有染色时透射应符合GB10810.3 5.3要求，使用光致变色镜片时应符合GB 10810.3 5.5要求，当定配眼镜明示可适合作驾驶镜时应符合GB 10810.3 5.4要求。</w:t>
            </w:r>
          </w:p>
          <w:p>
            <w:pPr>
              <w:numPr>
                <w:ilvl w:val="0"/>
                <w:numId w:val="5"/>
              </w:numPr>
              <w:snapToGrid w:val="0"/>
              <w:spacing w:line="320" w:lineRule="exact"/>
              <w:ind w:right="-28"/>
              <w:rPr>
                <w:rFonts w:ascii="宋体" w:cs="Sim Sun"/>
                <w:kern w:val="0"/>
                <w:szCs w:val="21"/>
              </w:rPr>
            </w:pPr>
            <w:r>
              <w:rPr>
                <w:rFonts w:hint="eastAsia" w:ascii="宋体" w:cs="Sim Sun"/>
                <w:kern w:val="0"/>
                <w:szCs w:val="21"/>
              </w:rPr>
              <w:t>标志1项目包括定配眼镜的顶焦度、轴位、瞳距等涉及处方、标准中要求有标称值的参数。</w:t>
            </w:r>
          </w:p>
          <w:p>
            <w:pPr>
              <w:numPr>
                <w:ilvl w:val="0"/>
                <w:numId w:val="5"/>
              </w:numPr>
              <w:snapToGrid w:val="0"/>
              <w:spacing w:line="320" w:lineRule="exact"/>
              <w:ind w:right="-28"/>
              <w:rPr>
                <w:rFonts w:ascii="宋体" w:cs="Sim Sun"/>
                <w:kern w:val="0"/>
                <w:szCs w:val="21"/>
              </w:rPr>
            </w:pPr>
            <w:r>
              <w:rPr>
                <w:rFonts w:hint="eastAsia" w:ascii="宋体" w:cs="Sim Sun"/>
                <w:kern w:val="0"/>
                <w:szCs w:val="21"/>
              </w:rPr>
              <w:t>标志2项目包括生产企业的名称和地址、产品执行标准。</w:t>
            </w:r>
          </w:p>
          <w:p>
            <w:pPr>
              <w:numPr>
                <w:ilvl w:val="0"/>
                <w:numId w:val="5"/>
              </w:numPr>
              <w:snapToGrid w:val="0"/>
              <w:spacing w:line="320" w:lineRule="exact"/>
              <w:ind w:right="-28"/>
              <w:rPr>
                <w:rFonts w:ascii="宋体" w:cs="Sim Sun"/>
                <w:kern w:val="0"/>
                <w:szCs w:val="21"/>
              </w:rPr>
            </w:pPr>
            <w:r>
              <w:rPr>
                <w:rFonts w:hint="eastAsia" w:ascii="宋体" w:cs="Sim Sun"/>
                <w:kern w:val="0"/>
                <w:szCs w:val="21"/>
              </w:rPr>
              <w:t xml:space="preserve">当处方中包含本表中未列的参数，这些参数也应符合GB13511.1要求。 </w:t>
            </w:r>
          </w:p>
        </w:tc>
      </w:tr>
    </w:tbl>
    <w:p>
      <w:pPr>
        <w:rPr>
          <w:rFonts w:ascii="仿宋_GB2312" w:eastAsia="仿宋_GB2312"/>
          <w:bCs/>
          <w:sz w:val="32"/>
          <w:szCs w:val="32"/>
        </w:rPr>
      </w:pPr>
      <w:r>
        <w:rPr>
          <w:rFonts w:hint="eastAsia" w:ascii="仿宋_GB2312" w:eastAsia="仿宋_GB2312"/>
          <w:bCs/>
          <w:sz w:val="32"/>
          <w:szCs w:val="32"/>
        </w:rPr>
        <w:t>六、判定原则</w:t>
      </w:r>
    </w:p>
    <w:p>
      <w:pPr>
        <w:rPr>
          <w:rFonts w:ascii="仿宋_GB2312" w:eastAsia="仿宋_GB2312"/>
          <w:b/>
          <w:sz w:val="32"/>
          <w:szCs w:val="32"/>
        </w:rPr>
      </w:pPr>
      <w:r>
        <w:rPr>
          <w:rFonts w:hint="eastAsia" w:ascii="仿宋_GB2312" w:eastAsia="仿宋_GB2312"/>
          <w:b/>
          <w:sz w:val="32"/>
          <w:szCs w:val="32"/>
        </w:rPr>
        <w:t>6.1</w:t>
      </w:r>
      <w:r>
        <w:rPr>
          <w:rFonts w:hint="eastAsia" w:ascii="仿宋_GB2312" w:eastAsia="仿宋_GB2312"/>
          <w:bCs/>
          <w:sz w:val="32"/>
          <w:szCs w:val="32"/>
        </w:rPr>
        <w:t xml:space="preserve"> 单项判定原则</w:t>
      </w:r>
    </w:p>
    <w:p>
      <w:pPr>
        <w:ind w:firstLine="480" w:firstLineChars="150"/>
        <w:rPr>
          <w:rFonts w:ascii="仿宋_GB2312" w:eastAsia="仿宋_GB2312"/>
          <w:sz w:val="32"/>
          <w:szCs w:val="32"/>
        </w:rPr>
      </w:pPr>
      <w:r>
        <w:rPr>
          <w:rFonts w:hint="eastAsia" w:ascii="仿宋_GB2312" w:eastAsia="仿宋_GB2312"/>
          <w:sz w:val="32"/>
          <w:szCs w:val="32"/>
        </w:rPr>
        <w:t>6.1.1检验项目中出现一个检查单元（副或片）不符合，则判定该项不合格，并根据表3规定，将不合格分为A类、B类。</w:t>
      </w:r>
    </w:p>
    <w:p>
      <w:pPr>
        <w:ind w:firstLine="480" w:firstLineChars="150"/>
        <w:rPr>
          <w:rFonts w:ascii="仿宋_GB2312" w:eastAsia="仿宋_GB2312"/>
          <w:sz w:val="32"/>
          <w:szCs w:val="32"/>
        </w:rPr>
      </w:pPr>
      <w:r>
        <w:rPr>
          <w:rFonts w:hint="eastAsia" w:ascii="仿宋_GB2312" w:eastAsia="仿宋_GB2312"/>
          <w:sz w:val="32"/>
          <w:szCs w:val="32"/>
        </w:rPr>
        <w:t>6.1.2未标注标志1中的参数，判定该批产品标志1项目不合格；未标注对应的项目判定为“未标注”。</w:t>
      </w:r>
    </w:p>
    <w:p>
      <w:pPr>
        <w:rPr>
          <w:rFonts w:ascii="仿宋_GB2312" w:eastAsia="仿宋_GB2312"/>
          <w:b/>
          <w:sz w:val="32"/>
          <w:szCs w:val="32"/>
        </w:rPr>
      </w:pPr>
      <w:r>
        <w:rPr>
          <w:rFonts w:hint="eastAsia" w:ascii="仿宋_GB2312" w:eastAsia="仿宋_GB2312"/>
          <w:b/>
          <w:sz w:val="32"/>
          <w:szCs w:val="32"/>
        </w:rPr>
        <w:t>6.2</w:t>
      </w:r>
      <w:r>
        <w:rPr>
          <w:rFonts w:hint="eastAsia" w:ascii="仿宋_GB2312" w:eastAsia="仿宋_GB2312"/>
          <w:bCs/>
          <w:sz w:val="32"/>
          <w:szCs w:val="32"/>
        </w:rPr>
        <w:t xml:space="preserve"> 产品实物质量判定原则</w:t>
      </w:r>
    </w:p>
    <w:p>
      <w:pPr>
        <w:ind w:firstLine="480" w:firstLineChars="15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2</w:t>
      </w:r>
      <w:r>
        <w:rPr>
          <w:rFonts w:ascii="仿宋_GB2312" w:eastAsia="仿宋_GB2312"/>
          <w:sz w:val="32"/>
          <w:szCs w:val="32"/>
        </w:rPr>
        <w:t>.1“合格”判定条件：</w:t>
      </w:r>
    </w:p>
    <w:p>
      <w:pPr>
        <w:ind w:firstLine="480" w:firstLineChars="150"/>
        <w:rPr>
          <w:rFonts w:ascii="仿宋_GB2312" w:eastAsia="仿宋_GB2312"/>
          <w:sz w:val="32"/>
          <w:szCs w:val="32"/>
        </w:rPr>
      </w:pPr>
      <w:r>
        <w:rPr>
          <w:rFonts w:ascii="仿宋_GB2312" w:eastAsia="仿宋_GB2312"/>
          <w:sz w:val="32"/>
          <w:szCs w:val="32"/>
        </w:rPr>
        <w:t>所检项目全部合格</w:t>
      </w:r>
      <w:r>
        <w:rPr>
          <w:rFonts w:hint="eastAsia" w:ascii="仿宋_GB2312" w:eastAsia="仿宋_GB2312"/>
          <w:sz w:val="32"/>
          <w:szCs w:val="32"/>
        </w:rPr>
        <w:t>。</w:t>
      </w:r>
    </w:p>
    <w:p>
      <w:pPr>
        <w:ind w:firstLine="480" w:firstLineChars="15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2</w:t>
      </w:r>
      <w:r>
        <w:rPr>
          <w:rFonts w:ascii="仿宋_GB2312" w:eastAsia="仿宋_GB2312"/>
          <w:sz w:val="32"/>
          <w:szCs w:val="32"/>
        </w:rPr>
        <w:t>.2“不合格”判定条件：</w:t>
      </w:r>
    </w:p>
    <w:p>
      <w:pPr>
        <w:ind w:firstLine="480" w:firstLineChars="150"/>
        <w:rPr>
          <w:rFonts w:ascii="仿宋_GB2312" w:eastAsia="仿宋_GB2312"/>
          <w:sz w:val="32"/>
          <w:szCs w:val="32"/>
        </w:rPr>
      </w:pPr>
      <w:r>
        <w:rPr>
          <w:rFonts w:ascii="仿宋_GB2312" w:eastAsia="仿宋_GB2312"/>
          <w:sz w:val="32"/>
          <w:szCs w:val="32"/>
        </w:rPr>
        <w:t>出现一项</w:t>
      </w:r>
      <w:r>
        <w:rPr>
          <w:rFonts w:hint="eastAsia" w:ascii="仿宋_GB2312" w:eastAsia="仿宋_GB2312"/>
          <w:sz w:val="32"/>
          <w:szCs w:val="32"/>
        </w:rPr>
        <w:t>及以上</w:t>
      </w:r>
      <w:r>
        <w:rPr>
          <w:rFonts w:ascii="仿宋_GB2312" w:eastAsia="仿宋_GB2312"/>
          <w:sz w:val="32"/>
          <w:szCs w:val="32"/>
        </w:rPr>
        <w:t>A类或B类不合格</w:t>
      </w:r>
      <w:r>
        <w:rPr>
          <w:rFonts w:hint="eastAsia" w:ascii="仿宋_GB2312" w:eastAsia="仿宋_GB2312"/>
          <w:sz w:val="32"/>
          <w:szCs w:val="32"/>
        </w:rPr>
        <w:t>。</w:t>
      </w:r>
    </w:p>
    <w:p>
      <w:pPr>
        <w:ind w:firstLine="480" w:firstLineChars="15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2</w:t>
      </w:r>
      <w:r>
        <w:rPr>
          <w:rFonts w:ascii="仿宋_GB2312" w:eastAsia="仿宋_GB2312"/>
          <w:sz w:val="32"/>
          <w:szCs w:val="32"/>
        </w:rPr>
        <w:t>.3“</w:t>
      </w:r>
      <w:r>
        <w:rPr>
          <w:rFonts w:hint="eastAsia" w:ascii="仿宋_GB2312" w:eastAsia="仿宋_GB2312"/>
          <w:sz w:val="32"/>
          <w:szCs w:val="32"/>
        </w:rPr>
        <w:t>严重</w:t>
      </w:r>
      <w:r>
        <w:rPr>
          <w:rFonts w:ascii="仿宋_GB2312" w:eastAsia="仿宋_GB2312"/>
          <w:sz w:val="32"/>
          <w:szCs w:val="32"/>
        </w:rPr>
        <w:t>不合格”判定条件：</w:t>
      </w:r>
    </w:p>
    <w:p>
      <w:pPr>
        <w:ind w:firstLine="480" w:firstLineChars="150"/>
        <w:rPr>
          <w:rFonts w:ascii="仿宋_GB2312" w:eastAsia="仿宋_GB2312"/>
          <w:sz w:val="32"/>
          <w:szCs w:val="32"/>
        </w:rPr>
      </w:pPr>
      <w:r>
        <w:rPr>
          <w:rFonts w:ascii="仿宋_GB2312" w:eastAsia="仿宋_GB2312"/>
          <w:sz w:val="32"/>
          <w:szCs w:val="32"/>
        </w:rPr>
        <w:t>符合以下任一条件的</w:t>
      </w:r>
      <w:r>
        <w:rPr>
          <w:rFonts w:hint="eastAsia" w:ascii="仿宋_GB2312" w:eastAsia="仿宋_GB2312"/>
          <w:sz w:val="32"/>
          <w:szCs w:val="32"/>
        </w:rPr>
        <w:t>，</w:t>
      </w:r>
      <w:r>
        <w:rPr>
          <w:rFonts w:ascii="仿宋_GB2312" w:eastAsia="仿宋_GB2312"/>
          <w:sz w:val="32"/>
          <w:szCs w:val="32"/>
        </w:rPr>
        <w:t>判定为“</w:t>
      </w:r>
      <w:r>
        <w:rPr>
          <w:rFonts w:hint="eastAsia" w:ascii="仿宋_GB2312" w:eastAsia="仿宋_GB2312"/>
          <w:sz w:val="32"/>
          <w:szCs w:val="32"/>
        </w:rPr>
        <w:t>严重</w:t>
      </w:r>
      <w:r>
        <w:rPr>
          <w:rFonts w:ascii="仿宋_GB2312" w:eastAsia="仿宋_GB2312"/>
          <w:sz w:val="32"/>
          <w:szCs w:val="32"/>
        </w:rPr>
        <w:t>不合格”：</w:t>
      </w:r>
    </w:p>
    <w:p>
      <w:pPr>
        <w:ind w:firstLine="480" w:firstLineChars="15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A类不合格</w:t>
      </w:r>
      <w:r>
        <w:rPr>
          <w:rFonts w:hint="eastAsia" w:ascii="仿宋_GB2312" w:eastAsia="仿宋_GB2312"/>
          <w:sz w:val="32"/>
          <w:szCs w:val="32"/>
        </w:rPr>
        <w:t>三</w:t>
      </w:r>
      <w:r>
        <w:rPr>
          <w:rFonts w:ascii="仿宋_GB2312" w:eastAsia="仿宋_GB2312"/>
          <w:sz w:val="32"/>
          <w:szCs w:val="32"/>
        </w:rPr>
        <w:t>项</w:t>
      </w:r>
      <w:r>
        <w:rPr>
          <w:rFonts w:hint="eastAsia" w:ascii="仿宋_GB2312" w:eastAsia="仿宋_GB2312"/>
          <w:sz w:val="32"/>
          <w:szCs w:val="32"/>
        </w:rPr>
        <w:t>以上</w:t>
      </w:r>
      <w:r>
        <w:rPr>
          <w:rFonts w:ascii="仿宋_GB2312" w:eastAsia="仿宋_GB2312"/>
          <w:sz w:val="32"/>
          <w:szCs w:val="32"/>
        </w:rPr>
        <w:t>；</w:t>
      </w:r>
    </w:p>
    <w:p>
      <w:pPr>
        <w:ind w:firstLine="480" w:firstLineChars="15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A类、B类不合格合计</w:t>
      </w:r>
      <w:r>
        <w:rPr>
          <w:rFonts w:hint="eastAsia" w:ascii="仿宋_GB2312" w:eastAsia="仿宋_GB2312"/>
          <w:sz w:val="32"/>
          <w:szCs w:val="32"/>
        </w:rPr>
        <w:t>四</w:t>
      </w:r>
      <w:r>
        <w:rPr>
          <w:rFonts w:ascii="仿宋_GB2312" w:eastAsia="仿宋_GB2312"/>
          <w:sz w:val="32"/>
          <w:szCs w:val="32"/>
        </w:rPr>
        <w:t>项</w:t>
      </w:r>
      <w:r>
        <w:rPr>
          <w:rFonts w:hint="eastAsia" w:ascii="仿宋_GB2312" w:eastAsia="仿宋_GB2312"/>
          <w:sz w:val="32"/>
          <w:szCs w:val="32"/>
        </w:rPr>
        <w:t>以上；</w:t>
      </w:r>
    </w:p>
    <w:p>
      <w:pPr>
        <w:ind w:left="479" w:leftChars="228"/>
        <w:rPr>
          <w:rFonts w:ascii="仿宋_GB2312" w:eastAsia="仿宋_GB2312"/>
          <w:sz w:val="32"/>
          <w:szCs w:val="32"/>
        </w:rPr>
      </w:pPr>
      <w:r>
        <w:rPr>
          <w:rFonts w:hint="eastAsia" w:ascii="仿宋_GB2312" w:eastAsia="仿宋_GB2312"/>
          <w:sz w:val="32"/>
          <w:szCs w:val="32"/>
        </w:rPr>
        <w:t>3).表3中A类项目中任何一项或多项出现偏差值大于标准允许值的一倍以上。</w:t>
      </w:r>
    </w:p>
    <w:p>
      <w:pPr>
        <w:rPr>
          <w:rFonts w:ascii="仿宋_GB2312" w:eastAsia="仿宋_GB2312"/>
          <w:b/>
          <w:sz w:val="32"/>
          <w:szCs w:val="32"/>
        </w:rPr>
      </w:pPr>
      <w:r>
        <w:rPr>
          <w:rFonts w:hint="eastAsia" w:ascii="仿宋_GB2312" w:eastAsia="仿宋_GB2312"/>
          <w:b/>
          <w:sz w:val="32"/>
          <w:szCs w:val="32"/>
        </w:rPr>
        <w:t>6</w:t>
      </w:r>
      <w:r>
        <w:rPr>
          <w:rFonts w:ascii="仿宋_GB2312" w:eastAsia="仿宋_GB2312"/>
          <w:b/>
          <w:sz w:val="32"/>
          <w:szCs w:val="32"/>
        </w:rPr>
        <w:t>.</w:t>
      </w:r>
      <w:r>
        <w:rPr>
          <w:rFonts w:hint="eastAsia" w:ascii="仿宋_GB2312" w:eastAsia="仿宋_GB2312"/>
          <w:b/>
          <w:sz w:val="32"/>
          <w:szCs w:val="32"/>
        </w:rPr>
        <w:t>3</w:t>
      </w:r>
      <w:r>
        <w:rPr>
          <w:rFonts w:ascii="仿宋_GB2312" w:eastAsia="仿宋_GB2312"/>
          <w:b/>
          <w:sz w:val="32"/>
          <w:szCs w:val="32"/>
        </w:rPr>
        <w:t xml:space="preserve"> </w:t>
      </w:r>
      <w:r>
        <w:rPr>
          <w:rFonts w:ascii="仿宋_GB2312" w:eastAsia="仿宋_GB2312"/>
          <w:bCs/>
          <w:sz w:val="32"/>
          <w:szCs w:val="32"/>
        </w:rPr>
        <w:t>产品标识判定原则</w:t>
      </w:r>
    </w:p>
    <w:p>
      <w:pPr>
        <w:ind w:firstLine="480" w:firstLineChars="150"/>
        <w:rPr>
          <w:rFonts w:ascii="仿宋_GB2312" w:eastAsia="仿宋_GB2312"/>
          <w:sz w:val="32"/>
          <w:szCs w:val="32"/>
        </w:rPr>
      </w:pPr>
      <w:r>
        <w:rPr>
          <w:rFonts w:ascii="仿宋_GB2312" w:eastAsia="仿宋_GB2312"/>
          <w:sz w:val="32"/>
          <w:szCs w:val="32"/>
        </w:rPr>
        <w:t>所检样品标识存在</w:t>
      </w:r>
      <w:r>
        <w:rPr>
          <w:rFonts w:hint="eastAsia" w:ascii="仿宋_GB2312" w:eastAsia="仿宋_GB2312"/>
          <w:sz w:val="32"/>
          <w:szCs w:val="32"/>
        </w:rPr>
        <w:t>顶焦度、轴位、瞳距等涉及处方、标准中要求有标称值的参数出现一项或一项以上未标注</w:t>
      </w:r>
      <w:r>
        <w:rPr>
          <w:rFonts w:ascii="仿宋_GB2312" w:eastAsia="仿宋_GB2312"/>
          <w:sz w:val="32"/>
          <w:szCs w:val="32"/>
        </w:rPr>
        <w:t>，判定</w:t>
      </w:r>
      <w:r>
        <w:rPr>
          <w:rFonts w:hint="eastAsia" w:ascii="仿宋_GB2312" w:eastAsia="仿宋_GB2312"/>
          <w:sz w:val="32"/>
          <w:szCs w:val="32"/>
        </w:rPr>
        <w:t>标识1项目</w:t>
      </w:r>
      <w:r>
        <w:rPr>
          <w:rFonts w:ascii="仿宋_GB2312" w:eastAsia="仿宋_GB2312"/>
          <w:sz w:val="32"/>
          <w:szCs w:val="32"/>
        </w:rPr>
        <w:t>不合格</w:t>
      </w:r>
      <w:r>
        <w:rPr>
          <w:rFonts w:hint="eastAsia" w:ascii="仿宋_GB2312" w:eastAsia="仿宋_GB2312"/>
          <w:sz w:val="32"/>
          <w:szCs w:val="32"/>
        </w:rPr>
        <w:t>，产品标识轻微不合格</w:t>
      </w:r>
      <w:r>
        <w:rPr>
          <w:rFonts w:ascii="仿宋_GB2312" w:eastAsia="仿宋_GB2312"/>
          <w:sz w:val="32"/>
          <w:szCs w:val="32"/>
        </w:rPr>
        <w:t>。</w:t>
      </w:r>
    </w:p>
    <w:p>
      <w:pPr>
        <w:rPr>
          <w:rFonts w:ascii="仿宋_GB2312" w:eastAsia="仿宋_GB2312"/>
          <w:sz w:val="32"/>
          <w:szCs w:val="32"/>
        </w:rPr>
      </w:pPr>
      <w:r>
        <w:rPr>
          <w:rFonts w:hint="eastAsia" w:ascii="仿宋_GB2312" w:eastAsia="仿宋_GB2312"/>
          <w:sz w:val="32"/>
          <w:szCs w:val="32"/>
        </w:rPr>
        <w:t>所检样品标识存在未标生产企业的名称和地址、执行</w:t>
      </w:r>
      <w:r>
        <w:rPr>
          <w:rFonts w:ascii="仿宋_GB2312" w:eastAsia="仿宋_GB2312"/>
          <w:sz w:val="32"/>
          <w:szCs w:val="32"/>
        </w:rPr>
        <w:t>标准</w:t>
      </w:r>
      <w:r>
        <w:rPr>
          <w:rFonts w:hint="eastAsia" w:ascii="仿宋_GB2312" w:eastAsia="仿宋_GB2312"/>
          <w:sz w:val="32"/>
          <w:szCs w:val="32"/>
        </w:rPr>
        <w:t>或所标注的标准与产品严重不符时，判定标志2项目不合格，当只有标志2项目不合格时，产品标识结论合格。</w:t>
      </w:r>
    </w:p>
    <w:p>
      <w:pPr>
        <w:rPr>
          <w:rFonts w:ascii="仿宋_GB2312" w:eastAsia="仿宋_GB2312"/>
          <w:b/>
          <w:sz w:val="32"/>
          <w:szCs w:val="32"/>
        </w:rPr>
      </w:pPr>
      <w:r>
        <w:rPr>
          <w:rFonts w:hint="eastAsia" w:ascii="仿宋_GB2312" w:eastAsia="仿宋_GB2312"/>
          <w:b/>
          <w:sz w:val="32"/>
          <w:szCs w:val="32"/>
        </w:rPr>
        <w:t xml:space="preserve">6.4 </w:t>
      </w:r>
      <w:r>
        <w:rPr>
          <w:rFonts w:hint="eastAsia" w:ascii="仿宋_GB2312" w:eastAsia="仿宋_GB2312"/>
          <w:sz w:val="32"/>
          <w:szCs w:val="32"/>
        </w:rPr>
        <w:t>产品检验结果综合判定原则</w:t>
      </w:r>
    </w:p>
    <w:p>
      <w:pPr>
        <w:ind w:firstLine="640" w:firstLineChars="200"/>
        <w:rPr>
          <w:rFonts w:ascii="仿宋_GB2312" w:eastAsia="仿宋_GB2312"/>
          <w:sz w:val="32"/>
          <w:szCs w:val="32"/>
        </w:rPr>
      </w:pPr>
      <w:r>
        <w:rPr>
          <w:rFonts w:ascii="仿宋_GB2312" w:eastAsia="仿宋_GB2312"/>
          <w:sz w:val="32"/>
          <w:szCs w:val="32"/>
        </w:rPr>
        <w:t>经检验，所抽取样品实物质量合格，</w:t>
      </w:r>
      <w:r>
        <w:rPr>
          <w:rFonts w:hint="eastAsia" w:ascii="仿宋_GB2312" w:eastAsia="仿宋_GB2312"/>
          <w:sz w:val="32"/>
          <w:szCs w:val="32"/>
        </w:rPr>
        <w:t>且标识中的标志1项目合格，</w:t>
      </w:r>
      <w:r>
        <w:rPr>
          <w:rFonts w:ascii="仿宋_GB2312" w:eastAsia="仿宋_GB2312"/>
          <w:sz w:val="32"/>
          <w:szCs w:val="32"/>
        </w:rPr>
        <w:t>综合</w:t>
      </w:r>
      <w:r>
        <w:rPr>
          <w:rFonts w:hint="eastAsia" w:ascii="仿宋_GB2312" w:eastAsia="仿宋_GB2312"/>
          <w:sz w:val="32"/>
          <w:szCs w:val="32"/>
        </w:rPr>
        <w:t>判定为被抽查产品合格</w:t>
      </w:r>
      <w:r>
        <w:rPr>
          <w:rFonts w:ascii="仿宋_GB2312" w:eastAsia="仿宋_GB2312"/>
          <w:sz w:val="32"/>
          <w:szCs w:val="32"/>
        </w:rPr>
        <w:t>。</w:t>
      </w:r>
      <w:r>
        <w:rPr>
          <w:rFonts w:hint="eastAsia" w:ascii="仿宋_GB2312" w:eastAsia="仿宋_GB2312"/>
          <w:sz w:val="32"/>
          <w:szCs w:val="32"/>
        </w:rPr>
        <w:t>出现实物质量或标志1不合格，则判定为被抽查产品不合格。</w:t>
      </w:r>
      <w:r>
        <w:rPr>
          <w:rFonts w:ascii="仿宋_GB2312" w:eastAsia="仿宋_GB2312"/>
          <w:sz w:val="32"/>
          <w:szCs w:val="32"/>
        </w:rPr>
        <w:t>其中，当产品实物质量判定为不合格（</w:t>
      </w:r>
      <w:r>
        <w:rPr>
          <w:rFonts w:hint="eastAsia" w:ascii="仿宋_GB2312" w:eastAsia="仿宋_GB2312"/>
          <w:sz w:val="32"/>
          <w:szCs w:val="32"/>
        </w:rPr>
        <w:t>严重不合格</w:t>
      </w:r>
      <w:r>
        <w:rPr>
          <w:rFonts w:ascii="仿宋_GB2312" w:eastAsia="仿宋_GB2312"/>
          <w:sz w:val="32"/>
          <w:szCs w:val="32"/>
        </w:rPr>
        <w:t>）时，综合判定为不合格（</w:t>
      </w:r>
      <w:r>
        <w:rPr>
          <w:rFonts w:hint="eastAsia" w:ascii="仿宋_GB2312" w:eastAsia="仿宋_GB2312"/>
          <w:sz w:val="32"/>
          <w:szCs w:val="32"/>
        </w:rPr>
        <w:t>严重不合格</w:t>
      </w:r>
      <w:r>
        <w:rPr>
          <w:rFonts w:ascii="仿宋_GB2312" w:eastAsia="仿宋_GB2312"/>
          <w:sz w:val="32"/>
          <w:szCs w:val="32"/>
        </w:rPr>
        <w:t>）。</w:t>
      </w:r>
      <w:r>
        <w:rPr>
          <w:rFonts w:hint="eastAsia" w:ascii="仿宋_GB2312" w:eastAsia="仿宋_GB2312"/>
          <w:sz w:val="32"/>
          <w:szCs w:val="32"/>
        </w:rPr>
        <w:t>标识中的标志2不参与综合判定。</w:t>
      </w:r>
    </w:p>
    <w:p>
      <w:pPr>
        <w:rPr>
          <w:rFonts w:ascii="仿宋_GB2312" w:eastAsia="仿宋_GB2312"/>
          <w:sz w:val="32"/>
          <w:szCs w:val="32"/>
        </w:rPr>
      </w:pPr>
      <w:r>
        <w:rPr>
          <w:rFonts w:hint="eastAsia" w:ascii="仿宋_GB2312" w:eastAsia="仿宋_GB2312"/>
          <w:b/>
          <w:sz w:val="32"/>
          <w:szCs w:val="32"/>
        </w:rPr>
        <w:t>6.5</w:t>
      </w:r>
      <w:r>
        <w:rPr>
          <w:rFonts w:hint="eastAsia" w:ascii="仿宋_GB2312" w:eastAsia="仿宋_GB2312"/>
          <w:sz w:val="32"/>
          <w:szCs w:val="32"/>
        </w:rPr>
        <w:t xml:space="preserve">．其他： </w:t>
      </w:r>
    </w:p>
    <w:p>
      <w:pPr>
        <w:ind w:firstLine="640" w:firstLineChars="200"/>
        <w:rPr>
          <w:rFonts w:ascii="仿宋_GB2312" w:eastAsia="仿宋_GB2312"/>
          <w:sz w:val="32"/>
          <w:szCs w:val="32"/>
        </w:rPr>
      </w:pPr>
      <w:r>
        <w:rPr>
          <w:rFonts w:hint="eastAsia" w:ascii="仿宋_GB2312" w:eastAsia="仿宋_GB2312"/>
          <w:sz w:val="32"/>
          <w:szCs w:val="32"/>
        </w:rPr>
        <w:t>若被检产品明示的质量要求高于本方案中检验项目依据的标准要求时，应按被检产品明示的质量要求判定。若被检产品明示的质量要求低于本方案中检验项目依据的国家或行业强制性标准要求时，应按国家或行业强制性标准要求判定；若被检产品明示的质量要求低于本方案中检验项目依据的国家或行业推荐性标准要求时，应按被检产品明示的质量要求判定。若被检产品明示的质量要求缺少本方案中的检验项目时，应按本方案中检验项目依据的标准要求判定。</w:t>
      </w:r>
    </w:p>
    <w:p>
      <w:pPr>
        <w:rPr>
          <w:rFonts w:ascii="仿宋_GB2312" w:eastAsia="仿宋_GB2312"/>
          <w:sz w:val="30"/>
          <w:szCs w:val="30"/>
        </w:rPr>
      </w:pPr>
      <w:r>
        <w:rPr>
          <w:rFonts w:hint="eastAsia" w:ascii="仿宋_GB2312" w:eastAsia="仿宋_GB2312"/>
          <w:sz w:val="32"/>
          <w:szCs w:val="32"/>
        </w:rPr>
        <w:t>七、</w:t>
      </w:r>
      <w:r>
        <w:rPr>
          <w:rFonts w:hint="eastAsia" w:ascii="仿宋_GB2312" w:eastAsia="仿宋_GB2312"/>
          <w:sz w:val="30"/>
          <w:szCs w:val="30"/>
        </w:rPr>
        <w:t>样品管理</w:t>
      </w:r>
    </w:p>
    <w:p>
      <w:pPr>
        <w:ind w:firstLine="480" w:firstLineChars="150"/>
        <w:rPr>
          <w:rFonts w:ascii="仿宋_GB2312" w:eastAsia="仿宋_GB2312"/>
          <w:sz w:val="32"/>
          <w:szCs w:val="32"/>
        </w:rPr>
      </w:pPr>
      <w:r>
        <w:rPr>
          <w:rFonts w:hint="eastAsia" w:ascii="仿宋_GB2312" w:eastAsia="仿宋_GB2312"/>
          <w:sz w:val="32"/>
          <w:szCs w:val="32"/>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ind w:firstLine="480" w:firstLineChars="150"/>
        <w:rPr>
          <w:rFonts w:ascii="仿宋_GB2312" w:eastAsia="仿宋_GB2312"/>
          <w:sz w:val="32"/>
          <w:szCs w:val="32"/>
        </w:rPr>
      </w:pPr>
      <w:r>
        <w:rPr>
          <w:rFonts w:hint="eastAsia" w:ascii="仿宋_GB2312" w:eastAsia="仿宋_GB2312"/>
          <w:sz w:val="32"/>
          <w:szCs w:val="32"/>
        </w:rPr>
        <w:t>出现样品封样及密封状态被破坏、样品异常损坏等现象，无法正常进行下一步有关项目检验和判定时，应重新抽样。必要时应采集并保存影像记录。</w:t>
      </w:r>
    </w:p>
    <w:p>
      <w:pPr>
        <w:ind w:firstLine="640" w:firstLineChars="200"/>
        <w:rPr>
          <w:rFonts w:ascii="仿宋_GB2312" w:eastAsia="仿宋_GB2312"/>
          <w:sz w:val="32"/>
          <w:szCs w:val="32"/>
        </w:rPr>
      </w:pPr>
      <w:r>
        <w:rPr>
          <w:rFonts w:hint="eastAsia" w:ascii="仿宋_GB2312" w:eastAsia="仿宋_GB2312"/>
          <w:sz w:val="32"/>
          <w:szCs w:val="32"/>
        </w:rPr>
        <w:t>检验后样品〈特别是不合格样品〉应妥善保存至所有检验结果公布之后才能退还被抽样企业。如因检验造成破坏或者损耗而无法退还的样品可以不退还，但应当向被抽查企业说明情况。</w:t>
      </w:r>
      <w:bookmarkStart w:id="0" w:name="_GoBack"/>
      <w:bookmarkEnd w:id="0"/>
    </w:p>
    <w:p>
      <w:pPr>
        <w:rPr>
          <w:rFonts w:ascii="仿宋_GB2312" w:eastAsia="仿宋_GB2312"/>
          <w:sz w:val="32"/>
          <w:szCs w:val="32"/>
        </w:rPr>
      </w:pPr>
      <w:r>
        <w:rPr>
          <w:rFonts w:hint="eastAsia" w:ascii="仿宋_GB2312" w:eastAsia="仿宋_GB2312"/>
          <w:sz w:val="32"/>
          <w:szCs w:val="32"/>
        </w:rPr>
        <w:t>八、检验报告</w:t>
      </w:r>
    </w:p>
    <w:p>
      <w:pPr>
        <w:tabs>
          <w:tab w:val="left" w:pos="0"/>
        </w:tabs>
        <w:spacing w:line="476" w:lineRule="exact"/>
        <w:ind w:firstLine="640" w:firstLineChars="200"/>
        <w:rPr>
          <w:rFonts w:ascii="仿宋_GB2312" w:eastAsia="仿宋_GB2312"/>
          <w:color w:val="000000"/>
          <w:spacing w:val="-20"/>
          <w:sz w:val="32"/>
          <w:szCs w:val="32"/>
        </w:rPr>
      </w:pPr>
      <w:r>
        <w:rPr>
          <w:rFonts w:hint="eastAsia" w:ascii="仿宋_GB2312" w:hAnsi="新宋体" w:eastAsia="仿宋_GB2312"/>
          <w:sz w:val="32"/>
          <w:szCs w:val="32"/>
        </w:rPr>
        <w:t>检验报告按照广东省监督抽查报告格式。</w:t>
      </w:r>
      <w:r>
        <w:rPr>
          <w:rFonts w:hint="eastAsia" w:ascii="仿宋_GB2312" w:eastAsia="仿宋_GB2312"/>
          <w:color w:val="000000"/>
          <w:spacing w:val="-20"/>
          <w:sz w:val="32"/>
          <w:szCs w:val="32"/>
        </w:rPr>
        <w:t>如发现安全性能不符合要求等严重质量问题，应立即书面报市局。</w:t>
      </w:r>
    </w:p>
    <w:p>
      <w:pPr>
        <w:tabs>
          <w:tab w:val="left" w:pos="0"/>
        </w:tabs>
        <w:spacing w:line="476" w:lineRule="exact"/>
        <w:rPr>
          <w:rFonts w:ascii="仿宋_GB2312" w:eastAsia="仿宋_GB2312"/>
          <w:color w:val="000000"/>
          <w:spacing w:val="-20"/>
          <w:sz w:val="32"/>
          <w:szCs w:val="32"/>
        </w:rPr>
      </w:pPr>
      <w:r>
        <w:rPr>
          <w:rFonts w:hint="eastAsia" w:ascii="仿宋_GB2312" w:eastAsia="仿宋_GB2312"/>
          <w:color w:val="000000"/>
          <w:spacing w:val="-20"/>
          <w:sz w:val="32"/>
          <w:szCs w:val="32"/>
        </w:rPr>
        <w:t>九、</w:t>
      </w:r>
      <w:r>
        <w:rPr>
          <w:rFonts w:hint="eastAsia" w:ascii="仿宋_GB2312" w:hAnsi="新宋体" w:eastAsia="仿宋_GB2312"/>
          <w:sz w:val="32"/>
          <w:szCs w:val="32"/>
        </w:rPr>
        <w:t>异议处理复检</w:t>
      </w:r>
    </w:p>
    <w:p>
      <w:pPr>
        <w:ind w:firstLine="678" w:firstLineChars="212"/>
        <w:rPr>
          <w:rFonts w:ascii="仿宋_GB2312" w:eastAsia="仿宋_GB2312"/>
          <w:sz w:val="32"/>
          <w:szCs w:val="32"/>
        </w:rPr>
      </w:pPr>
      <w:r>
        <w:rPr>
          <w:rFonts w:hint="eastAsia" w:ascii="仿宋_GB2312" w:eastAsia="仿宋_GB2312"/>
          <w:sz w:val="32"/>
          <w:szCs w:val="32"/>
        </w:rPr>
        <w:t>对判定不合格产品进行复检时，按以下方式进行：</w:t>
      </w:r>
    </w:p>
    <w:p>
      <w:pPr>
        <w:ind w:firstLine="678" w:firstLineChars="212"/>
        <w:rPr>
          <w:rFonts w:ascii="仿宋_GB2312" w:eastAsia="仿宋_GB2312"/>
          <w:sz w:val="32"/>
          <w:szCs w:val="32"/>
        </w:rPr>
      </w:pPr>
      <w:r>
        <w:rPr>
          <w:rFonts w:hint="eastAsia" w:ascii="仿宋_GB2312" w:eastAsia="仿宋_GB2312"/>
          <w:sz w:val="32"/>
          <w:szCs w:val="32"/>
        </w:rPr>
        <w:t>核查不合格项目相关证据，能够以记录（纸质记录或电子记录或影像记录）、检验后缺陷特征样品、与不合格质量数据相关联的其他质量数据等检验证据证明，并得到申请复检者认可的，做出维持原检验结论的复检结论。</w:t>
      </w:r>
    </w:p>
    <w:p>
      <w:pPr>
        <w:ind w:firstLine="678" w:firstLineChars="212"/>
        <w:rPr>
          <w:rFonts w:ascii="仿宋_GB2312" w:eastAsia="仿宋_GB2312"/>
          <w:sz w:val="32"/>
          <w:szCs w:val="32"/>
        </w:rPr>
      </w:pPr>
      <w:r>
        <w:rPr>
          <w:rFonts w:hint="eastAsia" w:ascii="仿宋_GB2312" w:eastAsia="仿宋_GB2312"/>
          <w:sz w:val="32"/>
          <w:szCs w:val="32"/>
        </w:rPr>
        <w:t>需对不合格项目复检时，应采用原样检验</w:t>
      </w:r>
      <w:r>
        <w:rPr>
          <w:rFonts w:hint="eastAsia" w:ascii="仿宋_GB2312" w:eastAsia="仿宋_GB2312"/>
          <w:sz w:val="32"/>
          <w:szCs w:val="32"/>
          <w:lang w:eastAsia="zh-CN"/>
        </w:rPr>
        <w:t>，</w:t>
      </w:r>
      <w:r>
        <w:rPr>
          <w:rFonts w:hint="eastAsia" w:ascii="仿宋_GB2312" w:eastAsia="仿宋_GB2312"/>
          <w:sz w:val="32"/>
          <w:szCs w:val="32"/>
        </w:rPr>
        <w:t>当复检结果仍不合格，维持原检验结果不变。当复检结果合格，以复检结果为准。</w:t>
      </w:r>
    </w:p>
    <w:p>
      <w:pPr>
        <w:tabs>
          <w:tab w:val="left" w:pos="0"/>
        </w:tabs>
        <w:spacing w:line="476" w:lineRule="exact"/>
        <w:rPr>
          <w:rFonts w:ascii="仿宋_GB2312" w:eastAsia="仿宋_GB2312"/>
          <w:color w:val="000000"/>
          <w:spacing w:val="-20"/>
          <w:sz w:val="32"/>
          <w:szCs w:val="32"/>
        </w:rPr>
      </w:pPr>
      <w:r>
        <w:rPr>
          <w:rFonts w:hint="eastAsia" w:ascii="仿宋_GB2312" w:eastAsia="仿宋_GB2312"/>
          <w:color w:val="000000"/>
          <w:spacing w:val="-20"/>
          <w:sz w:val="32"/>
          <w:szCs w:val="32"/>
        </w:rPr>
        <w:t>十、其他</w:t>
      </w:r>
      <w:r>
        <w:rPr>
          <w:rFonts w:hint="eastAsia" w:ascii="仿宋_GB2312" w:eastAsia="仿宋_GB2312"/>
          <w:sz w:val="32"/>
          <w:szCs w:val="32"/>
        </w:rPr>
        <w:t>（如检验中需注意的问题）</w:t>
      </w:r>
    </w:p>
    <w:p>
      <w:pPr>
        <w:tabs>
          <w:tab w:val="left" w:pos="0"/>
        </w:tabs>
        <w:spacing w:line="476" w:lineRule="exact"/>
        <w:rPr>
          <w:rFonts w:ascii="仿宋_GB2312" w:eastAsia="仿宋_GB2312"/>
          <w:color w:val="000000"/>
          <w:spacing w:val="-20"/>
          <w:sz w:val="32"/>
          <w:szCs w:val="32"/>
        </w:rPr>
      </w:pPr>
      <w:r>
        <w:rPr>
          <w:rFonts w:hint="eastAsia" w:ascii="仿宋_GB2312" w:eastAsia="仿宋_GB2312"/>
          <w:color w:val="000000"/>
          <w:spacing w:val="-20"/>
          <w:sz w:val="32"/>
          <w:szCs w:val="32"/>
        </w:rPr>
        <w:t>无。</w:t>
      </w: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pPr>
        <w:spacing w:line="460" w:lineRule="exact"/>
        <w:ind w:firstLine="619" w:firstLineChars="295"/>
        <w:rPr>
          <w:rFonts w:ascii="仿宋_GB2312" w:hAnsi="宋体"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decorative"/>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Sim Sun">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1"/>
    <w:multiLevelType w:val="multilevel"/>
    <w:tmpl w:val="0000000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2"/>
    <w:multiLevelType w:val="multilevel"/>
    <w:tmpl w:val="00000002"/>
    <w:lvl w:ilvl="0" w:tentative="0">
      <w:start w:val="1"/>
      <w:numFmt w:val="decimal"/>
      <w:lvlText w:val="%1."/>
      <w:lvlJc w:val="left"/>
      <w:pPr>
        <w:tabs>
          <w:tab w:val="left" w:pos="420"/>
        </w:tabs>
        <w:ind w:left="420" w:hanging="42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3"/>
    <w:multiLevelType w:val="multilevel"/>
    <w:tmpl w:val="0000000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4"/>
    <w:multiLevelType w:val="multilevel"/>
    <w:tmpl w:val="0000000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A35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1"/>
  </w:style>
  <w:style w:type="table" w:default="1" w:styleId="5">
    <w:name w:val="Normal Table"/>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2486</Words>
  <Characters>2934</Characters>
  <Paragraphs>274</Paragraphs>
  <TotalTime>2</TotalTime>
  <ScaleCrop>false</ScaleCrop>
  <LinksUpToDate>false</LinksUpToDate>
  <CharactersWithSpaces>3063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2017-03-21T01:46:00Z</dcterms:created>
  <dc:creator>PC</dc:creator>
  <cp:lastModifiedBy>asus-pc</cp:lastModifiedBy>
  <dcterms:modified xsi:type="dcterms:W3CDTF">2018-07-13T06:20:41Z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