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B4A37">
      <w:pPr>
        <w:spacing w:line="240" w:lineRule="auto"/>
        <w:ind w:firstLine="0" w:firstLineChars="0"/>
        <w:jc w:val="center"/>
        <w:rPr>
          <w:rFonts w:eastAsia="华文新魏" w:cs="Times New Roman"/>
          <w:color w:val="FF0000"/>
          <w:sz w:val="72"/>
          <w:szCs w:val="72"/>
        </w:rPr>
      </w:pPr>
      <w:r>
        <w:rPr>
          <w:rFonts w:eastAsia="华文新魏" w:cs="Times New Roman"/>
          <w:color w:val="FF0000"/>
          <w:sz w:val="72"/>
          <w:szCs w:val="72"/>
        </w:rPr>
        <w:t>专利技术分析简报</w:t>
      </w:r>
    </w:p>
    <w:p w14:paraId="12A2AE8A">
      <w:pPr>
        <w:spacing w:line="400" w:lineRule="exact"/>
        <w:jc w:val="center"/>
        <w:rPr>
          <w:rFonts w:cs="Times New Roman"/>
          <w:color w:val="auto"/>
          <w:sz w:val="21"/>
        </w:rPr>
      </w:pPr>
      <w:r>
        <w:rPr>
          <w:rFonts w:cs="Times New Roman"/>
          <w:color w:val="auto"/>
          <w:sz w:val="21"/>
        </w:rPr>
        <w:t>20</w:t>
      </w:r>
      <w:r>
        <w:rPr>
          <w:rFonts w:hint="eastAsia" w:cs="Times New Roman"/>
          <w:color w:val="auto"/>
          <w:sz w:val="21"/>
          <w:lang w:val="en-US" w:eastAsia="zh-CN"/>
        </w:rPr>
        <w:t>24</w:t>
      </w:r>
      <w:r>
        <w:rPr>
          <w:rFonts w:cs="Times New Roman"/>
          <w:color w:val="auto"/>
          <w:sz w:val="21"/>
        </w:rPr>
        <w:t>年第</w:t>
      </w:r>
      <w:r>
        <w:rPr>
          <w:rFonts w:hint="eastAsia" w:cs="Times New Roman"/>
          <w:color w:val="auto"/>
          <w:sz w:val="21"/>
          <w:lang w:val="en-US" w:eastAsia="zh-CN"/>
        </w:rPr>
        <w:t>2</w:t>
      </w:r>
      <w:r>
        <w:rPr>
          <w:rFonts w:cs="Times New Roman"/>
          <w:color w:val="auto"/>
          <w:sz w:val="21"/>
        </w:rPr>
        <w:t>期</w:t>
      </w:r>
    </w:p>
    <w:p w14:paraId="0DA2D9F3">
      <w:pPr>
        <w:spacing w:line="400" w:lineRule="exact"/>
        <w:jc w:val="center"/>
        <w:rPr>
          <w:rFonts w:cs="Times New Roman"/>
          <w:sz w:val="21"/>
        </w:rPr>
      </w:pPr>
      <w:bookmarkStart w:id="6" w:name="_GoBack"/>
      <w:bookmarkEnd w:id="6"/>
    </w:p>
    <w:p w14:paraId="55053821">
      <w:pPr>
        <w:pBdr>
          <w:bottom w:val="single" w:color="FF0000" w:sz="18" w:space="0"/>
        </w:pBdr>
        <w:spacing w:line="400" w:lineRule="exact"/>
        <w:ind w:firstLine="0" w:firstLineChars="0"/>
        <w:rPr>
          <w:rFonts w:cs="Times New Roman"/>
          <w:sz w:val="21"/>
        </w:rPr>
      </w:pPr>
      <w:r>
        <w:rPr>
          <w:rFonts w:hint="eastAsia" w:cs="Times New Roman"/>
          <w:sz w:val="21"/>
        </w:rPr>
        <w:t>汕尾市专利导航服务基地</w:t>
      </w:r>
      <w:r>
        <w:rPr>
          <w:rFonts w:cs="Times New Roman"/>
          <w:sz w:val="21"/>
        </w:rPr>
        <w:t xml:space="preserve">       </w:t>
      </w:r>
      <w:r>
        <w:rPr>
          <w:rFonts w:hint="eastAsia" w:cs="Times New Roman"/>
          <w:sz w:val="21"/>
        </w:rPr>
        <w:t xml:space="preserve">    </w:t>
      </w:r>
      <w:r>
        <w:rPr>
          <w:rFonts w:cs="Times New Roman"/>
          <w:sz w:val="21"/>
        </w:rPr>
        <w:t xml:space="preserve">  </w:t>
      </w:r>
      <w:r>
        <w:rPr>
          <w:rFonts w:hint="eastAsia" w:cs="Times New Roman"/>
          <w:sz w:val="21"/>
          <w:lang w:val="en-US" w:eastAsia="zh-CN"/>
        </w:rPr>
        <w:t xml:space="preserve">   </w:t>
      </w:r>
      <w:r>
        <w:rPr>
          <w:rFonts w:cs="Times New Roman"/>
          <w:sz w:val="21"/>
        </w:rPr>
        <w:t xml:space="preserve">      </w:t>
      </w:r>
      <w:r>
        <w:rPr>
          <w:rFonts w:hint="eastAsia" w:cs="Times New Roman"/>
          <w:sz w:val="21"/>
        </w:rPr>
        <w:t xml:space="preserve"> </w:t>
      </w:r>
      <w:r>
        <w:rPr>
          <w:rFonts w:cs="Times New Roman"/>
          <w:sz w:val="21"/>
        </w:rPr>
        <w:t xml:space="preserve">   </w:t>
      </w:r>
      <w:r>
        <w:rPr>
          <w:rFonts w:hint="eastAsia" w:cs="Times New Roman"/>
          <w:sz w:val="21"/>
          <w:lang w:val="en-US" w:eastAsia="zh-CN"/>
        </w:rPr>
        <w:t xml:space="preserve">                   </w:t>
      </w:r>
      <w:r>
        <w:rPr>
          <w:rFonts w:cs="Times New Roman"/>
          <w:sz w:val="21"/>
        </w:rPr>
        <w:t>202</w:t>
      </w:r>
      <w:r>
        <w:rPr>
          <w:rFonts w:hint="eastAsia" w:cs="Times New Roman"/>
          <w:sz w:val="21"/>
          <w:lang w:val="en-US" w:eastAsia="zh-CN"/>
        </w:rPr>
        <w:t>4</w:t>
      </w:r>
      <w:r>
        <w:rPr>
          <w:rFonts w:cs="Times New Roman"/>
          <w:sz w:val="21"/>
        </w:rPr>
        <w:t>年</w:t>
      </w:r>
      <w:r>
        <w:rPr>
          <w:rFonts w:hint="eastAsia" w:cs="Times New Roman"/>
          <w:sz w:val="21"/>
          <w:lang w:val="en-US" w:eastAsia="zh-CN"/>
        </w:rPr>
        <w:t>10</w:t>
      </w:r>
      <w:r>
        <w:rPr>
          <w:rFonts w:cs="Times New Roman"/>
          <w:sz w:val="21"/>
        </w:rPr>
        <w:t>月</w:t>
      </w:r>
    </w:p>
    <w:p w14:paraId="45DD7AE4">
      <w:pPr>
        <w:spacing w:line="400" w:lineRule="exact"/>
        <w:ind w:firstLine="480"/>
        <w:rPr>
          <w:rFonts w:cs="Times New Roman" w:eastAsiaTheme="minorEastAsia"/>
          <w:sz w:val="21"/>
        </w:rPr>
      </w:pPr>
      <w:r>
        <w:rPr>
          <w:rFonts w:hint="eastAsia"/>
        </w:rPr>
        <mc:AlternateContent>
          <mc:Choice Requires="wps">
            <w:drawing>
              <wp:anchor distT="45720" distB="45720" distL="114300" distR="114300" simplePos="0" relativeHeight="251659264" behindDoc="0" locked="0" layoutInCell="1" allowOverlap="1">
                <wp:simplePos x="0" y="0"/>
                <wp:positionH relativeFrom="column">
                  <wp:posOffset>1905</wp:posOffset>
                </wp:positionH>
                <wp:positionV relativeFrom="paragraph">
                  <wp:posOffset>59055</wp:posOffset>
                </wp:positionV>
                <wp:extent cx="1151890" cy="347980"/>
                <wp:effectExtent l="4445" t="5080" r="5715" b="889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51890" cy="347980"/>
                        </a:xfrm>
                        <a:prstGeom prst="rect">
                          <a:avLst/>
                        </a:prstGeom>
                        <a:solidFill>
                          <a:srgbClr val="FFFFFF"/>
                        </a:solidFill>
                        <a:ln w="9525">
                          <a:solidFill>
                            <a:srgbClr val="000000"/>
                          </a:solidFill>
                          <a:prstDash val="dash"/>
                          <a:miter lim="800000"/>
                        </a:ln>
                      </wps:spPr>
                      <wps:txbx>
                        <w:txbxContent>
                          <w:p w14:paraId="01419E47">
                            <w:pPr>
                              <w:spacing w:line="240" w:lineRule="auto"/>
                              <w:ind w:firstLine="0" w:firstLineChars="0"/>
                              <w:rPr>
                                <w:sz w:val="22"/>
                                <w:szCs w:val="28"/>
                              </w:rPr>
                            </w:pPr>
                            <w:r>
                              <w:rPr>
                                <w:rFonts w:hint="eastAsia" w:ascii="隶书" w:eastAsia="隶书"/>
                                <w:szCs w:val="32"/>
                              </w:rPr>
                              <w:t>专利技术分析</w:t>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0.15pt;margin-top:4.65pt;height:27.4pt;width:90.7pt;z-index:251659264;v-text-anchor:middle;mso-width-relative:page;mso-height-relative:page;" fillcolor="#FFFFFF" filled="t" stroked="t" coordsize="21600,21600" o:gfxdata="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6HKZ9IAAAAFAQAADwAAAAAAAAABACAAAAAi&#10;AAAAZHJzL2Rvd25yZXYueG1sUEsBAhQAFAAAAAgAh07iQEIim8pJAgAAlwQAAA4AAAAAAAAAAQAg&#10;AAAAIQEAAGRycy9lMm9Eb2MueG1sUEsFBgAAAAAGAAYAWQEAANwFAAAAAA==&#10;">
                <v:fill on="t" focussize="0,0"/>
                <v:stroke color="#000000" miterlimit="8" joinstyle="miter" dashstyle="dash"/>
                <v:imagedata o:title=""/>
                <o:lock v:ext="edit" aspectratio="f"/>
                <v:textbox>
                  <w:txbxContent>
                    <w:p w14:paraId="01419E47">
                      <w:pPr>
                        <w:spacing w:line="240" w:lineRule="auto"/>
                        <w:ind w:firstLine="0" w:firstLineChars="0"/>
                        <w:rPr>
                          <w:sz w:val="22"/>
                          <w:szCs w:val="28"/>
                        </w:rPr>
                      </w:pPr>
                      <w:r>
                        <w:rPr>
                          <w:rFonts w:hint="eastAsia" w:ascii="隶书" w:eastAsia="隶书"/>
                          <w:szCs w:val="32"/>
                        </w:rPr>
                        <w:t>专利技术分析</w:t>
                      </w:r>
                    </w:p>
                  </w:txbxContent>
                </v:textbox>
              </v:shape>
            </w:pict>
          </mc:Fallback>
        </mc:AlternateContent>
      </w:r>
    </w:p>
    <w:p w14:paraId="753D22F1">
      <w:pPr>
        <w:ind w:firstLine="480"/>
      </w:pPr>
    </w:p>
    <w:p w14:paraId="595C059B">
      <w:pPr>
        <w:pStyle w:val="8"/>
        <w:ind w:firstLine="643"/>
      </w:pPr>
      <w:r>
        <w:rPr>
          <w:rFonts w:hint="eastAsia"/>
          <w:lang w:val="en-US" w:eastAsia="zh-CN"/>
        </w:rPr>
        <w:t>海洋矿产资源勘探开发装备制造</w:t>
      </w:r>
      <w:r>
        <w:rPr>
          <w:rFonts w:hint="eastAsia"/>
        </w:rPr>
        <w:t>专利信息分析</w:t>
      </w:r>
    </w:p>
    <w:p w14:paraId="1A426C43">
      <w:pPr>
        <w:ind w:firstLine="0" w:firstLineChars="0"/>
        <w:jc w:val="left"/>
        <w:rPr>
          <w:rFonts w:ascii="宋体" w:hAnsi="宋体" w:eastAsia="宋体" w:cs="宋体"/>
          <w:b/>
          <w:bCs/>
        </w:rPr>
      </w:pPr>
      <w:r>
        <w:rPr>
          <w:rFonts w:hint="eastAsia" w:ascii="宋体" w:hAnsi="宋体" w:eastAsia="宋体" w:cs="宋体"/>
          <w:b/>
          <w:bCs/>
        </w:rPr>
        <w:t>导语：</w:t>
      </w:r>
    </w:p>
    <w:p w14:paraId="5DA1A1E1">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海洋矿产资源勘探开发装备制造是指为海洋矿产资源的勘探与开发活动设计和制造专业装备的产业领域。这一领域涵盖了从原材料选择、设计、制造到装配的整个过程，旨在提供适应海洋环境、满足勘探开发需求的各类装备。</w:t>
      </w:r>
      <w:r>
        <w:rPr>
          <w:rFonts w:hint="eastAsia" w:ascii="仿宋" w:hAnsi="仿宋" w:cs="仿宋"/>
          <w:color w:val="000000"/>
          <w:kern w:val="0"/>
          <w:sz w:val="24"/>
          <w:szCs w:val="24"/>
          <w:lang w:val="en-US" w:eastAsia="zh-CN" w:bidi="ar"/>
        </w:rPr>
        <w:t>该技术领域涉及原材料选择与防腐蚀处理、装备设计与制造和装配与调试三个方面。《中国制造2025》《“十四五”规划纲要》《国家深远海科学与技术创新专项规划（2021-2030年）》等政策规划都明确指出将海工装备和高技术船舶作为重点领域之一，提出了“加快发展海洋工程装备制造业”“推动海洋工程装备制造业高质量发展”等要求，为海洋矿产资源勘探开发装备制造行业指明了发展方向。</w:t>
      </w:r>
      <w:r>
        <w:rPr>
          <w:rFonts w:hint="eastAsia" w:ascii="仿宋" w:hAnsi="仿宋" w:eastAsia="仿宋" w:cs="仿宋"/>
          <w:color w:val="000000"/>
          <w:kern w:val="0"/>
          <w:sz w:val="24"/>
          <w:szCs w:val="24"/>
          <w:lang w:val="en-US" w:eastAsia="zh-CN" w:bidi="ar"/>
        </w:rPr>
        <w:t>本文将从专利的角度对海洋矿产资源勘探开发装备制造进行分析，明确本领域的技术优势，</w:t>
      </w:r>
      <w:r>
        <w:rPr>
          <w:rFonts w:hint="default" w:ascii="仿宋" w:hAnsi="仿宋" w:eastAsia="仿宋" w:cs="仿宋"/>
          <w:color w:val="000000"/>
          <w:kern w:val="0"/>
          <w:sz w:val="24"/>
          <w:szCs w:val="24"/>
          <w:lang w:val="en-US" w:eastAsia="zh-CN" w:bidi="ar"/>
        </w:rPr>
        <w:t>发现技术空白</w:t>
      </w:r>
      <w:r>
        <w:rPr>
          <w:rFonts w:hint="default" w:ascii="Times New Roman" w:hAnsi="Times New Roman" w:eastAsia="宋体" w:cs="Times New Roman"/>
          <w:color w:val="000000"/>
          <w:kern w:val="0"/>
          <w:sz w:val="24"/>
          <w:szCs w:val="24"/>
          <w:lang w:val="en-US" w:eastAsia="zh-CN" w:bidi="ar"/>
        </w:rPr>
        <w:t>/</w:t>
      </w:r>
      <w:r>
        <w:rPr>
          <w:rFonts w:hint="default" w:ascii="仿宋" w:hAnsi="仿宋" w:eastAsia="仿宋" w:cs="仿宋"/>
          <w:color w:val="000000"/>
          <w:kern w:val="0"/>
          <w:sz w:val="24"/>
          <w:szCs w:val="24"/>
          <w:lang w:val="en-US" w:eastAsia="zh-CN" w:bidi="ar"/>
        </w:rPr>
        <w:t>劣势点，探寻</w:t>
      </w:r>
      <w:r>
        <w:rPr>
          <w:rFonts w:hint="eastAsia" w:ascii="仿宋" w:hAnsi="仿宋" w:eastAsia="仿宋" w:cs="仿宋"/>
          <w:color w:val="000000"/>
          <w:kern w:val="0"/>
          <w:sz w:val="24"/>
          <w:szCs w:val="24"/>
          <w:lang w:val="en-US" w:eastAsia="zh-CN" w:bidi="ar"/>
        </w:rPr>
        <w:t>海洋矿产资源勘探开发装备制造</w:t>
      </w:r>
      <w:r>
        <w:rPr>
          <w:rFonts w:hint="default" w:ascii="仿宋" w:hAnsi="仿宋" w:eastAsia="仿宋" w:cs="仿宋"/>
          <w:color w:val="000000"/>
          <w:kern w:val="0"/>
          <w:sz w:val="24"/>
          <w:szCs w:val="24"/>
          <w:lang w:val="en-US" w:eastAsia="zh-CN" w:bidi="ar"/>
        </w:rPr>
        <w:t>的潜在发展技术</w:t>
      </w:r>
      <w:r>
        <w:rPr>
          <w:rFonts w:hint="eastAsia" w:ascii="仿宋" w:hAnsi="仿宋" w:eastAsia="仿宋" w:cs="仿宋"/>
          <w:color w:val="000000"/>
          <w:kern w:val="0"/>
          <w:sz w:val="24"/>
          <w:szCs w:val="24"/>
          <w:lang w:val="en-US" w:eastAsia="zh-CN" w:bidi="ar"/>
        </w:rPr>
        <w:t>，以期为海洋矿产资源勘探开发装备制造</w:t>
      </w:r>
      <w:r>
        <w:rPr>
          <w:rFonts w:hint="eastAsia" w:ascii="仿宋" w:hAnsi="仿宋" w:cs="仿宋"/>
          <w:color w:val="000000"/>
          <w:kern w:val="0"/>
          <w:sz w:val="24"/>
          <w:szCs w:val="24"/>
          <w:lang w:val="en-US" w:eastAsia="zh-CN" w:bidi="ar"/>
        </w:rPr>
        <w:t>的研发和应用</w:t>
      </w:r>
      <w:r>
        <w:rPr>
          <w:rFonts w:hint="eastAsia" w:ascii="仿宋" w:hAnsi="仿宋" w:eastAsia="仿宋" w:cs="仿宋"/>
          <w:color w:val="000000"/>
          <w:kern w:val="0"/>
          <w:sz w:val="24"/>
          <w:szCs w:val="24"/>
          <w:lang w:val="en-US" w:eastAsia="zh-CN" w:bidi="ar"/>
        </w:rPr>
        <w:t>提供借鉴和参考</w:t>
      </w:r>
      <w:r>
        <w:rPr>
          <w:rFonts w:hint="eastAsia" w:ascii="仿宋" w:hAnsi="仿宋" w:cs="仿宋"/>
          <w:color w:val="000000"/>
          <w:kern w:val="0"/>
          <w:sz w:val="24"/>
          <w:szCs w:val="24"/>
          <w:lang w:val="en-US" w:eastAsia="zh-CN" w:bidi="ar"/>
        </w:rPr>
        <w:t>。</w:t>
      </w:r>
    </w:p>
    <w:p w14:paraId="75C362B1">
      <w:pPr>
        <w:pStyle w:val="3"/>
        <w:numPr>
          <w:ilvl w:val="0"/>
          <w:numId w:val="0"/>
        </w:numPr>
        <w:spacing w:before="156" w:after="156"/>
        <w:rPr>
          <w:sz w:val="24"/>
          <w:szCs w:val="28"/>
        </w:rPr>
      </w:pPr>
      <w:r>
        <w:rPr>
          <w:sz w:val="24"/>
          <w:szCs w:val="28"/>
        </w:rPr>
        <w:t>数据来源与说明</w:t>
      </w:r>
    </w:p>
    <w:p w14:paraId="7B00A392">
      <w:pPr>
        <w:ind w:firstLine="0" w:firstLineChars="0"/>
      </w:pPr>
      <w:r>
        <w:t>数据来源：ISPatent专利检索分析平台</w:t>
      </w:r>
    </w:p>
    <w:p w14:paraId="418D934C">
      <w:pPr>
        <w:ind w:firstLine="0" w:firstLineChars="0"/>
      </w:pPr>
      <w:r>
        <w:t>检索时间：202</w:t>
      </w:r>
      <w:r>
        <w:rPr>
          <w:rFonts w:hint="eastAsia"/>
          <w:lang w:val="en-US" w:eastAsia="zh-CN"/>
        </w:rPr>
        <w:t>4</w:t>
      </w:r>
      <w:r>
        <w:t>年</w:t>
      </w:r>
      <w:r>
        <w:rPr>
          <w:rFonts w:hint="eastAsia"/>
          <w:lang w:val="en-US" w:eastAsia="zh-CN"/>
        </w:rPr>
        <w:t>10</w:t>
      </w:r>
      <w:r>
        <w:t>月</w:t>
      </w:r>
      <w:r>
        <w:rPr>
          <w:rFonts w:hint="eastAsia"/>
          <w:lang w:val="en-US" w:eastAsia="zh-CN"/>
        </w:rPr>
        <w:t>11</w:t>
      </w:r>
      <w:r>
        <w:t>日</w:t>
      </w:r>
    </w:p>
    <w:p w14:paraId="7D39268D">
      <w:pPr>
        <w:ind w:firstLine="0" w:firstLineChars="0"/>
      </w:pPr>
      <w:r>
        <w:t>数据范围：</w:t>
      </w:r>
      <w:r>
        <w:rPr>
          <w:rFonts w:hint="eastAsia"/>
          <w:lang w:val="en-US" w:eastAsia="zh-CN"/>
        </w:rPr>
        <w:t>首次公开日</w:t>
      </w:r>
      <w:r>
        <w:rPr>
          <w:rFonts w:hint="eastAsia"/>
        </w:rPr>
        <w:t>在</w:t>
      </w:r>
      <w:r>
        <w:rPr>
          <w:rFonts w:hint="eastAsia"/>
          <w:color w:val="auto"/>
          <w:u w:val="none"/>
        </w:rPr>
        <w:t>200</w:t>
      </w:r>
      <w:r>
        <w:rPr>
          <w:rFonts w:hint="eastAsia"/>
          <w:color w:val="auto"/>
          <w:u w:val="none"/>
          <w:lang w:val="en-US" w:eastAsia="zh-CN"/>
        </w:rPr>
        <w:t>4</w:t>
      </w:r>
      <w:r>
        <w:rPr>
          <w:rFonts w:hint="eastAsia"/>
          <w:color w:val="auto"/>
          <w:u w:val="none"/>
        </w:rPr>
        <w:t>年1月1日至20</w:t>
      </w:r>
      <w:r>
        <w:rPr>
          <w:rFonts w:hint="eastAsia"/>
          <w:color w:val="auto"/>
          <w:u w:val="none"/>
          <w:lang w:val="en-US" w:eastAsia="zh-CN"/>
        </w:rPr>
        <w:t>24</w:t>
      </w:r>
      <w:r>
        <w:rPr>
          <w:rFonts w:hint="eastAsia"/>
          <w:color w:val="auto"/>
          <w:u w:val="none"/>
        </w:rPr>
        <w:t>年</w:t>
      </w:r>
      <w:r>
        <w:rPr>
          <w:rFonts w:hint="eastAsia"/>
          <w:color w:val="auto"/>
          <w:u w:val="none"/>
          <w:lang w:val="en-US" w:eastAsia="zh-CN"/>
        </w:rPr>
        <w:t>10</w:t>
      </w:r>
      <w:r>
        <w:rPr>
          <w:rFonts w:hint="eastAsia"/>
          <w:color w:val="auto"/>
          <w:u w:val="none"/>
        </w:rPr>
        <w:t>月</w:t>
      </w:r>
      <w:r>
        <w:rPr>
          <w:rFonts w:hint="eastAsia"/>
          <w:color w:val="auto"/>
          <w:u w:val="none"/>
          <w:lang w:val="en-US" w:eastAsia="zh-CN"/>
        </w:rPr>
        <w:t>11</w:t>
      </w:r>
      <w:r>
        <w:rPr>
          <w:rFonts w:hint="eastAsia"/>
          <w:color w:val="auto"/>
          <w:u w:val="none"/>
        </w:rPr>
        <w:t>日</w:t>
      </w:r>
      <w:r>
        <w:rPr>
          <w:rFonts w:hint="eastAsia"/>
        </w:rPr>
        <w:t>之间的数据</w:t>
      </w:r>
    </w:p>
    <w:p w14:paraId="4E80EFCA">
      <w:pPr>
        <w:pStyle w:val="2"/>
        <w:spacing w:before="156" w:after="312"/>
        <w:rPr>
          <w:rFonts w:hint="eastAsia"/>
        </w:rPr>
      </w:pPr>
      <w:r>
        <w:rPr>
          <w:rFonts w:hint="eastAsia"/>
          <w:lang w:val="en-US" w:eastAsia="zh-CN"/>
        </w:rPr>
        <w:t>海洋矿产资源勘探开发装备制造</w:t>
      </w:r>
      <w:r>
        <w:rPr>
          <w:rFonts w:hint="eastAsia"/>
        </w:rPr>
        <w:t>专利总体情况</w:t>
      </w:r>
    </w:p>
    <w:p w14:paraId="4BE69FD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lang w:val="en-US" w:eastAsia="zh-CN"/>
        </w:rPr>
        <w:fldChar w:fldCharType="begin"/>
      </w:r>
      <w:r>
        <w:rPr>
          <w:rFonts w:hint="eastAsia"/>
          <w:lang w:val="en-US" w:eastAsia="zh-CN"/>
        </w:rPr>
        <w:instrText xml:space="preserve"> REF _Ref28685 \h </w:instrText>
      </w:r>
      <w:r>
        <w:rPr>
          <w:rFonts w:hint="eastAsia"/>
          <w:lang w:val="en-US" w:eastAsia="zh-CN"/>
        </w:rPr>
        <w:fldChar w:fldCharType="separate"/>
      </w:r>
      <w:r>
        <w:t>表 1</w:t>
      </w:r>
      <w:r>
        <w:rPr>
          <w:rFonts w:hint="eastAsia"/>
          <w:lang w:val="en-US" w:eastAsia="zh-CN"/>
        </w:rPr>
        <w:fldChar w:fldCharType="end"/>
      </w:r>
      <w:r>
        <w:rPr>
          <w:rFonts w:hint="eastAsia"/>
          <w:lang w:val="en-US" w:eastAsia="zh-CN"/>
        </w:rPr>
        <w:t>展示了</w:t>
      </w:r>
      <w:r>
        <w:rPr>
          <w:rFonts w:hint="eastAsia" w:ascii="仿宋" w:hAnsi="仿宋" w:eastAsia="仿宋" w:cs="仿宋"/>
          <w:color w:val="000000"/>
          <w:kern w:val="0"/>
          <w:sz w:val="24"/>
          <w:szCs w:val="24"/>
          <w:lang w:val="en-US" w:eastAsia="zh-CN" w:bidi="ar"/>
        </w:rPr>
        <w:t>海洋矿产资源勘探开发装备制造</w:t>
      </w:r>
      <w:r>
        <w:rPr>
          <w:rFonts w:hint="eastAsia"/>
          <w:lang w:val="en-US" w:eastAsia="zh-CN"/>
        </w:rPr>
        <w:t>专利总体情况。</w:t>
      </w:r>
      <w:r>
        <w:rPr>
          <w:rFonts w:hint="eastAsia" w:ascii="仿宋" w:hAnsi="仿宋" w:eastAsia="仿宋" w:cs="仿宋"/>
          <w:color w:val="000000"/>
          <w:kern w:val="0"/>
          <w:sz w:val="24"/>
          <w:szCs w:val="24"/>
          <w:lang w:val="en-US" w:eastAsia="zh-CN" w:bidi="ar"/>
        </w:rPr>
        <w:t>由表可知，近二十年来，全球海洋矿产资源勘探开发装备制造的相关专利申请共计</w:t>
      </w:r>
      <w:r>
        <w:rPr>
          <w:rFonts w:hint="eastAsia" w:eastAsia="宋体" w:cs="Times New Roman"/>
          <w:color w:val="000000"/>
          <w:kern w:val="0"/>
          <w:sz w:val="24"/>
          <w:szCs w:val="24"/>
          <w:lang w:val="en-US" w:eastAsia="zh-CN" w:bidi="ar"/>
        </w:rPr>
        <w:t>7974</w:t>
      </w:r>
      <w:r>
        <w:rPr>
          <w:rFonts w:hint="eastAsia" w:ascii="仿宋" w:hAnsi="仿宋" w:eastAsia="仿宋" w:cs="仿宋"/>
          <w:color w:val="000000"/>
          <w:kern w:val="0"/>
          <w:sz w:val="24"/>
          <w:szCs w:val="24"/>
          <w:lang w:val="en-US" w:eastAsia="zh-CN" w:bidi="ar"/>
        </w:rPr>
        <w:t>件，其中发明专利</w:t>
      </w:r>
      <w:r>
        <w:rPr>
          <w:rFonts w:hint="eastAsia" w:eastAsia="宋体" w:cs="Times New Roman"/>
          <w:color w:val="000000"/>
          <w:kern w:val="0"/>
          <w:sz w:val="24"/>
          <w:szCs w:val="24"/>
          <w:lang w:val="en-US" w:eastAsia="zh-CN" w:bidi="ar"/>
        </w:rPr>
        <w:t>6469</w:t>
      </w:r>
      <w:r>
        <w:rPr>
          <w:rFonts w:hint="eastAsia" w:ascii="仿宋" w:hAnsi="仿宋" w:eastAsia="仿宋" w:cs="仿宋"/>
          <w:color w:val="000000"/>
          <w:kern w:val="0"/>
          <w:sz w:val="24"/>
          <w:szCs w:val="24"/>
          <w:lang w:val="en-US" w:eastAsia="zh-CN" w:bidi="ar"/>
        </w:rPr>
        <w:t>件、实用新型专利</w:t>
      </w:r>
      <w:r>
        <w:rPr>
          <w:rFonts w:hint="eastAsia" w:eastAsia="宋体" w:cs="Times New Roman"/>
          <w:color w:val="000000"/>
          <w:kern w:val="0"/>
          <w:sz w:val="24"/>
          <w:szCs w:val="24"/>
          <w:lang w:val="en-US" w:eastAsia="zh-CN" w:bidi="ar"/>
        </w:rPr>
        <w:t>1505</w:t>
      </w:r>
      <w:r>
        <w:rPr>
          <w:rFonts w:hint="eastAsia" w:ascii="仿宋" w:hAnsi="仿宋" w:eastAsia="仿宋" w:cs="仿宋"/>
          <w:color w:val="000000"/>
          <w:kern w:val="0"/>
          <w:sz w:val="24"/>
          <w:szCs w:val="24"/>
          <w:lang w:val="en-US" w:eastAsia="zh-CN" w:bidi="ar"/>
        </w:rPr>
        <w:t>件，占比全球专利数</w:t>
      </w:r>
      <w:r>
        <w:rPr>
          <w:rFonts w:hint="eastAsia" w:eastAsia="宋体" w:cs="Times New Roman"/>
          <w:color w:val="000000"/>
          <w:kern w:val="0"/>
          <w:sz w:val="24"/>
          <w:szCs w:val="24"/>
          <w:lang w:val="en-US" w:eastAsia="zh-CN" w:bidi="ar"/>
        </w:rPr>
        <w:t>81.13</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w:t>
      </w:r>
      <w:r>
        <w:rPr>
          <w:rFonts w:hint="eastAsia" w:eastAsia="宋体" w:cs="Times New Roman"/>
          <w:color w:val="000000"/>
          <w:kern w:val="0"/>
          <w:sz w:val="24"/>
          <w:szCs w:val="24"/>
          <w:lang w:val="en-US" w:eastAsia="zh-CN" w:bidi="ar"/>
        </w:rPr>
        <w:t>18.87</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；海洋矿产资源勘探开发装备制造专利授权</w:t>
      </w:r>
      <w:r>
        <w:rPr>
          <w:rFonts w:hint="eastAsia" w:eastAsia="宋体" w:cs="Times New Roman"/>
          <w:color w:val="000000"/>
          <w:kern w:val="0"/>
          <w:sz w:val="24"/>
          <w:szCs w:val="24"/>
          <w:lang w:val="en-US" w:eastAsia="zh-CN" w:bidi="ar"/>
        </w:rPr>
        <w:t>4152</w:t>
      </w:r>
      <w:r>
        <w:rPr>
          <w:rFonts w:hint="eastAsia" w:ascii="仿宋" w:hAnsi="仿宋" w:eastAsia="仿宋" w:cs="仿宋"/>
          <w:color w:val="000000"/>
          <w:kern w:val="0"/>
          <w:sz w:val="24"/>
          <w:szCs w:val="24"/>
          <w:lang w:val="en-US" w:eastAsia="zh-CN" w:bidi="ar"/>
        </w:rPr>
        <w:t>件，其中发明授权专利</w:t>
      </w:r>
      <w:r>
        <w:rPr>
          <w:rFonts w:hint="eastAsia" w:eastAsia="宋体" w:cs="Times New Roman"/>
          <w:color w:val="000000"/>
          <w:kern w:val="0"/>
          <w:sz w:val="24"/>
          <w:szCs w:val="24"/>
          <w:lang w:val="en-US" w:eastAsia="zh-CN" w:bidi="ar"/>
        </w:rPr>
        <w:t>2728</w:t>
      </w:r>
      <w:r>
        <w:rPr>
          <w:rFonts w:hint="eastAsia" w:ascii="仿宋" w:hAnsi="仿宋" w:eastAsia="仿宋" w:cs="仿宋"/>
          <w:color w:val="000000"/>
          <w:kern w:val="0"/>
          <w:sz w:val="24"/>
          <w:szCs w:val="24"/>
          <w:lang w:val="en-US" w:eastAsia="zh-CN" w:bidi="ar"/>
        </w:rPr>
        <w:t>件，占比</w:t>
      </w:r>
      <w:r>
        <w:rPr>
          <w:rFonts w:hint="eastAsia" w:eastAsia="宋体" w:cs="Times New Roman"/>
          <w:color w:val="000000"/>
          <w:kern w:val="0"/>
          <w:sz w:val="24"/>
          <w:szCs w:val="24"/>
          <w:lang w:val="en-US" w:eastAsia="zh-CN" w:bidi="ar"/>
        </w:rPr>
        <w:t>65.70</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，近</w:t>
      </w:r>
      <w:r>
        <w:rPr>
          <w:rFonts w:hint="default" w:ascii="Times New Roman" w:hAnsi="Times New Roman" w:eastAsia="宋体" w:cs="Times New Roman"/>
          <w:color w:val="000000"/>
          <w:kern w:val="0"/>
          <w:sz w:val="24"/>
          <w:szCs w:val="24"/>
          <w:lang w:val="en-US" w:eastAsia="zh-CN" w:bidi="ar"/>
        </w:rPr>
        <w:t>5</w:t>
      </w:r>
      <w:r>
        <w:rPr>
          <w:rFonts w:hint="eastAsia" w:ascii="仿宋" w:hAnsi="仿宋" w:eastAsia="仿宋" w:cs="仿宋"/>
          <w:color w:val="000000"/>
          <w:kern w:val="0"/>
          <w:sz w:val="24"/>
          <w:szCs w:val="24"/>
          <w:lang w:val="en-US" w:eastAsia="zh-CN" w:bidi="ar"/>
        </w:rPr>
        <w:t>年全球发明专利</w:t>
      </w:r>
      <w:r>
        <w:rPr>
          <w:rFonts w:hint="eastAsia" w:ascii="仿宋" w:hAnsi="仿宋" w:cs="仿宋"/>
          <w:color w:val="000000"/>
          <w:kern w:val="0"/>
          <w:sz w:val="24"/>
          <w:szCs w:val="24"/>
          <w:lang w:val="en-US" w:eastAsia="zh-CN" w:bidi="ar"/>
        </w:rPr>
        <w:t>申请量</w:t>
      </w:r>
      <w:r>
        <w:rPr>
          <w:rFonts w:hint="eastAsia" w:ascii="仿宋" w:hAnsi="仿宋" w:eastAsia="仿宋" w:cs="仿宋"/>
          <w:color w:val="000000"/>
          <w:kern w:val="0"/>
          <w:sz w:val="24"/>
          <w:szCs w:val="24"/>
          <w:lang w:val="en-US" w:eastAsia="zh-CN" w:bidi="ar"/>
        </w:rPr>
        <w:t>为</w:t>
      </w:r>
      <w:r>
        <w:rPr>
          <w:rFonts w:hint="eastAsia" w:cs="Times New Roman"/>
          <w:color w:val="000000"/>
          <w:kern w:val="0"/>
          <w:sz w:val="24"/>
          <w:szCs w:val="24"/>
          <w:lang w:val="en-US" w:eastAsia="zh-CN" w:bidi="ar"/>
        </w:rPr>
        <w:t>3552</w:t>
      </w:r>
      <w:r>
        <w:rPr>
          <w:rFonts w:hint="default" w:ascii="Times New Roman" w:hAnsi="Times New Roman" w:cs="Times New Roman"/>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。在全球海洋矿产资源勘探开发装备制造领域，发明专利的申请与授权占据了主导地位，这一现象在较大程度上体现了该产业技术研发的高含金量以及专利成果的高品质。</w:t>
      </w:r>
    </w:p>
    <w:p w14:paraId="52B87B79">
      <w:pPr>
        <w:keepNext w:val="0"/>
        <w:keepLines w:val="0"/>
        <w:widowControl/>
        <w:suppressLineNumbers w:val="0"/>
        <w:jc w:val="left"/>
        <w:rPr>
          <w:rFonts w:hint="default"/>
          <w:lang w:val="en-US"/>
        </w:rPr>
      </w:pPr>
      <w:r>
        <w:rPr>
          <w:rFonts w:hint="eastAsia" w:ascii="仿宋" w:hAnsi="仿宋" w:eastAsia="仿宋" w:cs="仿宋"/>
          <w:color w:val="000000"/>
          <w:kern w:val="0"/>
          <w:sz w:val="24"/>
          <w:szCs w:val="24"/>
          <w:lang w:val="en-US" w:eastAsia="zh-CN" w:bidi="ar"/>
        </w:rPr>
        <w:t>中国海洋矿产资源勘探开发装备制造专利申请共计</w:t>
      </w:r>
      <w:r>
        <w:rPr>
          <w:rFonts w:hint="eastAsia" w:eastAsia="宋体" w:cs="Times New Roman"/>
          <w:color w:val="000000"/>
          <w:kern w:val="0"/>
          <w:sz w:val="24"/>
          <w:szCs w:val="24"/>
          <w:lang w:val="en-US" w:eastAsia="zh-CN" w:bidi="ar"/>
        </w:rPr>
        <w:t>4936</w:t>
      </w:r>
      <w:r>
        <w:rPr>
          <w:rFonts w:hint="eastAsia" w:ascii="仿宋" w:hAnsi="仿宋" w:eastAsia="仿宋" w:cs="仿宋"/>
          <w:color w:val="000000"/>
          <w:kern w:val="0"/>
          <w:sz w:val="24"/>
          <w:szCs w:val="24"/>
          <w:lang w:val="en-US" w:eastAsia="zh-CN" w:bidi="ar"/>
        </w:rPr>
        <w:t>件，</w:t>
      </w:r>
      <w:r>
        <w:rPr>
          <w:rFonts w:ascii="仿宋" w:hAnsi="仿宋" w:eastAsia="仿宋" w:cs="仿宋"/>
          <w:color w:val="000000"/>
          <w:kern w:val="0"/>
          <w:sz w:val="24"/>
          <w:szCs w:val="24"/>
          <w:lang w:val="en-US" w:eastAsia="zh-CN" w:bidi="ar"/>
        </w:rPr>
        <w:t>占全球</w:t>
      </w:r>
      <w:r>
        <w:rPr>
          <w:rFonts w:hint="eastAsia" w:ascii="仿宋" w:hAnsi="仿宋" w:eastAsia="仿宋" w:cs="仿宋"/>
          <w:color w:val="000000"/>
          <w:kern w:val="0"/>
          <w:sz w:val="24"/>
          <w:szCs w:val="24"/>
          <w:lang w:val="en-US" w:eastAsia="zh-CN" w:bidi="ar"/>
        </w:rPr>
        <w:t>海洋矿产资源勘探开发装备制造</w:t>
      </w:r>
      <w:r>
        <w:rPr>
          <w:rFonts w:ascii="仿宋" w:hAnsi="仿宋" w:eastAsia="仿宋" w:cs="仿宋"/>
          <w:color w:val="000000"/>
          <w:kern w:val="0"/>
          <w:sz w:val="24"/>
          <w:szCs w:val="24"/>
          <w:lang w:val="en-US" w:eastAsia="zh-CN" w:bidi="ar"/>
        </w:rPr>
        <w:t>专利总量</w:t>
      </w:r>
      <w:r>
        <w:rPr>
          <w:rFonts w:hint="eastAsia" w:eastAsia="宋体" w:cs="Times New Roman"/>
          <w:color w:val="000000"/>
          <w:kern w:val="0"/>
          <w:sz w:val="24"/>
          <w:szCs w:val="24"/>
          <w:lang w:val="en-US" w:eastAsia="zh-CN" w:bidi="ar"/>
        </w:rPr>
        <w:t>61.90</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，稳居全球首位。其中发明专利申请</w:t>
      </w:r>
      <w:r>
        <w:rPr>
          <w:rFonts w:hint="eastAsia" w:eastAsia="宋体" w:cs="Times New Roman"/>
          <w:color w:val="000000"/>
          <w:kern w:val="0"/>
          <w:sz w:val="24"/>
          <w:szCs w:val="24"/>
          <w:lang w:val="en-US" w:eastAsia="zh-CN" w:bidi="ar"/>
        </w:rPr>
        <w:t>3553</w:t>
      </w:r>
      <w:r>
        <w:rPr>
          <w:rFonts w:hint="eastAsia" w:ascii="仿宋" w:hAnsi="仿宋" w:eastAsia="仿宋" w:cs="仿宋"/>
          <w:color w:val="000000"/>
          <w:kern w:val="0"/>
          <w:sz w:val="24"/>
          <w:szCs w:val="24"/>
          <w:lang w:val="en-US" w:eastAsia="zh-CN" w:bidi="ar"/>
        </w:rPr>
        <w:t>件，占中国专利申请</w:t>
      </w:r>
      <w:r>
        <w:rPr>
          <w:rFonts w:hint="eastAsia" w:eastAsia="宋体" w:cs="Times New Roman"/>
          <w:color w:val="000000"/>
          <w:kern w:val="0"/>
          <w:sz w:val="24"/>
          <w:szCs w:val="24"/>
          <w:lang w:val="en-US" w:eastAsia="zh-CN" w:bidi="ar"/>
        </w:rPr>
        <w:t>71.98</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；海洋矿产资源勘探开发装备制造专利授权</w:t>
      </w:r>
      <w:r>
        <w:rPr>
          <w:rFonts w:hint="eastAsia" w:eastAsia="宋体" w:cs="Times New Roman"/>
          <w:color w:val="000000"/>
          <w:kern w:val="0"/>
          <w:sz w:val="24"/>
          <w:szCs w:val="24"/>
          <w:lang w:val="en-US" w:eastAsia="zh-CN" w:bidi="ar"/>
        </w:rPr>
        <w:t>2958</w:t>
      </w:r>
      <w:r>
        <w:rPr>
          <w:rFonts w:hint="eastAsia" w:ascii="仿宋" w:hAnsi="仿宋" w:eastAsia="仿宋" w:cs="仿宋"/>
          <w:color w:val="000000"/>
          <w:kern w:val="0"/>
          <w:sz w:val="24"/>
          <w:szCs w:val="24"/>
          <w:lang w:val="en-US" w:eastAsia="zh-CN" w:bidi="ar"/>
        </w:rPr>
        <w:t>件，其中发明授权专利</w:t>
      </w:r>
      <w:r>
        <w:rPr>
          <w:rFonts w:hint="eastAsia" w:eastAsia="宋体" w:cs="Times New Roman"/>
          <w:color w:val="000000"/>
          <w:kern w:val="0"/>
          <w:sz w:val="24"/>
          <w:szCs w:val="24"/>
          <w:lang w:val="en-US" w:eastAsia="zh-CN" w:bidi="ar"/>
        </w:rPr>
        <w:t>1575</w:t>
      </w:r>
      <w:r>
        <w:rPr>
          <w:rFonts w:hint="eastAsia" w:ascii="仿宋" w:hAnsi="仿宋" w:eastAsia="仿宋" w:cs="仿宋"/>
          <w:color w:val="000000"/>
          <w:kern w:val="0"/>
          <w:sz w:val="24"/>
          <w:szCs w:val="24"/>
          <w:lang w:val="en-US" w:eastAsia="zh-CN" w:bidi="ar"/>
        </w:rPr>
        <w:t>件，占授权专利</w:t>
      </w:r>
      <w:r>
        <w:rPr>
          <w:rFonts w:hint="eastAsia" w:eastAsia="宋体" w:cs="Times New Roman"/>
          <w:color w:val="000000"/>
          <w:kern w:val="0"/>
          <w:sz w:val="24"/>
          <w:szCs w:val="24"/>
          <w:lang w:val="en-US" w:eastAsia="zh-CN" w:bidi="ar"/>
        </w:rPr>
        <w:t>53.25</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，近</w:t>
      </w:r>
      <w:r>
        <w:rPr>
          <w:rFonts w:hint="eastAsia" w:ascii="Times New Roman" w:hAnsi="Times New Roman" w:eastAsia="宋体" w:cs="Times New Roman"/>
          <w:color w:val="000000"/>
          <w:kern w:val="0"/>
          <w:sz w:val="24"/>
          <w:szCs w:val="24"/>
          <w:lang w:val="en-US" w:eastAsia="zh-CN" w:bidi="ar"/>
        </w:rPr>
        <w:t>5</w:t>
      </w:r>
      <w:r>
        <w:rPr>
          <w:rFonts w:hint="eastAsia" w:ascii="仿宋" w:hAnsi="仿宋" w:eastAsia="仿宋" w:cs="仿宋"/>
          <w:color w:val="000000"/>
          <w:kern w:val="0"/>
          <w:sz w:val="24"/>
          <w:szCs w:val="24"/>
          <w:lang w:val="en-US" w:eastAsia="zh-CN" w:bidi="ar"/>
        </w:rPr>
        <w:t>年中国发明专利</w:t>
      </w:r>
      <w:r>
        <w:rPr>
          <w:rFonts w:hint="eastAsia" w:ascii="仿宋" w:hAnsi="仿宋" w:cs="仿宋"/>
          <w:color w:val="000000"/>
          <w:kern w:val="0"/>
          <w:sz w:val="24"/>
          <w:szCs w:val="24"/>
          <w:lang w:val="en-US" w:eastAsia="zh-CN" w:bidi="ar"/>
        </w:rPr>
        <w:t>申请量</w:t>
      </w:r>
      <w:r>
        <w:rPr>
          <w:rFonts w:hint="eastAsia" w:ascii="仿宋" w:hAnsi="仿宋" w:eastAsia="仿宋" w:cs="仿宋"/>
          <w:color w:val="000000"/>
          <w:kern w:val="0"/>
          <w:sz w:val="24"/>
          <w:szCs w:val="24"/>
          <w:lang w:val="en-US" w:eastAsia="zh-CN" w:bidi="ar"/>
        </w:rPr>
        <w:t>为</w:t>
      </w:r>
      <w:r>
        <w:rPr>
          <w:rFonts w:hint="eastAsia" w:cs="Times New Roman"/>
          <w:color w:val="000000"/>
          <w:kern w:val="0"/>
          <w:sz w:val="24"/>
          <w:szCs w:val="24"/>
          <w:lang w:val="en-US" w:eastAsia="zh-CN" w:bidi="ar"/>
        </w:rPr>
        <w:t>2823</w:t>
      </w:r>
      <w:r>
        <w:rPr>
          <w:rFonts w:hint="eastAsia" w:ascii="仿宋" w:hAnsi="仿宋" w:cs="仿宋"/>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；有效专利为</w:t>
      </w:r>
      <w:r>
        <w:rPr>
          <w:rFonts w:hint="eastAsia" w:eastAsia="宋体" w:cs="Times New Roman"/>
          <w:color w:val="000000"/>
          <w:kern w:val="0"/>
          <w:sz w:val="24"/>
          <w:szCs w:val="24"/>
          <w:lang w:val="en-US" w:eastAsia="zh-CN" w:bidi="ar"/>
        </w:rPr>
        <w:t>1959</w:t>
      </w:r>
      <w:r>
        <w:rPr>
          <w:rFonts w:hint="eastAsia" w:ascii="仿宋" w:hAnsi="仿宋" w:eastAsia="仿宋" w:cs="仿宋"/>
          <w:color w:val="000000"/>
          <w:kern w:val="0"/>
          <w:sz w:val="24"/>
          <w:szCs w:val="24"/>
          <w:lang w:val="en-US" w:eastAsia="zh-CN" w:bidi="ar"/>
        </w:rPr>
        <w:t>件，占总专利申请</w:t>
      </w:r>
      <w:r>
        <w:rPr>
          <w:rFonts w:hint="eastAsia" w:eastAsia="宋体" w:cs="Times New Roman"/>
          <w:color w:val="000000"/>
          <w:kern w:val="0"/>
          <w:sz w:val="24"/>
          <w:szCs w:val="24"/>
          <w:lang w:val="en-US" w:eastAsia="zh-CN" w:bidi="ar"/>
        </w:rPr>
        <w:t>39.69</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这充分表明了中国在海洋矿产资源勘探开发装备制造领域展现出了卓越的技术创新能力和强大的研发实力。</w:t>
      </w:r>
    </w:p>
    <w:p w14:paraId="60CDAE4B">
      <w:pPr>
        <w:keepNext w:val="0"/>
        <w:keepLines w:val="0"/>
        <w:widowControl/>
        <w:suppressLineNumbers w:val="0"/>
        <w:jc w:val="left"/>
        <w:rPr>
          <w:rFonts w:hint="eastAsia"/>
        </w:rPr>
      </w:pPr>
      <w:r>
        <w:rPr>
          <w:rFonts w:hint="eastAsia" w:ascii="仿宋" w:hAnsi="仿宋" w:eastAsia="仿宋" w:cs="仿宋"/>
          <w:color w:val="000000"/>
          <w:kern w:val="0"/>
          <w:sz w:val="24"/>
          <w:szCs w:val="24"/>
          <w:lang w:val="en-US" w:eastAsia="zh-CN" w:bidi="ar"/>
        </w:rPr>
        <w:t>广东海洋矿产资源勘探开发装备制造专利申请共计</w:t>
      </w:r>
      <w:r>
        <w:rPr>
          <w:rFonts w:hint="eastAsia" w:eastAsia="宋体" w:cs="Times New Roman"/>
          <w:color w:val="000000"/>
          <w:kern w:val="0"/>
          <w:sz w:val="24"/>
          <w:szCs w:val="24"/>
          <w:lang w:val="en-US" w:eastAsia="zh-CN" w:bidi="ar"/>
        </w:rPr>
        <w:t>470</w:t>
      </w:r>
      <w:r>
        <w:rPr>
          <w:rFonts w:hint="eastAsia" w:ascii="仿宋" w:hAnsi="仿宋" w:eastAsia="仿宋" w:cs="仿宋"/>
          <w:color w:val="000000"/>
          <w:kern w:val="0"/>
          <w:sz w:val="24"/>
          <w:szCs w:val="24"/>
          <w:lang w:val="en-US" w:eastAsia="zh-CN" w:bidi="ar"/>
        </w:rPr>
        <w:t>件，其中发明专利申请</w:t>
      </w:r>
      <w:r>
        <w:rPr>
          <w:rFonts w:hint="eastAsia" w:eastAsia="宋体" w:cs="Times New Roman"/>
          <w:color w:val="000000"/>
          <w:kern w:val="0"/>
          <w:sz w:val="24"/>
          <w:szCs w:val="24"/>
          <w:lang w:val="en-US" w:eastAsia="zh-CN" w:bidi="ar"/>
        </w:rPr>
        <w:t>320</w:t>
      </w:r>
      <w:r>
        <w:rPr>
          <w:rFonts w:hint="eastAsia" w:ascii="仿宋" w:hAnsi="仿宋" w:eastAsia="仿宋" w:cs="仿宋"/>
          <w:color w:val="000000"/>
          <w:kern w:val="0"/>
          <w:sz w:val="24"/>
          <w:szCs w:val="24"/>
          <w:lang w:val="en-US" w:eastAsia="zh-CN" w:bidi="ar"/>
        </w:rPr>
        <w:t>件，占比</w:t>
      </w:r>
      <w:r>
        <w:rPr>
          <w:rFonts w:hint="eastAsia" w:eastAsia="宋体" w:cs="Times New Roman"/>
          <w:color w:val="000000"/>
          <w:kern w:val="0"/>
          <w:sz w:val="24"/>
          <w:szCs w:val="24"/>
          <w:lang w:val="en-US" w:eastAsia="zh-CN" w:bidi="ar"/>
        </w:rPr>
        <w:t>68.09</w:t>
      </w:r>
      <w:r>
        <w:rPr>
          <w:rFonts w:hint="default" w:ascii="Times New Roman" w:hAnsi="Times New Roman" w:eastAsia="宋体" w:cs="Times New Roman"/>
          <w:color w:val="000000"/>
          <w:kern w:val="0"/>
          <w:sz w:val="24"/>
          <w:szCs w:val="24"/>
          <w:lang w:val="en-US" w:eastAsia="zh-CN" w:bidi="ar"/>
        </w:rPr>
        <w:t>%</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海洋矿产资源勘探开发装备制造专利授权量为</w:t>
      </w:r>
      <w:r>
        <w:rPr>
          <w:rFonts w:hint="eastAsia" w:eastAsia="宋体" w:cs="Times New Roman"/>
          <w:color w:val="000000"/>
          <w:kern w:val="0"/>
          <w:sz w:val="24"/>
          <w:szCs w:val="24"/>
          <w:lang w:val="en-US" w:eastAsia="zh-CN" w:bidi="ar"/>
        </w:rPr>
        <w:t>281</w:t>
      </w:r>
      <w:r>
        <w:rPr>
          <w:rFonts w:hint="eastAsia" w:ascii="仿宋" w:hAnsi="仿宋" w:eastAsia="仿宋" w:cs="仿宋"/>
          <w:color w:val="000000"/>
          <w:kern w:val="0"/>
          <w:sz w:val="24"/>
          <w:szCs w:val="24"/>
          <w:lang w:val="en-US" w:eastAsia="zh-CN" w:bidi="ar"/>
        </w:rPr>
        <w:t>件，近</w:t>
      </w:r>
      <w:r>
        <w:rPr>
          <w:rFonts w:hint="default" w:ascii="Times New Roman" w:hAnsi="Times New Roman" w:eastAsia="宋体" w:cs="Times New Roman"/>
          <w:color w:val="000000"/>
          <w:kern w:val="0"/>
          <w:sz w:val="24"/>
          <w:szCs w:val="24"/>
          <w:lang w:val="en-US" w:eastAsia="zh-CN" w:bidi="ar"/>
        </w:rPr>
        <w:t>5</w:t>
      </w:r>
      <w:r>
        <w:rPr>
          <w:rFonts w:hint="eastAsia" w:ascii="仿宋" w:hAnsi="仿宋" w:eastAsia="仿宋" w:cs="仿宋"/>
          <w:color w:val="000000"/>
          <w:kern w:val="0"/>
          <w:sz w:val="24"/>
          <w:szCs w:val="24"/>
          <w:lang w:val="en-US" w:eastAsia="zh-CN" w:bidi="ar"/>
        </w:rPr>
        <w:t>年发明专利</w:t>
      </w:r>
      <w:r>
        <w:rPr>
          <w:rFonts w:hint="eastAsia" w:ascii="仿宋" w:hAnsi="仿宋" w:cs="仿宋"/>
          <w:color w:val="000000"/>
          <w:kern w:val="0"/>
          <w:sz w:val="24"/>
          <w:szCs w:val="24"/>
          <w:lang w:val="en-US" w:eastAsia="zh-CN" w:bidi="ar"/>
        </w:rPr>
        <w:t>申请量为</w:t>
      </w:r>
      <w:r>
        <w:rPr>
          <w:rFonts w:hint="eastAsia" w:cs="Times New Roman"/>
          <w:color w:val="000000"/>
          <w:kern w:val="0"/>
          <w:sz w:val="24"/>
          <w:szCs w:val="24"/>
          <w:lang w:val="en-US" w:eastAsia="zh-CN" w:bidi="ar"/>
        </w:rPr>
        <w:t>312</w:t>
      </w:r>
      <w:r>
        <w:rPr>
          <w:rFonts w:hint="eastAsia" w:ascii="仿宋" w:hAnsi="仿宋" w:cs="仿宋"/>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；有效专利数为</w:t>
      </w:r>
      <w:r>
        <w:rPr>
          <w:rFonts w:hint="eastAsia" w:eastAsia="宋体" w:cs="Times New Roman"/>
          <w:color w:val="000000"/>
          <w:kern w:val="0"/>
          <w:sz w:val="24"/>
          <w:szCs w:val="24"/>
          <w:lang w:val="en-US" w:eastAsia="zh-CN" w:bidi="ar"/>
        </w:rPr>
        <w:t>204</w:t>
      </w:r>
      <w:r>
        <w:rPr>
          <w:rFonts w:hint="eastAsia" w:ascii="仿宋" w:hAnsi="仿宋" w:eastAsia="仿宋" w:cs="仿宋"/>
          <w:color w:val="000000"/>
          <w:kern w:val="0"/>
          <w:sz w:val="24"/>
          <w:szCs w:val="24"/>
          <w:lang w:val="en-US" w:eastAsia="zh-CN" w:bidi="ar"/>
        </w:rPr>
        <w:t>件，占总专利申请</w:t>
      </w:r>
      <w:r>
        <w:rPr>
          <w:rFonts w:hint="eastAsia" w:eastAsia="宋体" w:cs="Times New Roman"/>
          <w:color w:val="000000"/>
          <w:kern w:val="0"/>
          <w:sz w:val="24"/>
          <w:szCs w:val="24"/>
          <w:lang w:val="en-US" w:eastAsia="zh-CN" w:bidi="ar"/>
        </w:rPr>
        <w:t>43.40</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w:t>
      </w:r>
    </w:p>
    <w:p w14:paraId="3E293DFF">
      <w:pPr>
        <w:pStyle w:val="4"/>
        <w:rPr>
          <w:rFonts w:hint="eastAsia" w:eastAsia="宋体"/>
          <w:lang w:eastAsia="zh-CN"/>
        </w:rPr>
      </w:pPr>
      <w:bookmarkStart w:id="0" w:name="_Ref28685"/>
      <w:r>
        <w:t xml:space="preserve">表 </w:t>
      </w:r>
      <w:r>
        <w:fldChar w:fldCharType="begin"/>
      </w:r>
      <w:r>
        <w:instrText xml:space="preserve"> SEQ 表 \* ARABIC </w:instrText>
      </w:r>
      <w:r>
        <w:fldChar w:fldCharType="separate"/>
      </w:r>
      <w:r>
        <w:t>1</w:t>
      </w:r>
      <w:r>
        <w:fldChar w:fldCharType="end"/>
      </w:r>
      <w:bookmarkEnd w:id="0"/>
      <w:r>
        <w:rPr>
          <w:rFonts w:hint="eastAsia"/>
          <w:lang w:eastAsia="zh-CN"/>
        </w:rPr>
        <w:t xml:space="preserve"> </w:t>
      </w:r>
      <w:r>
        <w:rPr>
          <w:rFonts w:hint="eastAsia"/>
          <w:lang w:val="en-US" w:eastAsia="zh-CN"/>
        </w:rPr>
        <w:t>海洋矿产资源勘探开发装备制造</w:t>
      </w:r>
      <w:r>
        <w:rPr>
          <w:rFonts w:hint="eastAsia"/>
          <w:lang w:eastAsia="zh-CN"/>
        </w:rPr>
        <w:t>专利总体情况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1"/>
        <w:gridCol w:w="1590"/>
        <w:gridCol w:w="1590"/>
        <w:gridCol w:w="1591"/>
      </w:tblGrid>
      <w:tr w14:paraId="4DE4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5B9BD5" w:sz="4" w:space="0"/>
              <w:left w:val="single" w:color="5B9BD5" w:sz="4" w:space="0"/>
              <w:bottom w:val="single" w:color="5B9BD5" w:sz="4" w:space="0"/>
              <w:right w:val="single" w:color="5B9BD5" w:sz="4" w:space="0"/>
              <w:tl2br w:val="nil"/>
            </w:tcBorders>
            <w:shd w:val="clear" w:color="auto" w:fill="9CC4E6"/>
            <w:noWrap/>
            <w:vAlign w:val="center"/>
          </w:tcPr>
          <w:p w14:paraId="6F28B5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bCs/>
                <w:color w:val="000000"/>
                <w:sz w:val="21"/>
                <w:szCs w:val="21"/>
              </w:rPr>
            </w:pPr>
            <w:r>
              <w:rPr>
                <w:rFonts w:hint="eastAsia" w:ascii="仿宋" w:hAnsi="仿宋" w:eastAsia="仿宋" w:cs="仿宋"/>
                <w:b/>
                <w:bCs/>
                <w:i w:val="0"/>
                <w:iCs w:val="0"/>
                <w:color w:val="000000"/>
                <w:kern w:val="0"/>
                <w:sz w:val="21"/>
                <w:szCs w:val="21"/>
                <w:u w:val="none"/>
                <w:lang w:val="en-US" w:eastAsia="zh-CN" w:bidi="ar"/>
              </w:rPr>
              <w:t>指标</w:t>
            </w:r>
          </w:p>
        </w:tc>
        <w:tc>
          <w:tcPr>
            <w:tcW w:w="1590" w:type="dxa"/>
            <w:tcBorders>
              <w:top w:val="single" w:color="5B9BD5" w:sz="4" w:space="0"/>
              <w:left w:val="single" w:color="5B9BD5" w:sz="4" w:space="0"/>
              <w:bottom w:val="single" w:color="5B9BD5" w:sz="4" w:space="0"/>
              <w:right w:val="single" w:color="5B9BD5" w:sz="4" w:space="0"/>
            </w:tcBorders>
            <w:shd w:val="clear" w:color="auto" w:fill="9CC4E6"/>
            <w:noWrap/>
            <w:vAlign w:val="center"/>
          </w:tcPr>
          <w:p w14:paraId="632E09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bCs/>
                <w:color w:val="000000"/>
                <w:sz w:val="21"/>
                <w:szCs w:val="21"/>
              </w:rPr>
            </w:pPr>
            <w:r>
              <w:rPr>
                <w:rFonts w:hint="eastAsia" w:ascii="仿宋" w:hAnsi="仿宋" w:eastAsia="仿宋" w:cs="仿宋"/>
                <w:b/>
                <w:bCs/>
                <w:i w:val="0"/>
                <w:iCs w:val="0"/>
                <w:color w:val="000000"/>
                <w:kern w:val="0"/>
                <w:sz w:val="21"/>
                <w:szCs w:val="21"/>
                <w:u w:val="none"/>
                <w:lang w:val="en-US" w:eastAsia="zh-CN" w:bidi="ar"/>
              </w:rPr>
              <w:t>全球</w:t>
            </w:r>
          </w:p>
        </w:tc>
        <w:tc>
          <w:tcPr>
            <w:tcW w:w="1590" w:type="dxa"/>
            <w:tcBorders>
              <w:top w:val="single" w:color="5B9BD5" w:sz="4" w:space="0"/>
              <w:left w:val="single" w:color="5B9BD5" w:sz="4" w:space="0"/>
              <w:bottom w:val="single" w:color="5B9BD5" w:sz="4" w:space="0"/>
              <w:right w:val="single" w:color="5B9BD5" w:sz="4" w:space="0"/>
            </w:tcBorders>
            <w:shd w:val="clear" w:color="auto" w:fill="9CC4E6"/>
            <w:noWrap/>
            <w:vAlign w:val="center"/>
          </w:tcPr>
          <w:p w14:paraId="3832EF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bCs/>
                <w:color w:val="000000"/>
                <w:kern w:val="0"/>
                <w:sz w:val="21"/>
                <w:szCs w:val="21"/>
                <w:lang w:bidi="ar"/>
              </w:rPr>
            </w:pPr>
            <w:r>
              <w:rPr>
                <w:rFonts w:hint="eastAsia" w:ascii="仿宋" w:hAnsi="仿宋" w:eastAsia="仿宋" w:cs="仿宋"/>
                <w:b/>
                <w:bCs/>
                <w:i w:val="0"/>
                <w:iCs w:val="0"/>
                <w:color w:val="000000"/>
                <w:kern w:val="0"/>
                <w:sz w:val="21"/>
                <w:szCs w:val="21"/>
                <w:u w:val="none"/>
                <w:lang w:val="en-US" w:eastAsia="zh-CN" w:bidi="ar"/>
              </w:rPr>
              <w:t>中国</w:t>
            </w:r>
          </w:p>
        </w:tc>
        <w:tc>
          <w:tcPr>
            <w:tcW w:w="1591" w:type="dxa"/>
            <w:tcBorders>
              <w:top w:val="single" w:color="5B9BD5" w:sz="4" w:space="0"/>
              <w:left w:val="single" w:color="5B9BD5" w:sz="4" w:space="0"/>
              <w:bottom w:val="single" w:color="5B9BD5" w:sz="4" w:space="0"/>
              <w:right w:val="single" w:color="5B9BD5" w:sz="4" w:space="0"/>
            </w:tcBorders>
            <w:shd w:val="clear" w:color="auto" w:fill="9CC4E6"/>
            <w:vAlign w:val="center"/>
          </w:tcPr>
          <w:p w14:paraId="0D99EF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bCs/>
                <w:color w:val="000000"/>
                <w:kern w:val="0"/>
                <w:sz w:val="21"/>
                <w:szCs w:val="21"/>
                <w:lang w:bidi="ar"/>
              </w:rPr>
            </w:pPr>
            <w:r>
              <w:rPr>
                <w:rFonts w:hint="eastAsia" w:ascii="仿宋" w:hAnsi="仿宋" w:eastAsia="仿宋" w:cs="仿宋"/>
                <w:b/>
                <w:bCs/>
                <w:i w:val="0"/>
                <w:iCs w:val="0"/>
                <w:color w:val="000000"/>
                <w:kern w:val="0"/>
                <w:sz w:val="21"/>
                <w:szCs w:val="21"/>
                <w:u w:val="none"/>
                <w:lang w:val="en-US" w:eastAsia="zh-CN" w:bidi="ar"/>
              </w:rPr>
              <w:t>广东</w:t>
            </w:r>
          </w:p>
        </w:tc>
      </w:tr>
      <w:tr w14:paraId="155C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235371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sz w:val="21"/>
                <w:szCs w:val="21"/>
              </w:rPr>
            </w:pPr>
            <w:r>
              <w:rPr>
                <w:rFonts w:hint="eastAsia" w:ascii="仿宋" w:hAnsi="仿宋" w:eastAsia="仿宋" w:cs="仿宋"/>
                <w:b w:val="0"/>
                <w:i w:val="0"/>
                <w:iCs w:val="0"/>
                <w:color w:val="000000"/>
                <w:kern w:val="0"/>
                <w:sz w:val="21"/>
                <w:szCs w:val="21"/>
                <w:u w:val="none"/>
                <w:lang w:val="en-US" w:eastAsia="zh-CN" w:bidi="ar"/>
              </w:rPr>
              <w:t>专利申请量（件）</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6DA5E1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7974</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53DCA1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4936</w:t>
            </w:r>
          </w:p>
        </w:tc>
        <w:tc>
          <w:tcPr>
            <w:tcW w:w="1591" w:type="dxa"/>
            <w:tcBorders>
              <w:top w:val="single" w:color="5B9BD5" w:sz="4" w:space="0"/>
              <w:left w:val="single" w:color="5B9BD5" w:sz="4" w:space="0"/>
              <w:bottom w:val="single" w:color="5B9BD5" w:sz="4" w:space="0"/>
              <w:right w:val="single" w:color="5B9BD5" w:sz="4" w:space="0"/>
            </w:tcBorders>
            <w:shd w:val="clear" w:color="auto" w:fill="FFFFFF"/>
            <w:vAlign w:val="center"/>
          </w:tcPr>
          <w:p w14:paraId="1BA354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470</w:t>
            </w:r>
          </w:p>
        </w:tc>
      </w:tr>
      <w:tr w14:paraId="0241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170F83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sz w:val="21"/>
                <w:szCs w:val="21"/>
              </w:rPr>
            </w:pPr>
            <w:r>
              <w:rPr>
                <w:rFonts w:hint="eastAsia" w:ascii="仿宋" w:hAnsi="仿宋" w:eastAsia="仿宋" w:cs="仿宋"/>
                <w:b w:val="0"/>
                <w:i w:val="0"/>
                <w:iCs w:val="0"/>
                <w:color w:val="000000"/>
                <w:kern w:val="0"/>
                <w:sz w:val="21"/>
                <w:szCs w:val="21"/>
                <w:u w:val="none"/>
                <w:lang w:val="en-US" w:eastAsia="zh-CN" w:bidi="ar"/>
              </w:rPr>
              <w:t>发明专利申请量（件）</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5CD079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6469</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4FEC8C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3553</w:t>
            </w:r>
          </w:p>
        </w:tc>
        <w:tc>
          <w:tcPr>
            <w:tcW w:w="1591" w:type="dxa"/>
            <w:tcBorders>
              <w:top w:val="single" w:color="5B9BD5" w:sz="4" w:space="0"/>
              <w:left w:val="single" w:color="5B9BD5" w:sz="4" w:space="0"/>
              <w:bottom w:val="single" w:color="5B9BD5" w:sz="4" w:space="0"/>
              <w:right w:val="single" w:color="5B9BD5" w:sz="4" w:space="0"/>
            </w:tcBorders>
            <w:shd w:val="clear" w:color="auto" w:fill="FFFFFF"/>
            <w:vAlign w:val="center"/>
          </w:tcPr>
          <w:p w14:paraId="2514F5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320</w:t>
            </w:r>
          </w:p>
        </w:tc>
      </w:tr>
      <w:tr w14:paraId="6536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133E08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kern w:val="0"/>
                <w:sz w:val="21"/>
                <w:szCs w:val="21"/>
                <w:lang w:bidi="ar"/>
              </w:rPr>
            </w:pPr>
            <w:r>
              <w:rPr>
                <w:rFonts w:hint="eastAsia" w:ascii="仿宋" w:hAnsi="仿宋" w:eastAsia="仿宋" w:cs="仿宋"/>
                <w:b w:val="0"/>
                <w:i w:val="0"/>
                <w:iCs w:val="0"/>
                <w:color w:val="000000"/>
                <w:kern w:val="0"/>
                <w:sz w:val="21"/>
                <w:szCs w:val="21"/>
                <w:u w:val="none"/>
                <w:lang w:val="en-US" w:eastAsia="zh-CN" w:bidi="ar"/>
              </w:rPr>
              <w:t>发明申请占比（</w:t>
            </w:r>
            <w:r>
              <w:rPr>
                <w:rFonts w:hint="default" w:ascii="Times New Roman" w:hAnsi="Times New Roman" w:eastAsia="仿宋" w:cs="Times New Roman"/>
                <w:b w:val="0"/>
                <w:i w:val="0"/>
                <w:iCs w:val="0"/>
                <w:color w:val="000000"/>
                <w:kern w:val="0"/>
                <w:sz w:val="21"/>
                <w:szCs w:val="21"/>
                <w:u w:val="none"/>
                <w:lang w:val="en-US" w:eastAsia="zh-CN" w:bidi="ar"/>
              </w:rPr>
              <w:t>%</w:t>
            </w:r>
            <w:r>
              <w:rPr>
                <w:rFonts w:hint="eastAsia" w:ascii="仿宋" w:hAnsi="仿宋" w:eastAsia="仿宋" w:cs="仿宋"/>
                <w:b w:val="0"/>
                <w:i w:val="0"/>
                <w:iCs w:val="0"/>
                <w:color w:val="000000"/>
                <w:kern w:val="0"/>
                <w:sz w:val="21"/>
                <w:szCs w:val="21"/>
                <w:u w:val="none"/>
                <w:lang w:val="en-US" w:eastAsia="zh-CN" w:bidi="ar"/>
              </w:rPr>
              <w:t>）</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6B6BAE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81.13%</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1E3238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71.98%</w:t>
            </w:r>
          </w:p>
        </w:tc>
        <w:tc>
          <w:tcPr>
            <w:tcW w:w="1591" w:type="dxa"/>
            <w:tcBorders>
              <w:top w:val="single" w:color="5B9BD5" w:sz="4" w:space="0"/>
              <w:left w:val="single" w:color="5B9BD5" w:sz="4" w:space="0"/>
              <w:bottom w:val="single" w:color="5B9BD5" w:sz="4" w:space="0"/>
              <w:right w:val="single" w:color="5B9BD5" w:sz="4" w:space="0"/>
            </w:tcBorders>
            <w:shd w:val="clear" w:color="auto" w:fill="FFFFFF"/>
            <w:vAlign w:val="center"/>
          </w:tcPr>
          <w:p w14:paraId="65079D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68.09%</w:t>
            </w:r>
          </w:p>
        </w:tc>
      </w:tr>
      <w:tr w14:paraId="4E48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4777FC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kern w:val="0"/>
                <w:sz w:val="21"/>
                <w:szCs w:val="21"/>
                <w:lang w:bidi="ar"/>
              </w:rPr>
            </w:pPr>
            <w:r>
              <w:rPr>
                <w:rFonts w:hint="eastAsia" w:ascii="仿宋" w:hAnsi="仿宋" w:eastAsia="仿宋" w:cs="仿宋"/>
                <w:b w:val="0"/>
                <w:i w:val="0"/>
                <w:iCs w:val="0"/>
                <w:color w:val="000000"/>
                <w:kern w:val="0"/>
                <w:sz w:val="21"/>
                <w:szCs w:val="21"/>
                <w:u w:val="none"/>
                <w:lang w:val="en-US" w:eastAsia="zh-CN" w:bidi="ar"/>
              </w:rPr>
              <w:t>专利授权量（件）</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0A35C8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4152</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7F7494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2958</w:t>
            </w:r>
          </w:p>
        </w:tc>
        <w:tc>
          <w:tcPr>
            <w:tcW w:w="1591" w:type="dxa"/>
            <w:tcBorders>
              <w:top w:val="single" w:color="5B9BD5" w:sz="4" w:space="0"/>
              <w:left w:val="single" w:color="5B9BD5" w:sz="4" w:space="0"/>
              <w:bottom w:val="single" w:color="5B9BD5" w:sz="4" w:space="0"/>
              <w:right w:val="single" w:color="5B9BD5" w:sz="4" w:space="0"/>
            </w:tcBorders>
            <w:shd w:val="clear" w:color="auto" w:fill="FFFFFF"/>
            <w:vAlign w:val="center"/>
          </w:tcPr>
          <w:p w14:paraId="233B9A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281</w:t>
            </w:r>
          </w:p>
        </w:tc>
      </w:tr>
      <w:tr w14:paraId="74ED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37CDEC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kern w:val="0"/>
                <w:sz w:val="21"/>
                <w:szCs w:val="21"/>
                <w:lang w:bidi="ar"/>
              </w:rPr>
            </w:pPr>
            <w:r>
              <w:rPr>
                <w:rFonts w:hint="eastAsia" w:ascii="仿宋" w:hAnsi="仿宋" w:eastAsia="仿宋" w:cs="仿宋"/>
                <w:b w:val="0"/>
                <w:i w:val="0"/>
                <w:iCs w:val="0"/>
                <w:color w:val="000000"/>
                <w:kern w:val="0"/>
                <w:sz w:val="21"/>
                <w:szCs w:val="21"/>
                <w:u w:val="none"/>
                <w:lang w:val="en-US" w:eastAsia="zh-CN" w:bidi="ar"/>
              </w:rPr>
              <w:t>发明专利授权量（件）</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790838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2728</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008778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1575</w:t>
            </w:r>
          </w:p>
        </w:tc>
        <w:tc>
          <w:tcPr>
            <w:tcW w:w="1591" w:type="dxa"/>
            <w:tcBorders>
              <w:top w:val="single" w:color="5B9BD5" w:sz="4" w:space="0"/>
              <w:left w:val="single" w:color="5B9BD5" w:sz="4" w:space="0"/>
              <w:bottom w:val="single" w:color="5B9BD5" w:sz="4" w:space="0"/>
              <w:right w:val="single" w:color="5B9BD5" w:sz="4" w:space="0"/>
            </w:tcBorders>
            <w:shd w:val="clear" w:color="auto" w:fill="FFFFFF"/>
            <w:vAlign w:val="center"/>
          </w:tcPr>
          <w:p w14:paraId="64B580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131</w:t>
            </w:r>
          </w:p>
        </w:tc>
      </w:tr>
      <w:tr w14:paraId="380B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21E90C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kern w:val="0"/>
                <w:sz w:val="21"/>
                <w:szCs w:val="21"/>
                <w:lang w:bidi="ar"/>
              </w:rPr>
            </w:pPr>
            <w:r>
              <w:rPr>
                <w:rFonts w:hint="eastAsia" w:ascii="仿宋" w:hAnsi="仿宋" w:eastAsia="仿宋" w:cs="仿宋"/>
                <w:b w:val="0"/>
                <w:i w:val="0"/>
                <w:iCs w:val="0"/>
                <w:color w:val="000000"/>
                <w:kern w:val="0"/>
                <w:sz w:val="21"/>
                <w:szCs w:val="21"/>
                <w:u w:val="none"/>
                <w:lang w:val="en-US" w:eastAsia="zh-CN" w:bidi="ar"/>
              </w:rPr>
              <w:t>发明授权占比（</w:t>
            </w:r>
            <w:r>
              <w:rPr>
                <w:rFonts w:hint="default" w:ascii="Times New Roman" w:hAnsi="Times New Roman" w:eastAsia="仿宋" w:cs="Times New Roman"/>
                <w:b w:val="0"/>
                <w:i w:val="0"/>
                <w:iCs w:val="0"/>
                <w:color w:val="000000"/>
                <w:kern w:val="0"/>
                <w:sz w:val="21"/>
                <w:szCs w:val="21"/>
                <w:u w:val="none"/>
                <w:lang w:val="en-US" w:eastAsia="zh-CN" w:bidi="ar"/>
              </w:rPr>
              <w:t>%</w:t>
            </w:r>
            <w:r>
              <w:rPr>
                <w:rFonts w:hint="eastAsia" w:ascii="仿宋" w:hAnsi="仿宋" w:eastAsia="仿宋" w:cs="仿宋"/>
                <w:b w:val="0"/>
                <w:i w:val="0"/>
                <w:iCs w:val="0"/>
                <w:color w:val="000000"/>
                <w:kern w:val="0"/>
                <w:sz w:val="21"/>
                <w:szCs w:val="21"/>
                <w:u w:val="none"/>
                <w:lang w:val="en-US" w:eastAsia="zh-CN" w:bidi="ar"/>
              </w:rPr>
              <w:t>）</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4C3C0D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65.70%</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757985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53.25%</w:t>
            </w:r>
          </w:p>
        </w:tc>
        <w:tc>
          <w:tcPr>
            <w:tcW w:w="1591" w:type="dxa"/>
            <w:tcBorders>
              <w:top w:val="single" w:color="5B9BD5" w:sz="4" w:space="0"/>
              <w:left w:val="single" w:color="5B9BD5" w:sz="4" w:space="0"/>
              <w:bottom w:val="single" w:color="5B9BD5" w:sz="4" w:space="0"/>
              <w:right w:val="single" w:color="5B9BD5" w:sz="4" w:space="0"/>
            </w:tcBorders>
            <w:shd w:val="clear" w:color="auto" w:fill="FFFFFF"/>
            <w:vAlign w:val="center"/>
          </w:tcPr>
          <w:p w14:paraId="7EE3CE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46.62%</w:t>
            </w:r>
          </w:p>
        </w:tc>
      </w:tr>
      <w:tr w14:paraId="089A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543162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宋体"/>
                <w:b w:val="0"/>
                <w:color w:val="000000"/>
                <w:kern w:val="0"/>
                <w:sz w:val="21"/>
                <w:szCs w:val="21"/>
                <w:lang w:val="en-US" w:bidi="ar"/>
              </w:rPr>
            </w:pPr>
            <w:r>
              <w:rPr>
                <w:rFonts w:hint="eastAsia" w:ascii="仿宋" w:hAnsi="仿宋" w:eastAsia="仿宋" w:cs="仿宋"/>
                <w:b w:val="0"/>
                <w:i w:val="0"/>
                <w:iCs w:val="0"/>
                <w:color w:val="000000"/>
                <w:kern w:val="0"/>
                <w:sz w:val="21"/>
                <w:szCs w:val="21"/>
                <w:u w:val="none"/>
                <w:lang w:val="en-US" w:eastAsia="zh-CN" w:bidi="ar"/>
              </w:rPr>
              <w:t>近5年发明专利申请量（件）</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64A36F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3552</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185B2C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2823</w:t>
            </w:r>
          </w:p>
        </w:tc>
        <w:tc>
          <w:tcPr>
            <w:tcW w:w="1591" w:type="dxa"/>
            <w:tcBorders>
              <w:top w:val="single" w:color="5B9BD5" w:sz="4" w:space="0"/>
              <w:left w:val="single" w:color="5B9BD5" w:sz="4" w:space="0"/>
              <w:bottom w:val="single" w:color="5B9BD5" w:sz="4" w:space="0"/>
              <w:right w:val="single" w:color="5B9BD5" w:sz="4" w:space="0"/>
            </w:tcBorders>
            <w:shd w:val="clear" w:color="auto" w:fill="FFFFFF"/>
            <w:vAlign w:val="center"/>
          </w:tcPr>
          <w:p w14:paraId="3EA911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312</w:t>
            </w:r>
          </w:p>
        </w:tc>
      </w:tr>
      <w:tr w14:paraId="4E6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00100F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sz w:val="21"/>
                <w:szCs w:val="21"/>
              </w:rPr>
            </w:pPr>
            <w:r>
              <w:rPr>
                <w:rFonts w:hint="eastAsia" w:ascii="仿宋" w:hAnsi="仿宋" w:eastAsia="仿宋" w:cs="仿宋"/>
                <w:b w:val="0"/>
                <w:i w:val="0"/>
                <w:iCs w:val="0"/>
                <w:color w:val="000000"/>
                <w:kern w:val="0"/>
                <w:sz w:val="21"/>
                <w:szCs w:val="21"/>
                <w:u w:val="none"/>
                <w:lang w:val="en-US" w:eastAsia="zh-CN" w:bidi="ar"/>
              </w:rPr>
              <w:t>有效专利量（件）</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54DFE5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2754</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583BB8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1959</w:t>
            </w:r>
          </w:p>
        </w:tc>
        <w:tc>
          <w:tcPr>
            <w:tcW w:w="1591" w:type="dxa"/>
            <w:tcBorders>
              <w:top w:val="single" w:color="5B9BD5" w:sz="4" w:space="0"/>
              <w:left w:val="single" w:color="5B9BD5" w:sz="4" w:space="0"/>
              <w:bottom w:val="single" w:color="5B9BD5" w:sz="4" w:space="0"/>
              <w:right w:val="single" w:color="5B9BD5" w:sz="4" w:space="0"/>
            </w:tcBorders>
            <w:shd w:val="clear" w:color="auto" w:fill="FFFFFF"/>
            <w:vAlign w:val="center"/>
          </w:tcPr>
          <w:p w14:paraId="38C66A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204</w:t>
            </w:r>
          </w:p>
        </w:tc>
      </w:tr>
      <w:tr w14:paraId="2590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064E53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kern w:val="0"/>
                <w:sz w:val="21"/>
                <w:szCs w:val="21"/>
                <w:lang w:bidi="ar"/>
              </w:rPr>
            </w:pPr>
            <w:r>
              <w:rPr>
                <w:rFonts w:hint="eastAsia" w:ascii="仿宋" w:hAnsi="仿宋" w:eastAsia="仿宋" w:cs="仿宋"/>
                <w:b w:val="0"/>
                <w:i w:val="0"/>
                <w:iCs w:val="0"/>
                <w:color w:val="000000"/>
                <w:kern w:val="0"/>
                <w:sz w:val="21"/>
                <w:szCs w:val="21"/>
                <w:u w:val="none"/>
                <w:lang w:val="en-US" w:eastAsia="zh-CN" w:bidi="ar"/>
              </w:rPr>
              <w:t>有效专利占比（</w:t>
            </w:r>
            <w:r>
              <w:rPr>
                <w:rFonts w:hint="default" w:ascii="Times New Roman" w:hAnsi="Times New Roman" w:eastAsia="仿宋" w:cs="Times New Roman"/>
                <w:b w:val="0"/>
                <w:i w:val="0"/>
                <w:iCs w:val="0"/>
                <w:color w:val="000000"/>
                <w:kern w:val="0"/>
                <w:sz w:val="21"/>
                <w:szCs w:val="21"/>
                <w:u w:val="none"/>
                <w:lang w:val="en-US" w:eastAsia="zh-CN" w:bidi="ar"/>
              </w:rPr>
              <w:t>%</w:t>
            </w:r>
            <w:r>
              <w:rPr>
                <w:rFonts w:hint="eastAsia" w:ascii="仿宋" w:hAnsi="仿宋" w:eastAsia="仿宋" w:cs="仿宋"/>
                <w:b w:val="0"/>
                <w:i w:val="0"/>
                <w:iCs w:val="0"/>
                <w:color w:val="000000"/>
                <w:kern w:val="0"/>
                <w:sz w:val="21"/>
                <w:szCs w:val="21"/>
                <w:u w:val="none"/>
                <w:lang w:val="en-US" w:eastAsia="zh-CN" w:bidi="ar"/>
              </w:rPr>
              <w:t>）</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7E238D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34.54%</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2E0215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39.69%</w:t>
            </w:r>
          </w:p>
        </w:tc>
        <w:tc>
          <w:tcPr>
            <w:tcW w:w="1591" w:type="dxa"/>
            <w:tcBorders>
              <w:top w:val="single" w:color="5B9BD5" w:sz="4" w:space="0"/>
              <w:left w:val="single" w:color="5B9BD5" w:sz="4" w:space="0"/>
              <w:bottom w:val="single" w:color="5B9BD5" w:sz="4" w:space="0"/>
              <w:right w:val="single" w:color="5B9BD5" w:sz="4" w:space="0"/>
            </w:tcBorders>
            <w:shd w:val="clear" w:color="auto" w:fill="FFFFFF"/>
            <w:vAlign w:val="center"/>
          </w:tcPr>
          <w:p w14:paraId="75860C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43.40%</w:t>
            </w:r>
          </w:p>
        </w:tc>
      </w:tr>
      <w:tr w14:paraId="67D7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403836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sz w:val="21"/>
                <w:szCs w:val="21"/>
              </w:rPr>
            </w:pPr>
            <w:r>
              <w:rPr>
                <w:rFonts w:hint="eastAsia" w:ascii="仿宋" w:hAnsi="仿宋" w:eastAsia="仿宋" w:cs="仿宋"/>
                <w:b w:val="0"/>
                <w:i w:val="0"/>
                <w:iCs w:val="0"/>
                <w:color w:val="000000"/>
                <w:kern w:val="0"/>
                <w:sz w:val="21"/>
                <w:szCs w:val="21"/>
                <w:u w:val="none"/>
                <w:lang w:val="en-US" w:eastAsia="zh-CN" w:bidi="ar"/>
              </w:rPr>
              <w:t>有效发明专利量（件）</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377635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2052</w:t>
            </w:r>
          </w:p>
        </w:tc>
        <w:tc>
          <w:tcPr>
            <w:tcW w:w="1590" w:type="dxa"/>
            <w:tcBorders>
              <w:top w:val="single" w:color="5B9BD5" w:sz="4" w:space="0"/>
              <w:left w:val="single" w:color="5B9BD5" w:sz="4" w:space="0"/>
              <w:bottom w:val="single" w:color="5B9BD5" w:sz="4" w:space="0"/>
              <w:right w:val="single" w:color="5B9BD5" w:sz="4" w:space="0"/>
            </w:tcBorders>
            <w:shd w:val="clear" w:color="auto" w:fill="FFFFFF"/>
            <w:noWrap/>
            <w:vAlign w:val="center"/>
          </w:tcPr>
          <w:p w14:paraId="4B48A3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1265</w:t>
            </w:r>
          </w:p>
        </w:tc>
        <w:tc>
          <w:tcPr>
            <w:tcW w:w="1591" w:type="dxa"/>
            <w:tcBorders>
              <w:top w:val="single" w:color="5B9BD5" w:sz="4" w:space="0"/>
              <w:left w:val="single" w:color="5B9BD5" w:sz="4" w:space="0"/>
              <w:bottom w:val="single" w:color="5B9BD5" w:sz="4" w:space="0"/>
              <w:right w:val="single" w:color="5B9BD5" w:sz="4" w:space="0"/>
            </w:tcBorders>
            <w:shd w:val="clear" w:color="auto" w:fill="FFFFFF"/>
            <w:vAlign w:val="center"/>
          </w:tcPr>
          <w:p w14:paraId="1C61B9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99</w:t>
            </w:r>
          </w:p>
        </w:tc>
      </w:tr>
    </w:tbl>
    <w:p w14:paraId="5FF5D6CB">
      <w:pPr>
        <w:ind w:firstLine="480"/>
        <w:rPr>
          <w:rFonts w:hint="eastAsia"/>
        </w:rPr>
      </w:pPr>
    </w:p>
    <w:p w14:paraId="5DF3A2F3">
      <w:pPr>
        <w:pStyle w:val="2"/>
        <w:spacing w:before="156" w:after="312"/>
      </w:pPr>
      <w:r>
        <w:rPr>
          <w:rFonts w:hint="eastAsia"/>
        </w:rPr>
        <w:t>总体趋势分析</w:t>
      </w:r>
    </w:p>
    <w:p w14:paraId="6CF431FA">
      <w:pPr>
        <w:keepNext w:val="0"/>
        <w:keepLines w:val="0"/>
        <w:widowControl/>
        <w:suppressLineNumbers w:val="0"/>
        <w:jc w:val="left"/>
      </w:pPr>
      <w:r>
        <w:rPr>
          <w:rFonts w:ascii="仿宋" w:hAnsi="仿宋" w:eastAsia="仿宋" w:cs="仿宋"/>
          <w:color w:val="000000"/>
          <w:kern w:val="0"/>
          <w:sz w:val="24"/>
          <w:szCs w:val="24"/>
          <w:lang w:val="en-US" w:eastAsia="zh-CN" w:bidi="ar"/>
        </w:rPr>
        <w:fldChar w:fldCharType="begin"/>
      </w:r>
      <w:r>
        <w:rPr>
          <w:rFonts w:ascii="仿宋" w:hAnsi="仿宋" w:eastAsia="仿宋" w:cs="仿宋"/>
          <w:color w:val="000000"/>
          <w:kern w:val="0"/>
          <w:sz w:val="24"/>
          <w:szCs w:val="24"/>
          <w:lang w:val="en-US" w:eastAsia="zh-CN" w:bidi="ar"/>
        </w:rPr>
        <w:instrText xml:space="preserve"> REF _Ref1174 \h </w:instrText>
      </w:r>
      <w:r>
        <w:rPr>
          <w:rFonts w:ascii="仿宋" w:hAnsi="仿宋" w:eastAsia="仿宋" w:cs="仿宋"/>
          <w:color w:val="000000"/>
          <w:kern w:val="0"/>
          <w:sz w:val="24"/>
          <w:szCs w:val="24"/>
          <w:lang w:val="en-US" w:eastAsia="zh-CN" w:bidi="ar"/>
        </w:rPr>
        <w:fldChar w:fldCharType="separate"/>
      </w:r>
      <w:r>
        <w:t>图 1</w:t>
      </w:r>
      <w:r>
        <w:rPr>
          <w:rFonts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展示了中国海洋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资源勘探开发装备制造近</w:t>
      </w:r>
      <w:r>
        <w:rPr>
          <w:rFonts w:hint="default" w:ascii="Times New Roman" w:hAnsi="Times New Roman" w:eastAsia="宋体" w:cs="Times New Roman"/>
          <w:color w:val="000000"/>
          <w:kern w:val="0"/>
          <w:sz w:val="24"/>
          <w:szCs w:val="24"/>
          <w:lang w:val="en-US" w:eastAsia="zh-CN" w:bidi="ar"/>
        </w:rPr>
        <w:t>20</w:t>
      </w:r>
      <w:r>
        <w:rPr>
          <w:rFonts w:hint="eastAsia" w:ascii="仿宋" w:hAnsi="仿宋" w:eastAsia="仿宋" w:cs="仿宋"/>
          <w:color w:val="000000"/>
          <w:kern w:val="0"/>
          <w:sz w:val="24"/>
          <w:szCs w:val="24"/>
          <w:lang w:val="en-US" w:eastAsia="zh-CN" w:bidi="ar"/>
        </w:rPr>
        <w:t>年专利申请及授权趋势。如图所示，中国海洋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资源勘探开发装备制造专利申请呈</w:t>
      </w:r>
      <w:r>
        <w:rPr>
          <w:rFonts w:hint="eastAsia" w:ascii="仿宋" w:hAnsi="仿宋" w:cs="仿宋"/>
          <w:color w:val="000000"/>
          <w:kern w:val="0"/>
          <w:sz w:val="24"/>
          <w:szCs w:val="24"/>
          <w:lang w:val="en-US" w:eastAsia="zh-CN" w:bidi="ar"/>
        </w:rPr>
        <w:t>波动</w:t>
      </w:r>
      <w:r>
        <w:rPr>
          <w:rFonts w:hint="eastAsia" w:ascii="仿宋" w:hAnsi="仿宋" w:eastAsia="仿宋" w:cs="仿宋"/>
          <w:color w:val="000000"/>
          <w:kern w:val="0"/>
          <w:sz w:val="24"/>
          <w:szCs w:val="24"/>
          <w:lang w:val="en-US" w:eastAsia="zh-CN" w:bidi="ar"/>
        </w:rPr>
        <w:t>上升趋势</w:t>
      </w:r>
      <w:r>
        <w:rPr>
          <w:rFonts w:hint="eastAsia" w:ascii="仿宋" w:hAnsi="仿宋" w:cs="仿宋"/>
          <w:color w:val="000000"/>
          <w:kern w:val="0"/>
          <w:sz w:val="24"/>
          <w:szCs w:val="24"/>
          <w:lang w:val="en-US" w:eastAsia="zh-CN" w:bidi="ar"/>
        </w:rPr>
        <w:t>，专利授权量与专利申请量的上升趋势基本一致。</w:t>
      </w:r>
      <w:r>
        <w:rPr>
          <w:rFonts w:hint="default" w:ascii="Times New Roman" w:hAnsi="Times New Roman" w:eastAsia="宋体" w:cs="Times New Roman"/>
          <w:color w:val="000000"/>
          <w:kern w:val="0"/>
          <w:sz w:val="24"/>
          <w:szCs w:val="24"/>
          <w:lang w:val="en-US" w:eastAsia="zh-CN" w:bidi="ar"/>
        </w:rPr>
        <w:t>200</w:t>
      </w:r>
      <w:r>
        <w:rPr>
          <w:rFonts w:hint="eastAsia" w:eastAsia="宋体"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-20</w:t>
      </w:r>
      <w:r>
        <w:rPr>
          <w:rFonts w:hint="eastAsia" w:eastAsia="宋体" w:cs="Times New Roman"/>
          <w:color w:val="000000"/>
          <w:kern w:val="0"/>
          <w:sz w:val="24"/>
          <w:szCs w:val="24"/>
          <w:lang w:val="en-US" w:eastAsia="zh-CN" w:bidi="ar"/>
        </w:rPr>
        <w:t>15</w:t>
      </w:r>
      <w:r>
        <w:rPr>
          <w:rFonts w:hint="eastAsia" w:ascii="仿宋" w:hAnsi="仿宋" w:eastAsia="仿宋" w:cs="仿宋"/>
          <w:color w:val="000000"/>
          <w:kern w:val="0"/>
          <w:sz w:val="24"/>
          <w:szCs w:val="24"/>
          <w:lang w:val="en-US" w:eastAsia="zh-CN" w:bidi="ar"/>
        </w:rPr>
        <w:t>年，我国海洋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资源勘探开发装备制造技术</w:t>
      </w:r>
      <w:r>
        <w:rPr>
          <w:rFonts w:hint="eastAsia" w:ascii="仿宋" w:hAnsi="仿宋" w:cs="仿宋"/>
          <w:color w:val="000000"/>
          <w:kern w:val="0"/>
          <w:sz w:val="24"/>
          <w:szCs w:val="24"/>
          <w:lang w:val="en-US" w:eastAsia="zh-CN" w:bidi="ar"/>
        </w:rPr>
        <w:t>平稳发展</w:t>
      </w:r>
      <w:r>
        <w:rPr>
          <w:rFonts w:hint="eastAsia" w:ascii="仿宋" w:hAnsi="仿宋" w:eastAsia="仿宋" w:cs="仿宋"/>
          <w:color w:val="000000"/>
          <w:kern w:val="0"/>
          <w:sz w:val="24"/>
          <w:szCs w:val="24"/>
          <w:lang w:val="en-US" w:eastAsia="zh-CN" w:bidi="ar"/>
        </w:rPr>
        <w:t>，海洋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资源勘探开发装备制造专利申请量稳步上涨，从</w:t>
      </w:r>
      <w:r>
        <w:rPr>
          <w:rFonts w:hint="default" w:ascii="Times New Roman" w:hAnsi="Times New Roman" w:eastAsia="宋体" w:cs="Times New Roman"/>
          <w:color w:val="000000"/>
          <w:kern w:val="0"/>
          <w:sz w:val="24"/>
          <w:szCs w:val="24"/>
          <w:lang w:val="en-US" w:eastAsia="zh-CN" w:bidi="ar"/>
        </w:rPr>
        <w:t>200</w:t>
      </w:r>
      <w:r>
        <w:rPr>
          <w:rFonts w:hint="eastAsia" w:eastAsia="宋体" w:cs="Times New Roman"/>
          <w:color w:val="000000"/>
          <w:kern w:val="0"/>
          <w:sz w:val="24"/>
          <w:szCs w:val="24"/>
          <w:lang w:val="en-US" w:eastAsia="zh-CN" w:bidi="ar"/>
        </w:rPr>
        <w:t>4</w:t>
      </w:r>
      <w:r>
        <w:rPr>
          <w:rFonts w:hint="eastAsia" w:ascii="仿宋" w:hAnsi="仿宋" w:eastAsia="仿宋" w:cs="仿宋"/>
          <w:color w:val="000000"/>
          <w:kern w:val="0"/>
          <w:sz w:val="24"/>
          <w:szCs w:val="24"/>
          <w:lang w:val="en-US" w:eastAsia="zh-CN" w:bidi="ar"/>
        </w:rPr>
        <w:t>年</w:t>
      </w:r>
      <w:r>
        <w:rPr>
          <w:rFonts w:hint="eastAsia" w:eastAsia="宋体" w:cs="Times New Roman"/>
          <w:color w:val="000000"/>
          <w:kern w:val="0"/>
          <w:sz w:val="24"/>
          <w:szCs w:val="24"/>
          <w:lang w:val="en-US" w:eastAsia="zh-CN" w:bidi="ar"/>
        </w:rPr>
        <w:t>32</w:t>
      </w:r>
      <w:r>
        <w:rPr>
          <w:rFonts w:hint="eastAsia" w:ascii="仿宋" w:hAnsi="仿宋" w:eastAsia="仿宋" w:cs="仿宋"/>
          <w:color w:val="000000"/>
          <w:kern w:val="0"/>
          <w:sz w:val="24"/>
          <w:szCs w:val="24"/>
          <w:lang w:val="en-US" w:eastAsia="zh-CN" w:bidi="ar"/>
        </w:rPr>
        <w:t>件增长至</w:t>
      </w:r>
      <w:r>
        <w:rPr>
          <w:rFonts w:hint="default" w:ascii="Times New Roman" w:hAnsi="Times New Roman" w:eastAsia="宋体" w:cs="Times New Roman"/>
          <w:color w:val="000000"/>
          <w:kern w:val="0"/>
          <w:sz w:val="24"/>
          <w:szCs w:val="24"/>
          <w:lang w:val="en-US" w:eastAsia="zh-CN" w:bidi="ar"/>
        </w:rPr>
        <w:t>20</w:t>
      </w:r>
      <w:r>
        <w:rPr>
          <w:rFonts w:hint="eastAsia" w:eastAsia="宋体" w:cs="Times New Roman"/>
          <w:color w:val="000000"/>
          <w:kern w:val="0"/>
          <w:sz w:val="24"/>
          <w:szCs w:val="24"/>
          <w:lang w:val="en-US" w:eastAsia="zh-CN" w:bidi="ar"/>
        </w:rPr>
        <w:t>15</w:t>
      </w:r>
      <w:r>
        <w:rPr>
          <w:rFonts w:hint="eastAsia" w:ascii="仿宋" w:hAnsi="仿宋" w:eastAsia="仿宋" w:cs="仿宋"/>
          <w:color w:val="000000"/>
          <w:kern w:val="0"/>
          <w:sz w:val="24"/>
          <w:szCs w:val="24"/>
          <w:lang w:val="en-US" w:eastAsia="zh-CN" w:bidi="ar"/>
        </w:rPr>
        <w:t>年</w:t>
      </w:r>
      <w:r>
        <w:rPr>
          <w:rFonts w:hint="eastAsia" w:eastAsia="宋体" w:cs="Times New Roman"/>
          <w:color w:val="000000"/>
          <w:kern w:val="0"/>
          <w:sz w:val="24"/>
          <w:szCs w:val="24"/>
          <w:lang w:val="en-US" w:eastAsia="zh-CN" w:bidi="ar"/>
        </w:rPr>
        <w:t>206</w:t>
      </w:r>
      <w:r>
        <w:rPr>
          <w:rFonts w:hint="eastAsia" w:ascii="仿宋" w:hAnsi="仿宋" w:eastAsia="仿宋" w:cs="仿宋"/>
          <w:color w:val="000000"/>
          <w:kern w:val="0"/>
          <w:sz w:val="24"/>
          <w:szCs w:val="24"/>
          <w:lang w:val="en-US" w:eastAsia="zh-CN" w:bidi="ar"/>
        </w:rPr>
        <w:t>件，海洋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资源勘探开发装备制造专利授权量也从</w:t>
      </w:r>
      <w:r>
        <w:rPr>
          <w:rFonts w:hint="eastAsia" w:ascii="Times New Roman" w:hAnsi="Times New Roman" w:eastAsia="宋体" w:cs="Times New Roman"/>
          <w:color w:val="000000"/>
          <w:kern w:val="0"/>
          <w:sz w:val="24"/>
          <w:szCs w:val="24"/>
          <w:lang w:val="en-US" w:eastAsia="zh-CN" w:bidi="ar"/>
        </w:rPr>
        <w:t>200</w:t>
      </w:r>
      <w:r>
        <w:rPr>
          <w:rFonts w:hint="eastAsia" w:eastAsia="宋体" w:cs="Times New Roman"/>
          <w:color w:val="000000"/>
          <w:kern w:val="0"/>
          <w:sz w:val="24"/>
          <w:szCs w:val="24"/>
          <w:lang w:val="en-US" w:eastAsia="zh-CN" w:bidi="ar"/>
        </w:rPr>
        <w:t>4</w:t>
      </w:r>
      <w:r>
        <w:rPr>
          <w:rFonts w:hint="eastAsia" w:ascii="仿宋" w:hAnsi="仿宋" w:eastAsia="仿宋" w:cs="仿宋"/>
          <w:color w:val="000000"/>
          <w:kern w:val="0"/>
          <w:sz w:val="24"/>
          <w:szCs w:val="24"/>
          <w:lang w:val="en-US" w:eastAsia="zh-CN" w:bidi="ar"/>
        </w:rPr>
        <w:t>年</w:t>
      </w:r>
      <w:r>
        <w:rPr>
          <w:rFonts w:hint="eastAsia" w:eastAsia="宋体" w:cs="Times New Roman"/>
          <w:color w:val="000000"/>
          <w:kern w:val="0"/>
          <w:sz w:val="24"/>
          <w:szCs w:val="24"/>
          <w:lang w:val="en-US" w:eastAsia="zh-CN" w:bidi="ar"/>
        </w:rPr>
        <w:t>4</w:t>
      </w:r>
      <w:r>
        <w:rPr>
          <w:rFonts w:hint="eastAsia" w:ascii="仿宋" w:hAnsi="仿宋" w:eastAsia="仿宋" w:cs="仿宋"/>
          <w:color w:val="000000"/>
          <w:kern w:val="0"/>
          <w:sz w:val="24"/>
          <w:szCs w:val="24"/>
          <w:lang w:val="en-US" w:eastAsia="zh-CN" w:bidi="ar"/>
        </w:rPr>
        <w:t>件增长至</w:t>
      </w:r>
      <w:r>
        <w:rPr>
          <w:rFonts w:hint="eastAsia" w:ascii="Times New Roman" w:hAnsi="Times New Roman" w:eastAsia="宋体" w:cs="Times New Roman"/>
          <w:color w:val="000000"/>
          <w:kern w:val="0"/>
          <w:sz w:val="24"/>
          <w:szCs w:val="24"/>
          <w:lang w:val="en-US" w:eastAsia="zh-CN" w:bidi="ar"/>
        </w:rPr>
        <w:t>20</w:t>
      </w:r>
      <w:r>
        <w:rPr>
          <w:rFonts w:hint="eastAsia" w:eastAsia="宋体" w:cs="Times New Roman"/>
          <w:color w:val="000000"/>
          <w:kern w:val="0"/>
          <w:sz w:val="24"/>
          <w:szCs w:val="24"/>
          <w:lang w:val="en-US" w:eastAsia="zh-CN" w:bidi="ar"/>
        </w:rPr>
        <w:t>15</w:t>
      </w:r>
      <w:r>
        <w:rPr>
          <w:rFonts w:hint="eastAsia" w:ascii="仿宋" w:hAnsi="仿宋" w:eastAsia="仿宋" w:cs="仿宋"/>
          <w:color w:val="000000"/>
          <w:kern w:val="0"/>
          <w:sz w:val="24"/>
          <w:szCs w:val="24"/>
          <w:lang w:val="en-US" w:eastAsia="zh-CN" w:bidi="ar"/>
        </w:rPr>
        <w:t>年</w:t>
      </w:r>
      <w:r>
        <w:rPr>
          <w:rFonts w:hint="eastAsia" w:eastAsia="宋体" w:cs="Times New Roman"/>
          <w:color w:val="000000"/>
          <w:kern w:val="0"/>
          <w:sz w:val="24"/>
          <w:szCs w:val="24"/>
          <w:lang w:val="en-US" w:eastAsia="zh-CN" w:bidi="ar"/>
        </w:rPr>
        <w:t>112</w:t>
      </w:r>
      <w:r>
        <w:rPr>
          <w:rFonts w:hint="eastAsia" w:ascii="仿宋" w:hAnsi="仿宋" w:eastAsia="仿宋" w:cs="仿宋"/>
          <w:color w:val="000000"/>
          <w:kern w:val="0"/>
          <w:sz w:val="24"/>
          <w:szCs w:val="24"/>
          <w:lang w:val="en-US" w:eastAsia="zh-CN" w:bidi="ar"/>
        </w:rPr>
        <w:t>件，这一时期的稳步增长表明，海洋矿产资源勘探开发装备制造领域的技术正处于为后续的快速发展奠定坚实基础的重要阶段</w:t>
      </w:r>
      <w:r>
        <w:rPr>
          <w:rFonts w:hint="eastAsia" w:ascii="仿宋" w:hAnsi="仿宋" w:cs="仿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20</w:t>
      </w:r>
      <w:r>
        <w:rPr>
          <w:rFonts w:hint="eastAsia" w:eastAsia="宋体" w:cs="Times New Roman"/>
          <w:color w:val="000000"/>
          <w:kern w:val="0"/>
          <w:sz w:val="24"/>
          <w:szCs w:val="24"/>
          <w:lang w:val="en-US" w:eastAsia="zh-CN" w:bidi="ar"/>
        </w:rPr>
        <w:t>15</w:t>
      </w:r>
      <w:r>
        <w:rPr>
          <w:rFonts w:hint="default" w:ascii="Times New Roman" w:hAnsi="Times New Roman" w:eastAsia="宋体" w:cs="Times New Roman"/>
          <w:color w:val="000000"/>
          <w:kern w:val="0"/>
          <w:sz w:val="24"/>
          <w:szCs w:val="24"/>
          <w:lang w:val="en-US" w:eastAsia="zh-CN" w:bidi="ar"/>
        </w:rPr>
        <w:t>-202</w:t>
      </w:r>
      <w:r>
        <w:rPr>
          <w:rFonts w:hint="eastAsia" w:eastAsia="宋体" w:cs="Times New Roman"/>
          <w:color w:val="000000"/>
          <w:kern w:val="0"/>
          <w:sz w:val="24"/>
          <w:szCs w:val="24"/>
          <w:lang w:val="en-US" w:eastAsia="zh-CN" w:bidi="ar"/>
        </w:rPr>
        <w:t>3</w:t>
      </w:r>
      <w:r>
        <w:rPr>
          <w:rFonts w:hint="eastAsia" w:ascii="仿宋" w:hAnsi="仿宋" w:eastAsia="仿宋" w:cs="仿宋"/>
          <w:color w:val="000000"/>
          <w:kern w:val="0"/>
          <w:sz w:val="24"/>
          <w:szCs w:val="24"/>
          <w:lang w:val="en-US" w:eastAsia="zh-CN" w:bidi="ar"/>
        </w:rPr>
        <w:t>年，本时期专利申请量快速增长，虽然</w:t>
      </w:r>
      <w:r>
        <w:rPr>
          <w:rFonts w:hint="eastAsia" w:ascii="仿宋" w:hAnsi="仿宋" w:cs="仿宋"/>
          <w:color w:val="000000"/>
          <w:kern w:val="0"/>
          <w:sz w:val="24"/>
          <w:szCs w:val="24"/>
          <w:lang w:val="en-US" w:eastAsia="zh-CN" w:bidi="ar"/>
        </w:rPr>
        <w:t>在中间出现了回落</w:t>
      </w:r>
      <w:r>
        <w:rPr>
          <w:rFonts w:hint="eastAsia" w:ascii="仿宋" w:hAnsi="仿宋" w:eastAsia="仿宋" w:cs="仿宋"/>
          <w:color w:val="000000"/>
          <w:kern w:val="0"/>
          <w:sz w:val="24"/>
          <w:szCs w:val="24"/>
          <w:lang w:val="en-US" w:eastAsia="zh-CN" w:bidi="ar"/>
        </w:rPr>
        <w:t>，但整体</w:t>
      </w:r>
      <w:r>
        <w:rPr>
          <w:rFonts w:hint="eastAsia" w:ascii="仿宋" w:hAnsi="仿宋" w:cs="仿宋"/>
          <w:color w:val="000000"/>
          <w:kern w:val="0"/>
          <w:sz w:val="24"/>
          <w:szCs w:val="24"/>
          <w:lang w:val="en-US" w:eastAsia="zh-CN" w:bidi="ar"/>
        </w:rPr>
        <w:t>仍</w:t>
      </w:r>
      <w:r>
        <w:rPr>
          <w:rFonts w:hint="eastAsia" w:ascii="仿宋" w:hAnsi="仿宋" w:eastAsia="仿宋" w:cs="仿宋"/>
          <w:color w:val="000000"/>
          <w:kern w:val="0"/>
          <w:sz w:val="24"/>
          <w:szCs w:val="24"/>
          <w:lang w:val="en-US" w:eastAsia="zh-CN" w:bidi="ar"/>
        </w:rPr>
        <w:t>呈增长趋势，</w:t>
      </w:r>
      <w:r>
        <w:rPr>
          <w:rFonts w:hint="eastAsia" w:ascii="Times New Roman" w:hAnsi="Times New Roman" w:eastAsia="宋体" w:cs="Times New Roman"/>
          <w:color w:val="000000"/>
          <w:kern w:val="0"/>
          <w:sz w:val="24"/>
          <w:szCs w:val="24"/>
          <w:lang w:val="en-US" w:eastAsia="zh-CN" w:bidi="ar"/>
        </w:rPr>
        <w:t>202</w:t>
      </w:r>
      <w:r>
        <w:rPr>
          <w:rFonts w:hint="eastAsia" w:eastAsia="宋体" w:cs="Times New Roman"/>
          <w:color w:val="000000"/>
          <w:kern w:val="0"/>
          <w:sz w:val="24"/>
          <w:szCs w:val="24"/>
          <w:lang w:val="en-US" w:eastAsia="zh-CN" w:bidi="ar"/>
        </w:rPr>
        <w:t>3</w:t>
      </w:r>
      <w:r>
        <w:rPr>
          <w:rFonts w:hint="eastAsia" w:ascii="仿宋" w:hAnsi="仿宋" w:eastAsia="仿宋" w:cs="仿宋"/>
          <w:color w:val="000000"/>
          <w:kern w:val="0"/>
          <w:sz w:val="24"/>
          <w:szCs w:val="24"/>
          <w:lang w:val="en-US" w:eastAsia="zh-CN" w:bidi="ar"/>
        </w:rPr>
        <w:t>年专利申请量达到本时期的峰值</w:t>
      </w:r>
      <w:r>
        <w:rPr>
          <w:rFonts w:hint="eastAsia" w:ascii="仿宋" w:hAnsi="仿宋" w:cs="仿宋"/>
          <w:color w:val="000000"/>
          <w:kern w:val="0"/>
          <w:sz w:val="24"/>
          <w:szCs w:val="24"/>
          <w:lang w:val="en-US" w:eastAsia="zh-CN" w:bidi="ar"/>
        </w:rPr>
        <w:t>509件</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值得注意的是，尽管2023年的专利申请量最高，但专利授权量的最高值却出现在2021年，达到了近20年来的最高水平354件。这可能是由于专利申请与授权之间的滞后性所致，即部分专利申请在提交后需要经过一段时间的审查流程才能获得授权</w:t>
      </w:r>
      <w:r>
        <w:rPr>
          <w:rFonts w:hint="eastAsia" w:ascii="仿宋" w:hAnsi="仿宋" w:eastAsia="仿宋" w:cs="仿宋"/>
          <w:color w:val="000000"/>
          <w:kern w:val="0"/>
          <w:sz w:val="24"/>
          <w:szCs w:val="24"/>
          <w:lang w:val="en-US" w:eastAsia="zh-CN" w:bidi="ar"/>
        </w:rPr>
        <w:t>。</w:t>
      </w:r>
    </w:p>
    <w:p w14:paraId="57934BFE">
      <w:pPr>
        <w:ind w:left="0" w:leftChars="0" w:firstLine="0" w:firstLineChars="0"/>
        <w:jc w:val="center"/>
        <w:rPr>
          <w:b/>
          <w:bCs/>
        </w:rPr>
      </w:pPr>
      <w:r>
        <w:drawing>
          <wp:inline distT="0" distB="0" distL="114300" distR="114300">
            <wp:extent cx="5219700" cy="2962910"/>
            <wp:effectExtent l="4445" t="4445" r="14605" b="2349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E7804F">
      <w:pPr>
        <w:pStyle w:val="4"/>
        <w:ind w:left="0" w:leftChars="0" w:firstLine="0" w:firstLineChars="0"/>
        <w:rPr>
          <w:rFonts w:hint="eastAsia"/>
          <w:color w:val="0070C0"/>
        </w:rPr>
      </w:pPr>
      <w:bookmarkStart w:id="1" w:name="_Ref1174"/>
      <w:r>
        <w:t xml:space="preserve">图 </w:t>
      </w:r>
      <w:r>
        <w:fldChar w:fldCharType="begin"/>
      </w:r>
      <w:r>
        <w:instrText xml:space="preserve"> SEQ 图 \* ARABIC </w:instrText>
      </w:r>
      <w:r>
        <w:fldChar w:fldCharType="separate"/>
      </w:r>
      <w:r>
        <w:t>1</w:t>
      </w:r>
      <w:r>
        <w:fldChar w:fldCharType="end"/>
      </w:r>
      <w:bookmarkEnd w:id="1"/>
      <w:r>
        <w:rPr>
          <w:rFonts w:hint="eastAsia"/>
          <w:lang w:eastAsia="zh-CN"/>
        </w:rPr>
        <w:t xml:space="preserve"> 中国</w:t>
      </w:r>
      <w:r>
        <w:rPr>
          <w:rFonts w:hint="eastAsia"/>
          <w:lang w:val="en-US" w:eastAsia="zh-CN"/>
        </w:rPr>
        <w:t>海洋矿产资源勘探开发装备制造</w:t>
      </w:r>
      <w:r>
        <w:rPr>
          <w:rFonts w:hint="eastAsia"/>
          <w:lang w:eastAsia="zh-CN"/>
        </w:rPr>
        <w:t>专利申请量和授权量趋势图（单位：件）</w:t>
      </w:r>
    </w:p>
    <w:p w14:paraId="4CC5AEDA">
      <w:pPr>
        <w:pStyle w:val="2"/>
        <w:spacing w:before="156" w:after="312"/>
        <w:rPr>
          <w:rFonts w:hint="eastAsia" w:eastAsia="仿宋"/>
          <w:lang w:val="en-US" w:eastAsia="zh-CN"/>
        </w:rPr>
      </w:pPr>
      <w:r>
        <w:rPr>
          <w:rFonts w:hint="eastAsia"/>
        </w:rPr>
        <w:t>专利布局现状</w:t>
      </w:r>
    </w:p>
    <w:p w14:paraId="4E85EDC9">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fldChar w:fldCharType="begin"/>
      </w:r>
      <w:r>
        <w:rPr>
          <w:rFonts w:ascii="仿宋" w:hAnsi="仿宋" w:eastAsia="仿宋" w:cs="仿宋"/>
          <w:color w:val="000000"/>
          <w:kern w:val="0"/>
          <w:sz w:val="24"/>
          <w:szCs w:val="24"/>
          <w:lang w:val="en-US" w:eastAsia="zh-CN" w:bidi="ar"/>
        </w:rPr>
        <w:instrText xml:space="preserve"> REF _Ref30992 \h </w:instrText>
      </w:r>
      <w:r>
        <w:rPr>
          <w:rFonts w:ascii="仿宋" w:hAnsi="仿宋" w:eastAsia="仿宋" w:cs="仿宋"/>
          <w:color w:val="000000"/>
          <w:kern w:val="0"/>
          <w:sz w:val="24"/>
          <w:szCs w:val="24"/>
          <w:lang w:val="en-US" w:eastAsia="zh-CN" w:bidi="ar"/>
        </w:rPr>
        <w:fldChar w:fldCharType="separate"/>
      </w:r>
      <w:r>
        <w:t>图 2</w:t>
      </w:r>
      <w:r>
        <w:rPr>
          <w:rFonts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资源勘探开发装备制造专利在中国区域的申请、授权分布情况。</w:t>
      </w:r>
      <w:r>
        <w:rPr>
          <w:rFonts w:hint="eastAsia" w:ascii="仿宋" w:hAnsi="仿宋" w:cs="仿宋"/>
          <w:color w:val="000000"/>
          <w:kern w:val="0"/>
          <w:sz w:val="24"/>
          <w:szCs w:val="24"/>
          <w:lang w:val="en-US" w:eastAsia="zh-CN" w:bidi="ar"/>
        </w:rPr>
        <w:t>如图所示，</w:t>
      </w:r>
      <w:r>
        <w:rPr>
          <w:rFonts w:hint="eastAsia" w:ascii="仿宋" w:hAnsi="仿宋" w:eastAsia="仿宋" w:cs="仿宋"/>
          <w:color w:val="000000"/>
          <w:kern w:val="0"/>
          <w:sz w:val="24"/>
          <w:szCs w:val="24"/>
          <w:lang w:val="en-US" w:eastAsia="zh-CN" w:bidi="ar"/>
        </w:rPr>
        <w:t>海洋矿产资源勘探与开发装备制造领域的创新发明活动呈现出显著的地理集中趋势，主要聚焦于山东省、北京市及江苏省这三个关键省市，其中</w:t>
      </w:r>
      <w:r>
        <w:rPr>
          <w:rFonts w:hint="eastAsia" w:ascii="仿宋" w:hAnsi="仿宋" w:cs="仿宋"/>
          <w:color w:val="000000"/>
          <w:kern w:val="0"/>
          <w:sz w:val="24"/>
          <w:szCs w:val="24"/>
          <w:lang w:val="en-US" w:eastAsia="zh-CN" w:bidi="ar"/>
        </w:rPr>
        <w:t>山东省</w:t>
      </w:r>
      <w:r>
        <w:rPr>
          <w:rFonts w:hint="eastAsia" w:ascii="仿宋" w:hAnsi="仿宋" w:eastAsia="仿宋" w:cs="仿宋"/>
          <w:color w:val="000000"/>
          <w:kern w:val="0"/>
          <w:sz w:val="24"/>
          <w:szCs w:val="24"/>
          <w:lang w:val="en-US" w:eastAsia="zh-CN" w:bidi="ar"/>
        </w:rPr>
        <w:t>以</w:t>
      </w:r>
      <w:r>
        <w:rPr>
          <w:rFonts w:hint="eastAsia" w:eastAsia="宋体" w:cs="Times New Roman"/>
          <w:color w:val="000000"/>
          <w:kern w:val="0"/>
          <w:sz w:val="24"/>
          <w:szCs w:val="24"/>
          <w:lang w:val="en-US" w:eastAsia="zh-CN" w:bidi="ar"/>
        </w:rPr>
        <w:t>631</w:t>
      </w:r>
      <w:r>
        <w:rPr>
          <w:rFonts w:hint="eastAsia" w:ascii="仿宋" w:hAnsi="仿宋" w:eastAsia="仿宋" w:cs="仿宋"/>
          <w:color w:val="000000"/>
          <w:kern w:val="0"/>
          <w:sz w:val="24"/>
          <w:szCs w:val="24"/>
          <w:lang w:val="en-US" w:eastAsia="zh-CN" w:bidi="ar"/>
        </w:rPr>
        <w:t>件专利</w:t>
      </w:r>
      <w:r>
        <w:rPr>
          <w:rFonts w:hint="eastAsia" w:ascii="仿宋" w:hAnsi="仿宋" w:cs="仿宋"/>
          <w:color w:val="000000"/>
          <w:kern w:val="0"/>
          <w:sz w:val="24"/>
          <w:szCs w:val="24"/>
          <w:lang w:val="en-US" w:eastAsia="zh-CN" w:bidi="ar"/>
        </w:rPr>
        <w:t>申请量位居全国榜首</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其</w:t>
      </w:r>
      <w:r>
        <w:rPr>
          <w:rFonts w:hint="eastAsia" w:ascii="仿宋" w:hAnsi="仿宋" w:eastAsia="仿宋" w:cs="仿宋"/>
          <w:color w:val="000000"/>
          <w:kern w:val="0"/>
          <w:sz w:val="24"/>
          <w:szCs w:val="24"/>
          <w:lang w:val="en-US" w:eastAsia="zh-CN" w:bidi="ar"/>
        </w:rPr>
        <w:t>专利授权量</w:t>
      </w:r>
      <w:r>
        <w:rPr>
          <w:rFonts w:hint="eastAsia" w:ascii="仿宋" w:hAnsi="仿宋" w:cs="仿宋"/>
          <w:color w:val="000000"/>
          <w:kern w:val="0"/>
          <w:sz w:val="24"/>
          <w:szCs w:val="24"/>
          <w:lang w:val="en-US" w:eastAsia="zh-CN" w:bidi="ar"/>
        </w:rPr>
        <w:t>亦高达</w:t>
      </w:r>
      <w:r>
        <w:rPr>
          <w:rFonts w:hint="eastAsia" w:eastAsia="宋体" w:cs="Times New Roman"/>
          <w:color w:val="000000"/>
          <w:kern w:val="0"/>
          <w:sz w:val="24"/>
          <w:szCs w:val="24"/>
          <w:lang w:val="en-US" w:eastAsia="zh-CN" w:bidi="ar"/>
        </w:rPr>
        <w:t>772</w:t>
      </w:r>
      <w:r>
        <w:rPr>
          <w:rFonts w:hint="eastAsia" w:ascii="仿宋" w:hAnsi="仿宋" w:eastAsia="仿宋" w:cs="仿宋"/>
          <w:color w:val="000000"/>
          <w:kern w:val="0"/>
          <w:sz w:val="24"/>
          <w:szCs w:val="24"/>
          <w:lang w:val="en-US" w:eastAsia="zh-CN" w:bidi="ar"/>
        </w:rPr>
        <w:t>件；</w:t>
      </w:r>
      <w:r>
        <w:rPr>
          <w:rFonts w:hint="eastAsia" w:ascii="仿宋" w:hAnsi="仿宋" w:cs="仿宋"/>
          <w:color w:val="000000"/>
          <w:kern w:val="0"/>
          <w:sz w:val="24"/>
          <w:szCs w:val="24"/>
          <w:lang w:val="en-US" w:eastAsia="zh-CN" w:bidi="ar"/>
        </w:rPr>
        <w:t>紧随其后的是广东省、浙江省、湖南省、上海市、天津市及湖北省，这六个省市共同构成了海洋矿产资源勘探开发装备制造创新发明的第二梯队，它们的专利申请量与授权量均稳定超过</w:t>
      </w:r>
      <w:r>
        <w:rPr>
          <w:rFonts w:hint="default" w:ascii="Times New Roman" w:hAnsi="Times New Roman" w:cs="Times New Roman"/>
          <w:color w:val="000000"/>
          <w:kern w:val="0"/>
          <w:sz w:val="24"/>
          <w:szCs w:val="24"/>
          <w:lang w:val="en-US" w:eastAsia="zh-CN" w:bidi="ar"/>
        </w:rPr>
        <w:t>150件</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安徽省、辽宁省、四川省、福建省、陕西省、海南省</w:t>
      </w:r>
      <w:r>
        <w:rPr>
          <w:rFonts w:hint="eastAsia" w:ascii="仿宋" w:hAnsi="仿宋" w:eastAsia="仿宋" w:cs="仿宋"/>
          <w:color w:val="000000"/>
          <w:kern w:val="0"/>
          <w:sz w:val="24"/>
          <w:szCs w:val="24"/>
          <w:lang w:val="en-US" w:eastAsia="zh-CN" w:bidi="ar"/>
        </w:rPr>
        <w:t>的专利申请量排名分别位列第</w:t>
      </w:r>
      <w:r>
        <w:rPr>
          <w:rFonts w:hint="eastAsia"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24"/>
          <w:szCs w:val="24"/>
          <w:lang w:val="en-US" w:eastAsia="zh-CN" w:bidi="ar"/>
        </w:rPr>
        <w:t>~1</w:t>
      </w:r>
      <w:r>
        <w:rPr>
          <w:rFonts w:hint="eastAsia" w:eastAsia="宋体" w:cs="Times New Roman"/>
          <w:color w:val="000000"/>
          <w:kern w:val="0"/>
          <w:sz w:val="24"/>
          <w:szCs w:val="24"/>
          <w:lang w:val="en-US" w:eastAsia="zh-CN" w:bidi="ar"/>
        </w:rPr>
        <w:t>5</w:t>
      </w:r>
      <w:r>
        <w:rPr>
          <w:rFonts w:hint="eastAsia" w:ascii="仿宋" w:hAnsi="仿宋" w:eastAsia="仿宋" w:cs="仿宋"/>
          <w:color w:val="000000"/>
          <w:kern w:val="0"/>
          <w:sz w:val="24"/>
          <w:szCs w:val="24"/>
          <w:lang w:val="en-US" w:eastAsia="zh-CN" w:bidi="ar"/>
        </w:rPr>
        <w:t>名，它们的创新活动虽不及前述省份活跃，但仍保持了一定的</w:t>
      </w:r>
      <w:r>
        <w:rPr>
          <w:rFonts w:hint="eastAsia" w:ascii="仿宋" w:hAnsi="仿宋" w:cs="仿宋"/>
          <w:color w:val="000000"/>
          <w:kern w:val="0"/>
          <w:sz w:val="24"/>
          <w:szCs w:val="24"/>
          <w:lang w:val="en-US" w:eastAsia="zh-CN" w:bidi="ar"/>
        </w:rPr>
        <w:t>发展动力，</w:t>
      </w:r>
      <w:r>
        <w:rPr>
          <w:rFonts w:hint="eastAsia" w:ascii="仿宋" w:hAnsi="仿宋" w:eastAsia="仿宋" w:cs="仿宋"/>
          <w:color w:val="000000"/>
          <w:kern w:val="0"/>
          <w:sz w:val="24"/>
          <w:szCs w:val="24"/>
          <w:lang w:val="en-US" w:eastAsia="zh-CN" w:bidi="ar"/>
        </w:rPr>
        <w:t>其专利授权量在</w:t>
      </w:r>
      <w:r>
        <w:rPr>
          <w:rFonts w:hint="eastAsia" w:eastAsia="宋体" w:cs="Times New Roman"/>
          <w:color w:val="000000"/>
          <w:kern w:val="0"/>
          <w:sz w:val="24"/>
          <w:szCs w:val="24"/>
          <w:lang w:val="en-US" w:eastAsia="zh-CN" w:bidi="ar"/>
        </w:rPr>
        <w:t>100-200</w:t>
      </w:r>
      <w:r>
        <w:rPr>
          <w:rFonts w:hint="eastAsia" w:ascii="仿宋" w:hAnsi="仿宋" w:eastAsia="仿宋" w:cs="仿宋"/>
          <w:color w:val="000000"/>
          <w:kern w:val="0"/>
          <w:sz w:val="24"/>
          <w:szCs w:val="24"/>
          <w:lang w:val="en-US" w:eastAsia="zh-CN" w:bidi="ar"/>
        </w:rPr>
        <w:t>件范围内。</w:t>
      </w:r>
    </w:p>
    <w:p w14:paraId="0D08F7BE">
      <w:pPr>
        <w:ind w:firstLine="0" w:firstLineChars="0"/>
        <w:jc w:val="cente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241300</wp:posOffset>
            </wp:positionV>
            <wp:extent cx="2950845" cy="2180590"/>
            <wp:effectExtent l="0" t="0" r="1905" b="10160"/>
            <wp:wrapNone/>
            <wp:docPr id="15" name="图片 15" descr="全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全国1"/>
                    <pic:cNvPicPr>
                      <a:picLocks noChangeAspect="1"/>
                    </pic:cNvPicPr>
                  </pic:nvPicPr>
                  <pic:blipFill>
                    <a:blip r:embed="rId13"/>
                    <a:srcRect l="8966" t="4264" r="19029" b="2121"/>
                    <a:stretch>
                      <a:fillRect/>
                    </a:stretch>
                  </pic:blipFill>
                  <pic:spPr>
                    <a:xfrm>
                      <a:off x="0" y="0"/>
                      <a:ext cx="2950845" cy="218059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323215</wp:posOffset>
            </wp:positionH>
            <wp:positionV relativeFrom="paragraph">
              <wp:posOffset>2329180</wp:posOffset>
            </wp:positionV>
            <wp:extent cx="983615" cy="407670"/>
            <wp:effectExtent l="0" t="0" r="6985" b="11430"/>
            <wp:wrapNone/>
            <wp:docPr id="12" name="图片 12" descr="全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全国"/>
                    <pic:cNvPicPr>
                      <a:picLocks noChangeAspect="1"/>
                    </pic:cNvPicPr>
                  </pic:nvPicPr>
                  <pic:blipFill>
                    <a:blip r:embed="rId14"/>
                    <a:stretch>
                      <a:fillRect/>
                    </a:stretch>
                  </pic:blipFill>
                  <pic:spPr>
                    <a:xfrm>
                      <a:off x="0" y="0"/>
                      <a:ext cx="983615" cy="407670"/>
                    </a:xfrm>
                    <a:prstGeom prst="rect">
                      <a:avLst/>
                    </a:prstGeom>
                  </pic:spPr>
                </pic:pic>
              </a:graphicData>
            </a:graphic>
          </wp:anchor>
        </w:drawing>
      </w:r>
      <w:r>
        <w:drawing>
          <wp:inline distT="0" distB="0" distL="114300" distR="114300">
            <wp:extent cx="5219700" cy="3251200"/>
            <wp:effectExtent l="4445" t="4445" r="14605" b="20955"/>
            <wp:docPr id="18"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71416D">
      <w:pPr>
        <w:pStyle w:val="4"/>
        <w:ind w:firstLine="0" w:firstLineChars="0"/>
        <w:rPr>
          <w:rFonts w:hint="eastAsia"/>
          <w:lang w:eastAsia="zh-CN"/>
        </w:rPr>
      </w:pPr>
      <w:r>
        <w:t xml:space="preserve">图 </w:t>
      </w:r>
      <w:r>
        <w:fldChar w:fldCharType="begin"/>
      </w:r>
      <w:r>
        <w:instrText xml:space="preserve"> SEQ 图 \* ARABIC </w:instrText>
      </w:r>
      <w:r>
        <w:fldChar w:fldCharType="separate"/>
      </w:r>
      <w:r>
        <w:t>2</w:t>
      </w:r>
      <w:r>
        <w:fldChar w:fldCharType="end"/>
      </w:r>
      <w:r>
        <w:rPr>
          <w:rFonts w:hint="eastAsia"/>
          <w:lang w:eastAsia="zh-CN"/>
        </w:rPr>
        <w:t xml:space="preserve"> 中国</w:t>
      </w:r>
      <w:r>
        <w:rPr>
          <w:rFonts w:hint="eastAsia"/>
          <w:lang w:val="en-US" w:eastAsia="zh-CN"/>
        </w:rPr>
        <w:t>海洋矿产资源勘探开发装备制造</w:t>
      </w:r>
      <w:r>
        <w:rPr>
          <w:rFonts w:hint="eastAsia"/>
          <w:lang w:eastAsia="zh-CN"/>
        </w:rPr>
        <w:t>专利申请量和授权量区域分布情况（单位：件）</w:t>
      </w:r>
    </w:p>
    <w:p w14:paraId="23161F01">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fldChar w:fldCharType="begin"/>
      </w:r>
      <w:r>
        <w:rPr>
          <w:rFonts w:hint="eastAsia" w:ascii="仿宋" w:hAnsi="仿宋" w:eastAsia="仿宋" w:cs="仿宋"/>
          <w:color w:val="000000"/>
          <w:kern w:val="0"/>
          <w:sz w:val="24"/>
          <w:szCs w:val="24"/>
          <w:lang w:val="en-US" w:eastAsia="zh-CN" w:bidi="ar"/>
        </w:rPr>
        <w:instrText xml:space="preserve"> REF _Ref13099 \h </w:instrText>
      </w:r>
      <w:r>
        <w:rPr>
          <w:rFonts w:hint="eastAsia" w:ascii="仿宋" w:hAnsi="仿宋" w:eastAsia="仿宋" w:cs="仿宋"/>
          <w:color w:val="000000"/>
          <w:kern w:val="0"/>
          <w:sz w:val="24"/>
          <w:szCs w:val="24"/>
          <w:lang w:val="en-US" w:eastAsia="zh-CN" w:bidi="ar"/>
        </w:rPr>
        <w:fldChar w:fldCharType="separate"/>
      </w:r>
      <w:r>
        <w:rPr>
          <w:rFonts w:hint="eastAsia" w:ascii="仿宋" w:hAnsi="仿宋" w:eastAsia="仿宋" w:cs="仿宋"/>
          <w:color w:val="000000"/>
          <w:kern w:val="0"/>
          <w:sz w:val="24"/>
          <w:szCs w:val="24"/>
          <w:lang w:val="en-US" w:eastAsia="zh-CN" w:bidi="ar"/>
        </w:rPr>
        <w:t>图 3</w:t>
      </w:r>
      <w:r>
        <w:rPr>
          <w:rFonts w:hint="eastAsia"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资源勘探开发装备制造专利在广东区域的申请、授权分布情况。</w:t>
      </w:r>
      <w:r>
        <w:rPr>
          <w:rFonts w:hint="eastAsia" w:ascii="仿宋" w:hAnsi="仿宋" w:cs="仿宋"/>
          <w:color w:val="000000"/>
          <w:kern w:val="0"/>
          <w:sz w:val="24"/>
          <w:szCs w:val="24"/>
          <w:lang w:val="en-US" w:eastAsia="zh-CN" w:bidi="ar"/>
        </w:rPr>
        <w:t>如图所示，</w:t>
      </w:r>
      <w:r>
        <w:rPr>
          <w:rFonts w:hint="eastAsia" w:ascii="仿宋" w:hAnsi="仿宋" w:eastAsia="仿宋" w:cs="仿宋"/>
          <w:color w:val="000000"/>
          <w:kern w:val="0"/>
          <w:sz w:val="24"/>
          <w:szCs w:val="24"/>
          <w:lang w:val="en-US" w:eastAsia="zh-CN" w:bidi="ar"/>
        </w:rPr>
        <w:t>广东省海洋矿产资源勘探开发装备制造领域的技术创新资源呈现出显著的地理集聚特征，主要集中于广州、深圳、湛江及汕尾这四个核心城市。广州以其188件的专利申请量高居榜首，深圳则以124件的专利申请量紧随其后，位列第二，</w:t>
      </w:r>
      <w:r>
        <w:rPr>
          <w:rFonts w:hint="eastAsia" w:ascii="仿宋" w:hAnsi="仿宋" w:cs="仿宋"/>
          <w:color w:val="000000"/>
          <w:kern w:val="0"/>
          <w:sz w:val="24"/>
          <w:szCs w:val="24"/>
          <w:lang w:val="en-US" w:eastAsia="zh-CN" w:bidi="ar"/>
        </w:rPr>
        <w:t>该两个城市的</w:t>
      </w:r>
      <w:r>
        <w:rPr>
          <w:rFonts w:hint="eastAsia" w:ascii="仿宋" w:hAnsi="仿宋" w:eastAsia="仿宋" w:cs="仿宋"/>
          <w:color w:val="000000"/>
          <w:kern w:val="0"/>
          <w:sz w:val="24"/>
          <w:szCs w:val="24"/>
          <w:lang w:val="en-US" w:eastAsia="zh-CN" w:bidi="ar"/>
        </w:rPr>
        <w:t>专利授权量也</w:t>
      </w:r>
      <w:r>
        <w:rPr>
          <w:rFonts w:hint="eastAsia" w:ascii="仿宋" w:hAnsi="仿宋" w:cs="仿宋"/>
          <w:color w:val="000000"/>
          <w:kern w:val="0"/>
          <w:sz w:val="24"/>
          <w:szCs w:val="24"/>
          <w:lang w:val="en-US" w:eastAsia="zh-CN" w:bidi="ar"/>
        </w:rPr>
        <w:t>名列前茅</w:t>
      </w:r>
      <w:r>
        <w:rPr>
          <w:rFonts w:hint="eastAsia" w:ascii="仿宋" w:hAnsi="仿宋" w:eastAsia="仿宋" w:cs="仿宋"/>
          <w:color w:val="000000"/>
          <w:kern w:val="0"/>
          <w:sz w:val="24"/>
          <w:szCs w:val="24"/>
          <w:lang w:val="en-US" w:eastAsia="zh-CN" w:bidi="ar"/>
        </w:rPr>
        <w:t>，充分证明了广州与深圳在海洋矿产资源勘探开发装备制造技术创新方面的极高活跃度与显著优势；</w:t>
      </w:r>
      <w:r>
        <w:rPr>
          <w:rFonts w:hint="eastAsia" w:ascii="仿宋" w:hAnsi="仿宋" w:cs="仿宋"/>
          <w:color w:val="000000"/>
          <w:kern w:val="0"/>
          <w:sz w:val="24"/>
          <w:szCs w:val="24"/>
          <w:lang w:val="en-US" w:eastAsia="zh-CN" w:bidi="ar"/>
        </w:rPr>
        <w:t>湛江和汕尾</w:t>
      </w:r>
      <w:r>
        <w:rPr>
          <w:rFonts w:hint="eastAsia" w:ascii="仿宋" w:hAnsi="仿宋" w:eastAsia="仿宋" w:cs="仿宋"/>
          <w:color w:val="000000"/>
          <w:kern w:val="0"/>
          <w:sz w:val="24"/>
          <w:szCs w:val="24"/>
          <w:lang w:val="en-US" w:eastAsia="zh-CN" w:bidi="ar"/>
        </w:rPr>
        <w:t>的专利申请量和专利授权量均分别</w:t>
      </w:r>
      <w:r>
        <w:rPr>
          <w:rFonts w:hint="eastAsia" w:ascii="仿宋" w:hAnsi="仿宋" w:cs="仿宋"/>
          <w:color w:val="000000"/>
          <w:kern w:val="0"/>
          <w:sz w:val="24"/>
          <w:szCs w:val="24"/>
          <w:lang w:val="en-US" w:eastAsia="zh-CN" w:bidi="ar"/>
        </w:rPr>
        <w:t>为</w:t>
      </w:r>
      <w:r>
        <w:rPr>
          <w:rFonts w:hint="eastAsia" w:eastAsia="宋体" w:cs="Times New Roman"/>
          <w:color w:val="000000"/>
          <w:kern w:val="0"/>
          <w:sz w:val="24"/>
          <w:szCs w:val="24"/>
          <w:lang w:val="en-US" w:eastAsia="zh-CN" w:bidi="ar"/>
        </w:rPr>
        <w:t>36</w:t>
      </w:r>
      <w:r>
        <w:rPr>
          <w:rFonts w:hint="eastAsia" w:ascii="仿宋" w:hAnsi="仿宋" w:cs="仿宋"/>
          <w:color w:val="000000"/>
          <w:kern w:val="0"/>
          <w:sz w:val="24"/>
          <w:szCs w:val="24"/>
          <w:lang w:val="en-US" w:eastAsia="zh-CN" w:bidi="ar"/>
        </w:rPr>
        <w:t>件、</w:t>
      </w:r>
      <w:r>
        <w:rPr>
          <w:rFonts w:hint="eastAsia" w:eastAsia="宋体" w:cs="Times New Roman"/>
          <w:color w:val="000000"/>
          <w:kern w:val="0"/>
          <w:sz w:val="24"/>
          <w:szCs w:val="24"/>
          <w:lang w:val="en-US" w:eastAsia="zh-CN" w:bidi="ar"/>
        </w:rPr>
        <w:t>20</w:t>
      </w:r>
      <w:r>
        <w:rPr>
          <w:rFonts w:hint="eastAsia" w:ascii="仿宋" w:hAnsi="仿宋" w:cs="仿宋"/>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，共同构成了该省技术创新资源的第二梯队。</w:t>
      </w:r>
      <w:r>
        <w:rPr>
          <w:rFonts w:hint="eastAsia" w:ascii="仿宋" w:hAnsi="仿宋" w:cs="仿宋"/>
          <w:color w:val="000000"/>
          <w:kern w:val="0"/>
          <w:sz w:val="24"/>
          <w:szCs w:val="24"/>
          <w:lang w:val="en-US" w:eastAsia="zh-CN" w:bidi="ar"/>
        </w:rPr>
        <w:t>值得注意的是，佛山、珠海、东莞等其余地市在该领域的专利申请量及授权量均低于20件，显示出这些城市在海洋矿产资源勘探开发装备制造技术创新方面的活跃度相对较低，可能是由于这些城市的地理位置所致，如佛山与东莞两市相较于海岸线较远，地理位置相对偏内陆，这可能在一定程度上限制了其在此领域的技术研发与创新活动。</w:t>
      </w:r>
    </w:p>
    <w:p w14:paraId="54976241">
      <w:pPr>
        <w:ind w:left="0" w:leftChars="0" w:firstLine="0" w:firstLineChars="0"/>
        <w:jc w:val="center"/>
        <w:rPr>
          <w:rFonts w:hint="default"/>
          <w:lang w:val="en-US" w:eastAsia="zh-CN"/>
        </w:rPr>
      </w:pPr>
      <w:r>
        <w:rPr>
          <w:rFonts w:hint="eastAsia" w:ascii="仿宋" w:hAnsi="仿宋" w:eastAsia="仿宋" w:cs="仿宋"/>
          <w:color w:val="000000"/>
          <w:kern w:val="0"/>
          <w:sz w:val="24"/>
          <w:szCs w:val="24"/>
          <w:lang w:val="en-US" w:eastAsia="zh-CN" w:bidi="ar"/>
        </w:rPr>
        <w:drawing>
          <wp:anchor distT="0" distB="0" distL="114300" distR="114300" simplePos="0" relativeHeight="251663360" behindDoc="0" locked="0" layoutInCell="1" allowOverlap="1">
            <wp:simplePos x="0" y="0"/>
            <wp:positionH relativeFrom="column">
              <wp:posOffset>1580515</wp:posOffset>
            </wp:positionH>
            <wp:positionV relativeFrom="paragraph">
              <wp:posOffset>2119630</wp:posOffset>
            </wp:positionV>
            <wp:extent cx="992505" cy="411480"/>
            <wp:effectExtent l="0" t="0" r="17145" b="7620"/>
            <wp:wrapNone/>
            <wp:docPr id="16" name="图片 16" descr="广东（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广东（图例）"/>
                    <pic:cNvPicPr>
                      <a:picLocks noChangeAspect="1"/>
                    </pic:cNvPicPr>
                  </pic:nvPicPr>
                  <pic:blipFill>
                    <a:blip r:embed="rId16"/>
                    <a:stretch>
                      <a:fillRect/>
                    </a:stretch>
                  </pic:blipFill>
                  <pic:spPr>
                    <a:xfrm>
                      <a:off x="0" y="0"/>
                      <a:ext cx="992505" cy="411480"/>
                    </a:xfrm>
                    <a:prstGeom prst="rect">
                      <a:avLst/>
                    </a:prstGeom>
                  </pic:spPr>
                </pic:pic>
              </a:graphicData>
            </a:graphic>
          </wp:anchor>
        </w:drawing>
      </w:r>
      <w:r>
        <w:rPr>
          <w:rFonts w:hint="eastAsia" w:ascii="仿宋" w:hAnsi="仿宋" w:eastAsia="仿宋" w:cs="仿宋"/>
          <w:color w:val="000000"/>
          <w:kern w:val="0"/>
          <w:sz w:val="24"/>
          <w:szCs w:val="24"/>
          <w:lang w:val="en-US" w:eastAsia="zh-CN" w:bidi="ar"/>
        </w:rPr>
        <w:drawing>
          <wp:anchor distT="0" distB="0" distL="114300" distR="114300" simplePos="0" relativeHeight="251662336" behindDoc="0" locked="0" layoutInCell="1" allowOverlap="1">
            <wp:simplePos x="0" y="0"/>
            <wp:positionH relativeFrom="column">
              <wp:posOffset>83820</wp:posOffset>
            </wp:positionH>
            <wp:positionV relativeFrom="paragraph">
              <wp:posOffset>462280</wp:posOffset>
            </wp:positionV>
            <wp:extent cx="2798445" cy="2091690"/>
            <wp:effectExtent l="0" t="0" r="1905" b="3810"/>
            <wp:wrapNone/>
            <wp:docPr id="17" name="图片 17" descr="广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广东"/>
                    <pic:cNvPicPr>
                      <a:picLocks noChangeAspect="1"/>
                    </pic:cNvPicPr>
                  </pic:nvPicPr>
                  <pic:blipFill>
                    <a:blip r:embed="rId17"/>
                    <a:srcRect l="17558" t="14574" r="22789" b="6937"/>
                    <a:stretch>
                      <a:fillRect/>
                    </a:stretch>
                  </pic:blipFill>
                  <pic:spPr>
                    <a:xfrm>
                      <a:off x="0" y="0"/>
                      <a:ext cx="2798445" cy="2091690"/>
                    </a:xfrm>
                    <a:prstGeom prst="rect">
                      <a:avLst/>
                    </a:prstGeom>
                  </pic:spPr>
                </pic:pic>
              </a:graphicData>
            </a:graphic>
          </wp:anchor>
        </w:drawing>
      </w:r>
      <w:r>
        <w:drawing>
          <wp:inline distT="0" distB="0" distL="114300" distR="114300">
            <wp:extent cx="5270500" cy="3251200"/>
            <wp:effectExtent l="4445" t="4445" r="20955" b="2095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424967">
      <w:pPr>
        <w:keepNext w:val="0"/>
        <w:keepLines w:val="0"/>
        <w:widowControl/>
        <w:suppressLineNumbers w:val="0"/>
        <w:jc w:val="center"/>
      </w:pPr>
      <w:bookmarkStart w:id="2" w:name="_Ref13099"/>
      <w:r>
        <w:rPr>
          <w:rFonts w:ascii="黑体" w:hAnsi="宋体" w:eastAsia="黑体" w:cs="黑体"/>
          <w:color w:val="000000"/>
          <w:kern w:val="0"/>
          <w:sz w:val="19"/>
          <w:szCs w:val="19"/>
          <w:lang w:val="en-US" w:eastAsia="zh-CN" w:bidi="ar"/>
        </w:rPr>
        <w:t xml:space="preserve">图 </w:t>
      </w:r>
      <w:r>
        <w:rPr>
          <w:rFonts w:ascii="黑体" w:hAnsi="宋体" w:eastAsia="黑体" w:cs="黑体"/>
          <w:color w:val="000000"/>
          <w:kern w:val="0"/>
          <w:sz w:val="19"/>
          <w:szCs w:val="19"/>
          <w:lang w:val="en-US" w:eastAsia="zh-CN" w:bidi="ar"/>
        </w:rPr>
        <w:fldChar w:fldCharType="begin"/>
      </w:r>
      <w:r>
        <w:rPr>
          <w:rFonts w:ascii="黑体" w:hAnsi="宋体" w:eastAsia="黑体" w:cs="黑体"/>
          <w:color w:val="000000"/>
          <w:kern w:val="0"/>
          <w:sz w:val="19"/>
          <w:szCs w:val="19"/>
          <w:lang w:val="en-US" w:eastAsia="zh-CN" w:bidi="ar"/>
        </w:rPr>
        <w:instrText xml:space="preserve"> SEQ 图 \* ARABIC </w:instrText>
      </w:r>
      <w:r>
        <w:rPr>
          <w:rFonts w:ascii="黑体" w:hAnsi="宋体" w:eastAsia="黑体" w:cs="黑体"/>
          <w:color w:val="000000"/>
          <w:kern w:val="0"/>
          <w:sz w:val="19"/>
          <w:szCs w:val="19"/>
          <w:lang w:val="en-US" w:eastAsia="zh-CN" w:bidi="ar"/>
        </w:rPr>
        <w:fldChar w:fldCharType="separate"/>
      </w:r>
      <w:r>
        <w:rPr>
          <w:rFonts w:ascii="黑体" w:hAnsi="宋体" w:eastAsia="黑体" w:cs="黑体"/>
          <w:color w:val="000000"/>
          <w:kern w:val="0"/>
          <w:sz w:val="19"/>
          <w:szCs w:val="19"/>
          <w:lang w:val="en-US" w:eastAsia="zh-CN" w:bidi="ar"/>
        </w:rPr>
        <w:t>3</w:t>
      </w:r>
      <w:r>
        <w:rPr>
          <w:rFonts w:ascii="黑体" w:hAnsi="宋体" w:eastAsia="黑体" w:cs="黑体"/>
          <w:color w:val="000000"/>
          <w:kern w:val="0"/>
          <w:sz w:val="19"/>
          <w:szCs w:val="19"/>
          <w:lang w:val="en-US" w:eastAsia="zh-CN" w:bidi="ar"/>
        </w:rPr>
        <w:fldChar w:fldCharType="end"/>
      </w:r>
      <w:bookmarkEnd w:id="2"/>
      <w:r>
        <w:rPr>
          <w:rFonts w:hint="eastAsia" w:ascii="黑体" w:hAnsi="宋体" w:eastAsia="黑体" w:cs="黑体"/>
          <w:color w:val="000000"/>
          <w:kern w:val="0"/>
          <w:sz w:val="19"/>
          <w:szCs w:val="19"/>
          <w:lang w:val="en-US" w:eastAsia="zh-CN" w:bidi="ar"/>
        </w:rPr>
        <w:t xml:space="preserve"> </w:t>
      </w:r>
      <w:r>
        <w:rPr>
          <w:rFonts w:ascii="黑体" w:hAnsi="宋体" w:eastAsia="黑体" w:cs="黑体"/>
          <w:color w:val="000000"/>
          <w:kern w:val="0"/>
          <w:sz w:val="19"/>
          <w:szCs w:val="19"/>
          <w:lang w:val="en-US" w:eastAsia="zh-CN" w:bidi="ar"/>
        </w:rPr>
        <w:t>广东省</w:t>
      </w:r>
      <w:r>
        <w:rPr>
          <w:rFonts w:hint="eastAsia" w:ascii="黑体" w:hAnsi="宋体" w:eastAsia="黑体" w:cs="黑体"/>
          <w:color w:val="000000"/>
          <w:kern w:val="0"/>
          <w:sz w:val="19"/>
          <w:szCs w:val="19"/>
          <w:lang w:val="en-US" w:eastAsia="zh-CN" w:bidi="ar"/>
        </w:rPr>
        <w:t>海洋矿产资源勘探开发装备制造</w:t>
      </w:r>
      <w:r>
        <w:rPr>
          <w:rFonts w:ascii="黑体" w:hAnsi="宋体" w:eastAsia="黑体" w:cs="黑体"/>
          <w:color w:val="000000"/>
          <w:kern w:val="0"/>
          <w:sz w:val="19"/>
          <w:szCs w:val="19"/>
          <w:lang w:val="en-US" w:eastAsia="zh-CN" w:bidi="ar"/>
        </w:rPr>
        <w:t>专利申请量和授权量区域分布情况（单位：件）</w:t>
      </w:r>
    </w:p>
    <w:p w14:paraId="01659448">
      <w:pPr>
        <w:pStyle w:val="2"/>
        <w:spacing w:before="156" w:after="312"/>
      </w:pPr>
      <w:r>
        <w:rPr>
          <w:rFonts w:hint="eastAsia"/>
        </w:rPr>
        <w:t>专利技术构成分析</w:t>
      </w:r>
    </w:p>
    <w:p w14:paraId="2456A5F0">
      <w:pPr>
        <w:keepNext w:val="0"/>
        <w:keepLines w:val="0"/>
        <w:widowControl/>
        <w:suppressLineNumbers w:val="0"/>
        <w:jc w:val="left"/>
      </w:pPr>
      <w:r>
        <w:rPr>
          <w:rFonts w:ascii="仿宋" w:hAnsi="仿宋" w:eastAsia="仿宋" w:cs="仿宋"/>
          <w:color w:val="000000"/>
          <w:kern w:val="0"/>
          <w:sz w:val="24"/>
          <w:szCs w:val="24"/>
          <w:lang w:val="en-US" w:eastAsia="zh-CN" w:bidi="ar"/>
        </w:rPr>
        <w:fldChar w:fldCharType="begin"/>
      </w:r>
      <w:r>
        <w:rPr>
          <w:rFonts w:ascii="仿宋" w:hAnsi="仿宋" w:eastAsia="仿宋" w:cs="仿宋"/>
          <w:color w:val="000000"/>
          <w:kern w:val="0"/>
          <w:sz w:val="24"/>
          <w:szCs w:val="24"/>
          <w:lang w:val="en-US" w:eastAsia="zh-CN" w:bidi="ar"/>
        </w:rPr>
        <w:instrText xml:space="preserve"> REF _Ref14481 \h </w:instrText>
      </w:r>
      <w:r>
        <w:rPr>
          <w:rFonts w:ascii="仿宋" w:hAnsi="仿宋" w:eastAsia="仿宋" w:cs="仿宋"/>
          <w:color w:val="000000"/>
          <w:kern w:val="0"/>
          <w:sz w:val="24"/>
          <w:szCs w:val="24"/>
          <w:lang w:val="en-US" w:eastAsia="zh-CN" w:bidi="ar"/>
        </w:rPr>
        <w:fldChar w:fldCharType="separate"/>
      </w:r>
      <w:r>
        <w:t>表 2</w:t>
      </w:r>
      <w:r>
        <w:rPr>
          <w:rFonts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展示了中国海洋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资源勘探开发装备制造领域各技术分支的专利申请分布情况。由表可知，海洋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w:t>
      </w:r>
      <w:r>
        <w:rPr>
          <w:rFonts w:hint="eastAsia" w:ascii="仿宋" w:hAnsi="仿宋" w:cs="仿宋"/>
          <w:color w:val="000000"/>
          <w:kern w:val="0"/>
          <w:sz w:val="24"/>
          <w:szCs w:val="24"/>
          <w:lang w:val="en-US" w:eastAsia="zh-CN" w:bidi="ar"/>
        </w:rPr>
        <w:t>的</w:t>
      </w:r>
      <w:r>
        <w:rPr>
          <w:rFonts w:hint="eastAsia" w:ascii="仿宋" w:hAnsi="仿宋" w:eastAsia="仿宋" w:cs="仿宋"/>
          <w:color w:val="000000"/>
          <w:kern w:val="0"/>
          <w:sz w:val="24"/>
          <w:szCs w:val="24"/>
          <w:lang w:val="en-US" w:eastAsia="zh-CN" w:bidi="ar"/>
        </w:rPr>
        <w:t>技术领域主要集中在</w:t>
      </w:r>
      <w:r>
        <w:rPr>
          <w:rFonts w:hint="eastAsia" w:ascii="仿宋" w:hAnsi="仿宋" w:cs="仿宋"/>
          <w:color w:val="000000"/>
          <w:kern w:val="0"/>
          <w:sz w:val="24"/>
          <w:szCs w:val="24"/>
          <w:lang w:val="en-US" w:eastAsia="zh-CN" w:bidi="ar"/>
        </w:rPr>
        <w:t>其他类目未涉及到的从水下获取矿物</w:t>
      </w:r>
      <w:r>
        <w:rPr>
          <w:rFonts w:hint="eastAsia" w:ascii="仿宋" w:hAnsi="仿宋" w:eastAsia="仿宋" w:cs="仿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IPC</w:t>
      </w:r>
      <w:r>
        <w:rPr>
          <w:rFonts w:hint="eastAsia" w:ascii="仿宋" w:hAnsi="仿宋" w:eastAsia="仿宋" w:cs="仿宋"/>
          <w:color w:val="000000"/>
          <w:kern w:val="0"/>
          <w:sz w:val="24"/>
          <w:szCs w:val="24"/>
          <w:lang w:val="en-US" w:eastAsia="zh-CN" w:bidi="ar"/>
        </w:rPr>
        <w:t>分类号为</w:t>
      </w:r>
      <w:r>
        <w:rPr>
          <w:rFonts w:hint="eastAsia" w:eastAsia="宋体" w:cs="Times New Roman"/>
          <w:color w:val="000000"/>
          <w:kern w:val="0"/>
          <w:sz w:val="24"/>
          <w:szCs w:val="24"/>
          <w:lang w:val="en-US" w:eastAsia="zh-CN" w:bidi="ar"/>
        </w:rPr>
        <w:t>E21C50（</w:t>
      </w:r>
      <w:r>
        <w:rPr>
          <w:rFonts w:hint="eastAsia" w:ascii="仿宋" w:hAnsi="仿宋" w:eastAsia="仿宋" w:cs="仿宋"/>
          <w:color w:val="000000"/>
          <w:kern w:val="0"/>
          <w:sz w:val="24"/>
          <w:szCs w:val="24"/>
          <w:lang w:val="en-US" w:eastAsia="zh-CN" w:bidi="ar"/>
        </w:rPr>
        <w:t>其他类目未涉及到的从水下获取矿物</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，在</w:t>
      </w:r>
      <w:r>
        <w:rPr>
          <w:rFonts w:hint="default" w:ascii="Times New Roman" w:hAnsi="Times New Roman" w:eastAsia="宋体" w:cs="Times New Roman"/>
          <w:color w:val="000000"/>
          <w:kern w:val="0"/>
          <w:sz w:val="24"/>
          <w:szCs w:val="24"/>
          <w:lang w:val="en-US" w:eastAsia="zh-CN" w:bidi="ar"/>
        </w:rPr>
        <w:t>IPC</w:t>
      </w:r>
      <w:r>
        <w:rPr>
          <w:rFonts w:hint="eastAsia" w:ascii="仿宋" w:hAnsi="仿宋" w:eastAsia="仿宋" w:cs="仿宋"/>
          <w:color w:val="000000"/>
          <w:kern w:val="0"/>
          <w:sz w:val="24"/>
          <w:szCs w:val="24"/>
          <w:lang w:val="en-US" w:eastAsia="zh-CN" w:bidi="ar"/>
        </w:rPr>
        <w:t>分类号的</w:t>
      </w:r>
      <w:r>
        <w:rPr>
          <w:rFonts w:hint="default" w:ascii="Times New Roman" w:hAnsi="Times New Roman" w:eastAsia="宋体" w:cs="Times New Roman"/>
          <w:color w:val="000000"/>
          <w:kern w:val="0"/>
          <w:sz w:val="24"/>
          <w:szCs w:val="24"/>
          <w:lang w:val="en-US" w:eastAsia="zh-CN" w:bidi="ar"/>
        </w:rPr>
        <w:t>TOP</w:t>
      </w:r>
      <w:r>
        <w:rPr>
          <w:rFonts w:hint="eastAsia" w:eastAsia="宋体" w:cs="Times New Roman"/>
          <w:color w:val="000000"/>
          <w:kern w:val="0"/>
          <w:sz w:val="24"/>
          <w:szCs w:val="24"/>
          <w:lang w:val="en-US" w:eastAsia="zh-CN" w:bidi="ar"/>
        </w:rPr>
        <w:t>10</w:t>
      </w:r>
      <w:r>
        <w:rPr>
          <w:rFonts w:hint="eastAsia" w:ascii="仿宋" w:hAnsi="仿宋" w:eastAsia="仿宋" w:cs="仿宋"/>
          <w:color w:val="000000"/>
          <w:kern w:val="0"/>
          <w:sz w:val="24"/>
          <w:szCs w:val="24"/>
          <w:lang w:val="en-US" w:eastAsia="zh-CN" w:bidi="ar"/>
        </w:rPr>
        <w:t>的比重为</w:t>
      </w:r>
      <w:r>
        <w:rPr>
          <w:rFonts w:hint="eastAsia" w:eastAsia="宋体" w:cs="Times New Roman"/>
          <w:color w:val="000000"/>
          <w:kern w:val="0"/>
          <w:sz w:val="24"/>
          <w:szCs w:val="24"/>
          <w:lang w:val="en-US" w:eastAsia="zh-CN" w:bidi="ar"/>
        </w:rPr>
        <w:t>37.28</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，这一显著比例不仅凸显了其在</w:t>
      </w:r>
      <w:r>
        <w:rPr>
          <w:rFonts w:hint="eastAsia" w:ascii="仿宋" w:hAnsi="仿宋" w:cs="仿宋"/>
          <w:color w:val="000000"/>
          <w:kern w:val="0"/>
          <w:sz w:val="24"/>
          <w:szCs w:val="24"/>
          <w:lang w:val="en-US" w:eastAsia="zh-CN" w:bidi="ar"/>
        </w:rPr>
        <w:t>中国</w:t>
      </w:r>
      <w:r>
        <w:rPr>
          <w:rFonts w:hint="eastAsia" w:ascii="仿宋" w:hAnsi="仿宋" w:eastAsia="仿宋" w:cs="仿宋"/>
          <w:color w:val="000000"/>
          <w:kern w:val="0"/>
          <w:sz w:val="24"/>
          <w:szCs w:val="24"/>
          <w:lang w:val="en-US" w:eastAsia="zh-CN" w:bidi="ar"/>
        </w:rPr>
        <w:t>海洋矿产资源勘探开发装备制造行业中的核心地位，也明确了该领域的技术研究重点方向。此外，海洋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资源勘探开发装备制造领域中，</w:t>
      </w:r>
      <w:r>
        <w:rPr>
          <w:rFonts w:hint="eastAsia" w:eastAsia="宋体" w:cs="Times New Roman"/>
          <w:color w:val="000000"/>
          <w:kern w:val="0"/>
          <w:sz w:val="24"/>
          <w:szCs w:val="24"/>
          <w:lang w:val="en-US" w:eastAsia="zh-CN" w:bidi="ar"/>
        </w:rPr>
        <w:t>E21B43（</w:t>
      </w:r>
      <w:r>
        <w:rPr>
          <w:rFonts w:hint="eastAsia" w:ascii="仿宋" w:hAnsi="仿宋" w:eastAsia="仿宋" w:cs="仿宋"/>
          <w:color w:val="000000"/>
          <w:kern w:val="0"/>
          <w:sz w:val="24"/>
          <w:szCs w:val="24"/>
          <w:lang w:val="en-US" w:eastAsia="zh-CN" w:bidi="ar"/>
        </w:rPr>
        <w:t>从井中开采油、气、水、可溶解或可熔化物质或矿物泥浆的方法或设备</w:t>
      </w:r>
      <w:r>
        <w:rPr>
          <w:rFonts w:hint="eastAsia" w:eastAsia="宋体" w:cs="Times New Roman"/>
          <w:color w:val="000000"/>
          <w:kern w:val="0"/>
          <w:sz w:val="24"/>
          <w:szCs w:val="24"/>
          <w:lang w:val="en-US" w:eastAsia="zh-CN" w:bidi="ar"/>
        </w:rPr>
        <w:t>）、C04B28（</w:t>
      </w:r>
      <w:r>
        <w:rPr>
          <w:rFonts w:hint="eastAsia" w:ascii="仿宋" w:hAnsi="仿宋" w:eastAsia="仿宋" w:cs="仿宋"/>
          <w:color w:val="000000"/>
          <w:kern w:val="0"/>
          <w:sz w:val="24"/>
          <w:szCs w:val="24"/>
          <w:lang w:val="en-US" w:eastAsia="zh-CN" w:bidi="ar"/>
        </w:rPr>
        <w:t>含有无机黏结剂或含有无机与有机黏结剂反应产物的砂浆、混凝土或人造石的组合物，例如多元羧酸盐水泥</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和</w:t>
      </w:r>
      <w:r>
        <w:rPr>
          <w:rFonts w:hint="eastAsia" w:eastAsia="宋体" w:cs="Times New Roman"/>
          <w:color w:val="000000"/>
          <w:kern w:val="0"/>
          <w:sz w:val="24"/>
          <w:szCs w:val="24"/>
          <w:lang w:val="en-US" w:eastAsia="zh-CN" w:bidi="ar"/>
        </w:rPr>
        <w:t>E21C41（</w:t>
      </w:r>
      <w:r>
        <w:rPr>
          <w:rFonts w:hint="eastAsia" w:ascii="仿宋" w:hAnsi="仿宋" w:eastAsia="仿宋" w:cs="仿宋"/>
          <w:color w:val="000000"/>
          <w:kern w:val="0"/>
          <w:sz w:val="24"/>
          <w:szCs w:val="24"/>
          <w:lang w:val="en-US" w:eastAsia="zh-CN" w:bidi="ar"/>
        </w:rPr>
        <w:t>地下或地面采矿方法</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也是本领域的关注重点技术，专利申请量分别为</w:t>
      </w:r>
      <w:r>
        <w:rPr>
          <w:rFonts w:hint="eastAsia" w:eastAsia="宋体" w:cs="Times New Roman"/>
          <w:color w:val="000000"/>
          <w:kern w:val="0"/>
          <w:sz w:val="24"/>
          <w:szCs w:val="24"/>
          <w:lang w:val="en-US" w:eastAsia="zh-CN" w:bidi="ar"/>
        </w:rPr>
        <w:t>330</w:t>
      </w:r>
      <w:r>
        <w:rPr>
          <w:rFonts w:hint="eastAsia" w:ascii="仿宋" w:hAnsi="仿宋" w:eastAsia="仿宋" w:cs="仿宋"/>
          <w:color w:val="000000"/>
          <w:kern w:val="0"/>
          <w:sz w:val="24"/>
          <w:szCs w:val="24"/>
          <w:lang w:val="en-US" w:eastAsia="zh-CN" w:bidi="ar"/>
        </w:rPr>
        <w:t>件</w:t>
      </w:r>
      <w:r>
        <w:rPr>
          <w:rFonts w:hint="eastAsia" w:ascii="仿宋" w:hAnsi="仿宋" w:cs="仿宋"/>
          <w:color w:val="000000"/>
          <w:kern w:val="0"/>
          <w:sz w:val="24"/>
          <w:szCs w:val="24"/>
          <w:lang w:val="en-US" w:eastAsia="zh-CN" w:bidi="ar"/>
        </w:rPr>
        <w:t>、</w:t>
      </w:r>
      <w:r>
        <w:rPr>
          <w:rFonts w:hint="eastAsia" w:eastAsia="宋体" w:cs="Times New Roman"/>
          <w:color w:val="000000"/>
          <w:kern w:val="0"/>
          <w:sz w:val="24"/>
          <w:szCs w:val="24"/>
          <w:lang w:val="en-US" w:eastAsia="zh-CN" w:bidi="ar"/>
        </w:rPr>
        <w:t>236</w:t>
      </w:r>
      <w:r>
        <w:rPr>
          <w:rFonts w:hint="eastAsia" w:ascii="仿宋" w:hAnsi="仿宋" w:eastAsia="仿宋" w:cs="仿宋"/>
          <w:color w:val="000000"/>
          <w:kern w:val="0"/>
          <w:sz w:val="24"/>
          <w:szCs w:val="24"/>
          <w:lang w:val="en-US" w:eastAsia="zh-CN" w:bidi="ar"/>
        </w:rPr>
        <w:t>件</w:t>
      </w:r>
      <w:r>
        <w:rPr>
          <w:rFonts w:hint="eastAsia" w:ascii="仿宋" w:hAnsi="仿宋" w:cs="仿宋"/>
          <w:color w:val="000000"/>
          <w:kern w:val="0"/>
          <w:sz w:val="24"/>
          <w:szCs w:val="24"/>
          <w:lang w:val="en-US" w:eastAsia="zh-CN" w:bidi="ar"/>
        </w:rPr>
        <w:t>和</w:t>
      </w:r>
      <w:r>
        <w:rPr>
          <w:rFonts w:hint="eastAsia" w:eastAsia="宋体" w:cs="Times New Roman"/>
          <w:color w:val="000000"/>
          <w:kern w:val="0"/>
          <w:sz w:val="24"/>
          <w:szCs w:val="24"/>
          <w:lang w:val="en-US" w:eastAsia="zh-CN" w:bidi="ar"/>
        </w:rPr>
        <w:t>178</w:t>
      </w:r>
      <w:r>
        <w:rPr>
          <w:rFonts w:hint="eastAsia" w:ascii="仿宋" w:hAnsi="仿宋" w:cs="仿宋"/>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，其专利申请量位列</w:t>
      </w:r>
      <w:r>
        <w:rPr>
          <w:rFonts w:hint="eastAsia" w:ascii="Times New Roman" w:hAnsi="Times New Roman" w:eastAsia="宋体" w:cs="Times New Roman"/>
          <w:color w:val="000000"/>
          <w:kern w:val="0"/>
          <w:sz w:val="24"/>
          <w:szCs w:val="24"/>
          <w:lang w:val="en-US" w:eastAsia="zh-CN" w:bidi="ar"/>
        </w:rPr>
        <w:t>IPC</w:t>
      </w:r>
      <w:r>
        <w:rPr>
          <w:rFonts w:hint="eastAsia" w:ascii="仿宋" w:hAnsi="仿宋" w:eastAsia="仿宋" w:cs="仿宋"/>
          <w:color w:val="000000"/>
          <w:kern w:val="0"/>
          <w:sz w:val="24"/>
          <w:szCs w:val="24"/>
          <w:lang w:val="en-US" w:eastAsia="zh-CN" w:bidi="ar"/>
        </w:rPr>
        <w:t>分类号排名的第二</w:t>
      </w:r>
      <w:r>
        <w:rPr>
          <w:rFonts w:hint="eastAsia" w:ascii="仿宋" w:hAnsi="仿宋" w:cs="仿宋"/>
          <w:color w:val="000000"/>
          <w:kern w:val="0"/>
          <w:sz w:val="24"/>
          <w:szCs w:val="24"/>
          <w:lang w:val="en-US" w:eastAsia="zh-CN" w:bidi="ar"/>
        </w:rPr>
        <w:t>至</w:t>
      </w:r>
      <w:r>
        <w:rPr>
          <w:rFonts w:hint="eastAsia" w:ascii="仿宋" w:hAnsi="仿宋" w:eastAsia="仿宋" w:cs="仿宋"/>
          <w:color w:val="000000"/>
          <w:kern w:val="0"/>
          <w:sz w:val="24"/>
          <w:szCs w:val="24"/>
          <w:lang w:val="en-US" w:eastAsia="zh-CN" w:bidi="ar"/>
        </w:rPr>
        <w:t>第</w:t>
      </w:r>
      <w:r>
        <w:rPr>
          <w:rFonts w:hint="eastAsia" w:ascii="仿宋" w:hAnsi="仿宋" w:cs="仿宋"/>
          <w:color w:val="000000"/>
          <w:kern w:val="0"/>
          <w:sz w:val="24"/>
          <w:szCs w:val="24"/>
          <w:lang w:val="en-US" w:eastAsia="zh-CN" w:bidi="ar"/>
        </w:rPr>
        <w:t>四</w:t>
      </w:r>
      <w:r>
        <w:rPr>
          <w:rFonts w:hint="eastAsia" w:ascii="仿宋" w:hAnsi="仿宋" w:eastAsia="仿宋" w:cs="仿宋"/>
          <w:color w:val="000000"/>
          <w:kern w:val="0"/>
          <w:sz w:val="24"/>
          <w:szCs w:val="24"/>
          <w:lang w:val="en-US" w:eastAsia="zh-CN" w:bidi="ar"/>
        </w:rPr>
        <w:t>名。其余技术专利申请量均不超过</w:t>
      </w:r>
      <w:r>
        <w:rPr>
          <w:rFonts w:hint="eastAsia" w:eastAsia="宋体" w:cs="Times New Roman"/>
          <w:color w:val="000000"/>
          <w:kern w:val="0"/>
          <w:sz w:val="24"/>
          <w:szCs w:val="24"/>
          <w:lang w:val="en-US" w:eastAsia="zh-CN" w:bidi="ar"/>
        </w:rPr>
        <w:t>150</w:t>
      </w:r>
      <w:r>
        <w:rPr>
          <w:rFonts w:hint="eastAsia" w:ascii="仿宋" w:hAnsi="仿宋" w:eastAsia="仿宋" w:cs="仿宋"/>
          <w:color w:val="000000"/>
          <w:kern w:val="0"/>
          <w:sz w:val="24"/>
          <w:szCs w:val="24"/>
          <w:lang w:val="en-US" w:eastAsia="zh-CN" w:bidi="ar"/>
        </w:rPr>
        <w:t>件。</w:t>
      </w:r>
    </w:p>
    <w:p w14:paraId="52DAEA11">
      <w:pPr>
        <w:pStyle w:val="4"/>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黑体"/>
          <w:lang w:val="en-US" w:eastAsia="zh-CN"/>
        </w:rPr>
      </w:pPr>
      <w:bookmarkStart w:id="3" w:name="_Ref14481"/>
      <w:r>
        <w:t xml:space="preserve">表 </w:t>
      </w:r>
      <w:r>
        <w:fldChar w:fldCharType="begin"/>
      </w:r>
      <w:r>
        <w:instrText xml:space="preserve"> SEQ 表 \* ARABIC </w:instrText>
      </w:r>
      <w:r>
        <w:fldChar w:fldCharType="separate"/>
      </w:r>
      <w:r>
        <w:t>2</w:t>
      </w:r>
      <w:r>
        <w:fldChar w:fldCharType="end"/>
      </w:r>
      <w:r>
        <w:rPr>
          <w:rFonts w:hint="eastAsia"/>
          <w:lang w:val="en-US" w:eastAsia="zh-CN"/>
        </w:rPr>
        <w:t xml:space="preserve"> </w:t>
      </w:r>
      <w:r>
        <w:rPr>
          <w:rFonts w:hint="eastAsia"/>
          <w:lang w:eastAsia="zh-CN"/>
        </w:rPr>
        <w:t>IPC分类号含义及其涉及该分类号的中国专利申请量（单位：件）</w:t>
      </w:r>
      <w:bookmarkEnd w:id="3"/>
    </w:p>
    <w:p w14:paraId="5C33D0B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drawing>
          <wp:inline distT="0" distB="0" distL="114300" distR="114300">
            <wp:extent cx="5219700" cy="3783330"/>
            <wp:effectExtent l="0" t="0" r="0" b="762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19"/>
                    <a:stretch>
                      <a:fillRect/>
                    </a:stretch>
                  </pic:blipFill>
                  <pic:spPr>
                    <a:xfrm>
                      <a:off x="0" y="0"/>
                      <a:ext cx="5219700" cy="3783330"/>
                    </a:xfrm>
                    <a:prstGeom prst="rect">
                      <a:avLst/>
                    </a:prstGeom>
                    <a:noFill/>
                    <a:ln>
                      <a:noFill/>
                    </a:ln>
                  </pic:spPr>
                </pic:pic>
              </a:graphicData>
            </a:graphic>
          </wp:inline>
        </w:drawing>
      </w:r>
    </w:p>
    <w:p w14:paraId="0D138C5D">
      <w:pPr>
        <w:pStyle w:val="2"/>
        <w:spacing w:before="156" w:after="312"/>
        <w:rPr>
          <w:rFonts w:hint="eastAsia" w:eastAsia="仿宋"/>
          <w:lang w:val="en-US" w:eastAsia="zh-CN"/>
        </w:rPr>
      </w:pPr>
      <w:r>
        <w:rPr>
          <w:rFonts w:hint="eastAsia"/>
        </w:rPr>
        <w:t>专利申请人分析</w:t>
      </w:r>
    </w:p>
    <w:p w14:paraId="533DACA2">
      <w:pPr>
        <w:keepNext w:val="0"/>
        <w:keepLines w:val="0"/>
        <w:widowControl/>
        <w:suppressLineNumbers w:val="0"/>
        <w:jc w:val="left"/>
        <w:rPr>
          <w:rFonts w:hint="default"/>
          <w:lang w:val="en-US" w:eastAsia="zh-CN"/>
        </w:rPr>
      </w:pPr>
      <w:r>
        <w:rPr>
          <w:rFonts w:ascii="仿宋" w:hAnsi="仿宋" w:eastAsia="仿宋" w:cs="仿宋"/>
          <w:color w:val="000000"/>
          <w:kern w:val="0"/>
          <w:sz w:val="24"/>
          <w:szCs w:val="24"/>
          <w:lang w:val="en-US" w:eastAsia="zh-CN" w:bidi="ar"/>
        </w:rPr>
        <w:t>由</w:t>
      </w:r>
      <w:r>
        <w:rPr>
          <w:rFonts w:ascii="仿宋" w:hAnsi="仿宋" w:eastAsia="仿宋" w:cs="仿宋"/>
          <w:color w:val="000000"/>
          <w:kern w:val="0"/>
          <w:sz w:val="24"/>
          <w:szCs w:val="24"/>
          <w:lang w:val="en-US" w:eastAsia="zh-CN" w:bidi="ar"/>
        </w:rPr>
        <w:fldChar w:fldCharType="begin"/>
      </w:r>
      <w:r>
        <w:rPr>
          <w:rFonts w:ascii="仿宋" w:hAnsi="仿宋" w:eastAsia="仿宋" w:cs="仿宋"/>
          <w:color w:val="000000"/>
          <w:kern w:val="0"/>
          <w:sz w:val="24"/>
          <w:szCs w:val="24"/>
          <w:lang w:val="en-US" w:eastAsia="zh-CN" w:bidi="ar"/>
        </w:rPr>
        <w:instrText xml:space="preserve"> REF _Ref16384 \h </w:instrText>
      </w:r>
      <w:r>
        <w:rPr>
          <w:rFonts w:ascii="仿宋" w:hAnsi="仿宋" w:eastAsia="仿宋" w:cs="仿宋"/>
          <w:color w:val="000000"/>
          <w:kern w:val="0"/>
          <w:sz w:val="24"/>
          <w:szCs w:val="24"/>
          <w:lang w:val="en-US" w:eastAsia="zh-CN" w:bidi="ar"/>
        </w:rPr>
        <w:fldChar w:fldCharType="separate"/>
      </w:r>
      <w:r>
        <w:t>图 4</w:t>
      </w:r>
      <w:r>
        <w:rPr>
          <w:rFonts w:hint="eastAsia"/>
          <w:lang w:val="en-US" w:eastAsia="zh-CN"/>
        </w:rPr>
        <w:t xml:space="preserve"> </w:t>
      </w:r>
      <w:r>
        <w:rPr>
          <w:rFonts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可知，中国海洋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资源勘探开发装备制造行业优势主体以企事业单位与大专院校为主，</w:t>
      </w:r>
      <w:r>
        <w:rPr>
          <w:rFonts w:hint="eastAsia" w:ascii="仿宋" w:hAnsi="仿宋" w:cs="仿宋"/>
          <w:color w:val="000000"/>
          <w:kern w:val="0"/>
          <w:sz w:val="24"/>
          <w:szCs w:val="24"/>
          <w:lang w:val="en-US" w:eastAsia="zh-CN" w:bidi="ar"/>
        </w:rPr>
        <w:t>企事业单位以</w:t>
      </w:r>
      <w:r>
        <w:rPr>
          <w:rFonts w:hint="eastAsia" w:eastAsia="宋体" w:cs="Times New Roman"/>
          <w:color w:val="000000"/>
          <w:kern w:val="0"/>
          <w:sz w:val="24"/>
          <w:szCs w:val="24"/>
          <w:highlight w:val="none"/>
          <w:lang w:val="en-US" w:eastAsia="zh-CN" w:bidi="ar"/>
        </w:rPr>
        <w:t>2478</w:t>
      </w:r>
      <w:r>
        <w:rPr>
          <w:rFonts w:hint="eastAsia" w:ascii="仿宋" w:hAnsi="仿宋" w:cs="仿宋"/>
          <w:color w:val="000000"/>
          <w:kern w:val="0"/>
          <w:sz w:val="24"/>
          <w:szCs w:val="24"/>
          <w:lang w:val="en-US" w:eastAsia="zh-CN" w:bidi="ar"/>
        </w:rPr>
        <w:t>件专利申请数量遥遥领先，大专院校以</w:t>
      </w:r>
      <w:r>
        <w:rPr>
          <w:rFonts w:hint="eastAsia" w:eastAsia="宋体" w:cs="Times New Roman"/>
          <w:color w:val="000000"/>
          <w:kern w:val="0"/>
          <w:sz w:val="24"/>
          <w:szCs w:val="24"/>
          <w:highlight w:val="none"/>
          <w:lang w:val="en-US" w:eastAsia="zh-CN" w:bidi="ar"/>
        </w:rPr>
        <w:t>1523</w:t>
      </w:r>
      <w:r>
        <w:rPr>
          <w:rFonts w:hint="eastAsia" w:ascii="仿宋" w:hAnsi="仿宋" w:cs="仿宋"/>
          <w:color w:val="000000"/>
          <w:kern w:val="0"/>
          <w:sz w:val="24"/>
          <w:szCs w:val="24"/>
          <w:lang w:val="en-US" w:eastAsia="zh-CN" w:bidi="ar"/>
        </w:rPr>
        <w:t>件专利申请数量成为第二名，</w:t>
      </w:r>
      <w:r>
        <w:rPr>
          <w:rFonts w:hint="eastAsia" w:ascii="仿宋" w:hAnsi="仿宋" w:eastAsia="仿宋" w:cs="仿宋"/>
          <w:color w:val="000000"/>
          <w:kern w:val="0"/>
          <w:sz w:val="24"/>
          <w:szCs w:val="24"/>
          <w:lang w:val="en-US" w:eastAsia="zh-CN" w:bidi="ar"/>
        </w:rPr>
        <w:t>以</w:t>
      </w:r>
      <w:r>
        <w:rPr>
          <w:rFonts w:hint="eastAsia" w:ascii="仿宋" w:hAnsi="仿宋" w:cs="仿宋"/>
          <w:color w:val="000000"/>
          <w:kern w:val="0"/>
          <w:sz w:val="24"/>
          <w:szCs w:val="24"/>
          <w:lang w:val="en-US" w:eastAsia="zh-CN" w:bidi="ar"/>
        </w:rPr>
        <w:t>企事业单位</w:t>
      </w:r>
      <w:r>
        <w:rPr>
          <w:rFonts w:hint="eastAsia" w:ascii="仿宋" w:hAnsi="仿宋" w:eastAsia="仿宋" w:cs="仿宋"/>
          <w:color w:val="000000"/>
          <w:kern w:val="0"/>
          <w:sz w:val="24"/>
          <w:szCs w:val="24"/>
          <w:lang w:val="en-US" w:eastAsia="zh-CN" w:bidi="ar"/>
        </w:rPr>
        <w:t>和</w:t>
      </w:r>
      <w:r>
        <w:rPr>
          <w:rFonts w:hint="eastAsia" w:ascii="仿宋" w:hAnsi="仿宋" w:cs="仿宋"/>
          <w:color w:val="000000"/>
          <w:kern w:val="0"/>
          <w:sz w:val="24"/>
          <w:szCs w:val="24"/>
          <w:lang w:val="en-US" w:eastAsia="zh-CN" w:bidi="ar"/>
        </w:rPr>
        <w:t>大专院校</w:t>
      </w:r>
      <w:r>
        <w:rPr>
          <w:rFonts w:hint="eastAsia" w:ascii="仿宋" w:hAnsi="仿宋" w:eastAsia="仿宋" w:cs="仿宋"/>
          <w:color w:val="000000"/>
          <w:kern w:val="0"/>
          <w:sz w:val="24"/>
          <w:szCs w:val="24"/>
          <w:lang w:val="en-US" w:eastAsia="zh-CN" w:bidi="ar"/>
        </w:rPr>
        <w:t>为名义进行专利申请的比重</w:t>
      </w:r>
      <w:r>
        <w:rPr>
          <w:rFonts w:hint="eastAsia" w:ascii="仿宋" w:hAnsi="仿宋" w:cs="仿宋"/>
          <w:color w:val="000000"/>
          <w:kern w:val="0"/>
          <w:sz w:val="24"/>
          <w:szCs w:val="24"/>
          <w:lang w:val="en-US" w:eastAsia="zh-CN" w:bidi="ar"/>
        </w:rPr>
        <w:t>共占</w:t>
      </w:r>
      <w:r>
        <w:rPr>
          <w:rFonts w:hint="eastAsia" w:eastAsia="宋体" w:cs="Times New Roman"/>
          <w:color w:val="000000"/>
          <w:kern w:val="0"/>
          <w:sz w:val="24"/>
          <w:szCs w:val="24"/>
          <w:highlight w:val="none"/>
          <w:lang w:val="en-US" w:eastAsia="zh-CN" w:bidi="ar"/>
        </w:rPr>
        <w:t>78.71%</w:t>
      </w:r>
      <w:r>
        <w:rPr>
          <w:rFonts w:hint="eastAsia" w:ascii="仿宋" w:hAnsi="仿宋" w:eastAsia="仿宋" w:cs="仿宋"/>
          <w:color w:val="000000"/>
          <w:kern w:val="0"/>
          <w:sz w:val="24"/>
          <w:szCs w:val="24"/>
          <w:highlight w:val="none"/>
          <w:lang w:val="en-US" w:eastAsia="zh-CN" w:bidi="ar"/>
        </w:rPr>
        <w:t>。具体来看，</w:t>
      </w:r>
      <w:r>
        <w:rPr>
          <w:rFonts w:hint="eastAsia" w:ascii="仿宋" w:hAnsi="仿宋" w:cs="仿宋"/>
          <w:color w:val="000000"/>
          <w:kern w:val="0"/>
          <w:sz w:val="24"/>
          <w:szCs w:val="24"/>
          <w:highlight w:val="none"/>
          <w:lang w:val="en-US" w:eastAsia="zh-CN" w:bidi="ar"/>
        </w:rPr>
        <w:t>中国海洋大学</w:t>
      </w:r>
      <w:r>
        <w:rPr>
          <w:rFonts w:hint="eastAsia" w:ascii="仿宋" w:hAnsi="仿宋" w:eastAsia="仿宋" w:cs="仿宋"/>
          <w:color w:val="000000"/>
          <w:kern w:val="0"/>
          <w:sz w:val="24"/>
          <w:szCs w:val="24"/>
          <w:highlight w:val="none"/>
          <w:lang w:val="en-US" w:eastAsia="zh-CN" w:bidi="ar"/>
        </w:rPr>
        <w:t>凭借微小的优势领先于其他申请人，位居榜首，</w:t>
      </w:r>
      <w:r>
        <w:rPr>
          <w:rFonts w:hint="eastAsia" w:ascii="仿宋" w:hAnsi="仿宋" w:cs="仿宋"/>
          <w:color w:val="000000"/>
          <w:kern w:val="0"/>
          <w:sz w:val="24"/>
          <w:szCs w:val="24"/>
          <w:highlight w:val="none"/>
          <w:lang w:val="en-US" w:eastAsia="zh-CN" w:bidi="ar"/>
        </w:rPr>
        <w:t>专利申请量为</w:t>
      </w:r>
      <w:r>
        <w:rPr>
          <w:rFonts w:hint="eastAsia" w:eastAsia="宋体" w:cs="Times New Roman"/>
          <w:color w:val="000000"/>
          <w:kern w:val="0"/>
          <w:sz w:val="24"/>
          <w:szCs w:val="24"/>
          <w:highlight w:val="none"/>
          <w:lang w:val="en-US" w:eastAsia="zh-CN" w:bidi="ar"/>
        </w:rPr>
        <w:t>117</w:t>
      </w:r>
      <w:r>
        <w:rPr>
          <w:rFonts w:hint="eastAsia" w:ascii="仿宋" w:hAnsi="仿宋" w:cs="仿宋"/>
          <w:color w:val="000000"/>
          <w:kern w:val="0"/>
          <w:sz w:val="24"/>
          <w:szCs w:val="24"/>
          <w:highlight w:val="none"/>
          <w:lang w:val="en-US" w:eastAsia="zh-CN" w:bidi="ar"/>
        </w:rPr>
        <w:t>件</w:t>
      </w:r>
      <w:r>
        <w:rPr>
          <w:rFonts w:hint="eastAsia" w:ascii="仿宋" w:hAnsi="仿宋" w:cs="仿宋"/>
          <w:color w:val="000000"/>
          <w:kern w:val="0"/>
          <w:sz w:val="24"/>
          <w:szCs w:val="24"/>
          <w:lang w:val="en-US" w:eastAsia="zh-CN" w:bidi="ar"/>
        </w:rPr>
        <w:t>。</w:t>
      </w:r>
      <w:r>
        <w:rPr>
          <w:rFonts w:hint="eastAsia" w:ascii="仿宋" w:hAnsi="仿宋" w:cs="仿宋"/>
          <w:color w:val="000000"/>
          <w:kern w:val="0"/>
          <w:lang w:bidi="ar"/>
        </w:rPr>
        <w:t>中国海洋大学</w:t>
      </w:r>
      <w:r>
        <w:rPr>
          <w:rFonts w:hint="eastAsia" w:ascii="仿宋" w:hAnsi="仿宋" w:cs="仿宋"/>
          <w:color w:val="000000"/>
          <w:kern w:val="0"/>
          <w:lang w:val="en-US" w:eastAsia="zh-CN" w:bidi="ar"/>
        </w:rPr>
        <w:t>是一所位于山东省青岛市的教育部直属中间综合性大学，</w:t>
      </w:r>
      <w:r>
        <w:rPr>
          <w:rFonts w:hint="eastAsia" w:ascii="仿宋" w:hAnsi="仿宋" w:cs="仿宋"/>
          <w:color w:val="000000"/>
          <w:kern w:val="0"/>
          <w:lang w:bidi="ar"/>
        </w:rPr>
        <w:t>该校创建于1924年</w:t>
      </w:r>
      <w:r>
        <w:rPr>
          <w:rFonts w:hint="eastAsia" w:ascii="仿宋" w:hAnsi="仿宋" w:cs="仿宋"/>
          <w:color w:val="000000"/>
          <w:kern w:val="0"/>
          <w:lang w:eastAsia="zh-CN" w:bidi="ar"/>
        </w:rPr>
        <w:t>，</w:t>
      </w:r>
      <w:r>
        <w:rPr>
          <w:rFonts w:hint="eastAsia" w:ascii="仿宋" w:hAnsi="仿宋" w:cs="仿宋"/>
          <w:color w:val="000000"/>
          <w:kern w:val="0"/>
          <w:lang w:bidi="ar"/>
        </w:rPr>
        <w:t>以海洋和水产学科为特色</w:t>
      </w:r>
      <w:r>
        <w:rPr>
          <w:rFonts w:hint="eastAsia" w:ascii="仿宋" w:hAnsi="仿宋" w:cs="仿宋"/>
          <w:color w:val="000000"/>
          <w:kern w:val="0"/>
          <w:lang w:eastAsia="zh-CN" w:bidi="ar"/>
        </w:rPr>
        <w:t>，</w:t>
      </w:r>
      <w:r>
        <w:rPr>
          <w:rFonts w:hint="eastAsia" w:ascii="仿宋" w:hAnsi="仿宋" w:cs="仿宋"/>
          <w:color w:val="000000"/>
          <w:kern w:val="0"/>
          <w:lang w:bidi="ar"/>
        </w:rPr>
        <w:t>海洋科学专业是学校的王牌专业之一</w:t>
      </w:r>
      <w:r>
        <w:rPr>
          <w:rFonts w:hint="eastAsia" w:ascii="仿宋" w:hAnsi="仿宋" w:cs="仿宋"/>
          <w:color w:val="000000"/>
          <w:kern w:val="0"/>
          <w:lang w:eastAsia="zh-CN" w:bidi="ar"/>
        </w:rPr>
        <w:t>，</w:t>
      </w:r>
      <w:r>
        <w:rPr>
          <w:rFonts w:hint="eastAsia" w:ascii="仿宋" w:hAnsi="仿宋" w:cs="仿宋"/>
          <w:color w:val="000000"/>
          <w:kern w:val="0"/>
          <w:lang w:val="en-US" w:eastAsia="zh-CN" w:bidi="ar"/>
        </w:rPr>
        <w:t>致力于</w:t>
      </w:r>
      <w:r>
        <w:rPr>
          <w:rFonts w:hint="eastAsia" w:ascii="仿宋" w:hAnsi="仿宋" w:cs="仿宋"/>
          <w:color w:val="000000"/>
          <w:kern w:val="0"/>
          <w:lang w:bidi="ar"/>
        </w:rPr>
        <w:t>服务于国家海洋事业和蓝色经济发展</w:t>
      </w:r>
      <w:r>
        <w:rPr>
          <w:rFonts w:hint="eastAsia" w:ascii="仿宋" w:hAnsi="仿宋" w:cs="仿宋"/>
          <w:color w:val="000000"/>
          <w:kern w:val="0"/>
          <w:lang w:eastAsia="zh-CN" w:bidi="ar"/>
        </w:rPr>
        <w:t>。</w:t>
      </w:r>
      <w:r>
        <w:rPr>
          <w:rFonts w:hint="eastAsia" w:ascii="仿宋" w:hAnsi="仿宋" w:cs="仿宋"/>
          <w:color w:val="000000"/>
          <w:kern w:val="0"/>
          <w:sz w:val="24"/>
          <w:szCs w:val="24"/>
          <w:lang w:val="en-US" w:eastAsia="zh-CN" w:bidi="ar"/>
        </w:rPr>
        <w:t>长沙矿冶研究院有限责任公司和中国矿业大学分别以100件和94件的专利申请数量紧随其后，分别占据第二和第三的位置。长沙矿冶院始建于1955年，是世界500强企业中国五矿集团有限公司直管科研单位，与10个国家级科创平台和21个省级科创平台进行深入合作，主营资源环保、新材料、科创运营平台三大业务体系，其产品包括</w:t>
      </w:r>
      <w:r>
        <w:rPr>
          <w:rFonts w:hint="eastAsia" w:ascii="仿宋" w:hAnsi="仿宋" w:cs="仿宋"/>
          <w:color w:val="000000"/>
          <w:kern w:val="0"/>
          <w:lang w:bidi="ar"/>
        </w:rPr>
        <w:t>矿冶资源开发</w:t>
      </w:r>
      <w:r>
        <w:rPr>
          <w:rFonts w:hint="eastAsia" w:ascii="仿宋" w:hAnsi="仿宋" w:cs="仿宋"/>
          <w:color w:val="000000"/>
          <w:kern w:val="0"/>
          <w:lang w:eastAsia="zh-CN" w:bidi="ar"/>
        </w:rPr>
        <w:t>、</w:t>
      </w:r>
      <w:r>
        <w:rPr>
          <w:rFonts w:hint="eastAsia" w:ascii="仿宋" w:hAnsi="仿宋" w:cs="仿宋"/>
          <w:color w:val="000000"/>
          <w:kern w:val="0"/>
          <w:lang w:val="en-US" w:eastAsia="zh-CN" w:bidi="ar"/>
        </w:rPr>
        <w:t>热工装备、</w:t>
      </w:r>
      <w:r>
        <w:rPr>
          <w:rFonts w:hint="eastAsia" w:ascii="仿宋" w:hAnsi="仿宋" w:cs="仿宋"/>
          <w:color w:val="000000"/>
          <w:kern w:val="0"/>
          <w:lang w:bidi="ar"/>
        </w:rPr>
        <w:t>矿冶装备</w:t>
      </w:r>
      <w:r>
        <w:rPr>
          <w:rFonts w:hint="eastAsia" w:ascii="仿宋" w:hAnsi="仿宋" w:cs="仿宋"/>
          <w:color w:val="000000"/>
          <w:kern w:val="0"/>
          <w:lang w:val="en-US" w:eastAsia="zh-CN" w:bidi="ar"/>
        </w:rPr>
        <w:t>和</w:t>
      </w:r>
      <w:r>
        <w:rPr>
          <w:rFonts w:hint="eastAsia" w:ascii="仿宋" w:hAnsi="仿宋" w:cs="仿宋"/>
          <w:color w:val="000000"/>
          <w:kern w:val="0"/>
          <w:lang w:bidi="ar"/>
        </w:rPr>
        <w:t>金属表面处理</w:t>
      </w:r>
      <w:r>
        <w:rPr>
          <w:rFonts w:hint="eastAsia" w:ascii="仿宋" w:hAnsi="仿宋" w:cs="仿宋"/>
          <w:color w:val="000000"/>
          <w:kern w:val="0"/>
          <w:lang w:val="en-US" w:eastAsia="zh-CN" w:bidi="ar"/>
        </w:rPr>
        <w:t>等等</w:t>
      </w:r>
      <w:r>
        <w:rPr>
          <w:rFonts w:hint="eastAsia" w:ascii="仿宋" w:hAnsi="仿宋" w:cs="仿宋"/>
          <w:color w:val="000000"/>
          <w:kern w:val="0"/>
          <w:sz w:val="24"/>
          <w:szCs w:val="24"/>
          <w:lang w:val="en-US" w:eastAsia="zh-CN" w:bidi="ar"/>
        </w:rPr>
        <w:t>。中国矿业大学</w:t>
      </w:r>
      <w:r>
        <w:rPr>
          <w:rFonts w:hint="eastAsia" w:ascii="仿宋" w:hAnsi="仿宋" w:cs="仿宋"/>
          <w:color w:val="000000"/>
          <w:kern w:val="0"/>
          <w:lang w:bidi="ar"/>
        </w:rPr>
        <w:t>始建于1909年</w:t>
      </w:r>
      <w:r>
        <w:rPr>
          <w:rFonts w:hint="eastAsia" w:ascii="仿宋" w:hAnsi="仿宋" w:cs="仿宋"/>
          <w:color w:val="000000"/>
          <w:kern w:val="0"/>
          <w:lang w:eastAsia="zh-CN" w:bidi="ar"/>
        </w:rPr>
        <w:t>，</w:t>
      </w:r>
      <w:r>
        <w:rPr>
          <w:rFonts w:hint="eastAsia" w:ascii="仿宋" w:hAnsi="仿宋" w:cs="仿宋"/>
          <w:color w:val="000000"/>
          <w:kern w:val="0"/>
          <w:sz w:val="24"/>
          <w:szCs w:val="24"/>
          <w:lang w:val="en-US" w:eastAsia="zh-CN" w:bidi="ar"/>
        </w:rPr>
        <w:t>是教育部直属的全国重点高校，位于江苏省徐州市，以工科为主，矿业为特色，其优势学科主要包括矿业工程和安全科学与工程和安全科学与工程。值得注意的是，申请人排行榜的前10名中，有8所大专院校和科研院所占据了席位，这说明了大专院校和科研院所在该技术领域的重要地位和不可忽视的影响力。尽管企事业单位在专利申请数量上占据明显优势，但大专院校和科研院所通过其深厚的科研实力和创新能力，也在为中国海洋矿产资源勘探开发装备制造行业的技术进步和产业升级提供着重要的支撑和推动。</w:t>
      </w:r>
    </w:p>
    <w:p w14:paraId="31D64A28">
      <w:pPr>
        <w:ind w:left="0" w:leftChars="0" w:firstLine="0" w:firstLineChars="0"/>
        <w:jc w:val="both"/>
      </w:pPr>
      <w:r>
        <w:drawing>
          <wp:inline distT="0" distB="0" distL="114300" distR="114300">
            <wp:extent cx="1936115" cy="2868930"/>
            <wp:effectExtent l="4445" t="4445" r="21590" b="2222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drawing>
          <wp:inline distT="0" distB="0" distL="114300" distR="114300">
            <wp:extent cx="3276600" cy="2868930"/>
            <wp:effectExtent l="4445" t="4445" r="14605" b="2222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E8BC9C">
      <w:pPr>
        <w:pStyle w:val="4"/>
        <w:ind w:left="0" w:leftChars="0" w:firstLine="0" w:firstLineChars="0"/>
        <w:jc w:val="center"/>
        <w:rPr>
          <w:rFonts w:hint="eastAsia"/>
          <w:lang w:eastAsia="zh-CN"/>
        </w:rPr>
      </w:pPr>
      <w:bookmarkStart w:id="4" w:name="_Ref16384"/>
      <w:r>
        <w:t xml:space="preserve">图 </w:t>
      </w:r>
      <w:r>
        <w:fldChar w:fldCharType="begin"/>
      </w:r>
      <w:r>
        <w:instrText xml:space="preserve"> SEQ 图 \* ARABIC </w:instrText>
      </w:r>
      <w:r>
        <w:fldChar w:fldCharType="separate"/>
      </w:r>
      <w:r>
        <w:t>4</w:t>
      </w:r>
      <w:r>
        <w:fldChar w:fldCharType="end"/>
      </w:r>
      <w:r>
        <w:rPr>
          <w:rFonts w:hint="eastAsia"/>
          <w:lang w:val="en-US" w:eastAsia="zh-CN"/>
        </w:rPr>
        <w:t xml:space="preserve"> </w:t>
      </w:r>
      <w:r>
        <w:rPr>
          <w:rFonts w:hint="eastAsia" w:ascii="黑体" w:hAnsi="宋体" w:cs="黑体"/>
          <w:color w:val="000000"/>
          <w:kern w:val="0"/>
          <w:sz w:val="18"/>
          <w:szCs w:val="18"/>
          <w:lang w:val="en-US" w:eastAsia="zh-CN" w:bidi="ar"/>
        </w:rPr>
        <w:t>海洋矿产资源勘探开发装备制造</w:t>
      </w:r>
      <w:r>
        <w:rPr>
          <w:rFonts w:ascii="黑体" w:hAnsi="宋体" w:eastAsia="黑体" w:cs="黑体"/>
          <w:color w:val="000000"/>
          <w:kern w:val="0"/>
          <w:sz w:val="18"/>
          <w:szCs w:val="18"/>
          <w:lang w:val="en-US" w:eastAsia="zh-CN" w:bidi="ar"/>
        </w:rPr>
        <w:t>专利</w:t>
      </w:r>
      <w:r>
        <w:rPr>
          <w:rFonts w:hint="eastAsia" w:ascii="黑体" w:hAnsi="宋体" w:cs="黑体"/>
          <w:color w:val="000000"/>
          <w:kern w:val="0"/>
          <w:sz w:val="18"/>
          <w:szCs w:val="18"/>
          <w:lang w:val="en-US" w:eastAsia="zh-CN" w:bidi="ar"/>
        </w:rPr>
        <w:t>不同</w:t>
      </w:r>
      <w:r>
        <w:rPr>
          <w:rFonts w:ascii="黑体" w:hAnsi="宋体" w:eastAsia="黑体" w:cs="黑体"/>
          <w:color w:val="000000"/>
          <w:kern w:val="0"/>
          <w:sz w:val="18"/>
          <w:szCs w:val="18"/>
          <w:lang w:val="en-US" w:eastAsia="zh-CN" w:bidi="ar"/>
        </w:rPr>
        <w:t>申请人类型</w:t>
      </w:r>
      <w:r>
        <w:rPr>
          <w:rFonts w:hint="eastAsia" w:ascii="黑体" w:hAnsi="宋体" w:cs="黑体"/>
          <w:color w:val="000000"/>
          <w:kern w:val="0"/>
          <w:sz w:val="18"/>
          <w:szCs w:val="18"/>
          <w:lang w:val="en-US" w:eastAsia="zh-CN" w:bidi="ar"/>
        </w:rPr>
        <w:t>专利申请数量</w:t>
      </w:r>
      <w:r>
        <w:rPr>
          <w:rFonts w:ascii="黑体" w:hAnsi="宋体" w:eastAsia="黑体" w:cs="黑体"/>
          <w:color w:val="000000"/>
          <w:kern w:val="0"/>
          <w:sz w:val="18"/>
          <w:szCs w:val="18"/>
          <w:lang w:val="en-US" w:eastAsia="zh-CN" w:bidi="ar"/>
        </w:rPr>
        <w:t>及专利申请人排名情况（单位：</w:t>
      </w:r>
      <w:r>
        <w:rPr>
          <w:rFonts w:hint="eastAsia" w:ascii="黑体" w:hAnsi="宋体" w:eastAsia="黑体" w:cs="黑体"/>
          <w:color w:val="000000"/>
          <w:kern w:val="0"/>
          <w:sz w:val="18"/>
          <w:szCs w:val="18"/>
          <w:lang w:val="en-US" w:eastAsia="zh-CN" w:bidi="ar"/>
        </w:rPr>
        <w:t>件）</w:t>
      </w:r>
      <w:bookmarkEnd w:id="4"/>
    </w:p>
    <w:p w14:paraId="0543C9D1">
      <w:pPr>
        <w:keepNext w:val="0"/>
        <w:keepLines w:val="0"/>
        <w:widowControl/>
        <w:suppressLineNumbers w:val="0"/>
        <w:jc w:val="left"/>
        <w:rPr>
          <w:rFonts w:hint="eastAsia" w:eastAsia="黑体"/>
          <w:lang w:val="en-US" w:eastAsia="zh-CN"/>
        </w:rPr>
      </w:pPr>
      <w:r>
        <w:rPr>
          <w:rFonts w:hint="eastAsia" w:ascii="仿宋" w:hAnsi="仿宋" w:eastAsia="仿宋" w:cs="仿宋"/>
          <w:color w:val="000000"/>
          <w:kern w:val="0"/>
          <w:sz w:val="24"/>
          <w:szCs w:val="24"/>
          <w:lang w:val="en-US" w:eastAsia="zh-CN" w:bidi="ar"/>
        </w:rPr>
        <w:fldChar w:fldCharType="begin"/>
      </w:r>
      <w:r>
        <w:rPr>
          <w:rFonts w:hint="eastAsia" w:ascii="仿宋" w:hAnsi="仿宋" w:eastAsia="仿宋" w:cs="仿宋"/>
          <w:color w:val="000000"/>
          <w:kern w:val="0"/>
          <w:sz w:val="24"/>
          <w:szCs w:val="24"/>
          <w:lang w:val="en-US" w:eastAsia="zh-CN" w:bidi="ar"/>
        </w:rPr>
        <w:instrText xml:space="preserve"> REF _Ref20280 \h </w:instrText>
      </w:r>
      <w:r>
        <w:rPr>
          <w:rFonts w:hint="eastAsia" w:ascii="仿宋" w:hAnsi="仿宋" w:eastAsia="仿宋" w:cs="仿宋"/>
          <w:color w:val="000000"/>
          <w:kern w:val="0"/>
          <w:sz w:val="24"/>
          <w:szCs w:val="24"/>
          <w:lang w:val="en-US" w:eastAsia="zh-CN" w:bidi="ar"/>
        </w:rPr>
        <w:fldChar w:fldCharType="separate"/>
      </w:r>
      <w:r>
        <w:rPr>
          <w:rFonts w:hint="eastAsia" w:ascii="仿宋" w:hAnsi="仿宋" w:eastAsia="仿宋" w:cs="仿宋"/>
          <w:color w:val="000000"/>
          <w:kern w:val="0"/>
          <w:sz w:val="24"/>
          <w:szCs w:val="24"/>
          <w:lang w:val="en-US" w:eastAsia="zh-CN" w:bidi="ar"/>
        </w:rPr>
        <w:t>图 5</w:t>
      </w:r>
      <w:r>
        <w:rPr>
          <w:rFonts w:hint="eastAsia"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展示了中国主要优势主体在不同技术分支的专利申请情况。由图可知，</w:t>
      </w:r>
      <w:r>
        <w:rPr>
          <w:rFonts w:hint="eastAsia" w:ascii="仿宋" w:hAnsi="仿宋" w:cs="仿宋"/>
          <w:color w:val="000000"/>
          <w:kern w:val="0"/>
          <w:sz w:val="24"/>
          <w:szCs w:val="24"/>
          <w:lang w:val="en-US" w:eastAsia="zh-CN" w:bidi="ar"/>
        </w:rPr>
        <w:t>主要申请人</w:t>
      </w:r>
      <w:r>
        <w:rPr>
          <w:rFonts w:hint="eastAsia" w:ascii="仿宋" w:hAnsi="仿宋" w:eastAsia="仿宋" w:cs="仿宋"/>
          <w:color w:val="000000"/>
          <w:kern w:val="0"/>
          <w:sz w:val="24"/>
          <w:szCs w:val="24"/>
          <w:lang w:val="en-US" w:eastAsia="zh-CN" w:bidi="ar"/>
        </w:rPr>
        <w:t>的技术研究</w:t>
      </w:r>
      <w:r>
        <w:rPr>
          <w:rFonts w:hint="eastAsia" w:ascii="仿宋" w:hAnsi="仿宋" w:cs="仿宋"/>
          <w:color w:val="000000"/>
          <w:kern w:val="0"/>
          <w:sz w:val="24"/>
          <w:szCs w:val="24"/>
          <w:lang w:val="en-US" w:eastAsia="zh-CN" w:bidi="ar"/>
        </w:rPr>
        <w:t>最为</w:t>
      </w:r>
      <w:r>
        <w:rPr>
          <w:rFonts w:hint="eastAsia" w:ascii="仿宋" w:hAnsi="仿宋" w:eastAsia="仿宋" w:cs="仿宋"/>
          <w:color w:val="000000"/>
          <w:kern w:val="0"/>
          <w:sz w:val="24"/>
          <w:szCs w:val="24"/>
          <w:lang w:val="en-US" w:eastAsia="zh-CN" w:bidi="ar"/>
        </w:rPr>
        <w:t>集中在</w:t>
      </w:r>
      <w:r>
        <w:rPr>
          <w:rFonts w:hint="eastAsia" w:ascii="Times New Roman" w:hAnsi="Times New Roman" w:eastAsia="宋体" w:cs="Times New Roman"/>
          <w:color w:val="000000"/>
          <w:kern w:val="0"/>
          <w:sz w:val="24"/>
          <w:szCs w:val="24"/>
          <w:lang w:val="en-US" w:eastAsia="zh-CN" w:bidi="ar"/>
        </w:rPr>
        <w:t>E21C50</w:t>
      </w:r>
      <w:r>
        <w:rPr>
          <w:rFonts w:hint="eastAsia" w:ascii="仿宋" w:hAnsi="仿宋" w:eastAsia="仿宋" w:cs="仿宋"/>
          <w:color w:val="000000"/>
          <w:kern w:val="0"/>
          <w:sz w:val="24"/>
          <w:szCs w:val="24"/>
          <w:lang w:val="en-US" w:eastAsia="zh-CN" w:bidi="ar"/>
        </w:rPr>
        <w:t>（其他类目未涉及到的从水下获取矿物）这个技术领域，专利申请</w:t>
      </w:r>
      <w:r>
        <w:rPr>
          <w:rFonts w:hint="eastAsia" w:ascii="仿宋" w:hAnsi="仿宋" w:cs="仿宋"/>
          <w:color w:val="000000"/>
          <w:kern w:val="0"/>
          <w:sz w:val="24"/>
          <w:szCs w:val="24"/>
          <w:lang w:val="en-US" w:eastAsia="zh-CN" w:bidi="ar"/>
        </w:rPr>
        <w:t>量达</w:t>
      </w:r>
      <w:r>
        <w:rPr>
          <w:rFonts w:hint="eastAsia" w:eastAsia="宋体" w:cs="Times New Roman"/>
          <w:color w:val="000000"/>
          <w:kern w:val="0"/>
          <w:sz w:val="24"/>
          <w:szCs w:val="24"/>
          <w:lang w:val="en-US" w:eastAsia="zh-CN" w:bidi="ar"/>
        </w:rPr>
        <w:t>297</w:t>
      </w:r>
      <w:r>
        <w:rPr>
          <w:rFonts w:hint="eastAsia" w:ascii="仿宋" w:hAnsi="仿宋" w:cs="仿宋"/>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，其中</w:t>
      </w:r>
      <w:r>
        <w:rPr>
          <w:rFonts w:hint="eastAsia" w:ascii="仿宋" w:hAnsi="仿宋" w:cs="仿宋"/>
          <w:color w:val="000000"/>
          <w:kern w:val="0"/>
          <w:sz w:val="24"/>
          <w:szCs w:val="24"/>
          <w:lang w:val="en-US" w:eastAsia="zh-CN" w:bidi="ar"/>
        </w:rPr>
        <w:t>中国海洋大学</w:t>
      </w:r>
      <w:r>
        <w:rPr>
          <w:rFonts w:hint="eastAsia" w:ascii="仿宋" w:hAnsi="仿宋" w:eastAsia="仿宋" w:cs="仿宋"/>
          <w:color w:val="000000"/>
          <w:kern w:val="0"/>
          <w:sz w:val="24"/>
          <w:szCs w:val="24"/>
          <w:lang w:val="en-US" w:eastAsia="zh-CN" w:bidi="ar"/>
        </w:rPr>
        <w:t>凭借其</w:t>
      </w:r>
      <w:r>
        <w:rPr>
          <w:rFonts w:hint="default" w:ascii="Times New Roman" w:hAnsi="Times New Roman" w:eastAsia="仿宋" w:cs="Times New Roman"/>
          <w:color w:val="000000"/>
          <w:kern w:val="0"/>
          <w:sz w:val="24"/>
          <w:szCs w:val="24"/>
          <w:lang w:val="en-US" w:eastAsia="zh-CN" w:bidi="ar"/>
        </w:rPr>
        <w:t>77</w:t>
      </w:r>
      <w:r>
        <w:rPr>
          <w:rFonts w:hint="eastAsia" w:ascii="仿宋" w:hAnsi="仿宋" w:eastAsia="仿宋" w:cs="仿宋"/>
          <w:color w:val="000000"/>
          <w:kern w:val="0"/>
          <w:sz w:val="24"/>
          <w:szCs w:val="24"/>
          <w:lang w:val="en-US" w:eastAsia="zh-CN" w:bidi="ar"/>
        </w:rPr>
        <w:t>件的专利申请量，位居所有申请人之首，展现出强大的研发实力和技术创新能力，</w:t>
      </w:r>
      <w:r>
        <w:rPr>
          <w:rFonts w:hint="eastAsia" w:ascii="仿宋" w:hAnsi="仿宋" w:cs="仿宋"/>
          <w:color w:val="000000"/>
          <w:kern w:val="0"/>
          <w:sz w:val="24"/>
          <w:szCs w:val="24"/>
          <w:lang w:val="en-US" w:eastAsia="zh-CN" w:bidi="ar"/>
        </w:rPr>
        <w:t>紧随其后的是长沙矿冶研究院有限责任公司与上海交通大学，两者的专利申请量分别为</w:t>
      </w:r>
      <w:r>
        <w:rPr>
          <w:rFonts w:hint="default" w:ascii="Times New Roman" w:hAnsi="Times New Roman" w:cs="Times New Roman"/>
          <w:color w:val="000000"/>
          <w:kern w:val="0"/>
          <w:sz w:val="24"/>
          <w:szCs w:val="24"/>
          <w:lang w:val="en-US" w:eastAsia="zh-CN" w:bidi="ar"/>
        </w:rPr>
        <w:t>75件和55件</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此外</w:t>
      </w:r>
      <w:r>
        <w:rPr>
          <w:rFonts w:hint="eastAsia" w:ascii="仿宋" w:hAnsi="仿宋" w:eastAsia="仿宋" w:cs="仿宋"/>
          <w:color w:val="000000"/>
          <w:kern w:val="0"/>
          <w:sz w:val="24"/>
          <w:szCs w:val="24"/>
          <w:lang w:val="en-US" w:eastAsia="zh-CN" w:bidi="ar"/>
        </w:rPr>
        <w:t>，</w:t>
      </w:r>
      <w:r>
        <w:rPr>
          <w:rFonts w:hint="eastAsia" w:eastAsia="宋体" w:cs="Times New Roman"/>
          <w:color w:val="000000"/>
          <w:kern w:val="0"/>
          <w:sz w:val="24"/>
          <w:szCs w:val="24"/>
          <w:lang w:val="en-US" w:eastAsia="zh-CN" w:bidi="ar"/>
        </w:rPr>
        <w:t>E21B43</w:t>
      </w:r>
      <w:r>
        <w:rPr>
          <w:rFonts w:hint="eastAsia" w:ascii="仿宋" w:hAnsi="仿宋" w:eastAsia="仿宋" w:cs="仿宋"/>
          <w:color w:val="000000"/>
          <w:kern w:val="0"/>
          <w:sz w:val="24"/>
          <w:szCs w:val="24"/>
          <w:lang w:val="en-US" w:eastAsia="zh-CN" w:bidi="ar"/>
        </w:rPr>
        <w:t>（从井中开采油、气、水、可溶解或可熔化物质或矿物泥浆的方法或设备）同样吸引了众多申请人的技术创新研究，</w:t>
      </w:r>
      <w:r>
        <w:rPr>
          <w:rFonts w:ascii="仿宋" w:hAnsi="仿宋" w:eastAsia="仿宋" w:cs="仿宋"/>
          <w:color w:val="000000"/>
          <w:kern w:val="0"/>
          <w:sz w:val="24"/>
          <w:szCs w:val="24"/>
          <w:lang w:val="en-US" w:eastAsia="zh-CN" w:bidi="ar"/>
        </w:rPr>
        <w:t>专利</w:t>
      </w:r>
      <w:r>
        <w:rPr>
          <w:rFonts w:hint="eastAsia" w:ascii="仿宋" w:hAnsi="仿宋" w:eastAsia="仿宋" w:cs="仿宋"/>
          <w:color w:val="000000"/>
          <w:kern w:val="0"/>
          <w:sz w:val="24"/>
          <w:szCs w:val="24"/>
          <w:lang w:val="en-US" w:eastAsia="zh-CN" w:bidi="ar"/>
        </w:rPr>
        <w:t>申请总体占比达到</w:t>
      </w:r>
      <w:r>
        <w:rPr>
          <w:rFonts w:hint="eastAsia" w:eastAsia="宋体" w:cs="Times New Roman"/>
          <w:color w:val="000000"/>
          <w:kern w:val="0"/>
          <w:sz w:val="24"/>
          <w:szCs w:val="24"/>
          <w:lang w:val="en-US" w:eastAsia="zh-CN" w:bidi="ar"/>
        </w:rPr>
        <w:t>19.78</w:t>
      </w:r>
      <w:r>
        <w:rPr>
          <w:rFonts w:hint="default" w:eastAsia="宋体" w:cs="Times New Roman"/>
          <w:color w:val="000000"/>
          <w:kern w:val="0"/>
          <w:sz w:val="24"/>
          <w:szCs w:val="24"/>
          <w:lang w:val="en-US" w:eastAsia="zh-CN" w:bidi="ar"/>
        </w:rPr>
        <w:t>%</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值得注意的是，在中国专利申请量排名前10的申请人中，除了上海交通大学外，其余均在该技术领域提交了专利申请，进一步证实了该技术领域在行业内的广泛认可和高关注度。</w:t>
      </w:r>
    </w:p>
    <w:p w14:paraId="58610F3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pPr>
      <w:r>
        <w:drawing>
          <wp:inline distT="0" distB="0" distL="114300" distR="114300">
            <wp:extent cx="5219700" cy="4695190"/>
            <wp:effectExtent l="4445" t="4445" r="14605" b="57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D684BC">
      <w:pPr>
        <w:keepNext w:val="0"/>
        <w:keepLines w:val="0"/>
        <w:widowControl/>
        <w:suppressLineNumbers w:val="0"/>
        <w:jc w:val="center"/>
        <w:rPr>
          <w:rFonts w:hint="eastAsia" w:eastAsia="仿宋"/>
          <w:lang w:eastAsia="zh-CN"/>
        </w:rPr>
      </w:pPr>
      <w:bookmarkStart w:id="5" w:name="_Ref20280"/>
      <w:r>
        <w:rPr>
          <w:rFonts w:ascii="黑体" w:hAnsi="宋体" w:eastAsia="黑体" w:cs="黑体"/>
          <w:color w:val="000000"/>
          <w:kern w:val="0"/>
          <w:sz w:val="19"/>
          <w:szCs w:val="19"/>
          <w:lang w:val="en-US" w:eastAsia="zh-CN" w:bidi="ar"/>
        </w:rPr>
        <w:t xml:space="preserve">图 </w:t>
      </w:r>
      <w:r>
        <w:rPr>
          <w:rFonts w:ascii="黑体" w:hAnsi="宋体" w:eastAsia="黑体" w:cs="黑体"/>
          <w:color w:val="000000"/>
          <w:kern w:val="0"/>
          <w:sz w:val="19"/>
          <w:szCs w:val="19"/>
          <w:lang w:val="en-US" w:eastAsia="zh-CN" w:bidi="ar"/>
        </w:rPr>
        <w:fldChar w:fldCharType="begin"/>
      </w:r>
      <w:r>
        <w:rPr>
          <w:rFonts w:ascii="黑体" w:hAnsi="宋体" w:eastAsia="黑体" w:cs="黑体"/>
          <w:color w:val="000000"/>
          <w:kern w:val="0"/>
          <w:sz w:val="19"/>
          <w:szCs w:val="19"/>
          <w:lang w:val="en-US" w:eastAsia="zh-CN" w:bidi="ar"/>
        </w:rPr>
        <w:instrText xml:space="preserve"> SEQ 图 \* ARABIC </w:instrText>
      </w:r>
      <w:r>
        <w:rPr>
          <w:rFonts w:ascii="黑体" w:hAnsi="宋体" w:eastAsia="黑体" w:cs="黑体"/>
          <w:color w:val="000000"/>
          <w:kern w:val="0"/>
          <w:sz w:val="19"/>
          <w:szCs w:val="19"/>
          <w:lang w:val="en-US" w:eastAsia="zh-CN" w:bidi="ar"/>
        </w:rPr>
        <w:fldChar w:fldCharType="separate"/>
      </w:r>
      <w:r>
        <w:rPr>
          <w:rFonts w:ascii="黑体" w:hAnsi="宋体" w:eastAsia="黑体" w:cs="黑体"/>
          <w:color w:val="000000"/>
          <w:kern w:val="0"/>
          <w:sz w:val="19"/>
          <w:szCs w:val="19"/>
          <w:lang w:val="en-US" w:eastAsia="zh-CN" w:bidi="ar"/>
        </w:rPr>
        <w:t>5</w:t>
      </w:r>
      <w:r>
        <w:rPr>
          <w:rFonts w:ascii="黑体" w:hAnsi="宋体" w:eastAsia="黑体" w:cs="黑体"/>
          <w:color w:val="000000"/>
          <w:kern w:val="0"/>
          <w:sz w:val="19"/>
          <w:szCs w:val="19"/>
          <w:lang w:val="en-US" w:eastAsia="zh-CN" w:bidi="ar"/>
        </w:rPr>
        <w:fldChar w:fldCharType="end"/>
      </w:r>
      <w:bookmarkEnd w:id="5"/>
      <w:r>
        <w:rPr>
          <w:rFonts w:hint="eastAsia"/>
          <w:lang w:eastAsia="zh-CN"/>
        </w:rPr>
        <w:t xml:space="preserve"> </w:t>
      </w:r>
      <w:r>
        <w:rPr>
          <w:rFonts w:hint="eastAsia" w:ascii="黑体" w:hAnsi="宋体" w:eastAsia="黑体" w:cs="黑体"/>
          <w:color w:val="000000"/>
          <w:kern w:val="0"/>
          <w:sz w:val="19"/>
          <w:szCs w:val="19"/>
          <w:lang w:val="en-US" w:eastAsia="zh-CN" w:bidi="ar"/>
        </w:rPr>
        <w:t>海洋矿产资源勘探开发装备制造</w:t>
      </w:r>
      <w:r>
        <w:rPr>
          <w:rFonts w:ascii="黑体" w:hAnsi="宋体" w:eastAsia="黑体" w:cs="黑体"/>
          <w:color w:val="000000"/>
          <w:kern w:val="0"/>
          <w:sz w:val="19"/>
          <w:szCs w:val="19"/>
          <w:lang w:val="en-US" w:eastAsia="zh-CN" w:bidi="ar"/>
        </w:rPr>
        <w:t>主要专利申请人的技术构成分析（单位：件）</w:t>
      </w:r>
    </w:p>
    <w:p w14:paraId="74E09722">
      <w:pPr>
        <w:pStyle w:val="2"/>
        <w:numPr>
          <w:ilvl w:val="0"/>
          <w:numId w:val="0"/>
        </w:numPr>
        <w:spacing w:before="156" w:after="312"/>
      </w:pPr>
      <w:r>
        <w:rPr>
          <w:rFonts w:hint="eastAsia"/>
        </w:rPr>
        <w:t>结语：</w:t>
      </w:r>
    </w:p>
    <w:p w14:paraId="3FFCC948">
      <w:pPr>
        <w:keepNext w:val="0"/>
        <w:keepLines w:val="0"/>
        <w:widowControl/>
        <w:suppressLineNumbers w:val="0"/>
        <w:jc w:val="left"/>
        <w:rPr>
          <w:rFonts w:hint="default"/>
          <w:lang w:val="en-US"/>
        </w:rPr>
      </w:pPr>
      <w:r>
        <w:rPr>
          <w:rFonts w:ascii="仿宋" w:hAnsi="仿宋" w:eastAsia="仿宋" w:cs="仿宋"/>
          <w:color w:val="000000"/>
          <w:kern w:val="0"/>
          <w:sz w:val="24"/>
          <w:szCs w:val="24"/>
          <w:lang w:val="en-US" w:eastAsia="zh-CN" w:bidi="ar"/>
        </w:rPr>
        <w:t>通过对近</w:t>
      </w:r>
      <w:r>
        <w:rPr>
          <w:rFonts w:hint="default" w:ascii="Times New Roman" w:hAnsi="Times New Roman" w:eastAsia="宋体" w:cs="Times New Roman"/>
          <w:color w:val="000000"/>
          <w:kern w:val="0"/>
          <w:sz w:val="24"/>
          <w:szCs w:val="24"/>
          <w:lang w:val="en-US" w:eastAsia="zh-CN" w:bidi="ar"/>
        </w:rPr>
        <w:t>20</w:t>
      </w:r>
      <w:r>
        <w:rPr>
          <w:rFonts w:hint="eastAsia" w:ascii="仿宋" w:hAnsi="仿宋" w:eastAsia="仿宋" w:cs="仿宋"/>
          <w:color w:val="000000"/>
          <w:kern w:val="0"/>
          <w:sz w:val="24"/>
          <w:szCs w:val="24"/>
          <w:lang w:val="en-US" w:eastAsia="zh-CN" w:bidi="ar"/>
        </w:rPr>
        <w:t>年海洋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资源勘探开发装备制造相关专利分析可知，中国海洋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资源勘探开发装备制造技术从</w:t>
      </w:r>
      <w:r>
        <w:rPr>
          <w:rFonts w:hint="default" w:ascii="Times New Roman" w:hAnsi="Times New Roman" w:eastAsia="宋体" w:cs="Times New Roman"/>
          <w:color w:val="000000"/>
          <w:kern w:val="0"/>
          <w:sz w:val="24"/>
          <w:szCs w:val="24"/>
          <w:lang w:val="en-US" w:eastAsia="zh-CN" w:bidi="ar"/>
        </w:rPr>
        <w:t>2004</w:t>
      </w:r>
      <w:r>
        <w:rPr>
          <w:rFonts w:hint="default" w:ascii="Times New Roman" w:hAnsi="Times New Roman" w:eastAsia="仿宋" w:cs="Times New Roman"/>
          <w:color w:val="000000"/>
          <w:kern w:val="0"/>
          <w:sz w:val="24"/>
          <w:szCs w:val="24"/>
          <w:lang w:val="en-US" w:eastAsia="zh-CN" w:bidi="ar"/>
        </w:rPr>
        <w:t>年</w:t>
      </w:r>
      <w:r>
        <w:rPr>
          <w:rFonts w:hint="default" w:ascii="Times New Roman" w:hAnsi="Times New Roman" w:cs="Times New Roman"/>
          <w:color w:val="000000"/>
          <w:kern w:val="0"/>
          <w:sz w:val="24"/>
          <w:szCs w:val="24"/>
          <w:lang w:val="en-US" w:eastAsia="zh-CN" w:bidi="ar"/>
        </w:rPr>
        <w:t>至2015年</w:t>
      </w:r>
      <w:r>
        <w:rPr>
          <w:rFonts w:hint="eastAsia" w:ascii="仿宋" w:hAnsi="仿宋" w:eastAsia="仿宋" w:cs="仿宋"/>
          <w:color w:val="000000"/>
          <w:kern w:val="0"/>
          <w:sz w:val="24"/>
          <w:szCs w:val="24"/>
          <w:lang w:val="en-US" w:eastAsia="zh-CN" w:bidi="ar"/>
        </w:rPr>
        <w:t>正处于为后续的快速发展奠定坚实基础的重要阶段，整体</w:t>
      </w:r>
      <w:r>
        <w:rPr>
          <w:rFonts w:hint="eastAsia" w:ascii="仿宋" w:hAnsi="仿宋" w:cs="仿宋"/>
          <w:color w:val="000000"/>
          <w:kern w:val="0"/>
          <w:sz w:val="24"/>
          <w:szCs w:val="24"/>
          <w:lang w:val="en-US" w:eastAsia="zh-CN" w:bidi="ar"/>
        </w:rPr>
        <w:t>稳步上涨</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专利申请量和专利授权量分别于</w:t>
      </w:r>
      <w:r>
        <w:rPr>
          <w:rFonts w:hint="eastAsia" w:eastAsia="宋体" w:cs="Times New Roman"/>
          <w:color w:val="000000"/>
          <w:kern w:val="0"/>
          <w:sz w:val="24"/>
          <w:szCs w:val="24"/>
          <w:lang w:val="en-US" w:eastAsia="zh-CN" w:bidi="ar"/>
        </w:rPr>
        <w:t>2023</w:t>
      </w:r>
      <w:r>
        <w:rPr>
          <w:rFonts w:hint="eastAsia" w:ascii="仿宋" w:hAnsi="仿宋" w:cs="仿宋"/>
          <w:color w:val="000000"/>
          <w:kern w:val="0"/>
          <w:sz w:val="24"/>
          <w:szCs w:val="24"/>
          <w:lang w:val="en-US" w:eastAsia="zh-CN" w:bidi="ar"/>
        </w:rPr>
        <w:t>年和</w:t>
      </w:r>
      <w:r>
        <w:rPr>
          <w:rFonts w:hint="default" w:ascii="Times New Roman" w:hAnsi="Times New Roman" w:cs="Times New Roman"/>
          <w:color w:val="000000"/>
          <w:kern w:val="0"/>
          <w:sz w:val="24"/>
          <w:szCs w:val="24"/>
          <w:lang w:val="en-US" w:eastAsia="zh-CN" w:bidi="ar"/>
        </w:rPr>
        <w:t>2021年</w:t>
      </w:r>
      <w:r>
        <w:rPr>
          <w:rFonts w:hint="eastAsia" w:ascii="仿宋" w:hAnsi="仿宋" w:cs="仿宋"/>
          <w:color w:val="000000"/>
          <w:kern w:val="0"/>
          <w:sz w:val="24"/>
          <w:szCs w:val="24"/>
          <w:lang w:val="en-US" w:eastAsia="zh-CN" w:bidi="ar"/>
        </w:rPr>
        <w:t>达到最大值</w:t>
      </w:r>
      <w:r>
        <w:rPr>
          <w:rFonts w:hint="eastAsia" w:ascii="仿宋" w:hAnsi="仿宋" w:eastAsia="仿宋" w:cs="仿宋"/>
          <w:color w:val="000000"/>
          <w:kern w:val="0"/>
          <w:sz w:val="24"/>
          <w:szCs w:val="24"/>
          <w:lang w:val="en-US" w:eastAsia="zh-CN" w:bidi="ar"/>
        </w:rPr>
        <w:t>。其中，</w:t>
      </w:r>
      <w:r>
        <w:rPr>
          <w:rFonts w:hint="eastAsia" w:ascii="仿宋" w:hAnsi="仿宋" w:cs="仿宋"/>
          <w:color w:val="000000"/>
          <w:kern w:val="0"/>
          <w:sz w:val="24"/>
          <w:szCs w:val="24"/>
          <w:lang w:val="en-US" w:eastAsia="zh-CN" w:bidi="ar"/>
        </w:rPr>
        <w:t>山东省、北京市、江苏省</w:t>
      </w:r>
      <w:r>
        <w:rPr>
          <w:rFonts w:hint="eastAsia" w:ascii="仿宋" w:hAnsi="仿宋" w:eastAsia="仿宋" w:cs="仿宋"/>
          <w:color w:val="000000"/>
          <w:kern w:val="0"/>
          <w:sz w:val="24"/>
          <w:szCs w:val="24"/>
          <w:lang w:val="en-US" w:eastAsia="zh-CN" w:bidi="ar"/>
        </w:rPr>
        <w:t>三</w:t>
      </w:r>
      <w:r>
        <w:rPr>
          <w:rFonts w:hint="eastAsia" w:ascii="仿宋" w:hAnsi="仿宋" w:cs="仿宋"/>
          <w:color w:val="000000"/>
          <w:kern w:val="0"/>
          <w:sz w:val="24"/>
          <w:szCs w:val="24"/>
          <w:lang w:val="en-US" w:eastAsia="zh-CN" w:bidi="ar"/>
        </w:rPr>
        <w:t>个省市</w:t>
      </w:r>
      <w:r>
        <w:rPr>
          <w:rFonts w:hint="eastAsia" w:ascii="仿宋" w:hAnsi="仿宋" w:eastAsia="仿宋" w:cs="仿宋"/>
          <w:color w:val="000000"/>
          <w:kern w:val="0"/>
          <w:sz w:val="24"/>
          <w:szCs w:val="24"/>
          <w:lang w:val="en-US" w:eastAsia="zh-CN" w:bidi="ar"/>
        </w:rPr>
        <w:t>成为了</w:t>
      </w:r>
      <w:r>
        <w:rPr>
          <w:rFonts w:hint="eastAsia" w:ascii="仿宋" w:hAnsi="仿宋" w:cs="仿宋"/>
          <w:color w:val="000000"/>
          <w:kern w:val="0"/>
          <w:sz w:val="24"/>
          <w:szCs w:val="24"/>
          <w:lang w:val="en-US" w:eastAsia="zh-CN" w:bidi="ar"/>
        </w:rPr>
        <w:t>国内</w:t>
      </w:r>
      <w:r>
        <w:rPr>
          <w:rFonts w:hint="eastAsia" w:ascii="仿宋" w:hAnsi="仿宋" w:eastAsia="仿宋" w:cs="仿宋"/>
          <w:color w:val="000000"/>
          <w:kern w:val="0"/>
          <w:sz w:val="24"/>
          <w:szCs w:val="24"/>
          <w:lang w:val="en-US" w:eastAsia="zh-CN" w:bidi="ar"/>
        </w:rPr>
        <w:t>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资源勘探开发装备制造技术的</w:t>
      </w:r>
      <w:r>
        <w:rPr>
          <w:rFonts w:hint="eastAsia" w:ascii="仿宋" w:hAnsi="仿宋" w:cs="仿宋"/>
          <w:color w:val="000000"/>
          <w:kern w:val="0"/>
          <w:sz w:val="24"/>
          <w:szCs w:val="24"/>
          <w:lang w:val="en-US" w:eastAsia="zh-CN" w:bidi="ar"/>
        </w:rPr>
        <w:t>第一梯队</w:t>
      </w:r>
      <w:r>
        <w:rPr>
          <w:rFonts w:hint="eastAsia" w:ascii="仿宋" w:hAnsi="仿宋" w:eastAsia="仿宋" w:cs="仿宋"/>
          <w:color w:val="000000"/>
          <w:kern w:val="0"/>
          <w:sz w:val="24"/>
          <w:szCs w:val="24"/>
          <w:lang w:val="en-US" w:eastAsia="zh-CN" w:bidi="ar"/>
        </w:rPr>
        <w:t>，</w:t>
      </w:r>
      <w:r>
        <w:rPr>
          <w:rFonts w:ascii="仿宋" w:hAnsi="仿宋" w:eastAsia="仿宋" w:cs="仿宋"/>
          <w:color w:val="000000"/>
          <w:kern w:val="0"/>
          <w:sz w:val="24"/>
          <w:szCs w:val="24"/>
          <w:lang w:val="en-US" w:eastAsia="zh-CN" w:bidi="ar"/>
        </w:rPr>
        <w:t>广东省内则集中分布在广州市、深</w:t>
      </w:r>
      <w:r>
        <w:rPr>
          <w:rFonts w:hint="eastAsia" w:ascii="仿宋" w:hAnsi="仿宋" w:eastAsia="仿宋" w:cs="仿宋"/>
          <w:color w:val="000000"/>
          <w:kern w:val="0"/>
          <w:sz w:val="24"/>
          <w:szCs w:val="24"/>
          <w:lang w:val="en-US" w:eastAsia="zh-CN" w:bidi="ar"/>
        </w:rPr>
        <w:t>圳市和</w:t>
      </w:r>
      <w:r>
        <w:rPr>
          <w:rFonts w:hint="eastAsia" w:ascii="仿宋" w:hAnsi="仿宋" w:cs="仿宋"/>
          <w:color w:val="000000"/>
          <w:kern w:val="0"/>
          <w:sz w:val="24"/>
          <w:szCs w:val="24"/>
          <w:lang w:val="en-US" w:eastAsia="zh-CN" w:bidi="ar"/>
        </w:rPr>
        <w:t>湛江市，</w:t>
      </w:r>
      <w:r>
        <w:rPr>
          <w:rFonts w:hint="eastAsia" w:ascii="仿宋" w:hAnsi="仿宋" w:eastAsia="仿宋" w:cs="仿宋"/>
          <w:color w:val="000000"/>
          <w:kern w:val="0"/>
          <w:sz w:val="24"/>
          <w:szCs w:val="24"/>
          <w:lang w:val="en-US" w:eastAsia="zh-CN" w:bidi="ar"/>
        </w:rPr>
        <w:t>相关技术研究活跃度较高。从技术构成来看，</w:t>
      </w:r>
      <w:r>
        <w:rPr>
          <w:rFonts w:hint="eastAsia" w:eastAsia="宋体" w:cs="Times New Roman"/>
          <w:color w:val="000000"/>
          <w:kern w:val="0"/>
          <w:sz w:val="24"/>
          <w:szCs w:val="24"/>
          <w:lang w:val="en-US" w:eastAsia="zh-CN" w:bidi="ar"/>
        </w:rPr>
        <w:t>E21C50（</w:t>
      </w:r>
      <w:r>
        <w:rPr>
          <w:rFonts w:hint="eastAsia" w:ascii="仿宋" w:hAnsi="仿宋" w:eastAsia="仿宋" w:cs="仿宋"/>
          <w:color w:val="000000"/>
          <w:kern w:val="0"/>
          <w:sz w:val="24"/>
          <w:szCs w:val="24"/>
          <w:lang w:val="en-US" w:eastAsia="zh-CN" w:bidi="ar"/>
        </w:rPr>
        <w:t>其他类目未涉及到的从水下获取矿物</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成为该领域技术</w:t>
      </w:r>
      <w:r>
        <w:rPr>
          <w:rFonts w:hint="eastAsia" w:ascii="仿宋" w:hAnsi="仿宋" w:cs="仿宋"/>
          <w:color w:val="000000"/>
          <w:kern w:val="0"/>
          <w:sz w:val="24"/>
          <w:szCs w:val="24"/>
          <w:lang w:val="en-US" w:eastAsia="zh-CN" w:bidi="ar"/>
        </w:rPr>
        <w:t>的重点研究方向</w:t>
      </w:r>
      <w:r>
        <w:rPr>
          <w:rFonts w:hint="eastAsia" w:ascii="仿宋" w:hAnsi="仿宋" w:eastAsia="仿宋" w:cs="仿宋"/>
          <w:color w:val="000000"/>
          <w:kern w:val="0"/>
          <w:sz w:val="24"/>
          <w:szCs w:val="24"/>
          <w:lang w:val="en-US" w:eastAsia="zh-CN" w:bidi="ar"/>
        </w:rPr>
        <w:t>。此外，国内海洋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资源勘探开发装备制造专利申请主要以企事业单位与大专院校为主，其中</w:t>
      </w:r>
      <w:r>
        <w:rPr>
          <w:rFonts w:hint="eastAsia" w:ascii="仿宋" w:hAnsi="仿宋" w:cs="仿宋"/>
          <w:color w:val="000000"/>
          <w:kern w:val="0"/>
          <w:sz w:val="24"/>
          <w:szCs w:val="24"/>
          <w:highlight w:val="none"/>
          <w:lang w:val="en-US" w:eastAsia="zh-CN" w:bidi="ar"/>
        </w:rPr>
        <w:t>中国海洋大学</w:t>
      </w:r>
      <w:r>
        <w:rPr>
          <w:rFonts w:hint="eastAsia" w:ascii="仿宋" w:hAnsi="仿宋" w:eastAsia="仿宋" w:cs="仿宋"/>
          <w:color w:val="000000"/>
          <w:kern w:val="0"/>
          <w:sz w:val="24"/>
          <w:szCs w:val="24"/>
          <w:lang w:val="en-US" w:eastAsia="zh-CN" w:bidi="ar"/>
        </w:rPr>
        <w:t>以强有力的优势成为专利申请人第一位</w:t>
      </w:r>
      <w:r>
        <w:rPr>
          <w:rFonts w:hint="eastAsia" w:ascii="仿宋" w:hAnsi="仿宋" w:cs="仿宋"/>
          <w:color w:val="000000"/>
          <w:kern w:val="0"/>
          <w:sz w:val="24"/>
          <w:szCs w:val="24"/>
          <w:lang w:val="en-US" w:eastAsia="zh-CN" w:bidi="ar"/>
        </w:rPr>
        <w:t>。并且，申请人排行榜的前10名中，有8所大专院校和科研院所占据了席位，这说明了大专院校和科研院所在该技术领域的重要地位和不可忽视的影响力。</w:t>
      </w:r>
    </w:p>
    <w:p w14:paraId="206AFC44">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综上所述，我国海洋矿产资源勘探与开发装备制造技术正迈入一个快速发展的繁荣时期。从专利申请人类型的分布来看，企事业单位与高等教育机构共同引领着海洋矿产资源勘探开发装备制造技术专利申请的前列，</w:t>
      </w:r>
      <w:r>
        <w:rPr>
          <w:rFonts w:hint="eastAsia" w:ascii="仿宋" w:hAnsi="仿宋" w:cs="仿宋"/>
          <w:color w:val="000000"/>
          <w:kern w:val="0"/>
          <w:sz w:val="24"/>
          <w:szCs w:val="24"/>
          <w:lang w:val="en-US" w:eastAsia="zh-CN" w:bidi="ar"/>
        </w:rPr>
        <w:t>其中，大专院校与科研院所的单独申请量占据了总量的主导地位，占比超过50%</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这一事实说明了，该技术领域的前沿探索主要集中于高等教育与科研机构之中。因此，企业亟需深化产学研合作体系，并加大对海洋矿产资源勘探开发装备制造技术领域人才的培养力度，有效利用高等教育机构提供的科研设施与人才储备，以增强自主创新能力，为海洋矿产资源勘探开发装备制造等相关产业的升级发展提供强大驱动力。</w:t>
      </w:r>
      <w:r>
        <w:rPr>
          <w:rFonts w:hint="eastAsia" w:ascii="仿宋" w:hAnsi="仿宋" w:eastAsia="仿宋" w:cs="仿宋"/>
          <w:color w:val="000000"/>
          <w:kern w:val="0"/>
          <w:sz w:val="24"/>
          <w:szCs w:val="24"/>
          <w:lang w:val="en-US" w:eastAsia="zh-CN" w:bidi="ar"/>
        </w:rPr>
        <w:t>对于技术研发方面，我国海洋</w:t>
      </w:r>
      <w:r>
        <w:rPr>
          <w:rFonts w:hint="eastAsia" w:ascii="仿宋" w:hAnsi="仿宋" w:cs="仿宋"/>
          <w:color w:val="000000"/>
          <w:kern w:val="0"/>
          <w:sz w:val="24"/>
          <w:szCs w:val="24"/>
          <w:lang w:val="en-US" w:eastAsia="zh-CN" w:bidi="ar"/>
        </w:rPr>
        <w:t>矿产</w:t>
      </w:r>
      <w:r>
        <w:rPr>
          <w:rFonts w:hint="eastAsia" w:ascii="仿宋" w:hAnsi="仿宋" w:eastAsia="仿宋" w:cs="仿宋"/>
          <w:color w:val="000000"/>
          <w:kern w:val="0"/>
          <w:sz w:val="24"/>
          <w:szCs w:val="24"/>
          <w:lang w:val="en-US" w:eastAsia="zh-CN" w:bidi="ar"/>
        </w:rPr>
        <w:t>资源勘探开发装备制造的</w:t>
      </w:r>
      <w:r>
        <w:rPr>
          <w:rFonts w:hint="eastAsia" w:ascii="仿宋" w:hAnsi="仿宋" w:cs="仿宋"/>
          <w:color w:val="000000"/>
          <w:kern w:val="0"/>
          <w:sz w:val="24"/>
          <w:szCs w:val="24"/>
          <w:lang w:val="en-US" w:eastAsia="zh-CN" w:bidi="ar"/>
        </w:rPr>
        <w:t>研发重心偏向于</w:t>
      </w:r>
      <w:r>
        <w:rPr>
          <w:rFonts w:hint="eastAsia" w:ascii="仿宋" w:hAnsi="仿宋" w:eastAsia="仿宋" w:cs="仿宋"/>
          <w:color w:val="000000"/>
          <w:kern w:val="0"/>
          <w:sz w:val="24"/>
          <w:szCs w:val="24"/>
          <w:lang w:val="en-US" w:eastAsia="zh-CN" w:bidi="ar"/>
        </w:rPr>
        <w:t>其他类目未涉及到的从水下获取矿物等领域，</w:t>
      </w:r>
      <w:r>
        <w:rPr>
          <w:rFonts w:hint="eastAsia" w:ascii="仿宋" w:hAnsi="仿宋" w:cs="仿宋"/>
          <w:color w:val="000000"/>
          <w:kern w:val="0"/>
          <w:sz w:val="24"/>
          <w:szCs w:val="24"/>
          <w:lang w:val="en-US" w:eastAsia="zh-CN" w:bidi="ar"/>
        </w:rPr>
        <w:t>对其他技术领域的涉猎相对较少，技术的全面发展尚待加强。</w:t>
      </w:r>
      <w:r>
        <w:rPr>
          <w:rFonts w:hint="eastAsia" w:ascii="仿宋" w:hAnsi="仿宋" w:eastAsia="仿宋" w:cs="仿宋"/>
          <w:color w:val="000000"/>
          <w:kern w:val="0"/>
          <w:sz w:val="24"/>
          <w:szCs w:val="24"/>
          <w:lang w:val="en-US" w:eastAsia="zh-CN" w:bidi="ar"/>
        </w:rPr>
        <w:t>建议在巩固现有技术优势的基础上，特别是加强对深海探测、高效开采、环保处理等相关技术的研发，通过增强与国际国内新技术的交流、学习与协作，参与国际标准的制定与修订，不断完善并强化关键核心技术体系，提升我国在全球海洋矿产资源勘探与开发装备制造领域的竞争力。</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2D16B">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8E9D8">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4BC0">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D5AAB">
    <w:pPr>
      <w:pStyle w:val="7"/>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8900">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A288">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085A"/>
    <w:multiLevelType w:val="multilevel"/>
    <w:tmpl w:val="4DAC085A"/>
    <w:lvl w:ilvl="0" w:tentative="0">
      <w:start w:val="1"/>
      <w:numFmt w:val="decimal"/>
      <w:pStyle w:val="2"/>
      <w:lvlText w:val="%1"/>
      <w:lvlJc w:val="left"/>
      <w:pPr>
        <w:ind w:left="0" w:firstLine="0"/>
      </w:pPr>
      <w:rPr>
        <w:rFonts w:hint="eastAsia"/>
      </w:rPr>
    </w:lvl>
    <w:lvl w:ilvl="1" w:tentative="0">
      <w:start w:val="1"/>
      <w:numFmt w:val="decimal"/>
      <w:pStyle w:val="3"/>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2FmZTFjMzZlMDAzNzhkNzVmZGQ0NWNkNmQyMDIifQ=="/>
  </w:docVars>
  <w:rsids>
    <w:rsidRoot w:val="00172A27"/>
    <w:rsid w:val="0003586F"/>
    <w:rsid w:val="00136E0A"/>
    <w:rsid w:val="00163BE9"/>
    <w:rsid w:val="00234F4B"/>
    <w:rsid w:val="00267C60"/>
    <w:rsid w:val="00271973"/>
    <w:rsid w:val="00311CA2"/>
    <w:rsid w:val="00383DE3"/>
    <w:rsid w:val="004C0647"/>
    <w:rsid w:val="005319D6"/>
    <w:rsid w:val="005563F6"/>
    <w:rsid w:val="005A41FD"/>
    <w:rsid w:val="005C60AE"/>
    <w:rsid w:val="005E0D53"/>
    <w:rsid w:val="00687C67"/>
    <w:rsid w:val="0078143C"/>
    <w:rsid w:val="008578F1"/>
    <w:rsid w:val="00875150"/>
    <w:rsid w:val="008E2B2F"/>
    <w:rsid w:val="00933BFF"/>
    <w:rsid w:val="00970C5F"/>
    <w:rsid w:val="00975284"/>
    <w:rsid w:val="009A4668"/>
    <w:rsid w:val="00A0212E"/>
    <w:rsid w:val="00A368BA"/>
    <w:rsid w:val="00AB56FC"/>
    <w:rsid w:val="00B13304"/>
    <w:rsid w:val="00B5540B"/>
    <w:rsid w:val="00C22087"/>
    <w:rsid w:val="00D87294"/>
    <w:rsid w:val="00DE110E"/>
    <w:rsid w:val="00DF5D8D"/>
    <w:rsid w:val="00FA7CA8"/>
    <w:rsid w:val="00FB3A77"/>
    <w:rsid w:val="01303AC5"/>
    <w:rsid w:val="01995B0E"/>
    <w:rsid w:val="01EA0118"/>
    <w:rsid w:val="025D6B3C"/>
    <w:rsid w:val="02753E85"/>
    <w:rsid w:val="02E80AFB"/>
    <w:rsid w:val="03AD58A1"/>
    <w:rsid w:val="03AD764F"/>
    <w:rsid w:val="04CE5ACF"/>
    <w:rsid w:val="04E13A54"/>
    <w:rsid w:val="05685F23"/>
    <w:rsid w:val="05880374"/>
    <w:rsid w:val="05E41A4E"/>
    <w:rsid w:val="062A4F87"/>
    <w:rsid w:val="06451DC1"/>
    <w:rsid w:val="06A93C46"/>
    <w:rsid w:val="06DA3B03"/>
    <w:rsid w:val="06DC0977"/>
    <w:rsid w:val="07177C01"/>
    <w:rsid w:val="07230354"/>
    <w:rsid w:val="074E2EF7"/>
    <w:rsid w:val="07746E01"/>
    <w:rsid w:val="07A331FF"/>
    <w:rsid w:val="07BE1E2B"/>
    <w:rsid w:val="07C531B9"/>
    <w:rsid w:val="082C3238"/>
    <w:rsid w:val="08397703"/>
    <w:rsid w:val="0842480A"/>
    <w:rsid w:val="08730E67"/>
    <w:rsid w:val="0935611C"/>
    <w:rsid w:val="09710873"/>
    <w:rsid w:val="09734E97"/>
    <w:rsid w:val="09A3577C"/>
    <w:rsid w:val="09F935EE"/>
    <w:rsid w:val="0AD57BB7"/>
    <w:rsid w:val="0AE67CFF"/>
    <w:rsid w:val="0AEC6CAF"/>
    <w:rsid w:val="0B3F3282"/>
    <w:rsid w:val="0B4D3BF1"/>
    <w:rsid w:val="0B6B4077"/>
    <w:rsid w:val="0B8B471A"/>
    <w:rsid w:val="0C0A7D34"/>
    <w:rsid w:val="0C6A2581"/>
    <w:rsid w:val="0CCC6D98"/>
    <w:rsid w:val="0D417786"/>
    <w:rsid w:val="0DCD1019"/>
    <w:rsid w:val="0DF06AB6"/>
    <w:rsid w:val="0E2F75DE"/>
    <w:rsid w:val="0E3E1F17"/>
    <w:rsid w:val="0E574D87"/>
    <w:rsid w:val="0E811E04"/>
    <w:rsid w:val="0EF3685E"/>
    <w:rsid w:val="0F0071CD"/>
    <w:rsid w:val="0F0F11BE"/>
    <w:rsid w:val="0F39623B"/>
    <w:rsid w:val="104C32F3"/>
    <w:rsid w:val="10783CA7"/>
    <w:rsid w:val="117417AC"/>
    <w:rsid w:val="12011292"/>
    <w:rsid w:val="12274A70"/>
    <w:rsid w:val="1229233C"/>
    <w:rsid w:val="122E5DFF"/>
    <w:rsid w:val="1237502C"/>
    <w:rsid w:val="127E0B34"/>
    <w:rsid w:val="12AF6F40"/>
    <w:rsid w:val="12F86B39"/>
    <w:rsid w:val="137D0DEC"/>
    <w:rsid w:val="139B3968"/>
    <w:rsid w:val="13F25014"/>
    <w:rsid w:val="14060DE1"/>
    <w:rsid w:val="14B4083D"/>
    <w:rsid w:val="150956B3"/>
    <w:rsid w:val="152E4A94"/>
    <w:rsid w:val="153761A3"/>
    <w:rsid w:val="153B0F5F"/>
    <w:rsid w:val="157E0E4B"/>
    <w:rsid w:val="15FC4D8C"/>
    <w:rsid w:val="1606156C"/>
    <w:rsid w:val="164D0F49"/>
    <w:rsid w:val="16AD19E8"/>
    <w:rsid w:val="1739327C"/>
    <w:rsid w:val="17575DF8"/>
    <w:rsid w:val="176A1687"/>
    <w:rsid w:val="17936E30"/>
    <w:rsid w:val="17B44FF8"/>
    <w:rsid w:val="17D80CE7"/>
    <w:rsid w:val="17EF7DDE"/>
    <w:rsid w:val="184B14B9"/>
    <w:rsid w:val="18610CDC"/>
    <w:rsid w:val="1875736E"/>
    <w:rsid w:val="188C387F"/>
    <w:rsid w:val="18B3705E"/>
    <w:rsid w:val="18D47700"/>
    <w:rsid w:val="190C6EE7"/>
    <w:rsid w:val="198B3B37"/>
    <w:rsid w:val="19946E8F"/>
    <w:rsid w:val="19EE47F1"/>
    <w:rsid w:val="1A0C4D2D"/>
    <w:rsid w:val="1A143B2C"/>
    <w:rsid w:val="1A18186E"/>
    <w:rsid w:val="1A6B5E42"/>
    <w:rsid w:val="1AA61C49"/>
    <w:rsid w:val="1AAE390F"/>
    <w:rsid w:val="1C2A3ADB"/>
    <w:rsid w:val="1C2F2E9F"/>
    <w:rsid w:val="1C493F61"/>
    <w:rsid w:val="1D266050"/>
    <w:rsid w:val="1DC00253"/>
    <w:rsid w:val="1E740C93"/>
    <w:rsid w:val="1F114ADE"/>
    <w:rsid w:val="1F1F369F"/>
    <w:rsid w:val="1F1F71FB"/>
    <w:rsid w:val="1F2B2ED2"/>
    <w:rsid w:val="1F777037"/>
    <w:rsid w:val="1FD004F5"/>
    <w:rsid w:val="1FFE5062"/>
    <w:rsid w:val="20745325"/>
    <w:rsid w:val="20C664D8"/>
    <w:rsid w:val="20E36B38"/>
    <w:rsid w:val="20F46465"/>
    <w:rsid w:val="21115269"/>
    <w:rsid w:val="21AB746C"/>
    <w:rsid w:val="227855A0"/>
    <w:rsid w:val="22930D9A"/>
    <w:rsid w:val="22EE13BE"/>
    <w:rsid w:val="231D7EF5"/>
    <w:rsid w:val="233C3329"/>
    <w:rsid w:val="2378512C"/>
    <w:rsid w:val="23CE11F0"/>
    <w:rsid w:val="23F24EDE"/>
    <w:rsid w:val="24092228"/>
    <w:rsid w:val="24174945"/>
    <w:rsid w:val="2446522A"/>
    <w:rsid w:val="245F009A"/>
    <w:rsid w:val="247E49C4"/>
    <w:rsid w:val="24A3442A"/>
    <w:rsid w:val="254479BB"/>
    <w:rsid w:val="256516E0"/>
    <w:rsid w:val="25867FD4"/>
    <w:rsid w:val="25C61B3D"/>
    <w:rsid w:val="25D86356"/>
    <w:rsid w:val="25DC4098"/>
    <w:rsid w:val="26914E82"/>
    <w:rsid w:val="26AB75C6"/>
    <w:rsid w:val="271B4474"/>
    <w:rsid w:val="28090A48"/>
    <w:rsid w:val="29046AFF"/>
    <w:rsid w:val="29A62ABE"/>
    <w:rsid w:val="29D55086"/>
    <w:rsid w:val="2A8E3487"/>
    <w:rsid w:val="2AA8279A"/>
    <w:rsid w:val="2B5B780D"/>
    <w:rsid w:val="2B976711"/>
    <w:rsid w:val="2BD001FB"/>
    <w:rsid w:val="2BF33EE9"/>
    <w:rsid w:val="2BFC0FF0"/>
    <w:rsid w:val="2CE455E0"/>
    <w:rsid w:val="2D0A773C"/>
    <w:rsid w:val="2DC7118A"/>
    <w:rsid w:val="2E2C723F"/>
    <w:rsid w:val="2ECB4CA9"/>
    <w:rsid w:val="2EE713B8"/>
    <w:rsid w:val="2F0D7070"/>
    <w:rsid w:val="2F316B28"/>
    <w:rsid w:val="2FB4573E"/>
    <w:rsid w:val="302503E9"/>
    <w:rsid w:val="30424C7D"/>
    <w:rsid w:val="30517430"/>
    <w:rsid w:val="30542A7D"/>
    <w:rsid w:val="31C84E47"/>
    <w:rsid w:val="31E247E4"/>
    <w:rsid w:val="31E5108C"/>
    <w:rsid w:val="32452FC5"/>
    <w:rsid w:val="327F0285"/>
    <w:rsid w:val="32851613"/>
    <w:rsid w:val="332B5D17"/>
    <w:rsid w:val="33843679"/>
    <w:rsid w:val="34164A7F"/>
    <w:rsid w:val="344A6670"/>
    <w:rsid w:val="34655258"/>
    <w:rsid w:val="359F29EC"/>
    <w:rsid w:val="35B30245"/>
    <w:rsid w:val="364A2958"/>
    <w:rsid w:val="368D6CE8"/>
    <w:rsid w:val="37313B18"/>
    <w:rsid w:val="37781747"/>
    <w:rsid w:val="377F2AD5"/>
    <w:rsid w:val="37963071"/>
    <w:rsid w:val="37BA58BB"/>
    <w:rsid w:val="37CD1A92"/>
    <w:rsid w:val="389D1465"/>
    <w:rsid w:val="38D806EF"/>
    <w:rsid w:val="399A59A4"/>
    <w:rsid w:val="39BE5B37"/>
    <w:rsid w:val="3A045513"/>
    <w:rsid w:val="3A4678DA"/>
    <w:rsid w:val="3B9A612F"/>
    <w:rsid w:val="3BC25DE6"/>
    <w:rsid w:val="3BD3519D"/>
    <w:rsid w:val="3CBC20D5"/>
    <w:rsid w:val="3CDD2778"/>
    <w:rsid w:val="3D6267D9"/>
    <w:rsid w:val="3DC6374A"/>
    <w:rsid w:val="3DD07BE6"/>
    <w:rsid w:val="3DE43692"/>
    <w:rsid w:val="3E3143FD"/>
    <w:rsid w:val="3EAE3E3D"/>
    <w:rsid w:val="3EE576C2"/>
    <w:rsid w:val="3EF773F5"/>
    <w:rsid w:val="3FDF6807"/>
    <w:rsid w:val="3FE94F8F"/>
    <w:rsid w:val="401069C0"/>
    <w:rsid w:val="401C35B7"/>
    <w:rsid w:val="402210DC"/>
    <w:rsid w:val="40C652D1"/>
    <w:rsid w:val="40D7128C"/>
    <w:rsid w:val="41780CC1"/>
    <w:rsid w:val="41C87477"/>
    <w:rsid w:val="41CE268F"/>
    <w:rsid w:val="43397FDC"/>
    <w:rsid w:val="433B1FA6"/>
    <w:rsid w:val="434C41B3"/>
    <w:rsid w:val="43AF4742"/>
    <w:rsid w:val="43BB119C"/>
    <w:rsid w:val="43F00D00"/>
    <w:rsid w:val="44450C02"/>
    <w:rsid w:val="44550E45"/>
    <w:rsid w:val="4496320C"/>
    <w:rsid w:val="450D7972"/>
    <w:rsid w:val="45244CBC"/>
    <w:rsid w:val="45321187"/>
    <w:rsid w:val="45350C77"/>
    <w:rsid w:val="456F4189"/>
    <w:rsid w:val="45A1630C"/>
    <w:rsid w:val="465810C1"/>
    <w:rsid w:val="4665558C"/>
    <w:rsid w:val="46674E60"/>
    <w:rsid w:val="46BF4C9C"/>
    <w:rsid w:val="46F80C5B"/>
    <w:rsid w:val="472B2005"/>
    <w:rsid w:val="476D46F8"/>
    <w:rsid w:val="477F442B"/>
    <w:rsid w:val="47C92205"/>
    <w:rsid w:val="486A6E89"/>
    <w:rsid w:val="48AE321A"/>
    <w:rsid w:val="48B14AB8"/>
    <w:rsid w:val="48C540C0"/>
    <w:rsid w:val="49311E2D"/>
    <w:rsid w:val="4953791E"/>
    <w:rsid w:val="49F27137"/>
    <w:rsid w:val="4A1B043B"/>
    <w:rsid w:val="4A835FE1"/>
    <w:rsid w:val="4AB12B4E"/>
    <w:rsid w:val="4ADA02F6"/>
    <w:rsid w:val="4B180E1F"/>
    <w:rsid w:val="4B59106A"/>
    <w:rsid w:val="4B893ACB"/>
    <w:rsid w:val="4BB270BA"/>
    <w:rsid w:val="4C343A36"/>
    <w:rsid w:val="4C567E51"/>
    <w:rsid w:val="4C577725"/>
    <w:rsid w:val="4D111FCA"/>
    <w:rsid w:val="4D21045F"/>
    <w:rsid w:val="4D5D6FBD"/>
    <w:rsid w:val="4D8C1650"/>
    <w:rsid w:val="4DC46494"/>
    <w:rsid w:val="4DCF687D"/>
    <w:rsid w:val="4DEA6AA2"/>
    <w:rsid w:val="4E467A51"/>
    <w:rsid w:val="4E8F13F8"/>
    <w:rsid w:val="4F053468"/>
    <w:rsid w:val="4F11005F"/>
    <w:rsid w:val="4F310701"/>
    <w:rsid w:val="4FB8672C"/>
    <w:rsid w:val="503264DF"/>
    <w:rsid w:val="50592E34"/>
    <w:rsid w:val="50D70E34"/>
    <w:rsid w:val="51087240"/>
    <w:rsid w:val="512F6EC2"/>
    <w:rsid w:val="51BE6144"/>
    <w:rsid w:val="51C4585C"/>
    <w:rsid w:val="51CD2963"/>
    <w:rsid w:val="51DC6676"/>
    <w:rsid w:val="51FC6DA4"/>
    <w:rsid w:val="525503FE"/>
    <w:rsid w:val="52990A97"/>
    <w:rsid w:val="52A336C4"/>
    <w:rsid w:val="52FC2DD4"/>
    <w:rsid w:val="530D52E9"/>
    <w:rsid w:val="53544AC1"/>
    <w:rsid w:val="53FC12DE"/>
    <w:rsid w:val="54522A8F"/>
    <w:rsid w:val="54DC2EBD"/>
    <w:rsid w:val="54E35FFA"/>
    <w:rsid w:val="55191603"/>
    <w:rsid w:val="55540CA5"/>
    <w:rsid w:val="555A74BB"/>
    <w:rsid w:val="557E5D22"/>
    <w:rsid w:val="55BD4A9D"/>
    <w:rsid w:val="55D65B5E"/>
    <w:rsid w:val="55E055A9"/>
    <w:rsid w:val="55F83D27"/>
    <w:rsid w:val="56130B60"/>
    <w:rsid w:val="569577C7"/>
    <w:rsid w:val="577D2735"/>
    <w:rsid w:val="57EA58F1"/>
    <w:rsid w:val="591C7D2C"/>
    <w:rsid w:val="594B23BF"/>
    <w:rsid w:val="59930F48"/>
    <w:rsid w:val="59B26A4A"/>
    <w:rsid w:val="59B41FB5"/>
    <w:rsid w:val="5A0013FC"/>
    <w:rsid w:val="5A272E2C"/>
    <w:rsid w:val="5A44753A"/>
    <w:rsid w:val="5A700DA8"/>
    <w:rsid w:val="5A8147E1"/>
    <w:rsid w:val="5A9D30EE"/>
    <w:rsid w:val="5AE42ACB"/>
    <w:rsid w:val="5AFE3B8D"/>
    <w:rsid w:val="5AFF16B3"/>
    <w:rsid w:val="5B092532"/>
    <w:rsid w:val="5B152C85"/>
    <w:rsid w:val="5B182775"/>
    <w:rsid w:val="5B9C6F02"/>
    <w:rsid w:val="5C2313D1"/>
    <w:rsid w:val="5C514387"/>
    <w:rsid w:val="5C7834CB"/>
    <w:rsid w:val="5CB07109"/>
    <w:rsid w:val="5D4B0BE0"/>
    <w:rsid w:val="5DB03139"/>
    <w:rsid w:val="5DCA244C"/>
    <w:rsid w:val="5E4775F9"/>
    <w:rsid w:val="5E9860A7"/>
    <w:rsid w:val="5EAC3900"/>
    <w:rsid w:val="5EB86749"/>
    <w:rsid w:val="5F294F51"/>
    <w:rsid w:val="5F9C492E"/>
    <w:rsid w:val="5FEB1311"/>
    <w:rsid w:val="604D64B1"/>
    <w:rsid w:val="60B8658C"/>
    <w:rsid w:val="61811074"/>
    <w:rsid w:val="61D07906"/>
    <w:rsid w:val="61F23D20"/>
    <w:rsid w:val="61F703D7"/>
    <w:rsid w:val="62031A89"/>
    <w:rsid w:val="639D5F0D"/>
    <w:rsid w:val="63B75221"/>
    <w:rsid w:val="63DD455C"/>
    <w:rsid w:val="64370110"/>
    <w:rsid w:val="64B27796"/>
    <w:rsid w:val="653A1C66"/>
    <w:rsid w:val="655A1765"/>
    <w:rsid w:val="65984BDE"/>
    <w:rsid w:val="65C53B7F"/>
    <w:rsid w:val="66456B14"/>
    <w:rsid w:val="66FE4F15"/>
    <w:rsid w:val="67105873"/>
    <w:rsid w:val="671169F6"/>
    <w:rsid w:val="672A3F5C"/>
    <w:rsid w:val="674A015A"/>
    <w:rsid w:val="68394457"/>
    <w:rsid w:val="68406D62"/>
    <w:rsid w:val="689C6793"/>
    <w:rsid w:val="68BC5088"/>
    <w:rsid w:val="68ED6FEF"/>
    <w:rsid w:val="693B7D5A"/>
    <w:rsid w:val="695E1C9B"/>
    <w:rsid w:val="69667335"/>
    <w:rsid w:val="696838FF"/>
    <w:rsid w:val="696C260A"/>
    <w:rsid w:val="69B63885"/>
    <w:rsid w:val="69CE0BCF"/>
    <w:rsid w:val="6A09132A"/>
    <w:rsid w:val="6A097E59"/>
    <w:rsid w:val="6A9D38B2"/>
    <w:rsid w:val="6ACB7804"/>
    <w:rsid w:val="6AD06BC8"/>
    <w:rsid w:val="6B543355"/>
    <w:rsid w:val="6BB452B4"/>
    <w:rsid w:val="6BBC6011"/>
    <w:rsid w:val="6C90796D"/>
    <w:rsid w:val="6CA976D1"/>
    <w:rsid w:val="6CE93F71"/>
    <w:rsid w:val="6DF36E56"/>
    <w:rsid w:val="6E3000AA"/>
    <w:rsid w:val="6F23376B"/>
    <w:rsid w:val="6F743FC6"/>
    <w:rsid w:val="6FAA5C3A"/>
    <w:rsid w:val="707452B2"/>
    <w:rsid w:val="70787CDC"/>
    <w:rsid w:val="70A46B2D"/>
    <w:rsid w:val="70BB79D3"/>
    <w:rsid w:val="70D0347E"/>
    <w:rsid w:val="70DD5B9B"/>
    <w:rsid w:val="715916C6"/>
    <w:rsid w:val="716A5681"/>
    <w:rsid w:val="717464FF"/>
    <w:rsid w:val="71D62D16"/>
    <w:rsid w:val="726522EC"/>
    <w:rsid w:val="728E539F"/>
    <w:rsid w:val="72C76B03"/>
    <w:rsid w:val="730B69EF"/>
    <w:rsid w:val="73353A6C"/>
    <w:rsid w:val="73873564"/>
    <w:rsid w:val="73CA0659"/>
    <w:rsid w:val="74597C2E"/>
    <w:rsid w:val="749649DF"/>
    <w:rsid w:val="750D2EF3"/>
    <w:rsid w:val="754601B3"/>
    <w:rsid w:val="75930F1E"/>
    <w:rsid w:val="759727BC"/>
    <w:rsid w:val="75A650F5"/>
    <w:rsid w:val="75AD3D8E"/>
    <w:rsid w:val="76361FD5"/>
    <w:rsid w:val="76417752"/>
    <w:rsid w:val="765E32DA"/>
    <w:rsid w:val="76872831"/>
    <w:rsid w:val="76D57A40"/>
    <w:rsid w:val="76DD06A3"/>
    <w:rsid w:val="773B361B"/>
    <w:rsid w:val="775070C7"/>
    <w:rsid w:val="77530965"/>
    <w:rsid w:val="77E85551"/>
    <w:rsid w:val="79052133"/>
    <w:rsid w:val="791A5BDE"/>
    <w:rsid w:val="79222CE5"/>
    <w:rsid w:val="797B1AFF"/>
    <w:rsid w:val="7A304F8E"/>
    <w:rsid w:val="7A342CD0"/>
    <w:rsid w:val="7A770E0E"/>
    <w:rsid w:val="7AB21E46"/>
    <w:rsid w:val="7AEF4E49"/>
    <w:rsid w:val="7BDD2EF3"/>
    <w:rsid w:val="7BE14791"/>
    <w:rsid w:val="7BE73D72"/>
    <w:rsid w:val="7C773348"/>
    <w:rsid w:val="7C975798"/>
    <w:rsid w:val="7CC320E9"/>
    <w:rsid w:val="7D95588D"/>
    <w:rsid w:val="7D9F66B2"/>
    <w:rsid w:val="7E7F4735"/>
    <w:rsid w:val="7E8D6E52"/>
    <w:rsid w:val="7F2D4191"/>
    <w:rsid w:val="7F3948E4"/>
    <w:rsid w:val="7F625BE9"/>
    <w:rsid w:val="7FA206DC"/>
    <w:rsid w:val="7FAF9C8A"/>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仿宋" w:cstheme="minorBidi"/>
      <w:kern w:val="2"/>
      <w:sz w:val="24"/>
      <w:szCs w:val="24"/>
      <w:lang w:val="en-US" w:eastAsia="zh-CN" w:bidi="ar-SA"/>
    </w:rPr>
  </w:style>
  <w:style w:type="paragraph" w:styleId="2">
    <w:name w:val="heading 1"/>
    <w:basedOn w:val="1"/>
    <w:next w:val="1"/>
    <w:link w:val="21"/>
    <w:qFormat/>
    <w:uiPriority w:val="9"/>
    <w:pPr>
      <w:keepNext/>
      <w:keepLines/>
      <w:numPr>
        <w:ilvl w:val="0"/>
        <w:numId w:val="1"/>
      </w:numPr>
      <w:spacing w:before="50" w:beforeLines="50" w:after="100" w:afterLines="100"/>
      <w:ind w:firstLineChars="0"/>
      <w:outlineLvl w:val="0"/>
    </w:pPr>
    <w:rPr>
      <w:rFonts w:eastAsia="宋体" w:asciiTheme="minorHAnsi" w:hAnsiTheme="minorHAnsi"/>
      <w:b/>
      <w:bCs/>
      <w:kern w:val="44"/>
      <w:sz w:val="28"/>
      <w:szCs w:val="44"/>
    </w:rPr>
  </w:style>
  <w:style w:type="paragraph" w:styleId="3">
    <w:name w:val="heading 2"/>
    <w:basedOn w:val="1"/>
    <w:next w:val="1"/>
    <w:unhideWhenUsed/>
    <w:qFormat/>
    <w:uiPriority w:val="9"/>
    <w:pPr>
      <w:keepNext/>
      <w:keepLines/>
      <w:numPr>
        <w:ilvl w:val="1"/>
        <w:numId w:val="1"/>
      </w:numPr>
      <w:spacing w:before="50" w:beforeLines="50" w:after="50" w:afterLines="50"/>
      <w:ind w:firstLineChars="0"/>
      <w:jc w:val="left"/>
      <w:outlineLvl w:val="1"/>
    </w:pPr>
    <w:rPr>
      <w:rFonts w:eastAsia="宋体" w:cstheme="majorBidi"/>
      <w:b/>
      <w:bCs/>
      <w:sz w:val="28"/>
      <w:szCs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autoRedefine/>
    <w:unhideWhenUsed/>
    <w:qFormat/>
    <w:uiPriority w:val="0"/>
    <w:pPr>
      <w:jc w:val="center"/>
    </w:pPr>
    <w:rPr>
      <w:rFonts w:ascii="Arial" w:hAnsi="Arial" w:eastAsia="黑体"/>
      <w:sz w:val="18"/>
    </w:rPr>
  </w:style>
  <w:style w:type="paragraph" w:styleId="5">
    <w:name w:val="annotation text"/>
    <w:basedOn w:val="1"/>
    <w:link w:val="19"/>
    <w:autoRedefine/>
    <w:qFormat/>
    <w:uiPriority w:val="0"/>
    <w:pPr>
      <w:jc w:val="left"/>
    </w:pPr>
  </w:style>
  <w:style w:type="paragraph" w:styleId="6">
    <w:name w:val="footer"/>
    <w:basedOn w:val="1"/>
    <w:link w:val="16"/>
    <w:autoRedefine/>
    <w:qFormat/>
    <w:uiPriority w:val="0"/>
    <w:pPr>
      <w:tabs>
        <w:tab w:val="center" w:pos="4153"/>
        <w:tab w:val="right" w:pos="8306"/>
      </w:tabs>
      <w:snapToGrid w:val="0"/>
      <w:spacing w:line="240" w:lineRule="auto"/>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itle"/>
    <w:basedOn w:val="1"/>
    <w:next w:val="1"/>
    <w:link w:val="17"/>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9">
    <w:name w:val="annotation subject"/>
    <w:basedOn w:val="5"/>
    <w:next w:val="5"/>
    <w:link w:val="2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annotation reference"/>
    <w:basedOn w:val="12"/>
    <w:autoRedefine/>
    <w:qFormat/>
    <w:uiPriority w:val="0"/>
    <w:rPr>
      <w:sz w:val="21"/>
      <w:szCs w:val="21"/>
    </w:rPr>
  </w:style>
  <w:style w:type="character" w:customStyle="1" w:styleId="15">
    <w:name w:val="页眉 字符"/>
    <w:basedOn w:val="12"/>
    <w:link w:val="7"/>
    <w:autoRedefine/>
    <w:qFormat/>
    <w:uiPriority w:val="0"/>
    <w:rPr>
      <w:rFonts w:eastAsia="仿宋" w:cstheme="minorBidi"/>
      <w:kern w:val="2"/>
      <w:sz w:val="18"/>
      <w:szCs w:val="18"/>
    </w:rPr>
  </w:style>
  <w:style w:type="character" w:customStyle="1" w:styleId="16">
    <w:name w:val="页脚 字符"/>
    <w:basedOn w:val="12"/>
    <w:link w:val="6"/>
    <w:autoRedefine/>
    <w:qFormat/>
    <w:uiPriority w:val="0"/>
    <w:rPr>
      <w:rFonts w:eastAsia="仿宋" w:cstheme="minorBidi"/>
      <w:kern w:val="2"/>
      <w:sz w:val="18"/>
      <w:szCs w:val="18"/>
    </w:rPr>
  </w:style>
  <w:style w:type="character" w:customStyle="1" w:styleId="17">
    <w:name w:val="标题 字符"/>
    <w:basedOn w:val="12"/>
    <w:link w:val="8"/>
    <w:autoRedefine/>
    <w:qFormat/>
    <w:uiPriority w:val="0"/>
    <w:rPr>
      <w:rFonts w:asciiTheme="majorHAnsi" w:hAnsiTheme="majorHAnsi" w:eastAsiaTheme="majorEastAsia" w:cstheme="majorBidi"/>
      <w:b/>
      <w:bCs/>
      <w:kern w:val="2"/>
      <w:sz w:val="32"/>
      <w:szCs w:val="32"/>
    </w:rPr>
  </w:style>
  <w:style w:type="paragraph" w:customStyle="1" w:styleId="18">
    <w:name w:val="表题注格式"/>
    <w:basedOn w:val="1"/>
    <w:autoRedefine/>
    <w:qFormat/>
    <w:uiPriority w:val="0"/>
    <w:pPr>
      <w:keepNext/>
      <w:spacing w:line="240" w:lineRule="auto"/>
      <w:ind w:firstLine="0" w:firstLineChars="0"/>
      <w:jc w:val="center"/>
    </w:pPr>
    <w:rPr>
      <w:rFonts w:ascii="黑体" w:eastAsia="黑体" w:cs="Times New Roman"/>
      <w:sz w:val="20"/>
      <w:szCs w:val="20"/>
    </w:rPr>
  </w:style>
  <w:style w:type="character" w:customStyle="1" w:styleId="19">
    <w:name w:val="批注文字 字符"/>
    <w:basedOn w:val="12"/>
    <w:link w:val="5"/>
    <w:autoRedefine/>
    <w:qFormat/>
    <w:uiPriority w:val="0"/>
    <w:rPr>
      <w:rFonts w:eastAsia="仿宋" w:cstheme="minorBidi"/>
      <w:kern w:val="2"/>
      <w:sz w:val="24"/>
      <w:szCs w:val="24"/>
    </w:rPr>
  </w:style>
  <w:style w:type="character" w:customStyle="1" w:styleId="20">
    <w:name w:val="批注主题 字符"/>
    <w:basedOn w:val="19"/>
    <w:link w:val="9"/>
    <w:autoRedefine/>
    <w:qFormat/>
    <w:uiPriority w:val="0"/>
    <w:rPr>
      <w:rFonts w:eastAsia="仿宋" w:cstheme="minorBidi"/>
      <w:b/>
      <w:bCs/>
      <w:kern w:val="2"/>
      <w:sz w:val="24"/>
      <w:szCs w:val="24"/>
    </w:rPr>
  </w:style>
  <w:style w:type="character" w:customStyle="1" w:styleId="21">
    <w:name w:val="标题 1 Char"/>
    <w:link w:val="2"/>
    <w:autoRedefine/>
    <w:qFormat/>
    <w:uiPriority w:val="9"/>
    <w:rPr>
      <w:rFonts w:eastAsia="宋体" w:asciiTheme="minorHAnsi" w:hAnsiTheme="minorHAnsi"/>
      <w:b/>
      <w:bCs/>
      <w:kern w:val="44"/>
      <w:sz w:val="28"/>
      <w:szCs w:val="44"/>
    </w:rPr>
  </w:style>
  <w:style w:type="character" w:customStyle="1" w:styleId="22">
    <w:name w:val="font51"/>
    <w:basedOn w:val="12"/>
    <w:qFormat/>
    <w:uiPriority w:val="0"/>
    <w:rPr>
      <w:rFonts w:hint="default" w:ascii="Times New Roman" w:hAnsi="Times New Roman" w:cs="Times New Roman"/>
      <w:color w:val="000000"/>
      <w:sz w:val="21"/>
      <w:szCs w:val="21"/>
      <w:u w:val="none"/>
    </w:rPr>
  </w:style>
  <w:style w:type="character" w:customStyle="1" w:styleId="23">
    <w:name w:val="font41"/>
    <w:basedOn w:val="12"/>
    <w:qFormat/>
    <w:uiPriority w:val="0"/>
    <w:rPr>
      <w:rFonts w:hint="eastAsia" w:ascii="仿宋" w:hAnsi="仿宋" w:eastAsia="仿宋" w:cs="仿宋"/>
      <w:color w:val="000000"/>
      <w:sz w:val="21"/>
      <w:szCs w:val="21"/>
      <w:u w:val="none"/>
    </w:rPr>
  </w:style>
  <w:style w:type="character" w:customStyle="1" w:styleId="24">
    <w:name w:val="font31"/>
    <w:basedOn w:val="12"/>
    <w:qFormat/>
    <w:uiPriority w:val="0"/>
    <w:rPr>
      <w:rFonts w:hint="default" w:ascii="Times New Roman" w:hAnsi="Times New Roman" w:cs="Times New Roman"/>
      <w:color w:val="000000"/>
      <w:sz w:val="21"/>
      <w:szCs w:val="21"/>
      <w:u w:val="none"/>
    </w:rPr>
  </w:style>
  <w:style w:type="character" w:customStyle="1" w:styleId="25">
    <w:name w:val="font21"/>
    <w:basedOn w:val="12"/>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chart" Target="charts/chart3.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chart" Target="charts/chart2.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1512;&#21516;&#31867;&#25991;&#20214;\&#23454;&#26045;\&#27733;&#23614;&#23548;&#33322;+&#31616;&#25253;\&#31616;&#25253;\2&#28023;&#27915;&#30719;&#20135;&#36164;&#28304;&#21208;&#25506;&#24320;&#21457;&#35013;&#22791;&#21046;&#36896;\&#31616;&#25253;&#25968;&#25454;&#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1512;&#21516;&#31867;&#25991;&#20214;\&#23454;&#26045;\&#27733;&#23614;&#23548;&#33322;+&#31616;&#25253;\&#31616;&#25253;\&#34676;&#34678;&#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1512;&#21516;&#31867;&#25991;&#20214;\&#23454;&#26045;\&#27733;&#23614;&#23548;&#33322;+&#31616;&#25253;\&#31616;&#25253;\&#34676;&#34678;&#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21512;&#21516;&#31867;&#25991;&#20214;\&#23454;&#26045;\&#27733;&#23614;&#23548;&#33322;+&#31616;&#25253;\&#31616;&#25253;\2&#28023;&#27915;&#30719;&#20135;&#36164;&#28304;&#21208;&#25506;&#24320;&#21457;&#35013;&#22791;&#21046;&#36896;\&#31616;&#25253;&#25968;&#25454;&#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1512;&#21516;&#31867;&#25991;&#20214;\&#23454;&#26045;\&#27733;&#23614;&#23548;&#33322;+&#31616;&#25253;\&#31616;&#25253;\2&#28023;&#27915;&#30719;&#20135;&#36164;&#28304;&#21208;&#25506;&#24320;&#21457;&#35013;&#22791;&#21046;&#36896;\&#31616;&#25253;&#25968;&#25454;&#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1512;&#21516;&#31867;&#25991;&#20214;\&#23454;&#26045;\&#27733;&#23614;&#23548;&#33322;+&#31616;&#25253;\&#31616;&#25253;\2&#28023;&#27915;&#30719;&#20135;&#36164;&#28304;&#21208;&#25506;&#24320;&#21457;&#35013;&#22791;&#21046;&#36896;\&#31616;&#25253;&#25968;&#25454;&#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0291083616383515"/>
          <c:y val="0.0636519502786112"/>
          <c:w val="0.967239782001332"/>
          <c:h val="0.708958422631805"/>
        </c:manualLayout>
      </c:layout>
      <c:lineChart>
        <c:grouping val="standard"/>
        <c:varyColors val="0"/>
        <c:ser>
          <c:idx val="0"/>
          <c:order val="0"/>
          <c:tx>
            <c:strRef>
              <c:f>'[简报数据图表.xlsx]1'!$B$24</c:f>
              <c:strCache>
                <c:ptCount val="1"/>
                <c:pt idx="0">
                  <c:v>专利申请量</c:v>
                </c:pt>
              </c:strCache>
            </c:strRef>
          </c:tx>
          <c:spPr>
            <a:ln w="28575" cap="rnd">
              <a:gradFill>
                <a:gsLst>
                  <a:gs pos="100000">
                    <a:schemeClr val="accent1">
                      <a:shade val="76667"/>
                    </a:schemeClr>
                  </a:gs>
                  <a:gs pos="0">
                    <a:schemeClr val="accent1">
                      <a:shade val="76667"/>
                      <a:hueOff val="-1670000"/>
                    </a:schemeClr>
                  </a:gs>
                </a:gsLst>
                <a:lin ang="0" scaled="1"/>
              </a:gradFill>
              <a:round/>
            </a:ln>
            <a:effectLst>
              <a:outerShdw blurRad="50800" dist="38100" dir="5400000" algn="t" rotWithShape="0">
                <a:prstClr val="black">
                  <a:alpha val="40000"/>
                </a:prstClr>
              </a:outerShdw>
            </a:effectLst>
          </c:spPr>
          <c:marker>
            <c:symbol val="circle"/>
            <c:size val="5"/>
            <c:spPr>
              <a:solidFill>
                <a:sysClr val="window" lastClr="FFFFFF"/>
              </a:solidFill>
              <a:ln w="25400">
                <a:gradFill>
                  <a:gsLst>
                    <a:gs pos="100000">
                      <a:schemeClr val="accent1">
                        <a:shade val="76667"/>
                      </a:schemeClr>
                    </a:gs>
                    <a:gs pos="0">
                      <a:schemeClr val="accent1">
                        <a:shade val="76667"/>
                        <a:hueOff val="-1670000"/>
                      </a:schemeClr>
                    </a:gs>
                  </a:gsLst>
                  <a:lin ang="0" scaled="1"/>
                </a:gradFill>
              </a:ln>
              <a:effectLst/>
            </c:spPr>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layout>
                <c:manualLayout>
                  <c:x val="-0.0289537712895377"/>
                  <c:y val="-0.0831547363909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'[简报数据图表.xlsx]1'!$A$25:$A$45</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'[简报数据图表.xlsx]1'!$B$25:$B$45</c:f>
              <c:numCache>
                <c:formatCode>General</c:formatCode>
                <c:ptCount val="21"/>
                <c:pt idx="0">
                  <c:v>32</c:v>
                </c:pt>
                <c:pt idx="1">
                  <c:v>37</c:v>
                </c:pt>
                <c:pt idx="2">
                  <c:v>49</c:v>
                </c:pt>
                <c:pt idx="3">
                  <c:v>45</c:v>
                </c:pt>
                <c:pt idx="4">
                  <c:v>73</c:v>
                </c:pt>
                <c:pt idx="5">
                  <c:v>76</c:v>
                </c:pt>
                <c:pt idx="6">
                  <c:v>72</c:v>
                </c:pt>
                <c:pt idx="7">
                  <c:v>113</c:v>
                </c:pt>
                <c:pt idx="8">
                  <c:v>107</c:v>
                </c:pt>
                <c:pt idx="9">
                  <c:v>163</c:v>
                </c:pt>
                <c:pt idx="10">
                  <c:v>177</c:v>
                </c:pt>
                <c:pt idx="11">
                  <c:v>206</c:v>
                </c:pt>
                <c:pt idx="12">
                  <c:v>340</c:v>
                </c:pt>
                <c:pt idx="13">
                  <c:v>431</c:v>
                </c:pt>
                <c:pt idx="14">
                  <c:v>436</c:v>
                </c:pt>
                <c:pt idx="15">
                  <c:v>424</c:v>
                </c:pt>
                <c:pt idx="16">
                  <c:v>527</c:v>
                </c:pt>
                <c:pt idx="17">
                  <c:v>498</c:v>
                </c:pt>
                <c:pt idx="18">
                  <c:v>451</c:v>
                </c:pt>
                <c:pt idx="19">
                  <c:v>509</c:v>
                </c:pt>
                <c:pt idx="20">
                  <c:v>155</c:v>
                </c:pt>
              </c:numCache>
            </c:numRef>
          </c:val>
          <c:smooth val="0"/>
        </c:ser>
        <c:ser>
          <c:idx val="1"/>
          <c:order val="1"/>
          <c:tx>
            <c:strRef>
              <c:f>'[简报数据图表.xlsx]1'!$C$24</c:f>
              <c:strCache>
                <c:ptCount val="1"/>
                <c:pt idx="0">
                  <c:v>专利授权量</c:v>
                </c:pt>
              </c:strCache>
            </c:strRef>
          </c:tx>
          <c:spPr>
            <a:ln w="28575" cap="rnd">
              <a:gradFill>
                <a:gsLst>
                  <a:gs pos="100000">
                    <a:schemeClr val="accent1">
                      <a:tint val="76667"/>
                    </a:schemeClr>
                  </a:gs>
                  <a:gs pos="0">
                    <a:schemeClr val="accent1">
                      <a:tint val="76667"/>
                      <a:hueOff val="-1670000"/>
                    </a:schemeClr>
                  </a:gs>
                </a:gsLst>
                <a:lin ang="0" scaled="1"/>
              </a:gradFill>
              <a:round/>
            </a:ln>
            <a:effectLst>
              <a:outerShdw blurRad="50800" dist="38100" dir="5400000" algn="t" rotWithShape="0">
                <a:prstClr val="black">
                  <a:alpha val="40000"/>
                </a:prstClr>
              </a:outerShdw>
            </a:effectLst>
          </c:spPr>
          <c:marker>
            <c:symbol val="circle"/>
            <c:size val="5"/>
            <c:spPr>
              <a:solidFill>
                <a:sysClr val="window" lastClr="FFFFFF"/>
              </a:solidFill>
              <a:ln w="25400">
                <a:gradFill>
                  <a:gsLst>
                    <a:gs pos="100000">
                      <a:schemeClr val="accent1">
                        <a:tint val="76667"/>
                      </a:schemeClr>
                    </a:gs>
                    <a:gs pos="0">
                      <a:schemeClr val="accent1">
                        <a:tint val="76667"/>
                        <a:hueOff val="-1670000"/>
                      </a:schemeClr>
                    </a:gs>
                  </a:gsLst>
                  <a:lin ang="0" scaled="1"/>
                </a:gradFill>
              </a:ln>
              <a:effectLst/>
            </c:spPr>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layout>
                <c:manualLayout>
                  <c:x val="-0.0212895377128954"/>
                  <c:y val="0.11787398199742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8"/>
              <c:delete val="1"/>
            </c:dLbl>
            <c:dLbl>
              <c:idx val="19"/>
              <c:delete val="1"/>
            </c:dLbl>
            <c:dLbl>
              <c:idx val="2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'[简报数据图表.xlsx]1'!$A$25:$A$45</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'[简报数据图表.xlsx]1'!$C$25:$C$45</c:f>
              <c:numCache>
                <c:formatCode>General</c:formatCode>
                <c:ptCount val="21"/>
                <c:pt idx="0">
                  <c:v>4</c:v>
                </c:pt>
                <c:pt idx="1">
                  <c:v>14</c:v>
                </c:pt>
                <c:pt idx="2">
                  <c:v>18</c:v>
                </c:pt>
                <c:pt idx="3">
                  <c:v>28</c:v>
                </c:pt>
                <c:pt idx="4">
                  <c:v>30</c:v>
                </c:pt>
                <c:pt idx="5">
                  <c:v>48</c:v>
                </c:pt>
                <c:pt idx="6">
                  <c:v>45</c:v>
                </c:pt>
                <c:pt idx="7">
                  <c:v>65</c:v>
                </c:pt>
                <c:pt idx="8">
                  <c:v>67</c:v>
                </c:pt>
                <c:pt idx="9">
                  <c:v>71</c:v>
                </c:pt>
                <c:pt idx="10">
                  <c:v>99</c:v>
                </c:pt>
                <c:pt idx="11">
                  <c:v>112</c:v>
                </c:pt>
                <c:pt idx="12">
                  <c:v>147</c:v>
                </c:pt>
                <c:pt idx="13">
                  <c:v>175</c:v>
                </c:pt>
                <c:pt idx="14">
                  <c:v>272</c:v>
                </c:pt>
                <c:pt idx="15">
                  <c:v>216</c:v>
                </c:pt>
                <c:pt idx="16">
                  <c:v>259</c:v>
                </c:pt>
                <c:pt idx="17">
                  <c:v>354</c:v>
                </c:pt>
                <c:pt idx="18">
                  <c:v>338</c:v>
                </c:pt>
                <c:pt idx="19">
                  <c:v>317</c:v>
                </c:pt>
                <c:pt idx="20">
                  <c:v>279</c:v>
                </c:pt>
              </c:numCache>
            </c:numRef>
          </c:val>
          <c:smooth val="0"/>
        </c:ser>
        <c:dLbls>
          <c:showLegendKey val="0"/>
          <c:showVal val="0"/>
          <c:showCatName val="0"/>
          <c:showSerName val="0"/>
          <c:showPercent val="0"/>
          <c:showBubbleSize val="0"/>
        </c:dLbls>
        <c:marker val="1"/>
        <c:smooth val="0"/>
        <c:axId val="969608140"/>
        <c:axId val="924501781"/>
      </c:lineChart>
      <c:catAx>
        <c:axId val="969608140"/>
        <c:scaling>
          <c:orientation val="minMax"/>
        </c:scaling>
        <c:delete val="0"/>
        <c:axPos val="b"/>
        <c:majorTickMark val="in"/>
        <c:minorTickMark val="none"/>
        <c:tickLblPos val="nextTo"/>
        <c:spPr>
          <a:noFill/>
          <a:ln w="9525" cap="flat" cmpd="sng" algn="ctr">
            <a:solidFill>
              <a:srgbClr val="E7E6E6"/>
            </a:solidFill>
            <a:round/>
          </a:ln>
          <a:effectLst/>
        </c:spPr>
        <c:txPr>
          <a:bodyPr rot="-2700000" spcFirstLastPara="0" vertOverflow="ellipsis" vert="horz" wrap="square" anchor="ctr" anchorCtr="1" forceAA="0"/>
          <a:lstStyle/>
          <a:p>
            <a:pPr>
              <a:defRPr lang="zh-CN" sz="1000" b="0" i="0" u="none" strike="noStrike" kern="1200" baseline="0">
                <a:solidFill>
                  <a:sysClr val="windowText" lastClr="000000"/>
                </a:solidFill>
                <a:latin typeface="+mn-lt"/>
                <a:ea typeface="+mn-ea"/>
                <a:cs typeface="+mn-cs"/>
              </a:defRPr>
            </a:pPr>
          </a:p>
        </c:txPr>
        <c:crossAx val="924501781"/>
        <c:crosses val="autoZero"/>
        <c:auto val="1"/>
        <c:lblAlgn val="ctr"/>
        <c:lblOffset val="100"/>
        <c:noMultiLvlLbl val="0"/>
      </c:catAx>
      <c:valAx>
        <c:axId val="924501781"/>
        <c:scaling>
          <c:orientation val="minMax"/>
        </c:scaling>
        <c:delete val="1"/>
        <c:axPos val="l"/>
        <c:numFmt formatCode="General" sourceLinked="1"/>
        <c:majorTickMark val="in"/>
        <c:minorTickMark val="none"/>
        <c:tickLblPos val="nextTo"/>
        <c:txPr>
          <a:bodyPr rot="-60000000" spcFirstLastPara="0" vertOverflow="ellipsis" vert="horz" wrap="square" anchor="ctr" anchorCtr="1" forceAA="0"/>
          <a:lstStyle/>
          <a:p>
            <a:pPr>
              <a:defRPr lang="zh-CN" sz="900" b="0" i="0" u="none" strike="noStrike" kern="1200" baseline="0">
                <a:solidFill>
                  <a:sysClr val="windowText" lastClr="000000"/>
                </a:solidFill>
                <a:latin typeface="+mn-lt"/>
                <a:ea typeface="+mn-ea"/>
                <a:cs typeface="+mn-cs"/>
              </a:defRPr>
            </a:pPr>
          </a:p>
        </c:txPr>
        <c:crossAx val="969608140"/>
        <c:crosses val="autoZero"/>
        <c:crossBetween val="between"/>
        <c:majorUnit val="1000"/>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654939172749392"/>
          <c:y val="0.005859375"/>
          <c:w val="0.318540145985401"/>
          <c:h val="0.915234375"/>
        </c:manualLayout>
      </c:layout>
      <c:barChart>
        <c:barDir val="bar"/>
        <c:grouping val="clustered"/>
        <c:varyColors val="0"/>
        <c:ser>
          <c:idx val="0"/>
          <c:order val="0"/>
          <c:tx>
            <c:strRef>
              <c:f>[蝴蝶图.xlsx]草稿!$F$101</c:f>
              <c:strCache>
                <c:ptCount val="1"/>
                <c:pt idx="0">
                  <c:v>专利授权量</c:v>
                </c:pt>
              </c:strCache>
            </c:strRef>
          </c:tx>
          <c:spPr>
            <a:gradFill>
              <a:gsLst>
                <a:gs pos="0">
                  <a:schemeClr val="accent1">
                    <a:shade val="76667"/>
                    <a:lumMod val="40000"/>
                    <a:lumOff val="60000"/>
                  </a:schemeClr>
                </a:gs>
                <a:gs pos="90000">
                  <a:schemeClr val="accent1">
                    <a:shade val="76667"/>
                  </a:schemeClr>
                </a:gs>
              </a:gsLst>
              <a:lin ang="10800000" scaled="0"/>
            </a:gradFill>
            <a:ln>
              <a:gradFill>
                <a:gsLst>
                  <a:gs pos="0">
                    <a:schemeClr val="accent1">
                      <a:shade val="76667"/>
                    </a:schemeClr>
                  </a:gs>
                  <a:gs pos="100000">
                    <a:schemeClr val="accent1">
                      <a:shade val="76667"/>
                      <a:lumMod val="75000"/>
                    </a:schemeClr>
                  </a:gs>
                </a:gsLst>
                <a:lin ang="10800000" scaled="0"/>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[蝴蝶图.xlsx]草稿!$D$102:$D$111</c:f>
              <c:strCache>
                <c:ptCount val="10"/>
                <c:pt idx="0">
                  <c:v>山东省</c:v>
                </c:pt>
                <c:pt idx="1">
                  <c:v>北京市</c:v>
                </c:pt>
                <c:pt idx="2">
                  <c:v>江苏省</c:v>
                </c:pt>
                <c:pt idx="3">
                  <c:v>广东省</c:v>
                </c:pt>
                <c:pt idx="4">
                  <c:v>浙江省</c:v>
                </c:pt>
                <c:pt idx="5">
                  <c:v>湖南省</c:v>
                </c:pt>
                <c:pt idx="6">
                  <c:v>上海市</c:v>
                </c:pt>
                <c:pt idx="7">
                  <c:v>天津市</c:v>
                </c:pt>
                <c:pt idx="8">
                  <c:v>湖北省</c:v>
                </c:pt>
                <c:pt idx="9">
                  <c:v>安徽省</c:v>
                </c:pt>
              </c:strCache>
            </c:strRef>
          </c:cat>
          <c:val>
            <c:numRef>
              <c:f>[蝴蝶图.xlsx]草稿!$F$102:$F$111</c:f>
              <c:numCache>
                <c:formatCode>General</c:formatCode>
                <c:ptCount val="10"/>
                <c:pt idx="0">
                  <c:v>409</c:v>
                </c:pt>
                <c:pt idx="1">
                  <c:v>355</c:v>
                </c:pt>
                <c:pt idx="2">
                  <c:v>277</c:v>
                </c:pt>
                <c:pt idx="3">
                  <c:v>278</c:v>
                </c:pt>
                <c:pt idx="4">
                  <c:v>216</c:v>
                </c:pt>
                <c:pt idx="5">
                  <c:v>197</c:v>
                </c:pt>
                <c:pt idx="6">
                  <c:v>158</c:v>
                </c:pt>
                <c:pt idx="7">
                  <c:v>127</c:v>
                </c:pt>
                <c:pt idx="8">
                  <c:v>114</c:v>
                </c:pt>
                <c:pt idx="9">
                  <c:v>91</c:v>
                </c:pt>
              </c:numCache>
            </c:numRef>
          </c:val>
        </c:ser>
        <c:ser>
          <c:idx val="1"/>
          <c:order val="1"/>
          <c:tx>
            <c:strRef>
              <c:f>[蝴蝶图.xlsx]草稿!$G$101</c:f>
              <c:strCache>
                <c:ptCount val="1"/>
                <c:pt idx="0">
                  <c:v>专利申请量</c:v>
                </c:pt>
              </c:strCache>
            </c:strRef>
          </c:tx>
          <c:spPr>
            <a:gradFill>
              <a:gsLst>
                <a:gs pos="0">
                  <a:schemeClr val="accent1">
                    <a:tint val="76667"/>
                    <a:lumMod val="40000"/>
                    <a:lumOff val="60000"/>
                  </a:schemeClr>
                </a:gs>
                <a:gs pos="90000">
                  <a:schemeClr val="accent1">
                    <a:tint val="76667"/>
                  </a:schemeClr>
                </a:gs>
              </a:gsLst>
              <a:lin ang="10800000" scaled="0"/>
            </a:gradFill>
            <a:ln>
              <a:gradFill>
                <a:gsLst>
                  <a:gs pos="0">
                    <a:schemeClr val="accent1">
                      <a:tint val="76667"/>
                    </a:schemeClr>
                  </a:gs>
                  <a:gs pos="100000">
                    <a:schemeClr val="accent1">
                      <a:tint val="76667"/>
                      <a:lumMod val="75000"/>
                    </a:schemeClr>
                  </a:gs>
                </a:gsLst>
                <a:lin ang="10800000" scaled="0"/>
              </a:gradFill>
            </a:ln>
            <a:effectLst>
              <a:outerShdw blurRad="76200" dist="25400" dir="2700000" algn="tl" rotWithShape="0">
                <a:schemeClr val="accent2">
                  <a:lumMod val="50000"/>
                  <a:alpha val="30000"/>
                </a:schemeClr>
              </a:outerShdw>
            </a:effectLst>
          </c:spPr>
          <c:invertIfNegative val="0"/>
          <c:dLbls>
            <c:dLbl>
              <c:idx val="0"/>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[蝴蝶图.xlsx]草稿!$D$102:$D$111</c:f>
              <c:strCache>
                <c:ptCount val="10"/>
                <c:pt idx="0">
                  <c:v>山东省</c:v>
                </c:pt>
                <c:pt idx="1">
                  <c:v>北京市</c:v>
                </c:pt>
                <c:pt idx="2">
                  <c:v>江苏省</c:v>
                </c:pt>
                <c:pt idx="3">
                  <c:v>广东省</c:v>
                </c:pt>
                <c:pt idx="4">
                  <c:v>浙江省</c:v>
                </c:pt>
                <c:pt idx="5">
                  <c:v>湖南省</c:v>
                </c:pt>
                <c:pt idx="6">
                  <c:v>上海市</c:v>
                </c:pt>
                <c:pt idx="7">
                  <c:v>天津市</c:v>
                </c:pt>
                <c:pt idx="8">
                  <c:v>湖北省</c:v>
                </c:pt>
                <c:pt idx="9">
                  <c:v>安徽省</c:v>
                </c:pt>
              </c:strCache>
            </c:strRef>
          </c:cat>
          <c:val>
            <c:numRef>
              <c:f>[蝴蝶图.xlsx]草稿!$G$102:$G$111</c:f>
              <c:numCache>
                <c:formatCode>General</c:formatCode>
                <c:ptCount val="10"/>
                <c:pt idx="0">
                  <c:v>-631</c:v>
                </c:pt>
                <c:pt idx="1">
                  <c:v>-575</c:v>
                </c:pt>
                <c:pt idx="2">
                  <c:v>-479</c:v>
                </c:pt>
                <c:pt idx="3">
                  <c:v>-451</c:v>
                </c:pt>
                <c:pt idx="4">
                  <c:v>-335</c:v>
                </c:pt>
                <c:pt idx="5">
                  <c:v>-310</c:v>
                </c:pt>
                <c:pt idx="6">
                  <c:v>-271</c:v>
                </c:pt>
                <c:pt idx="7">
                  <c:v>-204</c:v>
                </c:pt>
                <c:pt idx="8">
                  <c:v>-184</c:v>
                </c:pt>
                <c:pt idx="9">
                  <c:v>-176</c:v>
                </c:pt>
              </c:numCache>
            </c:numRef>
          </c:val>
          <c:extLst>
            <c:ext xmlns:c15="http://schemas.microsoft.com/office/drawing/2012/chart" uri="{02D57815-91ED-43cb-92C2-25804820EDAC}">
              <c15:datalabelsRange>
                <c15:f>草稿!$E$102:$E$111</c15:f>
                <c15:dlblRangeCache>
                  <c:ptCount val="10"/>
                  <c:pt idx="0">
                    <c:v>631</c:v>
                  </c:pt>
                  <c:pt idx="1">
                    <c:v>575</c:v>
                  </c:pt>
                  <c:pt idx="2">
                    <c:v>479</c:v>
                  </c:pt>
                  <c:pt idx="3">
                    <c:v>451</c:v>
                  </c:pt>
                  <c:pt idx="4">
                    <c:v>335</c:v>
                  </c:pt>
                  <c:pt idx="5">
                    <c:v>310</c:v>
                  </c:pt>
                  <c:pt idx="6">
                    <c:v>271</c:v>
                  </c:pt>
                  <c:pt idx="7">
                    <c:v>204</c:v>
                  </c:pt>
                  <c:pt idx="8">
                    <c:v>184</c:v>
                  </c:pt>
                  <c:pt idx="9">
                    <c:v>176</c:v>
                  </c:pt>
                </c15:dlblRangeCache>
              </c15:datalabelsRange>
            </c:ext>
          </c:extLst>
        </c:ser>
        <c:dLbls>
          <c:showLegendKey val="0"/>
          <c:showVal val="1"/>
          <c:showCatName val="0"/>
          <c:showSerName val="0"/>
          <c:showPercent val="0"/>
          <c:showBubbleSize val="0"/>
        </c:dLbls>
        <c:gapWidth val="140"/>
        <c:overlap val="-40"/>
        <c:axId val="543150360"/>
        <c:axId val="545351698"/>
      </c:barChart>
      <c:catAx>
        <c:axId val="543150360"/>
        <c:scaling>
          <c:orientation val="maxMin"/>
        </c:scaling>
        <c:delete val="0"/>
        <c:axPos val="l"/>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45351698"/>
        <c:crosses val="autoZero"/>
        <c:auto val="1"/>
        <c:lblAlgn val="ctr"/>
        <c:lblOffset val="100"/>
        <c:noMultiLvlLbl val="0"/>
      </c:catAx>
      <c:valAx>
        <c:axId val="545351698"/>
        <c:scaling>
          <c:orientation val="minMax"/>
        </c:scaling>
        <c:delete val="1"/>
        <c:axPos val="t"/>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4315036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manualLayout>
          <c:xMode val="edge"/>
          <c:yMode val="edge"/>
          <c:x val="0.71578313253012"/>
          <c:y val="0.9291015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626698795180723"/>
          <c:y val="0.005859375"/>
          <c:w val="0.369686746987952"/>
          <c:h val="0.8845703125"/>
        </c:manualLayout>
      </c:layout>
      <c:barChart>
        <c:barDir val="bar"/>
        <c:grouping val="clustered"/>
        <c:varyColors val="0"/>
        <c:ser>
          <c:idx val="0"/>
          <c:order val="0"/>
          <c:tx>
            <c:strRef>
              <c:f>[蝴蝶图.xlsx]草稿!$F$101</c:f>
              <c:strCache>
                <c:ptCount val="1"/>
                <c:pt idx="0">
                  <c:v>专利授权量</c:v>
                </c:pt>
              </c:strCache>
            </c:strRef>
          </c:tx>
          <c:spPr>
            <a:gradFill>
              <a:gsLst>
                <a:gs pos="0">
                  <a:schemeClr val="accent1">
                    <a:shade val="76667"/>
                    <a:lumMod val="40000"/>
                    <a:lumOff val="60000"/>
                  </a:schemeClr>
                </a:gs>
                <a:gs pos="90000">
                  <a:schemeClr val="accent1">
                    <a:shade val="76667"/>
                  </a:schemeClr>
                </a:gs>
              </a:gsLst>
              <a:lin ang="10800000" scaled="0"/>
            </a:gradFill>
            <a:ln>
              <a:gradFill>
                <a:gsLst>
                  <a:gs pos="0">
                    <a:schemeClr val="accent1">
                      <a:shade val="76667"/>
                    </a:schemeClr>
                  </a:gs>
                  <a:gs pos="100000">
                    <a:schemeClr val="accent1">
                      <a:shade val="76667"/>
                      <a:lumMod val="75000"/>
                    </a:schemeClr>
                  </a:gs>
                </a:gsLst>
                <a:lin ang="10800000" scaled="0"/>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[蝴蝶图.xlsx]草稿!$D$102:$D$111</c:f>
              <c:strCache>
                <c:ptCount val="10"/>
                <c:pt idx="0">
                  <c:v>广州市</c:v>
                </c:pt>
                <c:pt idx="1">
                  <c:v>深圳市</c:v>
                </c:pt>
                <c:pt idx="2">
                  <c:v>湛江市</c:v>
                </c:pt>
                <c:pt idx="3">
                  <c:v>汕尾市</c:v>
                </c:pt>
                <c:pt idx="4">
                  <c:v>佛山市</c:v>
                </c:pt>
                <c:pt idx="5">
                  <c:v>珠海市</c:v>
                </c:pt>
                <c:pt idx="6">
                  <c:v>东莞市</c:v>
                </c:pt>
                <c:pt idx="7">
                  <c:v>惠州市</c:v>
                </c:pt>
                <c:pt idx="8">
                  <c:v>茂名市</c:v>
                </c:pt>
                <c:pt idx="9">
                  <c:v>中山市</c:v>
                </c:pt>
              </c:strCache>
            </c:strRef>
          </c:cat>
          <c:val>
            <c:numRef>
              <c:f>[蝴蝶图.xlsx]草稿!$F$102:$F$111</c:f>
              <c:numCache>
                <c:formatCode>General</c:formatCode>
                <c:ptCount val="10"/>
                <c:pt idx="0">
                  <c:v>119</c:v>
                </c:pt>
                <c:pt idx="1">
                  <c:v>71</c:v>
                </c:pt>
                <c:pt idx="2">
                  <c:v>24</c:v>
                </c:pt>
                <c:pt idx="3">
                  <c:v>20</c:v>
                </c:pt>
                <c:pt idx="4">
                  <c:v>7</c:v>
                </c:pt>
                <c:pt idx="5">
                  <c:v>9</c:v>
                </c:pt>
                <c:pt idx="6">
                  <c:v>7</c:v>
                </c:pt>
                <c:pt idx="7">
                  <c:v>7</c:v>
                </c:pt>
                <c:pt idx="8">
                  <c:v>3</c:v>
                </c:pt>
                <c:pt idx="9">
                  <c:v>4</c:v>
                </c:pt>
              </c:numCache>
            </c:numRef>
          </c:val>
        </c:ser>
        <c:ser>
          <c:idx val="1"/>
          <c:order val="1"/>
          <c:tx>
            <c:strRef>
              <c:f>[蝴蝶图.xlsx]草稿!$G$101</c:f>
              <c:strCache>
                <c:ptCount val="1"/>
                <c:pt idx="0">
                  <c:v>专利申请量</c:v>
                </c:pt>
              </c:strCache>
            </c:strRef>
          </c:tx>
          <c:spPr>
            <a:gradFill>
              <a:gsLst>
                <a:gs pos="0">
                  <a:schemeClr val="accent1">
                    <a:tint val="76667"/>
                    <a:lumMod val="40000"/>
                    <a:lumOff val="60000"/>
                  </a:schemeClr>
                </a:gs>
                <a:gs pos="90000">
                  <a:schemeClr val="accent1">
                    <a:tint val="76667"/>
                  </a:schemeClr>
                </a:gs>
              </a:gsLst>
              <a:lin ang="10800000" scaled="0"/>
            </a:gradFill>
            <a:ln>
              <a:gradFill>
                <a:gsLst>
                  <a:gs pos="0">
                    <a:schemeClr val="accent1">
                      <a:tint val="76667"/>
                    </a:schemeClr>
                  </a:gs>
                  <a:gs pos="100000">
                    <a:schemeClr val="accent1">
                      <a:tint val="76667"/>
                      <a:lumMod val="75000"/>
                    </a:schemeClr>
                  </a:gs>
                </a:gsLst>
                <a:lin ang="10800000" scaled="0"/>
              </a:gradFill>
            </a:ln>
            <a:effectLst>
              <a:outerShdw blurRad="76200" dist="25400" dir="2700000" algn="tl" rotWithShape="0">
                <a:schemeClr val="accent2">
                  <a:lumMod val="50000"/>
                  <a:alpha val="30000"/>
                </a:schemeClr>
              </a:outerShdw>
            </a:effectLst>
          </c:spPr>
          <c:invertIfNegative val="0"/>
          <c:dLbls>
            <c:dLbl>
              <c:idx val="0"/>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[蝴蝶图.xlsx]草稿!$D$102:$D$111</c:f>
              <c:strCache>
                <c:ptCount val="10"/>
                <c:pt idx="0">
                  <c:v>广州市</c:v>
                </c:pt>
                <c:pt idx="1">
                  <c:v>深圳市</c:v>
                </c:pt>
                <c:pt idx="2">
                  <c:v>湛江市</c:v>
                </c:pt>
                <c:pt idx="3">
                  <c:v>汕尾市</c:v>
                </c:pt>
                <c:pt idx="4">
                  <c:v>佛山市</c:v>
                </c:pt>
                <c:pt idx="5">
                  <c:v>珠海市</c:v>
                </c:pt>
                <c:pt idx="6">
                  <c:v>东莞市</c:v>
                </c:pt>
                <c:pt idx="7">
                  <c:v>惠州市</c:v>
                </c:pt>
                <c:pt idx="8">
                  <c:v>茂名市</c:v>
                </c:pt>
                <c:pt idx="9">
                  <c:v>中山市</c:v>
                </c:pt>
              </c:strCache>
            </c:strRef>
          </c:cat>
          <c:val>
            <c:numRef>
              <c:f>[蝴蝶图.xlsx]草稿!$G$102:$G$111</c:f>
              <c:numCache>
                <c:formatCode>General</c:formatCode>
                <c:ptCount val="10"/>
                <c:pt idx="0">
                  <c:v>-188</c:v>
                </c:pt>
                <c:pt idx="1">
                  <c:v>-124</c:v>
                </c:pt>
                <c:pt idx="2">
                  <c:v>-36</c:v>
                </c:pt>
                <c:pt idx="3">
                  <c:v>-20</c:v>
                </c:pt>
                <c:pt idx="4">
                  <c:v>-19</c:v>
                </c:pt>
                <c:pt idx="5">
                  <c:v>-14</c:v>
                </c:pt>
                <c:pt idx="6">
                  <c:v>-10</c:v>
                </c:pt>
                <c:pt idx="7">
                  <c:v>-9</c:v>
                </c:pt>
                <c:pt idx="8">
                  <c:v>-8</c:v>
                </c:pt>
                <c:pt idx="9">
                  <c:v>-8</c:v>
                </c:pt>
              </c:numCache>
            </c:numRef>
          </c:val>
          <c:extLst>
            <c:ext xmlns:c15="http://schemas.microsoft.com/office/drawing/2012/chart" uri="{02D57815-91ED-43cb-92C2-25804820EDAC}">
              <c15:datalabelsRange>
                <c15:f>草稿!$E$102:$E$111</c15:f>
                <c15:dlblRangeCache>
                  <c:ptCount val="10"/>
                  <c:pt idx="0">
                    <c:v>188</c:v>
                  </c:pt>
                  <c:pt idx="1">
                    <c:v>124</c:v>
                  </c:pt>
                  <c:pt idx="2">
                    <c:v>36</c:v>
                  </c:pt>
                  <c:pt idx="3">
                    <c:v>20</c:v>
                  </c:pt>
                  <c:pt idx="4">
                    <c:v>19</c:v>
                  </c:pt>
                  <c:pt idx="5">
                    <c:v>14</c:v>
                  </c:pt>
                  <c:pt idx="6">
                    <c:v>10</c:v>
                  </c:pt>
                  <c:pt idx="7">
                    <c:v>9</c:v>
                  </c:pt>
                  <c:pt idx="8">
                    <c:v>8</c:v>
                  </c:pt>
                  <c:pt idx="9">
                    <c:v>8</c:v>
                  </c:pt>
                </c15:dlblRangeCache>
              </c15:datalabelsRange>
            </c:ext>
          </c:extLst>
        </c:ser>
        <c:dLbls>
          <c:showLegendKey val="0"/>
          <c:showVal val="1"/>
          <c:showCatName val="0"/>
          <c:showSerName val="0"/>
          <c:showPercent val="0"/>
          <c:showBubbleSize val="0"/>
        </c:dLbls>
        <c:gapWidth val="140"/>
        <c:overlap val="-40"/>
        <c:axId val="543150360"/>
        <c:axId val="545351698"/>
      </c:barChart>
      <c:catAx>
        <c:axId val="543150360"/>
        <c:scaling>
          <c:orientation val="maxMin"/>
        </c:scaling>
        <c:delete val="0"/>
        <c:axPos val="l"/>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45351698"/>
        <c:crosses val="autoZero"/>
        <c:auto val="1"/>
        <c:lblAlgn val="ctr"/>
        <c:lblOffset val="100"/>
        <c:noMultiLvlLbl val="0"/>
      </c:catAx>
      <c:valAx>
        <c:axId val="545351698"/>
        <c:scaling>
          <c:orientation val="minMax"/>
        </c:scaling>
        <c:delete val="1"/>
        <c:axPos val="t"/>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4315036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manualLayout>
          <c:xMode val="edge"/>
          <c:yMode val="edge"/>
          <c:x val="0.666927710843374"/>
          <c:y val="0.9291015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'[简报数据图表.xlsx]1'!$C$146</c:f>
              <c:strCache>
                <c:ptCount val="1"/>
                <c:pt idx="0">
                  <c:v>数量</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'[简报数据图表.xlsx]1'!$B$147:$B$150</c:f>
              <c:strCache>
                <c:ptCount val="4"/>
                <c:pt idx="0">
                  <c:v>企事业单位</c:v>
                </c:pt>
                <c:pt idx="1">
                  <c:v>大专院校</c:v>
                </c:pt>
                <c:pt idx="2">
                  <c:v>个人</c:v>
                </c:pt>
                <c:pt idx="3">
                  <c:v>科研院所</c:v>
                </c:pt>
              </c:strCache>
            </c:strRef>
          </c:cat>
          <c:val>
            <c:numRef>
              <c:f>'[简报数据图表.xlsx]1'!$C$147:$C$150</c:f>
              <c:numCache>
                <c:formatCode>General</c:formatCode>
                <c:ptCount val="4"/>
                <c:pt idx="0">
                  <c:v>2478</c:v>
                </c:pt>
                <c:pt idx="1">
                  <c:v>1523</c:v>
                </c:pt>
                <c:pt idx="2">
                  <c:v>596</c:v>
                </c:pt>
                <c:pt idx="3">
                  <c:v>486</c:v>
                </c:pt>
              </c:numCache>
            </c:numRef>
          </c:val>
        </c:ser>
        <c:dLbls>
          <c:showLegendKey val="0"/>
          <c:showVal val="1"/>
          <c:showCatName val="0"/>
          <c:showSerName val="0"/>
          <c:showPercent val="0"/>
          <c:showBubbleSize val="0"/>
        </c:dLbls>
        <c:gapWidth val="246"/>
        <c:overlap val="-28"/>
        <c:axId val="393147770"/>
        <c:axId val="868835098"/>
      </c:barChart>
      <c:catAx>
        <c:axId val="3931477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68835098"/>
        <c:crosses val="autoZero"/>
        <c:auto val="1"/>
        <c:lblAlgn val="ctr"/>
        <c:lblOffset val="100"/>
        <c:noMultiLvlLbl val="0"/>
      </c:catAx>
      <c:valAx>
        <c:axId val="86883509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39314777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a:gsLst>
                <a:gs pos="0">
                  <a:schemeClr val="accent1">
                    <a:lumMod val="40000"/>
                    <a:lumOff val="60000"/>
                  </a:schemeClr>
                </a:gs>
                <a:gs pos="90000">
                  <a:schemeClr val="accent1"/>
                </a:gs>
              </a:gsLst>
              <a:lin ang="10800000" scaled="0"/>
            </a:gradFill>
            <a:ln>
              <a:gradFill>
                <a:gsLst>
                  <a:gs pos="0">
                    <a:schemeClr val="accent1"/>
                  </a:gs>
                  <a:gs pos="100000">
                    <a:schemeClr val="accent1">
                      <a:lumMod val="75000"/>
                    </a:schemeClr>
                  </a:gs>
                </a:gsLst>
                <a:lin ang="10800000" scaled="0"/>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'[简报数据图表.xlsx]1'!$B$135:$B$144</c:f>
              <c:strCache>
                <c:ptCount val="10"/>
                <c:pt idx="0">
                  <c:v>中国石油大学(华东)</c:v>
                </c:pt>
                <c:pt idx="1">
                  <c:v>中国海洋石油总公司</c:v>
                </c:pt>
                <c:pt idx="2">
                  <c:v>西南石油大学</c:v>
                </c:pt>
                <c:pt idx="3">
                  <c:v>山东科技大学</c:v>
                </c:pt>
                <c:pt idx="4">
                  <c:v>青岛海洋地质研究所</c:v>
                </c:pt>
                <c:pt idx="5">
                  <c:v>中南大学</c:v>
                </c:pt>
                <c:pt idx="6">
                  <c:v>上海交通大学</c:v>
                </c:pt>
                <c:pt idx="7">
                  <c:v>中国矿业大学</c:v>
                </c:pt>
                <c:pt idx="8">
                  <c:v>长沙矿冶研究院有限责任公司</c:v>
                </c:pt>
                <c:pt idx="9">
                  <c:v>中国海洋大学</c:v>
                </c:pt>
              </c:strCache>
            </c:strRef>
          </c:cat>
          <c:val>
            <c:numRef>
              <c:f>'[简报数据图表.xlsx]1'!$C$135:$C$144</c:f>
              <c:numCache>
                <c:formatCode>General</c:formatCode>
                <c:ptCount val="10"/>
                <c:pt idx="0">
                  <c:v>43</c:v>
                </c:pt>
                <c:pt idx="1">
                  <c:v>44</c:v>
                </c:pt>
                <c:pt idx="2">
                  <c:v>47</c:v>
                </c:pt>
                <c:pt idx="3">
                  <c:v>48</c:v>
                </c:pt>
                <c:pt idx="4">
                  <c:v>54</c:v>
                </c:pt>
                <c:pt idx="5">
                  <c:v>62</c:v>
                </c:pt>
                <c:pt idx="6">
                  <c:v>69</c:v>
                </c:pt>
                <c:pt idx="7">
                  <c:v>94</c:v>
                </c:pt>
                <c:pt idx="8">
                  <c:v>100</c:v>
                </c:pt>
                <c:pt idx="9">
                  <c:v>117</c:v>
                </c:pt>
              </c:numCache>
            </c:numRef>
          </c:val>
        </c:ser>
        <c:dLbls>
          <c:showLegendKey val="0"/>
          <c:showVal val="1"/>
          <c:showCatName val="0"/>
          <c:showSerName val="0"/>
          <c:showPercent val="0"/>
          <c:showBubbleSize val="0"/>
        </c:dLbls>
        <c:gapWidth val="140"/>
        <c:overlap val="-40"/>
        <c:axId val="802141563"/>
        <c:axId val="961496413"/>
      </c:barChart>
      <c:catAx>
        <c:axId val="802141563"/>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961496413"/>
        <c:crosses val="autoZero"/>
        <c:auto val="1"/>
        <c:lblAlgn val="ctr"/>
        <c:lblOffset val="100"/>
        <c:noMultiLvlLbl val="0"/>
      </c:catAx>
      <c:valAx>
        <c:axId val="961496413"/>
        <c:scaling>
          <c:orientation val="minMax"/>
        </c:scaling>
        <c:delete val="0"/>
        <c:axPos val="b"/>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021415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40522276944222"/>
          <c:y val="0.016096307317733"/>
          <c:w val="0.756041690528004"/>
          <c:h val="0.874611118625727"/>
        </c:manualLayout>
      </c:layout>
      <c:bubbleChart>
        <c:varyColors val="0"/>
        <c:ser>
          <c:idx val="0"/>
          <c:order val="0"/>
          <c:tx>
            <c:strRef>
              <c:f>'[简报数据图表.xlsx]1气泡图'!$B$1</c:f>
              <c:strCache>
                <c:ptCount val="1"/>
                <c:pt idx="0">
                  <c:v>E21C50</c:v>
                </c:pt>
              </c:strCache>
            </c:strRef>
          </c:tx>
          <c:spPr>
            <a:gradFill>
              <a:gsLst>
                <a:gs pos="0">
                  <a:schemeClr val="accent1">
                    <a:shade val="40769"/>
                    <a:lumMod val="40000"/>
                    <a:lumOff val="60000"/>
                  </a:schemeClr>
                </a:gs>
                <a:gs pos="90000">
                  <a:schemeClr val="accent1">
                    <a:shade val="40769"/>
                  </a:schemeClr>
                </a:gs>
              </a:gsLst>
              <a:lin ang="2700000" scaled="0"/>
            </a:gradFill>
            <a:ln w="9525" cap="rnd">
              <a:gradFill>
                <a:gsLst>
                  <a:gs pos="0">
                    <a:schemeClr val="accent1">
                      <a:shade val="40769"/>
                    </a:schemeClr>
                  </a:gs>
                  <a:gs pos="100000">
                    <a:schemeClr val="accent1">
                      <a:shade val="40769"/>
                      <a:lumMod val="75000"/>
                    </a:schemeClr>
                  </a:gs>
                </a:gsLst>
                <a:lin ang="2700000" scaled="0"/>
              </a:gradFill>
              <a:round/>
            </a:ln>
            <a:effectLst>
              <a:outerShdw blurRad="76200" dist="25400" dir="2700000" algn="ctr" rotWithShape="0">
                <a:schemeClr val="accent1">
                  <a:shade val="40769"/>
                  <a:lumMod val="50000"/>
                  <a:alpha val="30000"/>
                </a:schemeClr>
              </a:outerShdw>
            </a:effectLst>
          </c:spPr>
          <c:invertIfNegative val="0"/>
          <c:dLbls>
            <c:delete val="1"/>
          </c:dLbls>
          <c:xVal>
            <c:numRef>
              <c:f>'[简报数据图表.xlsx]1气泡图'!$D$16:$D$25</c:f>
              <c:numCache>
                <c:formatCode>General</c:formatCode>
                <c:ptCount val="10"/>
                <c:pt idx="0">
                  <c:v>1</c:v>
                </c:pt>
                <c:pt idx="1">
                  <c:v>1</c:v>
                </c:pt>
                <c:pt idx="2">
                  <c:v>1</c:v>
                </c:pt>
                <c:pt idx="3">
                  <c:v>1</c:v>
                </c:pt>
                <c:pt idx="4">
                  <c:v>1</c:v>
                </c:pt>
                <c:pt idx="5">
                  <c:v>1</c:v>
                </c:pt>
                <c:pt idx="6">
                  <c:v>1</c:v>
                </c:pt>
                <c:pt idx="7">
                  <c:v>1</c:v>
                </c:pt>
                <c:pt idx="8">
                  <c:v>1</c:v>
                </c:pt>
                <c:pt idx="9">
                  <c:v>1</c:v>
                </c:pt>
              </c:numCache>
            </c:numRef>
          </c:xVal>
          <c:yVal>
            <c:numRef>
              <c:f>'[简报数据图表.xlsx]1气泡图'!$D$16:$N$16</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'[简报数据图表.xlsx]1气泡图'!$B$2:$B$11</c:f>
              <c:numCache>
                <c:formatCode>General</c:formatCode>
                <c:ptCount val="10"/>
                <c:pt idx="0">
                  <c:v>77</c:v>
                </c:pt>
                <c:pt idx="1">
                  <c:v>75</c:v>
                </c:pt>
                <c:pt idx="2">
                  <c:v>3</c:v>
                </c:pt>
                <c:pt idx="3">
                  <c:v>55</c:v>
                </c:pt>
                <c:pt idx="4">
                  <c:v>36</c:v>
                </c:pt>
                <c:pt idx="5">
                  <c:v>14</c:v>
                </c:pt>
                <c:pt idx="6">
                  <c:v>8</c:v>
                </c:pt>
                <c:pt idx="7">
                  <c:v>10</c:v>
                </c:pt>
                <c:pt idx="8">
                  <c:v>6</c:v>
                </c:pt>
                <c:pt idx="9">
                  <c:v>7</c:v>
                </c:pt>
              </c:numCache>
            </c:numRef>
          </c:bubbleSize>
          <c:bubble3D val="0"/>
        </c:ser>
        <c:ser>
          <c:idx val="1"/>
          <c:order val="1"/>
          <c:tx>
            <c:strRef>
              <c:f>'[简报数据图表.xlsx]1气泡图'!$C$1</c:f>
              <c:strCache>
                <c:ptCount val="1"/>
                <c:pt idx="0">
                  <c:v>E21B43</c:v>
                </c:pt>
              </c:strCache>
            </c:strRef>
          </c:tx>
          <c:spPr>
            <a:gradFill>
              <a:gsLst>
                <a:gs pos="0">
                  <a:schemeClr val="accent1">
                    <a:shade val="51538"/>
                    <a:lumMod val="40000"/>
                    <a:lumOff val="60000"/>
                  </a:schemeClr>
                </a:gs>
                <a:gs pos="90000">
                  <a:schemeClr val="accent1">
                    <a:shade val="51538"/>
                  </a:schemeClr>
                </a:gs>
              </a:gsLst>
              <a:lin ang="2700000" scaled="0"/>
            </a:gradFill>
            <a:ln w="9525" cap="rnd">
              <a:gradFill>
                <a:gsLst>
                  <a:gs pos="0">
                    <a:schemeClr val="accent1">
                      <a:shade val="51538"/>
                    </a:schemeClr>
                  </a:gs>
                  <a:gs pos="100000">
                    <a:schemeClr val="accent1">
                      <a:shade val="51538"/>
                      <a:lumMod val="75000"/>
                    </a:schemeClr>
                  </a:gs>
                </a:gsLst>
                <a:lin ang="2700000" scaled="0"/>
              </a:gradFill>
              <a:round/>
            </a:ln>
            <a:effectLst>
              <a:outerShdw blurRad="76200" dist="25400" dir="2700000" algn="ctr" rotWithShape="0">
                <a:schemeClr val="accent1">
                  <a:shade val="51538"/>
                  <a:lumMod val="50000"/>
                  <a:alpha val="30000"/>
                </a:schemeClr>
              </a:outerShdw>
            </a:effectLst>
          </c:spPr>
          <c:invertIfNegative val="0"/>
          <c:dLbls>
            <c:delete val="1"/>
          </c:dLbls>
          <c:xVal>
            <c:numRef>
              <c:f>'[简报数据图表.xlsx]1气泡图'!$E$16:$E$25</c:f>
              <c:numCache>
                <c:formatCode>General</c:formatCode>
                <c:ptCount val="10"/>
                <c:pt idx="0">
                  <c:v>2</c:v>
                </c:pt>
                <c:pt idx="1">
                  <c:v>2</c:v>
                </c:pt>
                <c:pt idx="2">
                  <c:v>2</c:v>
                </c:pt>
                <c:pt idx="3">
                  <c:v>2</c:v>
                </c:pt>
                <c:pt idx="4">
                  <c:v>2</c:v>
                </c:pt>
                <c:pt idx="5">
                  <c:v>2</c:v>
                </c:pt>
                <c:pt idx="6">
                  <c:v>2</c:v>
                </c:pt>
                <c:pt idx="7">
                  <c:v>2</c:v>
                </c:pt>
                <c:pt idx="8">
                  <c:v>2</c:v>
                </c:pt>
                <c:pt idx="9">
                  <c:v>2</c:v>
                </c:pt>
              </c:numCache>
            </c:numRef>
          </c:xVal>
          <c:yVal>
            <c:numRef>
              <c:f>'[简报数据图表.xlsx]1气泡图'!$D$17:$N$17</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'[简报数据图表.xlsx]1气泡图'!$C$2:$C$11</c:f>
              <c:numCache>
                <c:formatCode>General</c:formatCode>
                <c:ptCount val="10"/>
                <c:pt idx="0">
                  <c:v>1</c:v>
                </c:pt>
                <c:pt idx="1">
                  <c:v>3</c:v>
                </c:pt>
                <c:pt idx="2">
                  <c:v>5</c:v>
                </c:pt>
                <c:pt idx="3">
                  <c:v>0</c:v>
                </c:pt>
                <c:pt idx="4">
                  <c:v>1</c:v>
                </c:pt>
                <c:pt idx="5">
                  <c:v>28</c:v>
                </c:pt>
                <c:pt idx="6">
                  <c:v>2</c:v>
                </c:pt>
                <c:pt idx="7">
                  <c:v>29</c:v>
                </c:pt>
                <c:pt idx="8">
                  <c:v>27</c:v>
                </c:pt>
                <c:pt idx="9">
                  <c:v>13</c:v>
                </c:pt>
              </c:numCache>
            </c:numRef>
          </c:bubbleSize>
          <c:bubble3D val="0"/>
        </c:ser>
        <c:ser>
          <c:idx val="2"/>
          <c:order val="2"/>
          <c:tx>
            <c:strRef>
              <c:f>'[简报数据图表.xlsx]1气泡图'!$D$1</c:f>
              <c:strCache>
                <c:ptCount val="1"/>
                <c:pt idx="0">
                  <c:v>C04B28</c:v>
                </c:pt>
              </c:strCache>
            </c:strRef>
          </c:tx>
          <c:spPr>
            <a:gradFill>
              <a:gsLst>
                <a:gs pos="0">
                  <a:schemeClr val="accent1">
                    <a:shade val="62308"/>
                    <a:lumMod val="40000"/>
                    <a:lumOff val="60000"/>
                  </a:schemeClr>
                </a:gs>
                <a:gs pos="90000">
                  <a:schemeClr val="accent1">
                    <a:shade val="62308"/>
                  </a:schemeClr>
                </a:gs>
              </a:gsLst>
              <a:lin ang="2700000" scaled="0"/>
            </a:gradFill>
            <a:ln w="9525" cap="rnd">
              <a:gradFill>
                <a:gsLst>
                  <a:gs pos="0">
                    <a:schemeClr val="accent1">
                      <a:shade val="62308"/>
                    </a:schemeClr>
                  </a:gs>
                  <a:gs pos="100000">
                    <a:schemeClr val="accent1">
                      <a:shade val="62308"/>
                      <a:lumMod val="75000"/>
                    </a:schemeClr>
                  </a:gs>
                </a:gsLst>
                <a:lin ang="2700000" scaled="0"/>
              </a:gradFill>
              <a:round/>
            </a:ln>
            <a:effectLst>
              <a:outerShdw blurRad="76200" dist="25400" dir="2700000" algn="ctr" rotWithShape="0">
                <a:schemeClr val="accent1">
                  <a:shade val="62308"/>
                  <a:lumMod val="50000"/>
                  <a:alpha val="30000"/>
                </a:schemeClr>
              </a:outerShdw>
            </a:effectLst>
          </c:spPr>
          <c:invertIfNegative val="0"/>
          <c:dLbls>
            <c:delete val="1"/>
          </c:dLbls>
          <c:xVal>
            <c:numRef>
              <c:f>'[简报数据图表.xlsx]1气泡图'!$F$16:$F$25</c:f>
              <c:numCache>
                <c:formatCode>General</c:formatCode>
                <c:ptCount val="10"/>
                <c:pt idx="0">
                  <c:v>3</c:v>
                </c:pt>
                <c:pt idx="1">
                  <c:v>3</c:v>
                </c:pt>
                <c:pt idx="2">
                  <c:v>3</c:v>
                </c:pt>
                <c:pt idx="3">
                  <c:v>3</c:v>
                </c:pt>
                <c:pt idx="4">
                  <c:v>3</c:v>
                </c:pt>
                <c:pt idx="5">
                  <c:v>3</c:v>
                </c:pt>
                <c:pt idx="6">
                  <c:v>3</c:v>
                </c:pt>
                <c:pt idx="7">
                  <c:v>3</c:v>
                </c:pt>
                <c:pt idx="8">
                  <c:v>3</c:v>
                </c:pt>
                <c:pt idx="9">
                  <c:v>3</c:v>
                </c:pt>
              </c:numCache>
            </c:numRef>
          </c:xVal>
          <c:yVal>
            <c:numRef>
              <c:f>'[简报数据图表.xlsx]1气泡图'!$D$18:$M$18</c:f>
              <c:numCache>
                <c:formatCode>General</c:formatCode>
                <c:ptCount val="10"/>
                <c:pt idx="0">
                  <c:v>1</c:v>
                </c:pt>
                <c:pt idx="1">
                  <c:v>2</c:v>
                </c:pt>
                <c:pt idx="2">
                  <c:v>3</c:v>
                </c:pt>
                <c:pt idx="3">
                  <c:v>4</c:v>
                </c:pt>
                <c:pt idx="4">
                  <c:v>5</c:v>
                </c:pt>
                <c:pt idx="5">
                  <c:v>6</c:v>
                </c:pt>
                <c:pt idx="6">
                  <c:v>7</c:v>
                </c:pt>
                <c:pt idx="7">
                  <c:v>8</c:v>
                </c:pt>
                <c:pt idx="8">
                  <c:v>9</c:v>
                </c:pt>
                <c:pt idx="9">
                  <c:v>10</c:v>
                </c:pt>
              </c:numCache>
            </c:numRef>
          </c:yVal>
          <c:bubbleSize>
            <c:numRef>
              <c:f>'[简报数据图表.xlsx]1气泡图'!$D$2:$D$11</c:f>
              <c:numCache>
                <c:formatCode>General</c:formatCode>
                <c:ptCount val="10"/>
                <c:pt idx="0">
                  <c:v>2</c:v>
                </c:pt>
                <c:pt idx="1">
                  <c:v>0</c:v>
                </c:pt>
                <c:pt idx="2">
                  <c:v>3</c:v>
                </c:pt>
                <c:pt idx="3">
                  <c:v>0</c:v>
                </c:pt>
                <c:pt idx="4">
                  <c:v>0</c:v>
                </c:pt>
                <c:pt idx="5">
                  <c:v>0</c:v>
                </c:pt>
                <c:pt idx="6">
                  <c:v>0</c:v>
                </c:pt>
                <c:pt idx="7">
                  <c:v>0</c:v>
                </c:pt>
                <c:pt idx="8">
                  <c:v>0</c:v>
                </c:pt>
                <c:pt idx="9">
                  <c:v>2</c:v>
                </c:pt>
              </c:numCache>
            </c:numRef>
          </c:bubbleSize>
          <c:bubble3D val="0"/>
        </c:ser>
        <c:ser>
          <c:idx val="3"/>
          <c:order val="3"/>
          <c:tx>
            <c:strRef>
              <c:f>'[简报数据图表.xlsx]1气泡图'!$E$1</c:f>
              <c:strCache>
                <c:ptCount val="1"/>
                <c:pt idx="0">
                  <c:v>E21C41</c:v>
                </c:pt>
              </c:strCache>
            </c:strRef>
          </c:tx>
          <c:spPr>
            <a:gradFill>
              <a:gsLst>
                <a:gs pos="0">
                  <a:schemeClr val="accent1">
                    <a:shade val="73077"/>
                    <a:lumMod val="40000"/>
                    <a:lumOff val="60000"/>
                  </a:schemeClr>
                </a:gs>
                <a:gs pos="90000">
                  <a:schemeClr val="accent1">
                    <a:shade val="73077"/>
                  </a:schemeClr>
                </a:gs>
              </a:gsLst>
              <a:lin ang="2700000" scaled="0"/>
            </a:gradFill>
            <a:ln w="9525" cap="rnd">
              <a:gradFill>
                <a:gsLst>
                  <a:gs pos="0">
                    <a:schemeClr val="accent1">
                      <a:shade val="73077"/>
                    </a:schemeClr>
                  </a:gs>
                  <a:gs pos="100000">
                    <a:schemeClr val="accent1">
                      <a:shade val="73077"/>
                      <a:lumMod val="75000"/>
                    </a:schemeClr>
                  </a:gs>
                </a:gsLst>
                <a:lin ang="2700000" scaled="0"/>
              </a:gradFill>
              <a:round/>
            </a:ln>
            <a:effectLst>
              <a:outerShdw blurRad="76200" dist="25400" dir="2700000" algn="ctr" rotWithShape="0">
                <a:schemeClr val="accent1">
                  <a:shade val="73077"/>
                  <a:lumMod val="50000"/>
                  <a:alpha val="30000"/>
                </a:schemeClr>
              </a:outerShdw>
            </a:effectLst>
          </c:spPr>
          <c:invertIfNegative val="0"/>
          <c:dLbls>
            <c:delete val="1"/>
          </c:dLbls>
          <c:xVal>
            <c:numRef>
              <c:f>'[简报数据图表.xlsx]1气泡图'!$G$16:$G$25</c:f>
              <c:numCache>
                <c:formatCode>General</c:formatCode>
                <c:ptCount val="10"/>
                <c:pt idx="0">
                  <c:v>4</c:v>
                </c:pt>
                <c:pt idx="1">
                  <c:v>4</c:v>
                </c:pt>
                <c:pt idx="2">
                  <c:v>4</c:v>
                </c:pt>
                <c:pt idx="3">
                  <c:v>4</c:v>
                </c:pt>
                <c:pt idx="4">
                  <c:v>4</c:v>
                </c:pt>
                <c:pt idx="5">
                  <c:v>4</c:v>
                </c:pt>
                <c:pt idx="6">
                  <c:v>4</c:v>
                </c:pt>
                <c:pt idx="7">
                  <c:v>4</c:v>
                </c:pt>
                <c:pt idx="8">
                  <c:v>4</c:v>
                </c:pt>
                <c:pt idx="9">
                  <c:v>4</c:v>
                </c:pt>
              </c:numCache>
            </c:numRef>
          </c:xVal>
          <c:yVal>
            <c:numRef>
              <c:f>'[简报数据图表.xlsx]1气泡图'!$D$19:$N$19</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'[简报数据图表.xlsx]1气泡图'!$E$2:$E$11</c:f>
              <c:numCache>
                <c:formatCode>General</c:formatCode>
                <c:ptCount val="10"/>
                <c:pt idx="0">
                  <c:v>0</c:v>
                </c:pt>
                <c:pt idx="1">
                  <c:v>0</c:v>
                </c:pt>
                <c:pt idx="2">
                  <c:v>33</c:v>
                </c:pt>
                <c:pt idx="3">
                  <c:v>0</c:v>
                </c:pt>
                <c:pt idx="4">
                  <c:v>6</c:v>
                </c:pt>
                <c:pt idx="5">
                  <c:v>0</c:v>
                </c:pt>
                <c:pt idx="6">
                  <c:v>6</c:v>
                </c:pt>
                <c:pt idx="7">
                  <c:v>0</c:v>
                </c:pt>
                <c:pt idx="8">
                  <c:v>0</c:v>
                </c:pt>
                <c:pt idx="9">
                  <c:v>0</c:v>
                </c:pt>
              </c:numCache>
            </c:numRef>
          </c:bubbleSize>
          <c:bubble3D val="0"/>
        </c:ser>
        <c:ser>
          <c:idx val="4"/>
          <c:order val="4"/>
          <c:tx>
            <c:strRef>
              <c:f>'[简报数据图表.xlsx]1气泡图'!$F$1</c:f>
              <c:strCache>
                <c:ptCount val="1"/>
                <c:pt idx="0">
                  <c:v>C04B14</c:v>
                </c:pt>
              </c:strCache>
            </c:strRef>
          </c:tx>
          <c:spPr>
            <a:gradFill>
              <a:gsLst>
                <a:gs pos="0">
                  <a:schemeClr val="accent1">
                    <a:shade val="83846"/>
                    <a:lumMod val="40000"/>
                    <a:lumOff val="60000"/>
                  </a:schemeClr>
                </a:gs>
                <a:gs pos="90000">
                  <a:schemeClr val="accent1">
                    <a:shade val="83846"/>
                  </a:schemeClr>
                </a:gs>
              </a:gsLst>
              <a:lin ang="2700000" scaled="0"/>
            </a:gradFill>
            <a:ln w="9525" cap="rnd">
              <a:gradFill>
                <a:gsLst>
                  <a:gs pos="0">
                    <a:schemeClr val="accent1">
                      <a:shade val="83846"/>
                    </a:schemeClr>
                  </a:gs>
                  <a:gs pos="100000">
                    <a:schemeClr val="accent1">
                      <a:shade val="83846"/>
                      <a:lumMod val="75000"/>
                    </a:schemeClr>
                  </a:gs>
                </a:gsLst>
                <a:lin ang="2700000" scaled="0"/>
              </a:gradFill>
              <a:round/>
            </a:ln>
            <a:effectLst>
              <a:outerShdw blurRad="76200" dist="25400" dir="2700000" algn="ctr" rotWithShape="0">
                <a:schemeClr val="accent1">
                  <a:shade val="83846"/>
                  <a:lumMod val="50000"/>
                  <a:alpha val="30000"/>
                </a:schemeClr>
              </a:outerShdw>
            </a:effectLst>
          </c:spPr>
          <c:invertIfNegative val="0"/>
          <c:dLbls>
            <c:delete val="1"/>
          </c:dLbls>
          <c:xVal>
            <c:numRef>
              <c:f>'[简报数据图表.xlsx]1气泡图'!$H$16:$H$26</c:f>
              <c:numCache>
                <c:formatCode>General</c:formatCode>
                <c:ptCount val="11"/>
                <c:pt idx="0">
                  <c:v>5</c:v>
                </c:pt>
                <c:pt idx="1">
                  <c:v>5</c:v>
                </c:pt>
                <c:pt idx="2">
                  <c:v>5</c:v>
                </c:pt>
                <c:pt idx="3">
                  <c:v>5</c:v>
                </c:pt>
                <c:pt idx="4">
                  <c:v>5</c:v>
                </c:pt>
                <c:pt idx="5">
                  <c:v>5</c:v>
                </c:pt>
                <c:pt idx="6">
                  <c:v>5</c:v>
                </c:pt>
                <c:pt idx="7">
                  <c:v>5</c:v>
                </c:pt>
                <c:pt idx="8">
                  <c:v>5</c:v>
                </c:pt>
                <c:pt idx="9">
                  <c:v>5</c:v>
                </c:pt>
                <c:pt idx="10">
                  <c:v>5</c:v>
                </c:pt>
              </c:numCache>
            </c:numRef>
          </c:xVal>
          <c:yVal>
            <c:numRef>
              <c:f>'[简报数据图表.xlsx]1气泡图'!$D$21:$N$21</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'[简报数据图表.xlsx]1气泡图'!$F$2:$F$11</c:f>
              <c:numCache>
                <c:formatCode>General</c:formatCode>
                <c:ptCount val="10"/>
                <c:pt idx="0">
                  <c:v>1</c:v>
                </c:pt>
                <c:pt idx="1">
                  <c:v>0</c:v>
                </c:pt>
                <c:pt idx="2">
                  <c:v>0</c:v>
                </c:pt>
                <c:pt idx="3">
                  <c:v>0</c:v>
                </c:pt>
                <c:pt idx="4">
                  <c:v>0</c:v>
                </c:pt>
                <c:pt idx="5">
                  <c:v>0</c:v>
                </c:pt>
                <c:pt idx="6">
                  <c:v>0</c:v>
                </c:pt>
                <c:pt idx="7">
                  <c:v>0</c:v>
                </c:pt>
                <c:pt idx="8">
                  <c:v>0</c:v>
                </c:pt>
                <c:pt idx="9">
                  <c:v>0</c:v>
                </c:pt>
              </c:numCache>
            </c:numRef>
          </c:bubbleSize>
          <c:bubble3D val="0"/>
        </c:ser>
        <c:ser>
          <c:idx val="5"/>
          <c:order val="5"/>
          <c:tx>
            <c:strRef>
              <c:f>'[简报数据图表.xlsx]1气泡图'!$G$1</c:f>
              <c:strCache>
                <c:ptCount val="1"/>
                <c:pt idx="0">
                  <c:v>B63C11</c:v>
                </c:pt>
              </c:strCache>
            </c:strRef>
          </c:tx>
          <c:spPr>
            <a:gradFill>
              <a:gsLst>
                <a:gs pos="0">
                  <a:schemeClr val="accent1">
                    <a:shade val="94615"/>
                    <a:lumMod val="40000"/>
                    <a:lumOff val="60000"/>
                  </a:schemeClr>
                </a:gs>
                <a:gs pos="90000">
                  <a:schemeClr val="accent1">
                    <a:shade val="94615"/>
                  </a:schemeClr>
                </a:gs>
              </a:gsLst>
              <a:lin ang="2700000" scaled="0"/>
            </a:gradFill>
            <a:ln w="9525" cap="rnd">
              <a:gradFill>
                <a:gsLst>
                  <a:gs pos="0">
                    <a:schemeClr val="accent1">
                      <a:shade val="94615"/>
                    </a:schemeClr>
                  </a:gs>
                  <a:gs pos="100000">
                    <a:schemeClr val="accent1">
                      <a:shade val="94615"/>
                      <a:lumMod val="75000"/>
                    </a:schemeClr>
                  </a:gs>
                </a:gsLst>
                <a:lin ang="2700000" scaled="0"/>
              </a:gradFill>
              <a:round/>
            </a:ln>
            <a:effectLst>
              <a:outerShdw blurRad="76200" dist="25400" dir="2700000" algn="ctr" rotWithShape="0">
                <a:schemeClr val="accent1">
                  <a:shade val="94615"/>
                  <a:lumMod val="50000"/>
                  <a:alpha val="30000"/>
                </a:schemeClr>
              </a:outerShdw>
            </a:effectLst>
          </c:spPr>
          <c:invertIfNegative val="0"/>
          <c:dLbls>
            <c:delete val="1"/>
          </c:dLbls>
          <c:xVal>
            <c:numRef>
              <c:f>'[简报数据图表.xlsx]1气泡图'!$I$16:$I$25</c:f>
              <c:numCache>
                <c:formatCode>General</c:formatCode>
                <c:ptCount val="10"/>
                <c:pt idx="0">
                  <c:v>6</c:v>
                </c:pt>
                <c:pt idx="1">
                  <c:v>6</c:v>
                </c:pt>
                <c:pt idx="2">
                  <c:v>6</c:v>
                </c:pt>
                <c:pt idx="3">
                  <c:v>6</c:v>
                </c:pt>
                <c:pt idx="4">
                  <c:v>6</c:v>
                </c:pt>
                <c:pt idx="5">
                  <c:v>6</c:v>
                </c:pt>
                <c:pt idx="6">
                  <c:v>6</c:v>
                </c:pt>
                <c:pt idx="7">
                  <c:v>6</c:v>
                </c:pt>
                <c:pt idx="8">
                  <c:v>6</c:v>
                </c:pt>
                <c:pt idx="9">
                  <c:v>6</c:v>
                </c:pt>
              </c:numCache>
            </c:numRef>
          </c:xVal>
          <c:yVal>
            <c:numRef>
              <c:f>'[简报数据图表.xlsx]1气泡图'!$D$21:$N$21</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'[简报数据图表.xlsx]1气泡图'!$G$2:$G$11</c:f>
              <c:numCache>
                <c:formatCode>General</c:formatCode>
                <c:ptCount val="10"/>
                <c:pt idx="0">
                  <c:v>9</c:v>
                </c:pt>
                <c:pt idx="1">
                  <c:v>17</c:v>
                </c:pt>
                <c:pt idx="2">
                  <c:v>0</c:v>
                </c:pt>
                <c:pt idx="3">
                  <c:v>19</c:v>
                </c:pt>
                <c:pt idx="4">
                  <c:v>2</c:v>
                </c:pt>
                <c:pt idx="5">
                  <c:v>1</c:v>
                </c:pt>
                <c:pt idx="6">
                  <c:v>0</c:v>
                </c:pt>
                <c:pt idx="7">
                  <c:v>0</c:v>
                </c:pt>
                <c:pt idx="8">
                  <c:v>0</c:v>
                </c:pt>
                <c:pt idx="9">
                  <c:v>0</c:v>
                </c:pt>
              </c:numCache>
            </c:numRef>
          </c:bubbleSize>
          <c:bubble3D val="0"/>
        </c:ser>
        <c:ser>
          <c:idx val="6"/>
          <c:order val="6"/>
          <c:tx>
            <c:strRef>
              <c:f>'[简报数据图表.xlsx]1气泡图'!$H$1</c:f>
              <c:strCache>
                <c:ptCount val="1"/>
                <c:pt idx="0">
                  <c:v>B63B35</c:v>
                </c:pt>
              </c:strCache>
            </c:strRef>
          </c:tx>
          <c:spPr>
            <a:gradFill>
              <a:gsLst>
                <a:gs pos="0">
                  <a:schemeClr val="accent1">
                    <a:tint val="94615"/>
                    <a:lumMod val="40000"/>
                    <a:lumOff val="60000"/>
                  </a:schemeClr>
                </a:gs>
                <a:gs pos="90000">
                  <a:schemeClr val="accent1">
                    <a:tint val="94615"/>
                  </a:schemeClr>
                </a:gs>
              </a:gsLst>
              <a:lin ang="2700000" scaled="0"/>
            </a:gradFill>
            <a:ln w="9525" cap="rnd">
              <a:gradFill>
                <a:gsLst>
                  <a:gs pos="0">
                    <a:schemeClr val="accent1">
                      <a:tint val="94615"/>
                    </a:schemeClr>
                  </a:gs>
                  <a:gs pos="100000">
                    <a:schemeClr val="accent1">
                      <a:tint val="94615"/>
                      <a:lumMod val="75000"/>
                    </a:schemeClr>
                  </a:gs>
                </a:gsLst>
                <a:lin ang="2700000" scaled="0"/>
              </a:gradFill>
              <a:round/>
            </a:ln>
            <a:effectLst>
              <a:outerShdw blurRad="76200" dist="25400" dir="2700000" algn="ctr" rotWithShape="0">
                <a:schemeClr val="accent1">
                  <a:tint val="94615"/>
                  <a:lumMod val="50000"/>
                  <a:alpha val="30000"/>
                </a:schemeClr>
              </a:outerShdw>
            </a:effectLst>
          </c:spPr>
          <c:invertIfNegative val="0"/>
          <c:dLbls>
            <c:delete val="1"/>
          </c:dLbls>
          <c:xVal>
            <c:numRef>
              <c:f>'[简报数据图表.xlsx]1气泡图'!$J$16:$J$25</c:f>
              <c:numCache>
                <c:formatCode>General</c:formatCode>
                <c:ptCount val="10"/>
                <c:pt idx="0">
                  <c:v>7</c:v>
                </c:pt>
                <c:pt idx="1">
                  <c:v>7</c:v>
                </c:pt>
                <c:pt idx="2">
                  <c:v>7</c:v>
                </c:pt>
                <c:pt idx="3">
                  <c:v>7</c:v>
                </c:pt>
                <c:pt idx="4">
                  <c:v>7</c:v>
                </c:pt>
                <c:pt idx="5">
                  <c:v>7</c:v>
                </c:pt>
                <c:pt idx="6">
                  <c:v>7</c:v>
                </c:pt>
                <c:pt idx="7">
                  <c:v>7</c:v>
                </c:pt>
                <c:pt idx="8">
                  <c:v>7</c:v>
                </c:pt>
                <c:pt idx="9">
                  <c:v>7</c:v>
                </c:pt>
              </c:numCache>
            </c:numRef>
          </c:xVal>
          <c:yVal>
            <c:numRef>
              <c:f>'[简报数据图表.xlsx]1气泡图'!$D$22:$N$22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'[简报数据图表.xlsx]1气泡图'!$H$2:$H$11</c:f>
              <c:numCache>
                <c:formatCode>General</c:formatCode>
                <c:ptCount val="10"/>
                <c:pt idx="0">
                  <c:v>1</c:v>
                </c:pt>
                <c:pt idx="1">
                  <c:v>0</c:v>
                </c:pt>
                <c:pt idx="2">
                  <c:v>0</c:v>
                </c:pt>
                <c:pt idx="3">
                  <c:v>1</c:v>
                </c:pt>
                <c:pt idx="4">
                  <c:v>0</c:v>
                </c:pt>
                <c:pt idx="5">
                  <c:v>0</c:v>
                </c:pt>
                <c:pt idx="6">
                  <c:v>2</c:v>
                </c:pt>
                <c:pt idx="7">
                  <c:v>0</c:v>
                </c:pt>
                <c:pt idx="8">
                  <c:v>2</c:v>
                </c:pt>
                <c:pt idx="9">
                  <c:v>0</c:v>
                </c:pt>
              </c:numCache>
            </c:numRef>
          </c:bubbleSize>
          <c:bubble3D val="0"/>
        </c:ser>
        <c:ser>
          <c:idx val="7"/>
          <c:order val="7"/>
          <c:tx>
            <c:strRef>
              <c:f>'[简报数据图表.xlsx]1气泡图'!$I$1</c:f>
              <c:strCache>
                <c:ptCount val="1"/>
                <c:pt idx="0">
                  <c:v>C02F103</c:v>
                </c:pt>
              </c:strCache>
            </c:strRef>
          </c:tx>
          <c:spPr>
            <a:gradFill>
              <a:gsLst>
                <a:gs pos="0">
                  <a:schemeClr val="accent1">
                    <a:tint val="83846"/>
                    <a:lumMod val="40000"/>
                    <a:lumOff val="60000"/>
                  </a:schemeClr>
                </a:gs>
                <a:gs pos="90000">
                  <a:schemeClr val="accent1">
                    <a:tint val="83846"/>
                  </a:schemeClr>
                </a:gs>
              </a:gsLst>
              <a:lin ang="2700000" scaled="0"/>
            </a:gradFill>
            <a:ln w="9525" cap="rnd">
              <a:gradFill>
                <a:gsLst>
                  <a:gs pos="0">
                    <a:schemeClr val="accent1">
                      <a:tint val="83846"/>
                    </a:schemeClr>
                  </a:gs>
                  <a:gs pos="100000">
                    <a:schemeClr val="accent1">
                      <a:tint val="83846"/>
                      <a:lumMod val="75000"/>
                    </a:schemeClr>
                  </a:gs>
                </a:gsLst>
                <a:lin ang="2700000" scaled="0"/>
              </a:gradFill>
              <a:round/>
            </a:ln>
            <a:effectLst>
              <a:outerShdw blurRad="76200" dist="25400" dir="2700000" algn="ctr" rotWithShape="0">
                <a:schemeClr val="accent1">
                  <a:tint val="83846"/>
                  <a:lumMod val="50000"/>
                  <a:alpha val="30000"/>
                </a:schemeClr>
              </a:outerShdw>
            </a:effectLst>
          </c:spPr>
          <c:invertIfNegative val="0"/>
          <c:dLbls>
            <c:delete val="1"/>
          </c:dLbls>
          <c:xVal>
            <c:numRef>
              <c:f>'[简报数据图表.xlsx]1气泡图'!$K$16:$K$25</c:f>
              <c:numCache>
                <c:formatCode>General</c:formatCode>
                <c:ptCount val="10"/>
                <c:pt idx="0">
                  <c:v>8</c:v>
                </c:pt>
                <c:pt idx="1">
                  <c:v>8</c:v>
                </c:pt>
                <c:pt idx="2">
                  <c:v>8</c:v>
                </c:pt>
                <c:pt idx="3">
                  <c:v>8</c:v>
                </c:pt>
                <c:pt idx="4">
                  <c:v>8</c:v>
                </c:pt>
                <c:pt idx="5">
                  <c:v>8</c:v>
                </c:pt>
                <c:pt idx="6">
                  <c:v>8</c:v>
                </c:pt>
                <c:pt idx="7">
                  <c:v>8</c:v>
                </c:pt>
                <c:pt idx="8">
                  <c:v>8</c:v>
                </c:pt>
                <c:pt idx="9">
                  <c:v>8</c:v>
                </c:pt>
              </c:numCache>
            </c:numRef>
          </c:xVal>
          <c:yVal>
            <c:numRef>
              <c:f>'[简报数据图表.xlsx]1气泡图'!$D$23:$N$23</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'[简报数据图表.xlsx]1气泡图'!$I$2:$I$11</c:f>
              <c:numCache>
                <c:formatCode>General</c:formatCode>
                <c:ptCount val="10"/>
                <c:pt idx="0">
                  <c:v>2</c:v>
                </c:pt>
                <c:pt idx="1">
                  <c:v>0</c:v>
                </c:pt>
                <c:pt idx="2">
                  <c:v>0</c:v>
                </c:pt>
                <c:pt idx="3">
                  <c:v>2</c:v>
                </c:pt>
                <c:pt idx="4">
                  <c:v>0</c:v>
                </c:pt>
                <c:pt idx="5">
                  <c:v>0</c:v>
                </c:pt>
                <c:pt idx="6">
                  <c:v>0</c:v>
                </c:pt>
                <c:pt idx="7">
                  <c:v>0</c:v>
                </c:pt>
                <c:pt idx="8">
                  <c:v>0</c:v>
                </c:pt>
                <c:pt idx="9">
                  <c:v>0</c:v>
                </c:pt>
              </c:numCache>
            </c:numRef>
          </c:bubbleSize>
          <c:bubble3D val="0"/>
        </c:ser>
        <c:ser>
          <c:idx val="8"/>
          <c:order val="8"/>
          <c:tx>
            <c:strRef>
              <c:f>'[简报数据图表.xlsx]1气泡图'!$J$1</c:f>
              <c:strCache>
                <c:ptCount val="1"/>
                <c:pt idx="0">
                  <c:v>E21D11</c:v>
                </c:pt>
              </c:strCache>
            </c:strRef>
          </c:tx>
          <c:spPr>
            <a:gradFill>
              <a:gsLst>
                <a:gs pos="0">
                  <a:schemeClr val="accent1">
                    <a:tint val="73077"/>
                    <a:lumMod val="40000"/>
                    <a:lumOff val="60000"/>
                  </a:schemeClr>
                </a:gs>
                <a:gs pos="90000">
                  <a:schemeClr val="accent1">
                    <a:tint val="73077"/>
                  </a:schemeClr>
                </a:gs>
              </a:gsLst>
              <a:lin ang="2700000" scaled="0"/>
            </a:gradFill>
            <a:ln w="9525" cap="rnd">
              <a:gradFill>
                <a:gsLst>
                  <a:gs pos="0">
                    <a:schemeClr val="accent1">
                      <a:tint val="73077"/>
                    </a:schemeClr>
                  </a:gs>
                  <a:gs pos="100000">
                    <a:schemeClr val="accent1">
                      <a:tint val="73077"/>
                      <a:lumMod val="75000"/>
                    </a:schemeClr>
                  </a:gs>
                </a:gsLst>
                <a:lin ang="2700000" scaled="0"/>
              </a:gradFill>
              <a:round/>
            </a:ln>
            <a:effectLst>
              <a:outerShdw blurRad="76200" dist="25400" dir="2700000" algn="ctr" rotWithShape="0">
                <a:schemeClr val="accent1">
                  <a:tint val="73077"/>
                  <a:lumMod val="50000"/>
                  <a:alpha val="30000"/>
                </a:schemeClr>
              </a:outerShdw>
            </a:effectLst>
          </c:spPr>
          <c:invertIfNegative val="0"/>
          <c:dLbls>
            <c:delete val="1"/>
          </c:dLbls>
          <c:xVal>
            <c:numRef>
              <c:f>'[简报数据图表.xlsx]1气泡图'!$L$16:$L$25</c:f>
              <c:numCache>
                <c:formatCode>General</c:formatCode>
                <c:ptCount val="10"/>
                <c:pt idx="0">
                  <c:v>9</c:v>
                </c:pt>
                <c:pt idx="1">
                  <c:v>9</c:v>
                </c:pt>
                <c:pt idx="2">
                  <c:v>9</c:v>
                </c:pt>
                <c:pt idx="3">
                  <c:v>9</c:v>
                </c:pt>
                <c:pt idx="4">
                  <c:v>9</c:v>
                </c:pt>
                <c:pt idx="5">
                  <c:v>9</c:v>
                </c:pt>
                <c:pt idx="6">
                  <c:v>9</c:v>
                </c:pt>
                <c:pt idx="7">
                  <c:v>9</c:v>
                </c:pt>
                <c:pt idx="8">
                  <c:v>9</c:v>
                </c:pt>
                <c:pt idx="9">
                  <c:v>9</c:v>
                </c:pt>
              </c:numCache>
            </c:numRef>
          </c:xVal>
          <c:yVal>
            <c:numRef>
              <c:f>'[简报数据图表.xlsx]1气泡图'!$D$24:$N$24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'[简报数据图表.xlsx]1气泡图'!$J$2:$J$11</c:f>
              <c:numCache>
                <c:formatCode>General</c:formatCode>
                <c:ptCount val="10"/>
                <c:pt idx="0">
                  <c:v>0</c:v>
                </c:pt>
                <c:pt idx="1">
                  <c:v>0</c:v>
                </c:pt>
                <c:pt idx="2">
                  <c:v>10</c:v>
                </c:pt>
                <c:pt idx="3">
                  <c:v>0</c:v>
                </c:pt>
                <c:pt idx="4">
                  <c:v>1</c:v>
                </c:pt>
                <c:pt idx="5">
                  <c:v>0</c:v>
                </c:pt>
                <c:pt idx="6">
                  <c:v>0</c:v>
                </c:pt>
                <c:pt idx="7">
                  <c:v>0</c:v>
                </c:pt>
                <c:pt idx="8">
                  <c:v>0</c:v>
                </c:pt>
                <c:pt idx="9">
                  <c:v>0</c:v>
                </c:pt>
              </c:numCache>
            </c:numRef>
          </c:bubbleSize>
          <c:bubble3D val="0"/>
        </c:ser>
        <c:ser>
          <c:idx val="9"/>
          <c:order val="9"/>
          <c:tx>
            <c:strRef>
              <c:f>'[简报数据图表.xlsx]1气泡图'!$K$1</c:f>
              <c:strCache>
                <c:ptCount val="1"/>
                <c:pt idx="0">
                  <c:v>E21F15</c:v>
                </c:pt>
              </c:strCache>
            </c:strRef>
          </c:tx>
          <c:spPr>
            <a:gradFill>
              <a:gsLst>
                <a:gs pos="0">
                  <a:schemeClr val="accent1">
                    <a:tint val="62308"/>
                    <a:lumMod val="40000"/>
                    <a:lumOff val="60000"/>
                  </a:schemeClr>
                </a:gs>
                <a:gs pos="90000">
                  <a:schemeClr val="accent1">
                    <a:tint val="62308"/>
                  </a:schemeClr>
                </a:gs>
              </a:gsLst>
              <a:lin ang="2700000" scaled="0"/>
            </a:gradFill>
            <a:ln w="9525" cap="rnd">
              <a:gradFill>
                <a:gsLst>
                  <a:gs pos="0">
                    <a:schemeClr val="accent1">
                      <a:tint val="62308"/>
                    </a:schemeClr>
                  </a:gs>
                  <a:gs pos="100000">
                    <a:schemeClr val="accent1">
                      <a:tint val="62308"/>
                      <a:lumMod val="75000"/>
                    </a:schemeClr>
                  </a:gs>
                </a:gsLst>
                <a:lin ang="2700000" scaled="0"/>
              </a:gradFill>
              <a:round/>
            </a:ln>
            <a:effectLst>
              <a:outerShdw blurRad="76200" dist="25400" dir="2700000" algn="ctr" rotWithShape="0">
                <a:schemeClr val="accent1">
                  <a:tint val="62308"/>
                  <a:lumMod val="50000"/>
                  <a:alpha val="30000"/>
                </a:schemeClr>
              </a:outerShdw>
            </a:effectLst>
          </c:spPr>
          <c:invertIfNegative val="0"/>
          <c:dLbls>
            <c:delete val="1"/>
          </c:dLbls>
          <c:xVal>
            <c:numRef>
              <c:f>'[简报数据图表.xlsx]1气泡图'!$M$16:$M$25</c:f>
              <c:numCache>
                <c:formatCode>General</c:formatCode>
                <c:ptCount val="10"/>
                <c:pt idx="0">
                  <c:v>10</c:v>
                </c:pt>
                <c:pt idx="1">
                  <c:v>10</c:v>
                </c:pt>
                <c:pt idx="2">
                  <c:v>10</c:v>
                </c:pt>
                <c:pt idx="3">
                  <c:v>10</c:v>
                </c:pt>
                <c:pt idx="4">
                  <c:v>10</c:v>
                </c:pt>
                <c:pt idx="5">
                  <c:v>10</c:v>
                </c:pt>
                <c:pt idx="6">
                  <c:v>10</c:v>
                </c:pt>
                <c:pt idx="7">
                  <c:v>10</c:v>
                </c:pt>
                <c:pt idx="8">
                  <c:v>10</c:v>
                </c:pt>
                <c:pt idx="9">
                  <c:v>10</c:v>
                </c:pt>
              </c:numCache>
            </c:numRef>
          </c:xVal>
          <c:yVal>
            <c:numRef>
              <c:f>'[简报数据图表.xlsx]1气泡图'!$D$25:$N$25</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'[简报数据图表.xlsx]1气泡图'!$K$2:$K$11</c:f>
              <c:numCache>
                <c:formatCode>General</c:formatCode>
                <c:ptCount val="10"/>
                <c:pt idx="0">
                  <c:v>0</c:v>
                </c:pt>
                <c:pt idx="1">
                  <c:v>0</c:v>
                </c:pt>
                <c:pt idx="2">
                  <c:v>20</c:v>
                </c:pt>
                <c:pt idx="3">
                  <c:v>0</c:v>
                </c:pt>
                <c:pt idx="4">
                  <c:v>6</c:v>
                </c:pt>
                <c:pt idx="5">
                  <c:v>1</c:v>
                </c:pt>
                <c:pt idx="6">
                  <c:v>2</c:v>
                </c:pt>
                <c:pt idx="7">
                  <c:v>0</c:v>
                </c:pt>
                <c:pt idx="8">
                  <c:v>0</c:v>
                </c:pt>
                <c:pt idx="9">
                  <c:v>0</c:v>
                </c:pt>
              </c:numCache>
            </c:numRef>
          </c:bubbleSize>
          <c:bubble3D val="0"/>
        </c:ser>
        <c:ser>
          <c:idx val="10"/>
          <c:order val="10"/>
          <c:tx>
            <c:strRef>
              <c:f>'[简报数据图表.xlsx]1气泡图'!$A$12</c:f>
              <c:strCache>
                <c:ptCount val="1"/>
                <c:pt idx="0">
                  <c:v>横轴</c:v>
                </c:pt>
              </c:strCache>
            </c:strRef>
          </c:tx>
          <c:spPr>
            <a:gradFill>
              <a:gsLst>
                <a:gs pos="0">
                  <a:schemeClr val="accent1">
                    <a:tint val="51538"/>
                    <a:lumMod val="40000"/>
                    <a:lumOff val="60000"/>
                  </a:schemeClr>
                </a:gs>
                <a:gs pos="90000">
                  <a:schemeClr val="accent1">
                    <a:tint val="51538"/>
                  </a:schemeClr>
                </a:gs>
              </a:gsLst>
              <a:lin ang="2700000" scaled="0"/>
            </a:gradFill>
            <a:ln w="9525" cap="rnd">
              <a:gradFill>
                <a:gsLst>
                  <a:gs pos="0">
                    <a:schemeClr val="accent1">
                      <a:tint val="51538"/>
                    </a:schemeClr>
                  </a:gs>
                  <a:gs pos="100000">
                    <a:schemeClr val="accent1">
                      <a:tint val="51538"/>
                      <a:lumMod val="75000"/>
                    </a:schemeClr>
                  </a:gs>
                </a:gsLst>
                <a:lin ang="2700000" scaled="0"/>
              </a:gradFill>
              <a:round/>
            </a:ln>
            <a:effectLst>
              <a:outerShdw blurRad="76200" dist="25400" dir="2700000" algn="ctr" rotWithShape="0">
                <a:schemeClr val="accent1">
                  <a:tint val="51538"/>
                  <a:lumMod val="50000"/>
                  <a:alpha val="30000"/>
                </a:schemeClr>
              </a:outerShdw>
            </a:effectLst>
          </c:spPr>
          <c:invertIfNegative val="0"/>
          <c:dLbls>
            <c:dLbl>
              <c:idx val="0"/>
              <c:layout>
                <c:manualLayout>
                  <c:x val="-0.00204349729966428"/>
                  <c:y val="0.0342077845227238"/>
                </c:manualLayout>
              </c:layout>
              <c:tx>
                <c:rich>
                  <a:bodyPr rot="-1800000" spcFirstLastPara="0" vertOverflow="ellipsis" vert="horz" wrap="square" lIns="38100" tIns="19050" rIns="38100" bIns="19050" anchor="ctr" anchorCtr="1"/>
                  <a:lstStyle/>
                  <a:p>
                    <a:fld id="{c01af316-167d-4899-8cdd-706bd467add0}" type="CELLRANGE">
                      <a:t>[CELLRANGE]</a:t>
                    </a:fld>
                    <a:endParaRPr b="0" i="0" u="none" strike="noStrike" baseline="0">
                      <a:latin typeface="Times New Roman" panose="02020603050405020304" charset="0"/>
                      <a:ea typeface="Times New Roman" panose="02020603050405020304" charset="0"/>
                      <a:cs typeface="+mn-ea"/>
                    </a:endParaRPr>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1"/>
              <c:layout>
                <c:manualLayout>
                  <c:x val="-0.00131233595800525"/>
                  <c:y val="0.0333720135239774"/>
                </c:manualLayout>
              </c:layout>
              <c:tx>
                <c:rich>
                  <a:bodyPr rot="-1800000" spcFirstLastPara="0" vertOverflow="ellipsis" vert="horz" wrap="square" lIns="38100" tIns="19050" rIns="38100" bIns="19050" anchor="ctr" anchorCtr="1"/>
                  <a:lstStyle/>
                  <a:p>
                    <a:fld id="{44d0bd24-0483-4553-8812-e90ce75fa602}" type="CELLRANGE">
                      <a:t>[CELLRANGE]</a:t>
                    </a:fld>
                    <a:endParaRPr b="0" i="0" u="none" strike="noStrike" baseline="0">
                      <a:latin typeface="Times New Roman" panose="02020603050405020304" charset="0"/>
                      <a:ea typeface="Times New Roman" panose="02020603050405020304" charset="0"/>
                      <a:cs typeface="+mn-ea"/>
                    </a:endParaRPr>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2"/>
              <c:layout>
                <c:manualLayout>
                  <c:x val="0"/>
                  <c:y val="0.0340980187695516"/>
                </c:manualLayout>
              </c:layout>
              <c:tx>
                <c:rich>
                  <a:bodyPr rot="-1800000" spcFirstLastPara="0" vertOverflow="ellipsis" vert="horz" wrap="square" lIns="38100" tIns="19050" rIns="38100" bIns="19050" anchor="ctr" anchorCtr="1"/>
                  <a:lstStyle/>
                  <a:p>
                    <a:fld id="{5ca1e8ac-5e97-4e6c-b5b6-37dbb1093371}" type="CELLRANGE">
                      <a:t>[CELLRANGE]</a:t>
                    </a:fld>
                    <a:endParaRPr b="0" i="0" u="none" strike="noStrike" baseline="0">
                      <a:latin typeface="Times New Roman" panose="02020603050405020304" charset="0"/>
                      <a:ea typeface="Times New Roman" panose="02020603050405020304" charset="0"/>
                      <a:cs typeface="+mn-ea"/>
                    </a:endParaRPr>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3"/>
              <c:layout>
                <c:manualLayout>
                  <c:x val="7.29820464165815e-5"/>
                  <c:y val="0.0342022940563087"/>
                </c:manualLayout>
              </c:layout>
              <c:tx>
                <c:rich>
                  <a:bodyPr rot="-1800000" spcFirstLastPara="0" vertOverflow="ellipsis" vert="horz" wrap="square" lIns="38100" tIns="19050" rIns="38100" bIns="19050" anchor="ctr" anchorCtr="1"/>
                  <a:lstStyle/>
                  <a:p>
                    <a:fld id="{b4e10e4a-7738-4f52-8b6b-3761e0794fdb}" type="CELLRANGE">
                      <a:t>[CELLRANGE]</a:t>
                    </a:fld>
                    <a:endParaRPr b="0" i="0" u="none" strike="noStrike" baseline="0">
                      <a:latin typeface="Times New Roman" panose="02020603050405020304" charset="0"/>
                      <a:ea typeface="Times New Roman" panose="02020603050405020304" charset="0"/>
                      <a:cs typeface="+mn-ea"/>
                    </a:endParaRPr>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4"/>
              <c:layout>
                <c:manualLayout>
                  <c:x val="0.00094876660341556"/>
                  <c:y val="0.0340980187695516"/>
                </c:manualLayout>
              </c:layout>
              <c:tx>
                <c:rich>
                  <a:bodyPr rot="-1800000" spcFirstLastPara="0" vertOverflow="ellipsis" vert="horz" wrap="square" lIns="38100" tIns="19050" rIns="38100" bIns="19050" anchor="ctr" anchorCtr="1"/>
                  <a:lstStyle/>
                  <a:p>
                    <a:fld id="{9e78ade3-6fe7-4122-8cdb-9b4a1d486e51}" type="CELLRANGE">
                      <a:t>[CELLRANGE]</a:t>
                    </a:fld>
                    <a:endParaRPr b="0" i="0" u="none" strike="noStrike" baseline="0">
                      <a:latin typeface="Times New Roman" panose="02020603050405020304" charset="0"/>
                      <a:ea typeface="Times New Roman" panose="02020603050405020304" charset="0"/>
                      <a:cs typeface="+mn-ea"/>
                    </a:endParaRPr>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5"/>
              <c:layout>
                <c:manualLayout>
                  <c:x val="0.0039410305064954"/>
                  <c:y val="0.0340980187695516"/>
                </c:manualLayout>
              </c:layout>
              <c:tx>
                <c:rich>
                  <a:bodyPr rot="-1800000" spcFirstLastPara="0" vertOverflow="ellipsis" vert="horz" wrap="square" lIns="38100" tIns="19050" rIns="38100" bIns="19050" anchor="ctr" anchorCtr="1"/>
                  <a:lstStyle/>
                  <a:p>
                    <a:fld id="{aec1092f-87dc-475c-9bbd-f2221b243717}" type="CELLRANGE">
                      <a:t>[CELLRANGE]</a:t>
                    </a:fld>
                    <a:endParaRPr b="0" i="0" u="none" strike="noStrike" baseline="0">
                      <a:latin typeface="Times New Roman" panose="02020603050405020304" charset="0"/>
                      <a:ea typeface="Times New Roman" panose="02020603050405020304" charset="0"/>
                      <a:cs typeface="+mn-ea"/>
                    </a:endParaRPr>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6"/>
              <c:layout>
                <c:manualLayout>
                  <c:x val="0.00102174864983214"/>
                  <c:y val="0.0342022940563087"/>
                </c:manualLayout>
              </c:layout>
              <c:tx>
                <c:rich>
                  <a:bodyPr rot="-1800000" spcFirstLastPara="0" vertOverflow="ellipsis" vert="horz" wrap="square" lIns="38100" tIns="19050" rIns="38100" bIns="19050" anchor="ctr" anchorCtr="1"/>
                  <a:lstStyle/>
                  <a:p>
                    <a:fld id="{d1b69b4e-174d-474c-b0cc-27560cf5a644}" type="CELLRANGE">
                      <a:t>[CELLRANGE]</a:t>
                    </a:fld>
                    <a:endParaRPr b="0" i="0" u="none" strike="noStrike" baseline="0">
                      <a:latin typeface="Times New Roman" panose="02020603050405020304" charset="0"/>
                      <a:ea typeface="Times New Roman" panose="02020603050405020304" charset="0"/>
                      <a:cs typeface="+mn-ea"/>
                    </a:endParaRPr>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7"/>
              <c:layout>
                <c:manualLayout>
                  <c:x val="-0.00094876660341556"/>
                  <c:y val="0.0342022940563087"/>
                </c:manualLayout>
              </c:layout>
              <c:tx>
                <c:rich>
                  <a:bodyPr rot="-1800000" spcFirstLastPara="0" vertOverflow="ellipsis" vert="horz" wrap="square" lIns="38100" tIns="19050" rIns="38100" bIns="19050" anchor="ctr" anchorCtr="1"/>
                  <a:lstStyle/>
                  <a:p>
                    <a:fld id="{b64e8cb6-8565-4fb5-b545-be9d38fad4cc}" type="CELLRANGE">
                      <a:t>[CELLRANGE]</a:t>
                    </a:fld>
                    <a:endParaRPr b="0" i="0" u="none" strike="noStrike" baseline="0">
                      <a:latin typeface="Times New Roman" panose="02020603050405020304" charset="0"/>
                      <a:ea typeface="Times New Roman" panose="02020603050405020304" charset="0"/>
                      <a:cs typeface="+mn-ea"/>
                    </a:endParaRPr>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8"/>
              <c:layout>
                <c:manualLayout>
                  <c:x val="0"/>
                  <c:y val="0.0342022940563087"/>
                </c:manualLayout>
              </c:layout>
              <c:tx>
                <c:rich>
                  <a:bodyPr rot="-1800000" spcFirstLastPara="0" vertOverflow="ellipsis" vert="horz" wrap="square" lIns="38100" tIns="19050" rIns="38100" bIns="19050" anchor="ctr" anchorCtr="1"/>
                  <a:lstStyle/>
                  <a:p>
                    <a:fld id="{dc5b232c-7a5a-4df5-a711-0cbbc9f0faca}" type="CELLRANGE">
                      <a:t>[CELLRANGE]</a:t>
                    </a:fld>
                    <a:endParaRPr b="0" i="0" u="none" strike="noStrike" baseline="0">
                      <a:latin typeface="Times New Roman" panose="02020603050405020304" charset="0"/>
                      <a:ea typeface="Times New Roman" panose="02020603050405020304" charset="0"/>
                      <a:cs typeface="+mn-ea"/>
                    </a:endParaRPr>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9"/>
              <c:layout>
                <c:manualLayout>
                  <c:x val="0"/>
                  <c:y val="0.0340980187695516"/>
                </c:manualLayout>
              </c:layout>
              <c:tx>
                <c:rich>
                  <a:bodyPr rot="-1800000" spcFirstLastPara="0" vertOverflow="ellipsis" vert="horz" wrap="square" lIns="38100" tIns="19050" rIns="38100" bIns="19050" anchor="ctr" anchorCtr="1"/>
                  <a:lstStyle/>
                  <a:p>
                    <a:fld id="{432a151b-5b0f-49d3-8bfe-3a5fd26a6fbf}" type="CELLRANGE">
                      <a:t>[CELLRANGE]</a:t>
                    </a:fld>
                    <a:endParaRPr b="0" i="0" u="none" strike="noStrike" baseline="0">
                      <a:latin typeface="Times New Roman" panose="02020603050405020304" charset="0"/>
                      <a:ea typeface="Times New Roman" panose="02020603050405020304" charset="0"/>
                      <a:cs typeface="+mn-ea"/>
                    </a:endParaRPr>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10"/>
              <c:layout/>
              <c:dLblPos val="b"/>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180000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15:leaderLines>
                  <c:spPr>
                    <a:ln w="9525" cap="flat" cmpd="sng" algn="ctr">
                      <a:solidFill>
                        <a:schemeClr val="tx1">
                          <a:lumMod val="35000"/>
                          <a:lumOff val="65000"/>
                        </a:schemeClr>
                      </a:solidFill>
                      <a:round/>
                    </a:ln>
                    <a:effectLst/>
                  </c:spPr>
                </c15:leaderLines>
              </c:ext>
            </c:extLst>
          </c:dLbls>
          <c:xVal>
            <c:numRef>
              <c:f>'[简报数据图表.xlsx]1气泡图'!$D$16:$N$16</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'[简报数据图表.xlsx]1气泡图'!$C$16:$C$26</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yVal>
          <c:bubbleSize>
            <c:numRef>
              <c:f>'[简报数据图表.xlsx]1气泡图'!$B$12:$M$12</c:f>
              <c:numCache>
                <c:formatCode>General</c:formatCode>
                <c:ptCount val="12"/>
                <c:pt idx="0">
                  <c:v>0.01</c:v>
                </c:pt>
                <c:pt idx="1">
                  <c:v>0.01</c:v>
                </c:pt>
                <c:pt idx="2">
                  <c:v>0.01</c:v>
                </c:pt>
                <c:pt idx="3">
                  <c:v>0.01</c:v>
                </c:pt>
                <c:pt idx="4">
                  <c:v>0.01</c:v>
                </c:pt>
                <c:pt idx="5">
                  <c:v>0.01</c:v>
                </c:pt>
                <c:pt idx="6">
                  <c:v>0.01</c:v>
                </c:pt>
                <c:pt idx="7">
                  <c:v>0.01</c:v>
                </c:pt>
                <c:pt idx="8">
                  <c:v>0.01</c:v>
                </c:pt>
                <c:pt idx="9">
                  <c:v>0.01</c:v>
                </c:pt>
              </c:numCache>
            </c:numRef>
          </c:bubbleSize>
          <c:bubble3D val="0"/>
          <c:extLst>
            <c:ext xmlns:c15="http://schemas.microsoft.com/office/drawing/2012/chart" uri="{02D57815-91ED-43cb-92C2-25804820EDAC}">
              <c15:datalabelsRange>
                <c15:f>'1气泡图'!$B$1:$M$1</c15:f>
                <c15:dlblRangeCache>
                  <c:ptCount val="12"/>
                  <c:pt idx="0">
                    <c:v>E21C50</c:v>
                  </c:pt>
                  <c:pt idx="1">
                    <c:v>E21B43</c:v>
                  </c:pt>
                  <c:pt idx="2">
                    <c:v>C04B28</c:v>
                  </c:pt>
                  <c:pt idx="3">
                    <c:v>E21C41</c:v>
                  </c:pt>
                  <c:pt idx="4">
                    <c:v>C04B14</c:v>
                  </c:pt>
                  <c:pt idx="5">
                    <c:v>B63C11</c:v>
                  </c:pt>
                  <c:pt idx="6">
                    <c:v>B63B35</c:v>
                  </c:pt>
                  <c:pt idx="7">
                    <c:v>C02F103</c:v>
                  </c:pt>
                  <c:pt idx="8">
                    <c:v>E21D11</c:v>
                  </c:pt>
                  <c:pt idx="9">
                    <c:v>E21F15</c:v>
                  </c:pt>
                </c15:dlblRangeCache>
              </c15:datalabelsRange>
            </c:ext>
          </c:extLst>
        </c:ser>
        <c:ser>
          <c:idx val="11"/>
          <c:order val="11"/>
          <c:tx>
            <c:strRef>
              <c:f>'[简报数据图表.xlsx]1气泡图'!$A$15</c:f>
              <c:strCache>
                <c:ptCount val="1"/>
                <c:pt idx="0">
                  <c:v>纵轴</c:v>
                </c:pt>
              </c:strCache>
            </c:strRef>
          </c:tx>
          <c:spPr>
            <a:gradFill>
              <a:gsLst>
                <a:gs pos="0">
                  <a:schemeClr val="accent1">
                    <a:tint val="40769"/>
                    <a:lumMod val="40000"/>
                    <a:lumOff val="60000"/>
                  </a:schemeClr>
                </a:gs>
                <a:gs pos="90000">
                  <a:schemeClr val="accent1">
                    <a:tint val="40769"/>
                  </a:schemeClr>
                </a:gs>
              </a:gsLst>
              <a:lin ang="2700000" scaled="0"/>
            </a:gradFill>
            <a:ln w="9525" cap="rnd">
              <a:gradFill>
                <a:gsLst>
                  <a:gs pos="0">
                    <a:schemeClr val="accent1">
                      <a:tint val="40769"/>
                    </a:schemeClr>
                  </a:gs>
                  <a:gs pos="100000">
                    <a:schemeClr val="accent1">
                      <a:tint val="40769"/>
                      <a:lumMod val="75000"/>
                    </a:schemeClr>
                  </a:gs>
                </a:gsLst>
                <a:lin ang="2700000" scaled="0"/>
              </a:gradFill>
              <a:round/>
            </a:ln>
            <a:effectLst>
              <a:outerShdw blurRad="76200" dist="25400" dir="2700000" algn="ctr" rotWithShape="0">
                <a:schemeClr val="accent1">
                  <a:tint val="40769"/>
                  <a:lumMod val="50000"/>
                  <a:alpha val="30000"/>
                </a:schemeClr>
              </a:outerShdw>
            </a:effectLst>
          </c:spPr>
          <c:invertIfNegative val="0"/>
          <c:dLbls>
            <c:dLbl>
              <c:idx val="0"/>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manualLayout>
                  <c:x val="0.0017180162638873"/>
                  <c:y val="0"/>
                </c:manualLayout>
              </c:layout>
              <c:numFmt formatCode="General" sourceLinked="1"/>
              <c:spPr>
                <a:noFill/>
                <a:ln>
                  <a:noFill/>
                </a:ln>
                <a:effectLst/>
              </c:spPr>
              <c:txPr>
                <a:bodyPr rot="0" spcFirstLastPara="0" vertOverflow="ellipsis" vert="horz" wrap="square" lIns="38100" tIns="19050" rIns="38100" bIns="19050" anchor="ctr" anchorCtr="0"/>
                <a:lstStyle/>
                <a:p>
                  <a:pPr algn="r">
                    <a:defRPr lang="zh-CN" sz="1000" b="0" i="0" u="none" strike="noStrike" kern="1200" baseline="0">
                      <a:solidFill>
                        <a:schemeClr val="tx1">
                          <a:lumMod val="75000"/>
                          <a:lumOff val="25000"/>
                        </a:schemeClr>
                      </a:solidFill>
                      <a:latin typeface="+mn-lt"/>
                      <a:ea typeface="+mn-ea"/>
                      <a:cs typeface="+mn-cs"/>
                    </a:defRPr>
                  </a:pPr>
                </a:p>
              </c:txPr>
              <c:dLblPos val="l"/>
              <c:showLegendKey val="0"/>
              <c:showVal val="0"/>
              <c:showCatName val="0"/>
              <c:showSerName val="0"/>
              <c:showPercent val="0"/>
              <c:showBubbleSize val="0"/>
              <c:extLst>
                <c:ext xmlns:c15="http://schemas.microsoft.com/office/drawing/2012/chart" uri="{CE6537A1-D6FC-4f65-9D91-7224C49458BB}">
                  <c15:layout>
                    <c:manualLayout>
                      <c:w val="0.241094949032184"/>
                      <c:h val="0.0730420668199648"/>
                    </c:manualLayout>
                  </c15:layout>
                  <c15:dlblFieldTable/>
                  <c15:showDataLabelsRange val="1"/>
                </c:ext>
              </c:extLst>
            </c:dLbl>
            <c:dLbl>
              <c:idx val="2"/>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l"/>
              <c:showLegendKey val="0"/>
              <c:showVal val="0"/>
              <c:showCatName val="0"/>
              <c:showSerName val="0"/>
              <c:showPercent val="0"/>
              <c:showBubbleSize val="0"/>
              <c:extLst>
                <c:ext xmlns:c15="http://schemas.microsoft.com/office/drawing/2012/chart" uri="{CE6537A1-D6FC-4f65-9D91-7224C49458BB}">
                  <c15:layout>
                    <c:manualLayout>
                      <c:w val="0.242812965296071"/>
                      <c:h val="0.0730420668199648"/>
                    </c:manualLayout>
                  </c15:layout>
                  <c15:dlblFieldTable/>
                  <c15:showDataLabelsRange val="1"/>
                </c:ext>
              </c:extLst>
            </c:dLbl>
            <c:dLbl>
              <c:idx val="6"/>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l"/>
              <c:showLegendKey val="0"/>
              <c:showVal val="0"/>
              <c:showCatName val="0"/>
              <c:showSerName val="0"/>
              <c:showPercent val="0"/>
              <c:showBubbleSize val="0"/>
              <c:extLst>
                <c:ext xmlns:c15="http://schemas.microsoft.com/office/drawing/2012/chart" uri="{CE6537A1-D6FC-4f65-9D91-7224C49458BB}">
                  <c15:layout>
                    <c:manualLayout>
                      <c:w val="0.241094949032184"/>
                      <c:h val="0.0730420668199648"/>
                    </c:manualLayout>
                  </c15:layout>
                  <c15:dlblFieldTable/>
                  <c15:showDataLabelsRange val="1"/>
                </c:ext>
              </c:extLst>
            </c:dLbl>
            <c:dLbl>
              <c:idx val="9"/>
              <c:layout>
                <c:manualLayout>
                  <c:x val="-0.0429504065971825"/>
                  <c:y val="-0.00202894630055458"/>
                </c:manualLayout>
              </c:layout>
              <c:dLblPos val="l"/>
              <c:showLegendKey val="0"/>
              <c:showVal val="0"/>
              <c:showCatName val="0"/>
              <c:showSerName val="0"/>
              <c:showPercent val="0"/>
              <c:showBubbleSize val="0"/>
              <c:extLst>
                <c:ext xmlns:c15="http://schemas.microsoft.com/office/drawing/2012/chart" uri="{CE6537A1-D6FC-4f65-9D91-7224C49458BB}">
                  <c15:layout>
                    <c:manualLayout>
                      <c:w val="0.242240293208109"/>
                      <c:h val="0.0733125929933721"/>
                    </c:manualLayout>
                  </c15:layout>
                  <c15:dlblFieldTable/>
                  <c15:showDataLabelsRange val="1"/>
                </c:ext>
              </c:extLst>
            </c:dLbl>
            <c:dLbl>
              <c:idx val="10"/>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l"/>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15:leaderLines>
                  <c:spPr>
                    <a:ln w="9525" cap="flat" cmpd="sng" algn="ctr">
                      <a:solidFill>
                        <a:schemeClr val="tx1">
                          <a:lumMod val="35000"/>
                          <a:lumOff val="65000"/>
                        </a:schemeClr>
                      </a:solidFill>
                      <a:round/>
                    </a:ln>
                    <a:effectLst/>
                  </c:spPr>
                </c15:leaderLines>
              </c:ext>
            </c:extLst>
          </c:dLbls>
          <c:xVal>
            <c:numRef>
              <c:f>'[简报数据图表.xlsx]1气泡图'!$C$16:$C$26</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xVal>
          <c:yVal>
            <c:numRef>
              <c:f>'[简报数据图表.xlsx]1气泡图'!$D$16:$N$16</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'[简报数据图表.xlsx]1气泡图'!$A$16:$A$25</c:f>
              <c:numCache>
                <c:formatCode>General</c:formatCode>
                <c:ptCount val="10"/>
                <c:pt idx="0">
                  <c:v>0.01</c:v>
                </c:pt>
                <c:pt idx="1">
                  <c:v>0.01</c:v>
                </c:pt>
                <c:pt idx="2">
                  <c:v>0.01</c:v>
                </c:pt>
                <c:pt idx="3">
                  <c:v>0.01</c:v>
                </c:pt>
                <c:pt idx="4">
                  <c:v>0.01</c:v>
                </c:pt>
                <c:pt idx="5">
                  <c:v>0.01</c:v>
                </c:pt>
                <c:pt idx="6">
                  <c:v>0.01</c:v>
                </c:pt>
                <c:pt idx="7">
                  <c:v>0.01</c:v>
                </c:pt>
                <c:pt idx="8">
                  <c:v>0.01</c:v>
                </c:pt>
                <c:pt idx="9">
                  <c:v>0.01</c:v>
                </c:pt>
              </c:numCache>
            </c:numRef>
          </c:bubbleSize>
          <c:bubble3D val="0"/>
          <c:extLst>
            <c:ext xmlns:c15="http://schemas.microsoft.com/office/drawing/2012/chart" uri="{02D57815-91ED-43cb-92C2-25804820EDAC}">
              <c15:datalabelsRange>
                <c15:f>'1气泡图'!$A$2:$A$11</c15:f>
                <c15:dlblRangeCache>
                  <c:ptCount val="10"/>
                  <c:pt idx="0">
                    <c:v>中国海洋大学</c:v>
                  </c:pt>
                  <c:pt idx="1">
                    <c:v>长沙矿冶研究院有限责任公司</c:v>
                  </c:pt>
                  <c:pt idx="2">
                    <c:v>中国矿业大学</c:v>
                  </c:pt>
                  <c:pt idx="3">
                    <c:v>上海交通大学</c:v>
                  </c:pt>
                  <c:pt idx="4">
                    <c:v>中南大学</c:v>
                  </c:pt>
                  <c:pt idx="5">
                    <c:v>青岛海洋地质研究所</c:v>
                  </c:pt>
                  <c:pt idx="6">
                    <c:v>山东科技大学</c:v>
                  </c:pt>
                  <c:pt idx="7">
                    <c:v>西南石油大学</c:v>
                  </c:pt>
                  <c:pt idx="8">
                    <c:v>中国海洋石油总公司</c:v>
                  </c:pt>
                  <c:pt idx="9">
                    <c:v>中国石油大学(华东)</c:v>
                  </c:pt>
                </c15:dlblRangeCache>
              </c15:datalabelsRange>
            </c:ext>
          </c:extLst>
        </c:ser>
        <c:dLbls>
          <c:showLegendKey val="0"/>
          <c:showVal val="0"/>
          <c:showCatName val="0"/>
          <c:showSerName val="0"/>
          <c:showPercent val="0"/>
          <c:showBubbleSize val="0"/>
        </c:dLbls>
        <c:bubbleScale val="45"/>
        <c:showNegBubbles val="0"/>
        <c:sizeRepresents val="area"/>
        <c:axId val="77979023"/>
        <c:axId val="943885176"/>
      </c:bubbleChart>
      <c:valAx>
        <c:axId val="77979023"/>
        <c:scaling>
          <c:orientation val="minMax"/>
          <c:max val="11"/>
          <c:min val="0"/>
        </c:scaling>
        <c:delete val="1"/>
        <c:axPos val="b"/>
        <c:majorGridlines>
          <c:spPr>
            <a:ln w="9525" cap="flat" cmpd="sng" algn="ctr">
              <a:solidFill>
                <a:schemeClr val="lt1">
                  <a:lumMod val="902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3885176"/>
        <c:crosses val="autoZero"/>
        <c:crossBetween val="midCat"/>
        <c:majorUnit val="1"/>
        <c:minorUnit val="0.2"/>
      </c:valAx>
      <c:valAx>
        <c:axId val="943885176"/>
        <c:scaling>
          <c:orientation val="minMax"/>
          <c:max val="10.5"/>
          <c:min val="-0.5"/>
        </c:scaling>
        <c:delete val="1"/>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979023"/>
        <c:crosses val="autoZero"/>
        <c:crossBetween val="midCat"/>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2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2700000" scaled="0"/>
      </a:gradFill>
      <a:ln w="9525" cap="rnd">
        <a:gradFill>
          <a:gsLst>
            <a:gs pos="0">
              <a:schemeClr val="phClr"/>
            </a:gs>
            <a:gs pos="100000">
              <a:schemeClr val="phClr">
                <a:lumMod val="75000"/>
              </a:schemeClr>
            </a:gs>
          </a:gsLst>
          <a:lin ang="2700000" scaled="0"/>
        </a:gradFill>
        <a:round/>
      </a:ln>
      <a:effectLst>
        <a:outerShdw blurRad="76200" dist="25400" dir="2700000" algn="ctr" rotWithShape="0">
          <a:schemeClr val="phClr">
            <a:lumMod val="50000"/>
            <a:alpha val="30000"/>
          </a:schemeClr>
        </a:outerShdw>
      </a:effectLst>
      <a:sp3d contourW="9525"/>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2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10800000" scaled="0"/>
      </a:gradFill>
      <a:ln>
        <a:gradFill>
          <a:gsLst>
            <a:gs pos="0">
              <a:schemeClr val="phClr"/>
            </a:gs>
            <a:gs pos="100000">
              <a:schemeClr val="phClr">
                <a:lumMod val="75000"/>
              </a:schemeClr>
            </a:gs>
          </a:gsLst>
          <a:lin ang="10800000" scaled="0"/>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12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10800000" scaled="0"/>
      </a:gradFill>
      <a:ln>
        <a:gradFill>
          <a:gsLst>
            <a:gs pos="0">
              <a:schemeClr val="phClr"/>
            </a:gs>
            <a:gs pos="100000">
              <a:schemeClr val="phClr">
                <a:lumMod val="75000"/>
              </a:schemeClr>
            </a:gs>
          </a:gsLst>
          <a:lin ang="10800000" scaled="0"/>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12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10800000" scaled="0"/>
      </a:gradFill>
      <a:ln>
        <a:gradFill>
          <a:gsLst>
            <a:gs pos="0">
              <a:schemeClr val="phClr"/>
            </a:gs>
            <a:gs pos="100000">
              <a:schemeClr val="phClr">
                <a:lumMod val="75000"/>
              </a:schemeClr>
            </a:gs>
          </a:gsLst>
          <a:lin ang="10800000" scaled="0"/>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59">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gradFill>
          <a:gsLst>
            <a:gs pos="100000">
              <a:schemeClr val="phClr"/>
            </a:gs>
            <a:gs pos="0">
              <a:schemeClr val="phClr">
                <a:hueOff val="-1670000"/>
              </a:schemeClr>
            </a:gs>
          </a:gsLst>
          <a:lin ang="0" scaled="1"/>
        </a:gradFill>
        <a:round/>
      </a:ln>
      <a:effectLst/>
    </cs:spPr>
  </cs:dataPointLine>
  <cs:dataPointMarker>
    <cs:lnRef idx="0">
      <cs:styleClr val="auto"/>
    </cs:lnRef>
    <cs:fillRef idx="0">
      <cs:styleClr val="auto"/>
    </cs:fillRef>
    <cs:effectRef idx="0"/>
    <cs:fontRef idx="minor">
      <a:sysClr val="windowText" lastClr="000000"/>
    </cs:fontRef>
    <cs:spPr>
      <a:solidFill>
        <a:sysClr val="window" lastClr="FFFFFF"/>
      </a:solidFill>
      <a:ln w="25400">
        <a:gradFill>
          <a:gsLst>
            <a:gs pos="100000">
              <a:schemeClr val="phClr"/>
            </a:gs>
            <a:gs pos="0">
              <a:schemeClr val="phClr">
                <a:hueOff val="-1670000"/>
              </a:schemeClr>
            </a:gs>
          </a:gsLst>
          <a:lin ang="0" scaled="1"/>
        </a:gradFill>
      </a:ln>
      <a:effectLst/>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6.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4697</Words>
  <Characters>5114</Characters>
  <Lines>5</Lines>
  <Paragraphs>1</Paragraphs>
  <TotalTime>35</TotalTime>
  <ScaleCrop>false</ScaleCrop>
  <LinksUpToDate>false</LinksUpToDate>
  <CharactersWithSpaces>5181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2022-04-26T14:35:00Z</dcterms:created>
  <dc:creator>Administrator</dc:creator>
  <cp:lastModifiedBy>简</cp:lastModifiedBy>
  <dcterms:modified xsi:type="dcterms:W3CDTF">2024-10-11T09:29:45Z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0EF66BBF74404CA18E4D224B67A1C699_13</vt:lpwstr>
  </property>
</Properties>
</file>