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overflowPunct w:val="0"/>
        <w:spacing w:before="0" w:after="0" w:line="440" w:lineRule="exact"/>
        <w:ind w:leftChars="0"/>
        <w:jc w:val="center"/>
      </w:pPr>
      <w:bookmarkStart w:id="1" w:name="_GoBack"/>
      <w:bookmarkEnd w:id="1"/>
      <w:bookmarkStart w:id="0" w:name="_Toc13700"/>
      <w:r>
        <w:rPr>
          <w:rFonts w:hint="eastAsia"/>
        </w:rPr>
        <w:t>个人独资企业注销登记提交材料规范</w:t>
      </w:r>
      <w:bookmarkEnd w:id="0"/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  <w:bCs/>
          <w:szCs w:val="24"/>
        </w:rPr>
      </w:pPr>
      <w:r>
        <w:rPr>
          <w:rFonts w:ascii="宋体" w:hAnsi="宋体"/>
          <w:bCs/>
          <w:szCs w:val="24"/>
        </w:rPr>
        <w:t>1.</w:t>
      </w:r>
      <w:r>
        <w:rPr>
          <w:rFonts w:hint="eastAsia" w:ascii="宋体" w:hAnsi="宋体" w:cs="仿宋_GB2312"/>
          <w:szCs w:val="24"/>
        </w:rPr>
        <w:t>《企业注销登记申请书》</w:t>
      </w:r>
      <w:r>
        <w:rPr>
          <w:rFonts w:hint="eastAsia" w:ascii="宋体" w:hAnsi="宋体"/>
          <w:bCs/>
          <w:szCs w:val="24"/>
        </w:rPr>
        <w:t>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/>
          <w:bCs/>
          <w:szCs w:val="24"/>
        </w:rPr>
      </w:pPr>
      <w:r>
        <w:rPr>
          <w:rFonts w:hint="eastAsia" w:ascii="宋体" w:hAnsi="宋体"/>
          <w:bCs/>
          <w:szCs w:val="24"/>
        </w:rPr>
        <w:t>2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投资人</w:t>
      </w:r>
      <w:r>
        <w:rPr>
          <w:rFonts w:hint="eastAsia" w:ascii="宋体" w:hAnsi="宋体"/>
          <w:bCs/>
        </w:rPr>
        <w:t>或人民法院确认</w:t>
      </w:r>
      <w:r>
        <w:rPr>
          <w:rFonts w:hint="eastAsia" w:ascii="宋体" w:hAnsi="宋体"/>
          <w:bCs/>
          <w:szCs w:val="24"/>
        </w:rPr>
        <w:t>的清算报告。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3.清算人申请注销登记的，应提交人民法院指定其为清算人的证明。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4.清税证明材料。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5.法律、行政法规或者国务院规定注销个人独资企业须经批准的，提交有关批准文件复印件。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/>
          <w:bCs/>
          <w:szCs w:val="24"/>
        </w:rPr>
      </w:pPr>
      <w:r>
        <w:rPr>
          <w:rFonts w:hint="eastAsia" w:ascii="宋体"/>
          <w:bCs/>
          <w:szCs w:val="24"/>
        </w:rPr>
        <w:t>6.已领取纸质版营业执照的缴回营业执照正、副本。</w:t>
      </w:r>
    </w:p>
    <w:p>
      <w:pPr>
        <w:widowControl/>
        <w:overflowPunct w:val="0"/>
        <w:spacing w:line="440" w:lineRule="exact"/>
        <w:ind w:firstLine="482" w:firstLineChars="200"/>
        <w:rPr>
          <w:rFonts w:ascii="宋体"/>
          <w:b/>
          <w:szCs w:val="24"/>
        </w:rPr>
      </w:pPr>
      <w:r>
        <w:rPr>
          <w:rFonts w:hint="eastAsia" w:ascii="宋体" w:hAnsi="宋体"/>
          <w:b/>
          <w:szCs w:val="24"/>
        </w:rPr>
        <w:t>注：</w:t>
      </w:r>
      <w:r>
        <w:rPr>
          <w:rFonts w:ascii="宋体" w:hAnsi="宋体"/>
          <w:szCs w:val="24"/>
        </w:rPr>
        <w:t>1.</w:t>
      </w:r>
      <w:r>
        <w:rPr>
          <w:rFonts w:hint="eastAsia" w:ascii="宋体" w:hAnsi="宋体"/>
          <w:szCs w:val="24"/>
        </w:rPr>
        <w:t>依照《个人独资企业法》、《市场主体登记管理条例》、原《个人独资企业登记管理办法》设立的个人独资企业申请注销登记适用本规范。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/>
          <w:bCs/>
          <w:szCs w:val="24"/>
          <w:lang w:val="zh-CN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申请简易注销登记的，提交《简易注销全体投资人承诺书》，提交此规范第1、6项材料。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3.经人民法院裁定强制清算程序终结后办理注销登记的，提交此规范第1、3、6以及人民法院终结强制清算程序的裁定书原件（包括以无法清算或无法全面清算为由作出的裁定）。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3449C"/>
    <w:rsid w:val="5413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2022-04-01T01:22:00Z</dcterms:created>
  <dc:creator>艺武</dc:creator>
  <cp:lastModifiedBy>艺武</cp:lastModifiedBy>
  <dcterms:modified xsi:type="dcterms:W3CDTF">2022-04-01T01:22:54Z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197990293C894DE8B60137978CB1E6B3</vt:lpwstr>
  </property>
</Properties>
</file>