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6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6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358"/>
        <w:gridCol w:w="1266"/>
        <w:gridCol w:w="1106"/>
        <w:gridCol w:w="62"/>
        <w:gridCol w:w="551"/>
        <w:gridCol w:w="227"/>
        <w:gridCol w:w="622"/>
        <w:gridCol w:w="207"/>
        <w:gridCol w:w="491"/>
        <w:gridCol w:w="433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广东</w:t>
            </w:r>
            <w:r>
              <w:rPr>
                <w:rFonts w:hint="eastAsia" w:ascii="宋体"/>
                <w:szCs w:val="21"/>
              </w:rPr>
              <w:t>XX</w:t>
            </w:r>
            <w:r>
              <w:rPr>
                <w:rFonts w:hint="eastAsia" w:ascii="宋体"/>
                <w:szCs w:val="21"/>
                <w:lang w:eastAsia="zh-CN"/>
              </w:rPr>
              <w:t>农民专业合作社</w:t>
            </w:r>
            <w:r>
              <w:rPr>
                <w:rFonts w:hint="eastAsia" w:ascii="宋体"/>
                <w:szCs w:val="21"/>
                <w:lang w:val="en-US" w:eastAsia="zh-CN"/>
              </w:rPr>
              <w:t>XX营业部</w:t>
            </w: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rPr>
                <w:rFonts w:hint="eastAsia" w:ascii="宋体" w:hAnsi="宋体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乡（民族乡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镇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街道）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</w:rPr>
              <w:t>88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3800138000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</w:rPr>
              <w:t>51</w:t>
            </w:r>
            <w:r>
              <w:rPr>
                <w:rFonts w:hint="eastAsia"/>
                <w:lang w:val="en-US" w:eastAsia="zh-CN"/>
              </w:rPr>
              <w:t>6500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430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□非公司企业法人  ☑个人独资企业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☑农民专业合作社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贸易中心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4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1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4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4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4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>
      <w:pPr>
        <w:pStyle w:val="7"/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03236F6F"/>
    <w:rsid w:val="1F3759BB"/>
    <w:rsid w:val="268537A3"/>
    <w:rsid w:val="27DA2411"/>
    <w:rsid w:val="3BCE631F"/>
    <w:rsid w:val="5F117812"/>
    <w:rsid w:val="6D9668EB"/>
    <w:rsid w:val="7628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 炽 烨·切</cp:lastModifiedBy>
  <dcterms:modified xsi:type="dcterms:W3CDTF">2022-03-31T08:35:38Z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B5EA2E1D9FD6461A955BFB30A091C358</vt:lpwstr>
  </property>
</Properties>
</file>