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321" w:firstLineChars="1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320" w:firstLineChars="100"/>
        <w:rPr>
          <w:rFonts w:cs="Times New Roman" w:asciiTheme="minorEastAsia" w:hAnsiTheme="minorEastAsia"/>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43" w:firstLineChars="200"/>
        <w:textAlignment w:val="auto"/>
        <w:outlineLvl w:val="9"/>
        <w:rPr>
          <w:rFonts w:hint="eastAsia" w:ascii="宋体" w:hAnsi="宋体" w:eastAsia="宋体" w:cs="宋体"/>
          <w:sz w:val="32"/>
          <w:szCs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Theme="minorEastAsia" w:hAnsiTheme="minorEastAsia"/>
          <w:color w:val="FF0000"/>
          <w:spacing w:val="-2"/>
          <w:kern w:val="0"/>
          <w:sz w:val="32"/>
        </w:rPr>
      </w:pPr>
      <w:r>
        <w:rPr>
          <w:rFonts w:hint="eastAsia" w:ascii="宋体" w:hAnsi="宋体" w:eastAsia="宋体" w:cs="宋体"/>
          <w:sz w:val="32"/>
          <w:szCs w:val="32"/>
        </w:rPr>
        <w:t>外汇与人民币的折算按投入当天中国人民银行公布的汇率折算。</w:t>
      </w:r>
      <w:bookmarkStart w:id="0" w:name="_GoBack"/>
      <w:bookmarkEnd w:id="0"/>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由半数以上董事共同推举一名董事召集和主持</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设监事</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1D01B0"/>
    <w:rsid w:val="008C0F4B"/>
    <w:rsid w:val="00D5304B"/>
    <w:rsid w:val="00F1230D"/>
    <w:rsid w:val="0275552E"/>
    <w:rsid w:val="1777512F"/>
    <w:rsid w:val="26BA5DF6"/>
    <w:rsid w:val="2E210DA6"/>
    <w:rsid w:val="30304327"/>
    <w:rsid w:val="31B0548A"/>
    <w:rsid w:val="3B30272B"/>
    <w:rsid w:val="3C7E6C3A"/>
    <w:rsid w:val="4B6B1D9A"/>
    <w:rsid w:val="56D56C11"/>
    <w:rsid w:val="5CB613EA"/>
    <w:rsid w:val="62C02E36"/>
    <w:rsid w:val="63853027"/>
    <w:rsid w:val="68704F7B"/>
    <w:rsid w:val="6AFE0D65"/>
    <w:rsid w:val="786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uiPriority w:val="0"/>
    <w:rPr>
      <w:rFonts w:ascii="宋体" w:hAnsi="Courier New"/>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8838</Words>
  <Characters>8844</Characters>
  <Lines>67</Lines>
  <Paragraphs>19</Paragraphs>
  <TotalTime>0</TotalTime>
  <ScaleCrop>false</ScaleCrop>
  <LinksUpToDate>false</LinksUpToDate>
  <CharactersWithSpaces>9355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2024-08-13T06:42:18Z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6C1CFBBBAB0B4728A8B051DBF54759DB_13</vt:lpwstr>
  </property>
</Properties>
</file>