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附件</w:t>
      </w:r>
      <w:r>
        <w:rPr>
          <w:rFonts w:hint="default" w:ascii="仿宋_GB2312" w:hAnsi="仿宋_GB2312" w:eastAsia="仿宋_GB2312" w:cs="仿宋_GB2312"/>
          <w:b w:val="0"/>
          <w:bCs w:val="0"/>
          <w:color w:val="auto"/>
          <w:kern w:val="0"/>
          <w:sz w:val="32"/>
          <w:szCs w:val="32"/>
          <w:lang w:val="en-US" w:eastAsia="zh-CN" w:bidi="ar"/>
        </w:rPr>
        <w:t>2</w:t>
      </w:r>
    </w:p>
    <w:p>
      <w:pPr>
        <w:rPr>
          <w:rFonts w:hint="eastAsia"/>
          <w:color w:val="auto"/>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bdr w:val="none" w:color="auto" w:sz="0" w:space="0"/>
        </w:rPr>
        <w:t>《汕尾市科技计划项目管理办法（修订）</w:t>
      </w:r>
      <w:r>
        <w:rPr>
          <w:rFonts w:hint="eastAsia" w:ascii="方正小标宋简体" w:hAnsi="方正小标宋简体" w:eastAsia="方正小标宋简体" w:cs="方正小标宋简体"/>
          <w:b w:val="0"/>
          <w:bCs w:val="0"/>
          <w:color w:val="auto"/>
          <w:sz w:val="44"/>
          <w:szCs w:val="44"/>
          <w:lang w:eastAsia="zh-CN"/>
        </w:rPr>
        <w:t>（征求意见稿）</w:t>
      </w:r>
      <w:r>
        <w:rPr>
          <w:rFonts w:hint="eastAsia" w:ascii="方正小标宋简体" w:hAnsi="方正小标宋简体" w:eastAsia="方正小标宋简体" w:cs="方正小标宋简体"/>
          <w:b w:val="0"/>
          <w:bCs w:val="0"/>
          <w:color w:val="auto"/>
          <w:sz w:val="44"/>
          <w:szCs w:val="44"/>
          <w:bdr w:val="none" w:color="auto" w:sz="0" w:space="0"/>
        </w:rPr>
        <w:t>》起草说明</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kern w:val="0"/>
          <w:sz w:val="32"/>
          <w:szCs w:val="32"/>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为加强和规范市科技计划项目管理，优化科技资源配置，激发科研人员积极性与创造性，提高科研经费使用效益，构建科学、规范、高效、诚信的科技管理体系，根据国家及省、市有关规定，结合本市科技创新工作实际，市科技局启动对《汕尾市科技计划项目管理办法（暂行）》（汕科字〔2011〕58 号）的修订工作，形成《汕尾市科技计划项目管理办法（修订）（征求意见稿）》（以下简称《办法》）。现将有关起草情况说明如下：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bdr w:val="none" w:color="auto" w:sz="0" w:space="0"/>
        </w:rPr>
        <w:t>一、文件制定的必要性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科技计划项目是推动区域科技创新发展、集聚创新资源、培育创新动能的重要抓手，规范高效的项目管理体系是保障财政科技资金使用效益、激发科研创新活力的关键支撑。当前，国家和省持续深化科技体制改革，相继出台一系列关于科技计划管理、科研经费使用、科研诚信建设的新政策、新要求，对科技项目管理的规范化、精细化、科学化水平提出了更高标准。汕尾市正处于加快科技创新赋能产业高质量发展的关键阶段，围绕基础研究、科技研发、成果转化、平台建设等重点领域的创新需求日益迫切，亟需适配的科技计划项目管理体系作为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修订完善科技计划项目管理办法，是我市贯彻落实国家、省科技体制改革决策部署的必然要求，也是主动适配全市科技创新发展新形势、新任务的现实举措。通过健全管理机制、规范管理流程、明晰权责体系，能够进一步优化我市科技资源配置效率，更好发挥市级财政科技资金的引导和撬动作用，激发广大科研人员和创新主体的创新积极性，推动科技成果加速向现实生产力转化。同时，完善的项目管理办法也能为我市打造更优科技创新生态、提升区域科技创新能力、助力产业转型升级提供坚实的制度保障，确保科技计划项目始终围绕全市发展大局、服务创新发展中心工作，为汕尾市高质量发展注入强劲科技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bdr w:val="none" w:color="auto" w:sz="0" w:space="0"/>
        </w:rPr>
        <w:t>二、</w:t>
      </w:r>
      <w:r>
        <w:rPr>
          <w:rFonts w:hint="eastAsia" w:ascii="黑体" w:hAnsi="黑体" w:eastAsia="黑体" w:cs="黑体"/>
          <w:b w:val="0"/>
          <w:bCs w:val="0"/>
          <w:color w:val="auto"/>
          <w:sz w:val="32"/>
          <w:szCs w:val="32"/>
          <w:bdr w:val="none" w:color="auto" w:sz="0" w:space="0"/>
          <w:lang w:eastAsia="zh-CN"/>
        </w:rPr>
        <w:t>起草过程</w:t>
      </w:r>
    </w:p>
    <w:p>
      <w:pPr>
        <w:spacing w:beforeLines="0" w:afterLines="0"/>
        <w:ind w:firstLine="640" w:firstLineChars="200"/>
        <w:jc w:val="left"/>
        <w:rPr>
          <w:rFonts w:hint="eastAsia" w:ascii="仿宋_GB2312" w:hAnsi="仿宋_GB2312" w:eastAsia="仿宋_GB2312" w:cs="仿宋_GB2312"/>
          <w:color w:val="auto"/>
          <w:kern w:val="0"/>
          <w:sz w:val="32"/>
          <w:szCs w:val="32"/>
          <w:bdr w:val="none" w:color="auto" w:sz="0" w:space="0"/>
          <w:lang w:val="en-US" w:eastAsia="zh-CN" w:bidi="ar"/>
        </w:rPr>
      </w:pPr>
      <w:r>
        <w:rPr>
          <w:rFonts w:hint="eastAsia" w:ascii="仿宋" w:hAnsi="仿宋" w:eastAsia="仿宋"/>
          <w:sz w:val="32"/>
          <w:szCs w:val="24"/>
        </w:rPr>
        <w:t>《办法》的</w:t>
      </w:r>
      <w:r>
        <w:rPr>
          <w:rFonts w:hint="eastAsia" w:ascii="仿宋" w:hAnsi="仿宋" w:eastAsia="仿宋"/>
          <w:sz w:val="32"/>
          <w:szCs w:val="24"/>
          <w:lang w:eastAsia="zh-CN"/>
        </w:rPr>
        <w:t>修订</w:t>
      </w:r>
      <w:r>
        <w:rPr>
          <w:rFonts w:hint="eastAsia" w:ascii="仿宋" w:hAnsi="仿宋" w:eastAsia="仿宋"/>
          <w:sz w:val="32"/>
          <w:szCs w:val="24"/>
        </w:rPr>
        <w:t>基于</w:t>
      </w:r>
      <w:r>
        <w:rPr>
          <w:rFonts w:hint="eastAsia" w:ascii="仿宋" w:hAnsi="仿宋" w:eastAsia="仿宋"/>
          <w:sz w:val="32"/>
          <w:szCs w:val="24"/>
          <w:lang w:eastAsia="zh-CN"/>
        </w:rPr>
        <w:t>汕尾市</w:t>
      </w:r>
      <w:r>
        <w:rPr>
          <w:rFonts w:hint="eastAsia" w:ascii="仿宋" w:hAnsi="仿宋" w:eastAsia="仿宋"/>
          <w:sz w:val="32"/>
          <w:szCs w:val="24"/>
        </w:rPr>
        <w:t>科技计划项目管理现有工作基础与我</w:t>
      </w:r>
      <w:r>
        <w:rPr>
          <w:rFonts w:hint="eastAsia" w:ascii="仿宋" w:hAnsi="仿宋" w:eastAsia="仿宋"/>
          <w:sz w:val="32"/>
          <w:szCs w:val="24"/>
          <w:lang w:eastAsia="zh-CN"/>
        </w:rPr>
        <w:t>市</w:t>
      </w:r>
      <w:r>
        <w:rPr>
          <w:rFonts w:hint="eastAsia" w:ascii="仿宋" w:hAnsi="仿宋" w:eastAsia="仿宋"/>
          <w:sz w:val="32"/>
          <w:szCs w:val="24"/>
        </w:rPr>
        <w:t>实际，进一步落实新时期党和国家对科技创新治理和减负务实的新思路与新要求。一是政策梳理，对国家和省</w:t>
      </w:r>
      <w:r>
        <w:rPr>
          <w:rFonts w:hint="eastAsia" w:ascii="仿宋" w:hAnsi="仿宋" w:eastAsia="仿宋"/>
          <w:sz w:val="32"/>
          <w:szCs w:val="24"/>
          <w:lang w:eastAsia="zh-CN"/>
        </w:rPr>
        <w:t>级</w:t>
      </w:r>
      <w:r>
        <w:rPr>
          <w:rFonts w:hint="eastAsia" w:ascii="仿宋" w:hAnsi="仿宋" w:eastAsia="仿宋"/>
          <w:sz w:val="32"/>
          <w:szCs w:val="24"/>
        </w:rPr>
        <w:t>相关法规、规章、规范性文件等进行了归纳梳理，同时收集汇总广州、</w:t>
      </w:r>
      <w:r>
        <w:rPr>
          <w:rFonts w:hint="eastAsia" w:ascii="仿宋" w:hAnsi="仿宋" w:eastAsia="仿宋"/>
          <w:sz w:val="32"/>
          <w:szCs w:val="24"/>
          <w:lang w:eastAsia="zh-CN"/>
        </w:rPr>
        <w:t>惠州</w:t>
      </w:r>
      <w:r>
        <w:rPr>
          <w:rFonts w:hint="eastAsia" w:ascii="仿宋" w:hAnsi="仿宋" w:eastAsia="仿宋"/>
          <w:sz w:val="32"/>
          <w:szCs w:val="24"/>
        </w:rPr>
        <w:t>等</w:t>
      </w:r>
      <w:r>
        <w:rPr>
          <w:rFonts w:hint="eastAsia" w:ascii="仿宋" w:hAnsi="仿宋" w:eastAsia="仿宋"/>
          <w:sz w:val="32"/>
          <w:szCs w:val="24"/>
          <w:lang w:eastAsia="zh-CN"/>
        </w:rPr>
        <w:t>兄弟</w:t>
      </w:r>
      <w:r>
        <w:rPr>
          <w:rFonts w:hint="eastAsia" w:ascii="仿宋" w:hAnsi="仿宋" w:eastAsia="仿宋"/>
          <w:sz w:val="32"/>
          <w:szCs w:val="24"/>
        </w:rPr>
        <w:t>地市关于</w:t>
      </w:r>
      <w:r>
        <w:rPr>
          <w:rFonts w:hint="eastAsia" w:ascii="仿宋" w:hAnsi="仿宋" w:eastAsia="仿宋"/>
          <w:sz w:val="32"/>
          <w:szCs w:val="24"/>
          <w:lang w:eastAsia="zh-CN"/>
        </w:rPr>
        <w:t>科技计划</w:t>
      </w:r>
      <w:r>
        <w:rPr>
          <w:rFonts w:hint="eastAsia" w:ascii="仿宋" w:hAnsi="仿宋" w:eastAsia="仿宋"/>
          <w:sz w:val="32"/>
          <w:szCs w:val="24"/>
        </w:rPr>
        <w:t>项目管理办法，按照《广东省科技计划项目监督规定》《省级科技计划项目任务书管理细则》《广东省科研诚信管理办法（试行）》和《广东省财政厅广东省审计厅关于省级财政科研项目资金的管理监督办法》等文件要求，作为《办法》的</w:t>
      </w:r>
      <w:r>
        <w:rPr>
          <w:rFonts w:hint="eastAsia" w:ascii="仿宋" w:hAnsi="仿宋" w:eastAsia="仿宋"/>
          <w:sz w:val="32"/>
          <w:szCs w:val="24"/>
          <w:lang w:eastAsia="zh-CN"/>
        </w:rPr>
        <w:t>修订</w:t>
      </w:r>
      <w:r>
        <w:rPr>
          <w:rFonts w:hint="eastAsia" w:ascii="仿宋" w:hAnsi="仿宋" w:eastAsia="仿宋"/>
          <w:sz w:val="32"/>
          <w:szCs w:val="24"/>
        </w:rPr>
        <w:t>依据和参考。二是开展调研，围绕科技计划项目</w:t>
      </w:r>
      <w:r>
        <w:rPr>
          <w:rFonts w:hint="eastAsia" w:ascii="仿宋" w:hAnsi="仿宋" w:eastAsia="仿宋"/>
          <w:sz w:val="32"/>
          <w:szCs w:val="24"/>
          <w:lang w:eastAsia="zh-CN"/>
        </w:rPr>
        <w:t>管理</w:t>
      </w:r>
      <w:r>
        <w:rPr>
          <w:rFonts w:hint="eastAsia" w:ascii="仿宋" w:hAnsi="仿宋" w:eastAsia="仿宋"/>
          <w:sz w:val="32"/>
          <w:szCs w:val="24"/>
        </w:rPr>
        <w:t>，组织各业务</w:t>
      </w:r>
      <w:r>
        <w:rPr>
          <w:rFonts w:hint="eastAsia" w:ascii="仿宋" w:hAnsi="仿宋" w:eastAsia="仿宋"/>
          <w:sz w:val="32"/>
          <w:szCs w:val="24"/>
          <w:lang w:eastAsia="zh-CN"/>
        </w:rPr>
        <w:t>科</w:t>
      </w:r>
      <w:r>
        <w:rPr>
          <w:rFonts w:hint="eastAsia" w:ascii="仿宋" w:hAnsi="仿宋" w:eastAsia="仿宋"/>
          <w:sz w:val="32"/>
          <w:szCs w:val="24"/>
        </w:rPr>
        <w:t>室收集汇总目前</w:t>
      </w:r>
      <w:r>
        <w:rPr>
          <w:rFonts w:hint="eastAsia" w:ascii="仿宋" w:hAnsi="仿宋" w:eastAsia="仿宋"/>
          <w:sz w:val="32"/>
          <w:szCs w:val="24"/>
          <w:lang w:eastAsia="zh-CN"/>
        </w:rPr>
        <w:t>科技计划项目管理</w:t>
      </w:r>
      <w:r>
        <w:rPr>
          <w:rFonts w:hint="eastAsia" w:ascii="仿宋" w:hAnsi="仿宋" w:eastAsia="仿宋"/>
          <w:sz w:val="32"/>
          <w:szCs w:val="24"/>
        </w:rPr>
        <w:t>工作中</w:t>
      </w:r>
      <w:r>
        <w:rPr>
          <w:rFonts w:hint="eastAsia" w:ascii="仿宋" w:hAnsi="仿宋" w:eastAsia="仿宋"/>
          <w:sz w:val="32"/>
          <w:szCs w:val="24"/>
          <w:lang w:eastAsia="zh-CN"/>
        </w:rPr>
        <w:t>存在的</w:t>
      </w:r>
      <w:r>
        <w:rPr>
          <w:rFonts w:hint="eastAsia" w:ascii="仿宋" w:hAnsi="仿宋" w:eastAsia="仿宋"/>
          <w:sz w:val="32"/>
          <w:szCs w:val="24"/>
        </w:rPr>
        <w:t>问题困难和意见建议，不断改进优化</w:t>
      </w:r>
      <w:r>
        <w:rPr>
          <w:rFonts w:hint="eastAsia" w:ascii="仿宋" w:hAnsi="仿宋" w:eastAsia="仿宋"/>
          <w:sz w:val="32"/>
          <w:szCs w:val="24"/>
          <w:lang w:eastAsia="zh-CN"/>
        </w:rPr>
        <w:t>管理</w:t>
      </w:r>
      <w:r>
        <w:rPr>
          <w:rFonts w:hint="eastAsia" w:ascii="仿宋" w:hAnsi="仿宋" w:eastAsia="仿宋"/>
          <w:sz w:val="32"/>
          <w:szCs w:val="24"/>
        </w:rPr>
        <w:t>流程。三是组织撰写，组织</w:t>
      </w:r>
      <w:r>
        <w:rPr>
          <w:rFonts w:hint="eastAsia" w:ascii="仿宋" w:hAnsi="仿宋" w:eastAsia="仿宋"/>
          <w:sz w:val="32"/>
          <w:szCs w:val="24"/>
          <w:lang w:eastAsia="zh-CN"/>
        </w:rPr>
        <w:t>各科室业务科室负责科技计划项目日常管理业务骨干</w:t>
      </w:r>
      <w:r>
        <w:rPr>
          <w:rFonts w:hint="eastAsia" w:ascii="仿宋" w:hAnsi="仿宋" w:eastAsia="仿宋"/>
          <w:sz w:val="32"/>
          <w:szCs w:val="24"/>
        </w:rPr>
        <w:t>参与《办法》的框架研究及起草讨论，并经反复讨论、修改完善，形成本征求意见稿。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三、内容框架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《办法》共分十章四十六条，整体构建了科技计划项目 “全周期、规范化、精细化” 的管理体系，各章节逻辑衔接、层层递进，覆盖项目管理全流程：第一章</w:t>
      </w:r>
      <w:r>
        <w:rPr>
          <w:rStyle w:val="7"/>
          <w:rFonts w:hint="eastAsia" w:ascii="仿宋_GB2312" w:hAnsi="仿宋_GB2312" w:eastAsia="仿宋_GB2312" w:cs="仿宋_GB2312"/>
          <w:b/>
          <w:bCs/>
          <w:color w:val="auto"/>
          <w:kern w:val="0"/>
          <w:sz w:val="32"/>
          <w:szCs w:val="32"/>
          <w:bdr w:val="none" w:color="auto" w:sz="0" w:space="0"/>
          <w:lang w:val="en-US" w:eastAsia="zh-CN" w:bidi="ar"/>
        </w:rPr>
        <w:t>总则</w:t>
      </w:r>
      <w:r>
        <w:rPr>
          <w:rFonts w:hint="eastAsia" w:ascii="仿宋_GB2312" w:hAnsi="仿宋_GB2312" w:eastAsia="仿宋_GB2312" w:cs="仿宋_GB2312"/>
          <w:color w:val="auto"/>
          <w:kern w:val="0"/>
          <w:sz w:val="32"/>
          <w:szCs w:val="32"/>
          <w:bdr w:val="none" w:color="auto" w:sz="0" w:space="0"/>
          <w:lang w:val="en-US" w:eastAsia="zh-CN" w:bidi="ar"/>
        </w:rPr>
        <w:t>，明确《办法》制定目的、适用范围和管理原则，确立权责明晰、程序规范、公开透明、放管结合、绩效导向的管理总要求；第二章</w:t>
      </w:r>
      <w:r>
        <w:rPr>
          <w:rStyle w:val="7"/>
          <w:rFonts w:hint="eastAsia" w:ascii="仿宋_GB2312" w:hAnsi="仿宋_GB2312" w:eastAsia="仿宋_GB2312" w:cs="仿宋_GB2312"/>
          <w:b/>
          <w:bCs/>
          <w:color w:val="auto"/>
          <w:kern w:val="0"/>
          <w:sz w:val="32"/>
          <w:szCs w:val="32"/>
          <w:bdr w:val="none" w:color="auto" w:sz="0" w:space="0"/>
          <w:lang w:val="en-US" w:eastAsia="zh-CN" w:bidi="ar"/>
        </w:rPr>
        <w:t>职责分工</w:t>
      </w:r>
      <w:r>
        <w:rPr>
          <w:rFonts w:hint="eastAsia" w:ascii="仿宋_GB2312" w:hAnsi="仿宋_GB2312" w:eastAsia="仿宋_GB2312" w:cs="仿宋_GB2312"/>
          <w:color w:val="auto"/>
          <w:kern w:val="0"/>
          <w:sz w:val="32"/>
          <w:szCs w:val="32"/>
          <w:bdr w:val="none" w:color="auto" w:sz="0" w:space="0"/>
          <w:lang w:val="en-US" w:eastAsia="zh-CN" w:bidi="ar"/>
        </w:rPr>
        <w:t>，细化市科技局、项目推荐单位、项目承担单位、项目负责人四方主体的具体职责，厘清权责边界；第三章</w:t>
      </w:r>
      <w:r>
        <w:rPr>
          <w:rStyle w:val="7"/>
          <w:rFonts w:hint="eastAsia" w:ascii="仿宋_GB2312" w:hAnsi="仿宋_GB2312" w:eastAsia="仿宋_GB2312" w:cs="仿宋_GB2312"/>
          <w:b/>
          <w:bCs/>
          <w:color w:val="auto"/>
          <w:kern w:val="0"/>
          <w:sz w:val="32"/>
          <w:szCs w:val="32"/>
          <w:bdr w:val="none" w:color="auto" w:sz="0" w:space="0"/>
          <w:lang w:val="en-US" w:eastAsia="zh-CN" w:bidi="ar"/>
        </w:rPr>
        <w:t>项目征集</w:t>
      </w:r>
      <w:r>
        <w:rPr>
          <w:rFonts w:hint="eastAsia" w:ascii="仿宋_GB2312" w:hAnsi="仿宋_GB2312" w:eastAsia="仿宋_GB2312" w:cs="仿宋_GB2312"/>
          <w:color w:val="auto"/>
          <w:kern w:val="0"/>
          <w:sz w:val="32"/>
          <w:szCs w:val="32"/>
          <w:bdr w:val="none" w:color="auto" w:sz="0" w:space="0"/>
          <w:lang w:val="en-US" w:eastAsia="zh-CN" w:bidi="ar"/>
        </w:rPr>
        <w:t>，规定项目申报指南制定、申报基本条件和申报材料要求，严把项目申报入口关；第四章</w:t>
      </w:r>
      <w:r>
        <w:rPr>
          <w:rStyle w:val="7"/>
          <w:rFonts w:hint="eastAsia" w:ascii="仿宋_GB2312" w:hAnsi="仿宋_GB2312" w:eastAsia="仿宋_GB2312" w:cs="仿宋_GB2312"/>
          <w:b/>
          <w:bCs/>
          <w:color w:val="auto"/>
          <w:kern w:val="0"/>
          <w:sz w:val="32"/>
          <w:szCs w:val="32"/>
          <w:bdr w:val="none" w:color="auto" w:sz="0" w:space="0"/>
          <w:lang w:val="en-US" w:eastAsia="zh-CN" w:bidi="ar"/>
        </w:rPr>
        <w:t>审查与受理</w:t>
      </w:r>
      <w:r>
        <w:rPr>
          <w:rFonts w:hint="eastAsia" w:ascii="仿宋_GB2312" w:hAnsi="仿宋_GB2312" w:eastAsia="仿宋_GB2312" w:cs="仿宋_GB2312"/>
          <w:color w:val="auto"/>
          <w:kern w:val="0"/>
          <w:sz w:val="32"/>
          <w:szCs w:val="32"/>
          <w:bdr w:val="none" w:color="auto" w:sz="0" w:space="0"/>
          <w:lang w:val="en-US" w:eastAsia="zh-CN" w:bidi="ar"/>
        </w:rPr>
        <w:t>，明确推荐单位形式审查、市科技局合规审核的双重审查机制和受理流程；第五章</w:t>
      </w:r>
      <w:r>
        <w:rPr>
          <w:rStyle w:val="7"/>
          <w:rFonts w:hint="eastAsia" w:ascii="仿宋_GB2312" w:hAnsi="仿宋_GB2312" w:eastAsia="仿宋_GB2312" w:cs="仿宋_GB2312"/>
          <w:b/>
          <w:bCs/>
          <w:color w:val="auto"/>
          <w:kern w:val="0"/>
          <w:sz w:val="32"/>
          <w:szCs w:val="32"/>
          <w:bdr w:val="none" w:color="auto" w:sz="0" w:space="0"/>
          <w:lang w:val="en-US" w:eastAsia="zh-CN" w:bidi="ar"/>
        </w:rPr>
        <w:t>评审与公示</w:t>
      </w:r>
      <w:r>
        <w:rPr>
          <w:rFonts w:hint="eastAsia" w:ascii="仿宋_GB2312" w:hAnsi="仿宋_GB2312" w:eastAsia="仿宋_GB2312" w:cs="仿宋_GB2312"/>
          <w:color w:val="auto"/>
          <w:kern w:val="0"/>
          <w:sz w:val="32"/>
          <w:szCs w:val="32"/>
          <w:bdr w:val="none" w:color="auto" w:sz="0" w:space="0"/>
          <w:lang w:val="en-US" w:eastAsia="zh-CN" w:bidi="ar"/>
        </w:rPr>
        <w:t>，规范专家评审的方式、专家组构成及公示要求，确保评审工作公平公正；第六章</w:t>
      </w:r>
      <w:r>
        <w:rPr>
          <w:rStyle w:val="7"/>
          <w:rFonts w:hint="eastAsia" w:ascii="仿宋_GB2312" w:hAnsi="仿宋_GB2312" w:eastAsia="仿宋_GB2312" w:cs="仿宋_GB2312"/>
          <w:b/>
          <w:bCs/>
          <w:color w:val="auto"/>
          <w:kern w:val="0"/>
          <w:sz w:val="32"/>
          <w:szCs w:val="32"/>
          <w:bdr w:val="none" w:color="auto" w:sz="0" w:space="0"/>
          <w:lang w:val="en-US" w:eastAsia="zh-CN" w:bidi="ar"/>
        </w:rPr>
        <w:t>项目立项</w:t>
      </w:r>
      <w:r>
        <w:rPr>
          <w:rFonts w:hint="eastAsia" w:ascii="仿宋_GB2312" w:hAnsi="仿宋_GB2312" w:eastAsia="仿宋_GB2312" w:cs="仿宋_GB2312"/>
          <w:color w:val="auto"/>
          <w:kern w:val="0"/>
          <w:sz w:val="32"/>
          <w:szCs w:val="32"/>
          <w:bdr w:val="none" w:color="auto" w:sz="0" w:space="0"/>
          <w:lang w:val="en-US" w:eastAsia="zh-CN" w:bidi="ar"/>
        </w:rPr>
        <w:t>，确定项目任务书填报、签订的流程和要求，明确任务书作为项目管理的核心依据；第七章</w:t>
      </w:r>
      <w:r>
        <w:rPr>
          <w:rStyle w:val="7"/>
          <w:rFonts w:hint="eastAsia" w:ascii="仿宋_GB2312" w:hAnsi="仿宋_GB2312" w:eastAsia="仿宋_GB2312" w:cs="仿宋_GB2312"/>
          <w:b/>
          <w:bCs/>
          <w:color w:val="auto"/>
          <w:kern w:val="0"/>
          <w:sz w:val="32"/>
          <w:szCs w:val="32"/>
          <w:bdr w:val="none" w:color="auto" w:sz="0" w:space="0"/>
          <w:lang w:val="en-US" w:eastAsia="zh-CN" w:bidi="ar"/>
        </w:rPr>
        <w:t>实施管理</w:t>
      </w:r>
      <w:r>
        <w:rPr>
          <w:rFonts w:hint="eastAsia" w:ascii="仿宋_GB2312" w:hAnsi="仿宋_GB2312" w:eastAsia="仿宋_GB2312" w:cs="仿宋_GB2312"/>
          <w:color w:val="auto"/>
          <w:kern w:val="0"/>
          <w:sz w:val="32"/>
          <w:szCs w:val="32"/>
          <w:bdr w:val="none" w:color="auto" w:sz="0" w:space="0"/>
          <w:lang w:val="en-US" w:eastAsia="zh-CN" w:bidi="ar"/>
        </w:rPr>
        <w:t>，制定项目中期评估、主动终止和强制终止情形、项目变更审批等实施环节管理规则；第七章</w:t>
      </w:r>
      <w:r>
        <w:rPr>
          <w:rStyle w:val="7"/>
          <w:rFonts w:hint="eastAsia" w:ascii="仿宋_GB2312" w:hAnsi="仿宋_GB2312" w:eastAsia="仿宋_GB2312" w:cs="仿宋_GB2312"/>
          <w:b/>
          <w:bCs/>
          <w:color w:val="auto"/>
          <w:kern w:val="0"/>
          <w:sz w:val="32"/>
          <w:szCs w:val="32"/>
          <w:bdr w:val="none" w:color="auto" w:sz="0" w:space="0"/>
          <w:lang w:val="en-US" w:eastAsia="zh-CN" w:bidi="ar"/>
        </w:rPr>
        <w:t>验收结题</w:t>
      </w:r>
      <w:r>
        <w:rPr>
          <w:rFonts w:hint="eastAsia" w:ascii="仿宋_GB2312" w:hAnsi="仿宋_GB2312" w:eastAsia="仿宋_GB2312" w:cs="仿宋_GB2312"/>
          <w:color w:val="auto"/>
          <w:kern w:val="0"/>
          <w:sz w:val="32"/>
          <w:szCs w:val="32"/>
          <w:bdr w:val="none" w:color="auto" w:sz="0" w:space="0"/>
          <w:lang w:val="en-US" w:eastAsia="zh-CN" w:bidi="ar"/>
        </w:rPr>
        <w:t>，细化验收申请时限、材料要求、验收方式和验收结论分类，规范项目结题管理；第八章</w:t>
      </w:r>
      <w:r>
        <w:rPr>
          <w:rStyle w:val="7"/>
          <w:rFonts w:hint="eastAsia" w:ascii="仿宋_GB2312" w:hAnsi="仿宋_GB2312" w:eastAsia="仿宋_GB2312" w:cs="仿宋_GB2312"/>
          <w:b/>
          <w:bCs/>
          <w:color w:val="auto"/>
          <w:kern w:val="0"/>
          <w:sz w:val="32"/>
          <w:szCs w:val="32"/>
          <w:bdr w:val="none" w:color="auto" w:sz="0" w:space="0"/>
          <w:lang w:val="en-US" w:eastAsia="zh-CN" w:bidi="ar"/>
        </w:rPr>
        <w:t>信息公开</w:t>
      </w:r>
      <w:r>
        <w:rPr>
          <w:rFonts w:hint="eastAsia" w:ascii="仿宋_GB2312" w:hAnsi="仿宋_GB2312" w:eastAsia="仿宋_GB2312" w:cs="仿宋_GB2312"/>
          <w:color w:val="auto"/>
          <w:kern w:val="0"/>
          <w:sz w:val="32"/>
          <w:szCs w:val="32"/>
          <w:bdr w:val="none" w:color="auto" w:sz="0" w:space="0"/>
          <w:lang w:val="en-US" w:eastAsia="zh-CN" w:bidi="ar"/>
        </w:rPr>
        <w:t>，建立项目管理公开公示制度，明确异议复核的申请条件和处理流程；第九章</w:t>
      </w:r>
      <w:r>
        <w:rPr>
          <w:rStyle w:val="7"/>
          <w:rFonts w:hint="eastAsia" w:ascii="仿宋_GB2312" w:hAnsi="仿宋_GB2312" w:eastAsia="仿宋_GB2312" w:cs="仿宋_GB2312"/>
          <w:b/>
          <w:bCs/>
          <w:color w:val="auto"/>
          <w:kern w:val="0"/>
          <w:sz w:val="32"/>
          <w:szCs w:val="32"/>
          <w:bdr w:val="none" w:color="auto" w:sz="0" w:space="0"/>
          <w:lang w:val="en-US" w:eastAsia="zh-CN" w:bidi="ar"/>
        </w:rPr>
        <w:t>监督管理</w:t>
      </w:r>
      <w:r>
        <w:rPr>
          <w:rFonts w:hint="eastAsia" w:ascii="仿宋_GB2312" w:hAnsi="仿宋_GB2312" w:eastAsia="仿宋_GB2312" w:cs="仿宋_GB2312"/>
          <w:color w:val="auto"/>
          <w:kern w:val="0"/>
          <w:sz w:val="32"/>
          <w:szCs w:val="32"/>
          <w:bdr w:val="none" w:color="auto" w:sz="0" w:space="0"/>
          <w:lang w:val="en-US" w:eastAsia="zh-CN" w:bidi="ar"/>
        </w:rPr>
        <w:t>，强化全流程监督要求，明确科研失信惩戒措施和正向激励导向；第十章</w:t>
      </w:r>
      <w:r>
        <w:rPr>
          <w:rStyle w:val="7"/>
          <w:rFonts w:hint="eastAsia" w:ascii="仿宋_GB2312" w:hAnsi="仿宋_GB2312" w:eastAsia="仿宋_GB2312" w:cs="仿宋_GB2312"/>
          <w:b/>
          <w:bCs/>
          <w:color w:val="auto"/>
          <w:kern w:val="0"/>
          <w:sz w:val="32"/>
          <w:szCs w:val="32"/>
          <w:bdr w:val="none" w:color="auto" w:sz="0" w:space="0"/>
          <w:lang w:val="en-US" w:eastAsia="zh-CN" w:bidi="ar"/>
        </w:rPr>
        <w:t>附则</w:t>
      </w:r>
      <w:r>
        <w:rPr>
          <w:rFonts w:hint="eastAsia" w:ascii="仿宋_GB2312" w:hAnsi="仿宋_GB2312" w:eastAsia="仿宋_GB2312" w:cs="仿宋_GB2312"/>
          <w:color w:val="auto"/>
          <w:kern w:val="0"/>
          <w:sz w:val="32"/>
          <w:szCs w:val="32"/>
          <w:bdr w:val="none" w:color="auto" w:sz="0" w:space="0"/>
          <w:lang w:val="en-US" w:eastAsia="zh-CN" w:bidi="ar"/>
        </w:rPr>
        <w:t>，规定上级项目管理衔接要求、《办法》施行时间和有效期，明确原办法废止事宜。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四、主要特点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bdr w:val="none" w:color="auto" w:sz="0" w:space="0"/>
        </w:rPr>
        <w:t>（一）明确权责主体，规范各方权利义务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办法》坚持“权责对等、各司其职”原则，清晰界定市科技局、项目推荐单位、项目承担单位、项目负责人四方主体的核心职责，构建“牵头部门统筹管理、推荐单位属地监管、承担单位主体负责、项目负责人具体实施”的四级管理体系。市科技局履行制度制定、布局规划、全周期管理等核心职责；项目推荐单位承担组织申报、形式审查、进度跟踪等属地监管职责；项目承担单位作为责任主体，承担法人责任，负责项目实施保障、资金规范使用、成果转化等工作；项目负责人作为直接责任人，对申报材料真实性、项目实施全过程负责，同时按规定享有一定的人财物管理自主权。四方职责相互衔接、相互制约，确保项目管理各环节责任落到实处，形成齐抓共管的工作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bdr w:val="none" w:color="auto" w:sz="0" w:space="0"/>
        </w:rPr>
        <w:t>（二）完善运作流程，健全资金监管机制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《办法》围绕项目“申报—审查—评审—立项—实施—验收”全生命周期，制定标准化、精细化的运作流程，实现各环节闭环管理。一是分类细化立项和验收</w:t>
      </w:r>
      <w:r>
        <w:rPr>
          <w:rFonts w:hint="eastAsia" w:ascii="仿宋_GB2312" w:hAnsi="仿宋_GB2312" w:eastAsia="仿宋_GB2312" w:cs="仿宋_GB2312"/>
          <w:color w:val="auto"/>
          <w:kern w:val="0"/>
          <w:sz w:val="32"/>
          <w:szCs w:val="32"/>
          <w:lang w:val="en-US" w:eastAsia="zh-CN" w:bidi="ar"/>
        </w:rPr>
        <w:t>评审</w:t>
      </w:r>
      <w:r>
        <w:rPr>
          <w:rFonts w:hint="eastAsia" w:ascii="仿宋_GB2312" w:hAnsi="仿宋_GB2312" w:eastAsia="仿宋_GB2312" w:cs="仿宋_GB2312"/>
          <w:color w:val="auto"/>
          <w:kern w:val="0"/>
          <w:sz w:val="32"/>
          <w:szCs w:val="32"/>
          <w:bdr w:val="none" w:color="auto" w:sz="0" w:space="0"/>
          <w:lang w:val="en-US" w:eastAsia="zh-CN" w:bidi="ar"/>
        </w:rPr>
        <w:t>方式，根据财政经费资助额度不同，</w:t>
      </w:r>
      <w:r>
        <w:rPr>
          <w:rFonts w:hint="eastAsia" w:ascii="仿宋_GB2312" w:hAnsi="仿宋_GB2312" w:eastAsia="仿宋_GB2312" w:cs="仿宋_GB2312"/>
          <w:color w:val="auto"/>
          <w:sz w:val="32"/>
          <w:szCs w:val="32"/>
          <w:lang w:eastAsia="zh-CN"/>
        </w:rPr>
        <w:t>采用相应的立项、验收评审方式</w:t>
      </w:r>
      <w:r>
        <w:rPr>
          <w:rFonts w:hint="eastAsia" w:ascii="仿宋_GB2312" w:hAnsi="仿宋_GB2312" w:eastAsia="仿宋_GB2312" w:cs="仿宋_GB2312"/>
          <w:color w:val="auto"/>
          <w:kern w:val="0"/>
          <w:sz w:val="32"/>
          <w:szCs w:val="32"/>
          <w:bdr w:val="none" w:color="auto" w:sz="0" w:space="0"/>
          <w:lang w:val="en-US" w:eastAsia="zh-CN" w:bidi="ar"/>
        </w:rPr>
        <w:t>，并明确专家组构成人数，确保立项、验收评审的科学性和针对性；二是规范项目变更和终止管理，明确项目变更的审批条件、流程和时限，区分主动终止和强制终止的具体情形，实现项目动态化、科学化管理；三是健全财政资金全流程监管机制，明确50万元（含）以上项目需由省科技厅备案的第三方会计师事务所出具审计报告，要求推荐单位强化资金使用全流程监管，市科技局配合财政部门完成资金回收，同时将资金使用合规性作为项目验收、监督检查的核心内容，筑牢财政科技资金安全防线；四是建立信息公开和异议复核机制，项目拟立项环节实行5个工作日公示，明确异议复核的申请、受理和处理流程，确保项目管理公开透明、可追溯、可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bdr w:val="none" w:color="auto" w:sz="0" w:space="0"/>
        </w:rPr>
        <w:t>（三）优化权益措施，强化正向激励机制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t>《办法》深入贯彻“放管服”改革要求，聚焦激发科研人员创新活力，在严格监管的同时，推出一系列正向激励措施，兼顾“严管理”和“强激励”，营造鼓励创新、宽容失败的科研生态。一是赋予科研人员更大管理自主权，项目组成员（除负责人外）调整由项目承担单位内部审批，项目负责人可按规定行使人财物管理自主权，在不改变核心研究方向的前提下简化管理流程，减少行政干预；二是建立差异化验收结论体系，将验收结论分为“通过”“结题”“终止”三类，对因探索性强、技术难度超预期等客观原因未完成指标，但已勤勉履职、资金使用合规的项目，认定为“结题”，摒弃“一刀切”的验收标准；三是实行科研创新“容错免责”，对非共识项目、自由探索项目、颠覆性技术项目等，只要承担单位和人员勤勉尽责、资金规范使用、坚守科研诚信，即使未完成全部指标，也不影响其信用及后续项目申报资格，鼓励科研人员大胆探索、勇于创新；四是明确科研成果归属和转化要求，项目成果按国家法规或任务书约定确定归属，鼓励承担单位推动成果转化应用，提升科研成果价值，同时将成果转化情况纳入项目管理评价体系，引导科研工作面向实际需求；五是规范惩戒机制，对未勤勉尽责的主体实施3年申报惩戒，对科研失信、违规违法等行为依规严肃处理，同时明确惩戒范围和标准，构建“守信激励、失信惩戒”的良好科研环境。</w:t>
      </w:r>
    </w:p>
    <w:p>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DE1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2026-03-09T09:45:00Z</dcterms:created>
  <dc:creator>主动岀击</dc:creator>
  <cp:lastModifiedBy>主动岀击</cp:lastModifiedBy>
  <dcterms:modified xsi:type="dcterms:W3CDTF">2026-03-09T10:20:39Z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FF1A3CB1558048298A7A714B1F924C5F</vt:lpwstr>
  </property>
</Properties>
</file>