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27514">
      <w:pPr>
        <w:keepNext w:val="0"/>
        <w:keepLines w:val="0"/>
        <w:pageBreakBefore w:val="0"/>
        <w:kinsoku/>
        <w:wordWrap/>
        <w:overflowPunct w:val="0"/>
        <w:topLinePunct w:val="0"/>
        <w:autoSpaceDE/>
        <w:autoSpaceDN/>
        <w:bidi w:val="0"/>
        <w:adjustRightInd/>
        <w:snapToGrid/>
        <w:spacing w:line="579" w:lineRule="exact"/>
        <w:ind w:right="0" w:rightChars="0" w:firstLine="0" w:firstLineChars="0"/>
        <w:jc w:val="both"/>
        <w:textAlignment w:val="auto"/>
        <w:rPr>
          <w:rFonts w:hint="eastAsia" w:ascii="仿宋_GB2312" w:hAnsi="仿宋_GB2312" w:eastAsia="仿宋_GB2312" w:cs="仿宋_GB2312"/>
          <w:snapToGrid w:val="0"/>
          <w:color w:val="auto"/>
          <w:spacing w:val="6"/>
          <w:kern w:val="32"/>
          <w:sz w:val="32"/>
          <w:szCs w:val="32"/>
          <w:lang w:val="en-US" w:eastAsia="zh-CN"/>
        </w:rPr>
      </w:pPr>
      <w:r>
        <w:rPr>
          <w:rFonts w:hint="eastAsia" w:ascii="仿宋_GB2312" w:hAnsi="仿宋_GB2312" w:eastAsia="仿宋_GB2312" w:cs="仿宋_GB2312"/>
          <w:snapToGrid w:val="0"/>
          <w:color w:val="auto"/>
          <w:spacing w:val="6"/>
          <w:kern w:val="32"/>
          <w:sz w:val="32"/>
          <w:szCs w:val="32"/>
          <w:lang w:val="en-US" w:eastAsia="zh-CN"/>
        </w:rPr>
        <w:t>附件：</w:t>
      </w:r>
    </w:p>
    <w:p w14:paraId="278B03E4">
      <w:pPr>
        <w:keepNext w:val="0"/>
        <w:keepLines w:val="0"/>
        <w:pageBreakBefore w:val="0"/>
        <w:kinsoku/>
        <w:wordWrap/>
        <w:topLinePunct w:val="0"/>
        <w:autoSpaceDE w:val="0"/>
        <w:autoSpaceDN w:val="0"/>
        <w:bidi w:val="0"/>
        <w:adjustRightInd w:val="0"/>
        <w:snapToGrid w:val="0"/>
        <w:spacing w:line="579" w:lineRule="exact"/>
        <w:ind w:right="-15" w:rightChars="-7" w:firstLine="0" w:firstLineChars="0"/>
        <w:jc w:val="center"/>
        <w:textAlignment w:val="auto"/>
        <w:rPr>
          <w:rFonts w:hint="eastAsia" w:ascii="方正小标宋简体" w:hAnsi="方正小标宋简体" w:eastAsia="方正小标宋简体" w:cs="方正小标宋简体"/>
          <w:snapToGrid w:val="0"/>
          <w:color w:val="auto"/>
          <w:spacing w:val="6"/>
          <w:kern w:val="32"/>
          <w:sz w:val="44"/>
          <w:szCs w:val="44"/>
          <w:lang w:val="en-US" w:eastAsia="zh-CN"/>
        </w:rPr>
      </w:pPr>
      <w:r>
        <w:rPr>
          <w:rFonts w:hint="eastAsia" w:ascii="方正小标宋简体" w:hAnsi="方正小标宋简体" w:eastAsia="方正小标宋简体" w:cs="方正小标宋简体"/>
          <w:snapToGrid w:val="0"/>
          <w:color w:val="auto"/>
          <w:spacing w:val="6"/>
          <w:kern w:val="32"/>
          <w:sz w:val="44"/>
          <w:szCs w:val="44"/>
          <w:lang w:val="en-US" w:eastAsia="zh-CN"/>
        </w:rPr>
        <w:t>关于推进汕尾市珠宝金银首饰</w:t>
      </w:r>
    </w:p>
    <w:p w14:paraId="5964E68B">
      <w:pPr>
        <w:keepNext w:val="0"/>
        <w:keepLines w:val="0"/>
        <w:pageBreakBefore w:val="0"/>
        <w:kinsoku/>
        <w:wordWrap/>
        <w:topLinePunct w:val="0"/>
        <w:autoSpaceDE w:val="0"/>
        <w:autoSpaceDN w:val="0"/>
        <w:bidi w:val="0"/>
        <w:adjustRightInd w:val="0"/>
        <w:snapToGrid w:val="0"/>
        <w:spacing w:line="579" w:lineRule="exact"/>
        <w:ind w:right="-15" w:rightChars="-7" w:firstLine="0" w:firstLineChars="0"/>
        <w:jc w:val="center"/>
        <w:textAlignment w:val="auto"/>
        <w:rPr>
          <w:rFonts w:hint="default" w:ascii="方正小标宋简体" w:hAnsi="方正小标宋简体" w:eastAsia="方正小标宋简体" w:cs="方正小标宋简体"/>
          <w:snapToGrid w:val="0"/>
          <w:color w:val="auto"/>
          <w:spacing w:val="6"/>
          <w:kern w:val="32"/>
          <w:sz w:val="44"/>
          <w:szCs w:val="44"/>
          <w:lang w:val="en-US" w:eastAsia="zh-CN" w:bidi="ar-SA"/>
        </w:rPr>
      </w:pPr>
      <w:r>
        <w:rPr>
          <w:rFonts w:hint="eastAsia" w:ascii="方正小标宋简体" w:hAnsi="方正小标宋简体" w:eastAsia="方正小标宋简体" w:cs="方正小标宋简体"/>
          <w:snapToGrid w:val="0"/>
          <w:color w:val="auto"/>
          <w:spacing w:val="6"/>
          <w:kern w:val="32"/>
          <w:sz w:val="44"/>
          <w:szCs w:val="44"/>
          <w:lang w:val="en-US" w:eastAsia="zh-CN"/>
        </w:rPr>
        <w:t>产业转型发展行动计划（2024-2026年）</w:t>
      </w:r>
    </w:p>
    <w:p w14:paraId="56F1CB97">
      <w:pPr>
        <w:keepNext w:val="0"/>
        <w:keepLines w:val="0"/>
        <w:pageBreakBefore w:val="0"/>
        <w:widowControl w:val="0"/>
        <w:kinsoku/>
        <w:wordWrap/>
        <w:overflowPunct w:val="0"/>
        <w:topLinePunct w:val="0"/>
        <w:bidi w:val="0"/>
        <w:adjustRightInd/>
        <w:snapToGrid/>
        <w:spacing w:after="0" w:line="579" w:lineRule="exact"/>
        <w:ind w:firstLine="664" w:firstLineChars="200"/>
        <w:jc w:val="both"/>
        <w:textAlignment w:val="auto"/>
        <w:rPr>
          <w:rFonts w:hint="eastAsia" w:ascii="仿宋_GB2312" w:hAnsi="仿宋_GB2312" w:eastAsia="仿宋_GB2312" w:cs="仿宋_GB2312"/>
          <w:snapToGrid w:val="0"/>
          <w:color w:val="auto"/>
          <w:spacing w:val="6"/>
          <w:kern w:val="32"/>
          <w:sz w:val="32"/>
          <w:szCs w:val="32"/>
          <w:lang w:val="en-US" w:eastAsia="zh-CN" w:bidi="ar-SA"/>
        </w:rPr>
      </w:pPr>
    </w:p>
    <w:p w14:paraId="5C3D8B0E">
      <w:pPr>
        <w:keepNext w:val="0"/>
        <w:keepLines w:val="0"/>
        <w:pageBreakBefore w:val="0"/>
        <w:widowControl w:val="0"/>
        <w:kinsoku/>
        <w:wordWrap/>
        <w:overflowPunct w:val="0"/>
        <w:topLinePunct w:val="0"/>
        <w:bidi w:val="0"/>
        <w:adjustRightInd/>
        <w:snapToGrid/>
        <w:spacing w:after="0" w:line="579" w:lineRule="exact"/>
        <w:ind w:firstLine="664" w:firstLineChars="200"/>
        <w:jc w:val="both"/>
        <w:textAlignment w:val="auto"/>
        <w:rPr>
          <w:rFonts w:hint="eastAsia" w:ascii="仿宋_GB2312" w:hAnsi="仿宋_GB2312" w:eastAsia="仿宋_GB2312" w:cs="仿宋_GB2312"/>
          <w:snapToGrid w:val="0"/>
          <w:color w:val="auto"/>
          <w:spacing w:val="6"/>
          <w:kern w:val="32"/>
          <w:sz w:val="32"/>
          <w:szCs w:val="32"/>
          <w:lang w:val="en-US" w:eastAsia="zh-CN" w:bidi="ar-SA"/>
        </w:rPr>
      </w:pPr>
      <w:r>
        <w:rPr>
          <w:rFonts w:hint="eastAsia" w:ascii="仿宋_GB2312" w:hAnsi="仿宋_GB2312" w:eastAsia="仿宋_GB2312" w:cs="仿宋_GB2312"/>
          <w:snapToGrid w:val="0"/>
          <w:color w:val="auto"/>
          <w:spacing w:val="6"/>
          <w:kern w:val="32"/>
          <w:sz w:val="32"/>
          <w:szCs w:val="32"/>
          <w:lang w:val="en-US" w:eastAsia="zh-CN" w:bidi="ar-SA"/>
        </w:rPr>
        <w:t>为推进全市珠宝、金银首饰产业转型升级，巩固提升我市传统产业主导地位，进一步推动珠宝、金银首饰产业集聚发展，学习借鉴浙江义乌县域经济发展经验，打造珠宝金银首饰产业研发、设计、品牌、加工、销售的全产业链，为全市工业经济高质量发展提供坚实基础和有力支撑，特制定以下行动计划。</w:t>
      </w:r>
    </w:p>
    <w:p w14:paraId="732DE317">
      <w:pPr>
        <w:keepNext w:val="0"/>
        <w:keepLines w:val="0"/>
        <w:pageBreakBefore w:val="0"/>
        <w:widowControl w:val="0"/>
        <w:kinsoku/>
        <w:wordWrap/>
        <w:overflowPunct w:val="0"/>
        <w:topLinePunct w:val="0"/>
        <w:bidi w:val="0"/>
        <w:adjustRightInd/>
        <w:snapToGrid/>
        <w:spacing w:after="0" w:line="579" w:lineRule="exact"/>
        <w:ind w:firstLine="664" w:firstLineChars="200"/>
        <w:jc w:val="both"/>
        <w:textAlignment w:val="auto"/>
        <w:rPr>
          <w:rFonts w:hint="eastAsia" w:ascii="黑体" w:hAnsi="黑体" w:eastAsia="黑体" w:cs="黑体"/>
          <w:snapToGrid w:val="0"/>
          <w:color w:val="auto"/>
          <w:spacing w:val="6"/>
          <w:kern w:val="32"/>
          <w:sz w:val="32"/>
          <w:szCs w:val="32"/>
          <w:lang w:val="en-US" w:eastAsia="zh-CN" w:bidi="ar-SA"/>
        </w:rPr>
      </w:pPr>
      <w:r>
        <w:rPr>
          <w:rFonts w:hint="eastAsia" w:ascii="黑体" w:hAnsi="黑体" w:eastAsia="黑体" w:cs="黑体"/>
          <w:snapToGrid w:val="0"/>
          <w:color w:val="auto"/>
          <w:spacing w:val="6"/>
          <w:kern w:val="32"/>
          <w:sz w:val="32"/>
          <w:szCs w:val="32"/>
          <w:lang w:val="en-US" w:eastAsia="zh-CN" w:bidi="ar-SA"/>
        </w:rPr>
        <w:t>一、总体要求</w:t>
      </w:r>
    </w:p>
    <w:p w14:paraId="2C48ED44">
      <w:pPr>
        <w:keepNext w:val="0"/>
        <w:keepLines w:val="0"/>
        <w:pageBreakBefore w:val="0"/>
        <w:widowControl w:val="0"/>
        <w:kinsoku/>
        <w:wordWrap/>
        <w:overflowPunct w:val="0"/>
        <w:topLinePunct w:val="0"/>
        <w:bidi w:val="0"/>
        <w:adjustRightInd/>
        <w:snapToGrid/>
        <w:spacing w:after="0" w:line="579" w:lineRule="exact"/>
        <w:ind w:firstLine="664" w:firstLineChars="200"/>
        <w:jc w:val="both"/>
        <w:textAlignment w:val="auto"/>
        <w:rPr>
          <w:rFonts w:hint="eastAsia" w:ascii="CESI楷体-GB2312" w:hAnsi="CESI楷体-GB2312" w:eastAsia="CESI楷体-GB2312" w:cs="CESI楷体-GB2312"/>
          <w:b w:val="0"/>
          <w:bCs w:val="0"/>
          <w:snapToGrid w:val="0"/>
          <w:color w:val="auto"/>
          <w:spacing w:val="6"/>
          <w:kern w:val="32"/>
          <w:sz w:val="32"/>
          <w:szCs w:val="32"/>
          <w:lang w:val="en-US" w:eastAsia="zh-CN" w:bidi="ar-SA"/>
        </w:rPr>
      </w:pPr>
      <w:r>
        <w:rPr>
          <w:rFonts w:hint="eastAsia" w:ascii="CESI楷体-GB2312" w:hAnsi="CESI楷体-GB2312" w:eastAsia="CESI楷体-GB2312" w:cs="CESI楷体-GB2312"/>
          <w:b w:val="0"/>
          <w:bCs w:val="0"/>
          <w:snapToGrid w:val="0"/>
          <w:color w:val="auto"/>
          <w:spacing w:val="6"/>
          <w:kern w:val="32"/>
          <w:sz w:val="32"/>
          <w:szCs w:val="32"/>
          <w:lang w:val="en-US" w:eastAsia="zh-CN" w:bidi="ar-SA"/>
        </w:rPr>
        <w:t>（一）指导思想</w:t>
      </w:r>
    </w:p>
    <w:p w14:paraId="3F2EC977">
      <w:pPr>
        <w:keepNext w:val="0"/>
        <w:keepLines w:val="0"/>
        <w:pageBreakBefore w:val="0"/>
        <w:widowControl/>
        <w:suppressLineNumbers w:val="0"/>
        <w:kinsoku/>
        <w:wordWrap/>
        <w:topLinePunct w:val="0"/>
        <w:bidi w:val="0"/>
        <w:spacing w:line="579" w:lineRule="exact"/>
        <w:ind w:firstLine="640" w:firstLineChars="200"/>
        <w:jc w:val="both"/>
        <w:textAlignment w:val="auto"/>
        <w:rPr>
          <w:rFonts w:hint="default" w:ascii="仿宋_GB2312" w:hAnsi="仿宋_GB2312" w:eastAsia="仿宋_GB2312" w:cs="仿宋_GB2312"/>
          <w:snapToGrid w:val="0"/>
          <w:color w:val="auto"/>
          <w:spacing w:val="6"/>
          <w:kern w:val="32"/>
          <w:sz w:val="32"/>
          <w:szCs w:val="32"/>
          <w:lang w:val="en-US" w:eastAsia="zh-CN"/>
        </w:rPr>
      </w:pPr>
      <w:r>
        <w:rPr>
          <w:rFonts w:hint="eastAsia" w:ascii="仿宋_GB2312" w:hAnsi="仿宋_GB2312" w:eastAsia="仿宋_GB2312" w:cs="仿宋_GB2312"/>
          <w:b w:val="0"/>
          <w:bCs w:val="0"/>
          <w:snapToGrid/>
          <w:kern w:val="2"/>
          <w:sz w:val="32"/>
          <w:szCs w:val="32"/>
          <w:lang w:val="en-US" w:eastAsia="zh-CN" w:bidi="ar-SA"/>
        </w:rPr>
        <w:t>深入贯彻习近平总书记关于制造业高质量发展系列重要论述和重要指示精神，全面贯彻落实省委“1310”具体部署和省委主要领导到汕尾调研时的指示要求，聚焦“做实做强西承东联桥头堡，全力打造东海岸重要支点”新的战略定位，以制造业强市建设为统领，</w:t>
      </w:r>
      <w:r>
        <w:rPr>
          <w:rFonts w:hint="eastAsia" w:ascii="仿宋_GB2312" w:hAnsi="仿宋_GB2312" w:eastAsia="仿宋_GB2312" w:cs="仿宋_GB2312"/>
          <w:snapToGrid w:val="0"/>
          <w:color w:val="auto"/>
          <w:spacing w:val="6"/>
          <w:kern w:val="32"/>
          <w:sz w:val="32"/>
          <w:szCs w:val="32"/>
          <w:lang w:val="en-US" w:eastAsia="zh-CN"/>
        </w:rPr>
        <w:t>立足市委、市政府“5+N”产业布局，主动承接大湾区产业有序转移，统筹整合要素市场化配置，全力推动我市珠宝、金银首饰集聚发展，不断提升珠宝、金银首饰产业市场竞争力，切实推动传统产业转型升级。</w:t>
      </w:r>
    </w:p>
    <w:p w14:paraId="11FDC128">
      <w:pPr>
        <w:keepNext w:val="0"/>
        <w:keepLines w:val="0"/>
        <w:pageBreakBefore w:val="0"/>
        <w:widowControl/>
        <w:suppressLineNumbers w:val="0"/>
        <w:kinsoku/>
        <w:wordWrap/>
        <w:topLinePunct w:val="0"/>
        <w:bidi w:val="0"/>
        <w:spacing w:line="579" w:lineRule="exact"/>
        <w:ind w:firstLine="664" w:firstLineChars="200"/>
        <w:jc w:val="both"/>
        <w:textAlignment w:val="auto"/>
        <w:rPr>
          <w:rFonts w:hint="eastAsia" w:ascii="CESI楷体-GB2312" w:hAnsi="CESI楷体-GB2312" w:eastAsia="CESI楷体-GB2312" w:cs="CESI楷体-GB2312"/>
          <w:b w:val="0"/>
          <w:bCs w:val="0"/>
          <w:snapToGrid w:val="0"/>
          <w:color w:val="auto"/>
          <w:spacing w:val="6"/>
          <w:kern w:val="32"/>
          <w:sz w:val="32"/>
          <w:szCs w:val="32"/>
          <w:lang w:val="en-US" w:eastAsia="zh-CN"/>
        </w:rPr>
      </w:pPr>
      <w:r>
        <w:rPr>
          <w:rFonts w:hint="eastAsia" w:ascii="CESI楷体-GB2312" w:hAnsi="CESI楷体-GB2312" w:eastAsia="CESI楷体-GB2312" w:cs="CESI楷体-GB2312"/>
          <w:b w:val="0"/>
          <w:bCs w:val="0"/>
          <w:snapToGrid w:val="0"/>
          <w:color w:val="auto"/>
          <w:spacing w:val="6"/>
          <w:kern w:val="32"/>
          <w:sz w:val="32"/>
          <w:szCs w:val="32"/>
          <w:lang w:val="en-US" w:eastAsia="zh-CN"/>
        </w:rPr>
        <w:t>（二）主要目标</w:t>
      </w:r>
    </w:p>
    <w:p w14:paraId="58014312">
      <w:pPr>
        <w:keepNext w:val="0"/>
        <w:keepLines w:val="0"/>
        <w:pageBreakBefore w:val="0"/>
        <w:widowControl/>
        <w:suppressLineNumbers w:val="0"/>
        <w:kinsoku/>
        <w:wordWrap/>
        <w:topLinePunct w:val="0"/>
        <w:bidi w:val="0"/>
        <w:spacing w:line="579" w:lineRule="exact"/>
        <w:ind w:left="0" w:leftChars="0" w:firstLine="676" w:firstLineChars="203"/>
        <w:jc w:val="both"/>
        <w:textAlignment w:val="auto"/>
        <w:rPr>
          <w:rFonts w:hint="eastAsia" w:ascii="仿宋_GB2312" w:hAnsi="仿宋_GB2312" w:eastAsia="仿宋_GB2312" w:cs="仿宋_GB2312"/>
          <w:snapToGrid w:val="0"/>
          <w:color w:val="auto"/>
          <w:spacing w:val="6"/>
          <w:kern w:val="32"/>
          <w:sz w:val="32"/>
          <w:szCs w:val="32"/>
          <w:lang w:val="en-US" w:eastAsia="zh-CN"/>
        </w:rPr>
      </w:pPr>
      <w:r>
        <w:rPr>
          <w:rFonts w:hint="eastAsia" w:ascii="仿宋_GB2312" w:hAnsi="仿宋_GB2312" w:eastAsia="仿宋_GB2312" w:cs="仿宋_GB2312"/>
          <w:b/>
          <w:bCs/>
          <w:snapToGrid w:val="0"/>
          <w:color w:val="auto"/>
          <w:spacing w:val="6"/>
          <w:kern w:val="32"/>
          <w:sz w:val="32"/>
          <w:szCs w:val="32"/>
          <w:lang w:val="en-US" w:eastAsia="zh-CN"/>
        </w:rPr>
        <w:t>1.总体水平显著提升。</w:t>
      </w:r>
      <w:r>
        <w:rPr>
          <w:rFonts w:hint="eastAsia" w:ascii="仿宋_GB2312" w:hAnsi="仿宋_GB2312" w:eastAsia="仿宋_GB2312" w:cs="仿宋_GB2312"/>
          <w:snapToGrid w:val="0"/>
          <w:color w:val="auto"/>
          <w:spacing w:val="6"/>
          <w:kern w:val="32"/>
          <w:sz w:val="32"/>
          <w:szCs w:val="32"/>
          <w:lang w:val="en-US" w:eastAsia="zh-CN"/>
        </w:rPr>
        <w:t>全市基本形成促进珠宝、金银首饰制造业高质量发展的政策支持体系和制度环境，珠宝、金银首饰产业规模质量、结构质量、效益质量、创新质量基本达到全省中游水平。</w:t>
      </w:r>
      <w:r>
        <w:rPr>
          <w:rFonts w:hint="eastAsia" w:ascii="仿宋_GB2312" w:hAnsi="仿宋_GB2312" w:eastAsia="仿宋_GB2312" w:cs="仿宋_GB2312"/>
          <w:bCs/>
          <w:color w:val="auto"/>
          <w:sz w:val="32"/>
          <w:szCs w:val="32"/>
        </w:rPr>
        <w:t>到202</w:t>
      </w:r>
      <w:r>
        <w:rPr>
          <w:rFonts w:hint="eastAsia" w:ascii="仿宋_GB2312" w:hAnsi="仿宋_GB2312" w:eastAsia="仿宋_GB2312" w:cs="仿宋_GB2312"/>
          <w:bCs/>
          <w:color w:val="auto"/>
          <w:sz w:val="32"/>
          <w:szCs w:val="32"/>
          <w:lang w:val="en-US" w:eastAsia="zh-CN"/>
        </w:rPr>
        <w:t>6</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eastAsia="zh-CN"/>
        </w:rPr>
        <w:t>底</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eastAsia="zh-CN"/>
        </w:rPr>
        <w:t>珠宝、金银</w:t>
      </w:r>
      <w:r>
        <w:rPr>
          <w:rFonts w:hint="eastAsia" w:ascii="仿宋_GB2312" w:hAnsi="仿宋_GB2312" w:eastAsia="仿宋_GB2312" w:cs="仿宋_GB2312"/>
          <w:bCs/>
          <w:color w:val="auto"/>
          <w:sz w:val="32"/>
          <w:szCs w:val="32"/>
        </w:rPr>
        <w:t>首饰</w:t>
      </w:r>
      <w:r>
        <w:rPr>
          <w:rFonts w:hint="eastAsia" w:ascii="仿宋_GB2312" w:hAnsi="仿宋_GB2312" w:eastAsia="仿宋_GB2312" w:cs="仿宋_GB2312"/>
          <w:bCs/>
          <w:color w:val="auto"/>
          <w:sz w:val="32"/>
          <w:szCs w:val="32"/>
          <w:lang w:val="en-US" w:eastAsia="zh-CN"/>
        </w:rPr>
        <w:t>产</w:t>
      </w:r>
      <w:r>
        <w:rPr>
          <w:rFonts w:hint="eastAsia" w:ascii="仿宋_GB2312" w:hAnsi="仿宋_GB2312" w:eastAsia="仿宋_GB2312" w:cs="仿宋_GB2312"/>
          <w:bCs/>
          <w:color w:val="auto"/>
          <w:sz w:val="32"/>
          <w:szCs w:val="32"/>
        </w:rPr>
        <w:t>业产值</w:t>
      </w:r>
      <w:r>
        <w:rPr>
          <w:rFonts w:hint="eastAsia" w:ascii="仿宋_GB2312" w:hAnsi="仿宋_GB2312" w:eastAsia="仿宋_GB2312" w:cs="仿宋_GB2312"/>
          <w:bCs/>
          <w:color w:val="auto"/>
          <w:sz w:val="32"/>
          <w:szCs w:val="32"/>
          <w:lang w:eastAsia="zh-CN"/>
        </w:rPr>
        <w:t>突破</w:t>
      </w:r>
      <w:r>
        <w:rPr>
          <w:rFonts w:hint="eastAsia" w:ascii="仿宋_GB2312" w:hAnsi="仿宋_GB2312" w:eastAsia="仿宋_GB2312" w:cs="仿宋_GB2312"/>
          <w:bCs/>
          <w:color w:val="auto"/>
          <w:sz w:val="32"/>
          <w:szCs w:val="32"/>
          <w:highlight w:val="none"/>
          <w:lang w:val="en-US" w:eastAsia="zh-CN"/>
        </w:rPr>
        <w:t>120</w:t>
      </w:r>
      <w:r>
        <w:rPr>
          <w:rFonts w:hint="eastAsia" w:ascii="仿宋_GB2312" w:hAnsi="仿宋_GB2312" w:eastAsia="仿宋_GB2312" w:cs="仿宋_GB2312"/>
          <w:bCs/>
          <w:color w:val="auto"/>
          <w:sz w:val="32"/>
          <w:szCs w:val="32"/>
          <w:highlight w:val="none"/>
        </w:rPr>
        <w:t>亿元，培育年销售收入超</w:t>
      </w:r>
      <w:r>
        <w:rPr>
          <w:rFonts w:hint="eastAsia" w:ascii="仿宋_GB2312" w:hAnsi="仿宋_GB2312" w:eastAsia="仿宋_GB2312" w:cs="仿宋_GB2312"/>
          <w:bCs/>
          <w:color w:val="auto"/>
          <w:sz w:val="32"/>
          <w:szCs w:val="32"/>
          <w:highlight w:val="none"/>
          <w:lang w:val="en-US" w:eastAsia="zh-CN"/>
        </w:rPr>
        <w:t>5</w:t>
      </w:r>
      <w:r>
        <w:rPr>
          <w:rFonts w:hint="eastAsia" w:ascii="仿宋_GB2312" w:hAnsi="仿宋_GB2312" w:eastAsia="仿宋_GB2312" w:cs="仿宋_GB2312"/>
          <w:bCs/>
          <w:color w:val="auto"/>
          <w:sz w:val="32"/>
          <w:szCs w:val="32"/>
        </w:rPr>
        <w:t>亿元行业领军企业</w:t>
      </w:r>
      <w:r>
        <w:rPr>
          <w:rFonts w:hint="eastAsia" w:ascii="仿宋_GB2312" w:hAnsi="仿宋_GB2312" w:eastAsia="仿宋_GB2312" w:cs="仿宋_GB2312"/>
          <w:bCs/>
          <w:color w:val="auto"/>
          <w:sz w:val="32"/>
          <w:szCs w:val="32"/>
          <w:lang w:val="en-US" w:eastAsia="zh-CN"/>
        </w:rPr>
        <w:t>2</w:t>
      </w:r>
      <w:r>
        <w:rPr>
          <w:rFonts w:hint="eastAsia" w:ascii="仿宋_GB2312" w:hAnsi="仿宋_GB2312" w:eastAsia="仿宋_GB2312" w:cs="仿宋_GB2312"/>
          <w:bCs/>
          <w:color w:val="auto"/>
          <w:sz w:val="32"/>
          <w:szCs w:val="32"/>
        </w:rPr>
        <w:t>家以上。</w:t>
      </w:r>
    </w:p>
    <w:p w14:paraId="0A486EF6">
      <w:pPr>
        <w:keepNext w:val="0"/>
        <w:keepLines w:val="0"/>
        <w:pageBreakBefore w:val="0"/>
        <w:widowControl/>
        <w:suppressLineNumbers w:val="0"/>
        <w:kinsoku/>
        <w:wordWrap/>
        <w:topLinePunct w:val="0"/>
        <w:bidi w:val="0"/>
        <w:spacing w:line="579" w:lineRule="exact"/>
        <w:ind w:firstLine="667" w:firstLineChars="200"/>
        <w:jc w:val="both"/>
        <w:textAlignment w:val="auto"/>
        <w:rPr>
          <w:rFonts w:hint="eastAsia" w:ascii="仿宋_GB2312" w:hAnsi="仿宋_GB2312" w:eastAsia="仿宋_GB2312" w:cs="仿宋_GB2312"/>
          <w:snapToGrid w:val="0"/>
          <w:color w:val="auto"/>
          <w:spacing w:val="6"/>
          <w:kern w:val="32"/>
          <w:sz w:val="32"/>
          <w:szCs w:val="32"/>
          <w:lang w:val="en-US" w:eastAsia="zh-CN"/>
        </w:rPr>
      </w:pPr>
      <w:r>
        <w:rPr>
          <w:rFonts w:hint="eastAsia" w:ascii="仿宋_GB2312" w:hAnsi="仿宋_GB2312" w:eastAsia="仿宋_GB2312" w:cs="仿宋_GB2312"/>
          <w:b/>
          <w:bCs/>
          <w:snapToGrid w:val="0"/>
          <w:color w:val="auto"/>
          <w:spacing w:val="6"/>
          <w:kern w:val="32"/>
          <w:sz w:val="32"/>
          <w:szCs w:val="32"/>
          <w:lang w:val="en-US" w:eastAsia="zh-CN"/>
        </w:rPr>
        <w:t>2.产业集群建设成效显著。</w:t>
      </w:r>
      <w:r>
        <w:rPr>
          <w:rFonts w:hint="eastAsia" w:ascii="仿宋_GB2312" w:hAnsi="仿宋_GB2312" w:eastAsia="仿宋_GB2312" w:cs="仿宋_GB2312"/>
          <w:snapToGrid w:val="0"/>
          <w:color w:val="auto"/>
          <w:spacing w:val="6"/>
          <w:kern w:val="32"/>
          <w:sz w:val="32"/>
          <w:szCs w:val="32"/>
          <w:lang w:val="en-US" w:eastAsia="zh-CN"/>
        </w:rPr>
        <w:t>集中力量整合提升梅陇金银首饰、可塘珠宝产业园区综合服务能力和制造业发展水平，加快产业园区基础设施建设，引导企业入园，形成集聚规模。到2026年底，全市新增珠宝金银首饰企业规上企业15家以上，推动珠宝金银首饰300家市场主体入驻园区，珠宝金银首饰产业链条整链联动成效明显。</w:t>
      </w:r>
    </w:p>
    <w:p w14:paraId="2DACBCC8">
      <w:pPr>
        <w:keepNext w:val="0"/>
        <w:keepLines w:val="0"/>
        <w:widowControl/>
        <w:suppressLineNumbers w:val="0"/>
        <w:ind w:firstLine="667" w:firstLineChars="200"/>
        <w:jc w:val="both"/>
        <w:rPr>
          <w:rFonts w:hint="default"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bCs/>
          <w:snapToGrid w:val="0"/>
          <w:color w:val="auto"/>
          <w:spacing w:val="6"/>
          <w:kern w:val="32"/>
          <w:sz w:val="32"/>
          <w:szCs w:val="32"/>
          <w:lang w:val="en-US" w:eastAsia="zh-CN"/>
        </w:rPr>
        <w:t>3.创新能力显著提升。</w:t>
      </w:r>
      <w:r>
        <w:rPr>
          <w:rFonts w:hint="eastAsia" w:ascii="仿宋_GB2312" w:hAnsi="仿宋_GB2312" w:eastAsia="仿宋_GB2312" w:cs="仿宋_GB2312"/>
          <w:snapToGrid w:val="0"/>
          <w:color w:val="auto"/>
          <w:spacing w:val="6"/>
          <w:kern w:val="32"/>
          <w:sz w:val="32"/>
          <w:szCs w:val="32"/>
          <w:lang w:val="en-US" w:eastAsia="zh-CN"/>
        </w:rPr>
        <w:t>到2026年底，全市珠宝金银首饰企业研发投入经费年均增长10%以上，自主品牌、产品研发、文化设计和营销等知识产权成果及附加值实现重大突破。指导珠宝金银首饰制定行业技术发展路线，强化技术研发及发明专利布局，将专利信息利用融入珠宝金银首饰产业技术研发过程，提高珠宝金银首饰产业技术创新效率与水平。</w:t>
      </w:r>
      <w:r>
        <w:rPr>
          <w:rFonts w:hint="eastAsia" w:ascii="仿宋_GB2312" w:hAnsi="仿宋_GB2312" w:eastAsia="仿宋_GB2312" w:cs="仿宋_GB2312"/>
          <w:b w:val="0"/>
          <w:bCs w:val="0"/>
          <w:snapToGrid/>
          <w:kern w:val="2"/>
          <w:sz w:val="32"/>
          <w:szCs w:val="32"/>
          <w:lang w:val="en-US" w:eastAsia="zh-CN" w:bidi="ar-SA"/>
        </w:rPr>
        <w:t>充分运用汕尾创新岛（深圳）的合作优势，依托深圳强大的科创资源，将汕尾金银珠宝首饰设计纳入研发范畴，推动</w:t>
      </w:r>
      <w:r>
        <w:rPr>
          <w:rFonts w:ascii="仿宋_GB2312" w:hAnsi="宋体" w:eastAsia="仿宋_GB2312" w:cs="仿宋_GB2312"/>
          <w:color w:val="000000"/>
          <w:kern w:val="0"/>
          <w:sz w:val="31"/>
          <w:szCs w:val="31"/>
          <w:lang w:val="en-US" w:eastAsia="zh-CN" w:bidi="ar"/>
        </w:rPr>
        <w:t>两市珠宝金银首饰产业</w:t>
      </w:r>
      <w:r>
        <w:rPr>
          <w:rFonts w:hint="eastAsia" w:ascii="仿宋_GB2312" w:hAnsi="仿宋_GB2312" w:eastAsia="仿宋_GB2312" w:cs="仿宋_GB2312"/>
          <w:b w:val="0"/>
          <w:bCs w:val="0"/>
          <w:snapToGrid/>
          <w:kern w:val="2"/>
          <w:sz w:val="32"/>
          <w:szCs w:val="32"/>
          <w:lang w:val="en-US" w:eastAsia="zh-CN" w:bidi="ar-SA"/>
        </w:rPr>
        <w:t>要素高效协同，形成“研发设计在深圳，转化落地在汕尾”的创新模式。</w:t>
      </w:r>
    </w:p>
    <w:p w14:paraId="2C7EF045">
      <w:pPr>
        <w:keepNext w:val="0"/>
        <w:keepLines w:val="0"/>
        <w:pageBreakBefore w:val="0"/>
        <w:widowControl/>
        <w:suppressLineNumbers w:val="0"/>
        <w:kinsoku/>
        <w:wordWrap/>
        <w:topLinePunct w:val="0"/>
        <w:bidi w:val="0"/>
        <w:spacing w:line="579" w:lineRule="exact"/>
        <w:ind w:firstLine="667" w:firstLineChars="200"/>
        <w:jc w:val="both"/>
        <w:textAlignment w:val="auto"/>
        <w:rPr>
          <w:rFonts w:hint="eastAsia" w:ascii="仿宋_GB2312" w:hAnsi="仿宋_GB2312" w:eastAsia="仿宋_GB2312" w:cs="仿宋_GB2312"/>
          <w:snapToGrid w:val="0"/>
          <w:color w:val="auto"/>
          <w:spacing w:val="6"/>
          <w:kern w:val="32"/>
          <w:sz w:val="32"/>
          <w:szCs w:val="32"/>
          <w:lang w:val="en-US" w:eastAsia="zh-CN"/>
        </w:rPr>
      </w:pPr>
      <w:r>
        <w:rPr>
          <w:rFonts w:hint="eastAsia" w:ascii="仿宋_GB2312" w:hAnsi="仿宋_GB2312" w:eastAsia="仿宋_GB2312" w:cs="仿宋_GB2312"/>
          <w:b/>
          <w:bCs/>
          <w:snapToGrid w:val="0"/>
          <w:color w:val="auto"/>
          <w:spacing w:val="6"/>
          <w:kern w:val="32"/>
          <w:sz w:val="32"/>
          <w:szCs w:val="32"/>
          <w:lang w:val="en-US" w:eastAsia="zh-CN"/>
        </w:rPr>
        <w:t>4.产业效益显著增强。</w:t>
      </w:r>
      <w:r>
        <w:rPr>
          <w:rFonts w:hint="eastAsia" w:ascii="仿宋_GB2312" w:hAnsi="仿宋_GB2312" w:eastAsia="仿宋_GB2312" w:cs="仿宋_GB2312"/>
          <w:snapToGrid w:val="0"/>
          <w:color w:val="auto"/>
          <w:spacing w:val="6"/>
          <w:kern w:val="32"/>
          <w:sz w:val="32"/>
          <w:szCs w:val="32"/>
          <w:lang w:val="en-US" w:eastAsia="zh-CN"/>
        </w:rPr>
        <w:t>2026年底，全市珠宝金银首饰产业技改投资年均增长10%以上，行业规上工业增加值占全市比重年均提高5个百分点。深入实施省级“技改十条”、市级技改奖补等政策，加大对珠宝金银首饰企业开展技术改造的政策资金支持力度，到2026年底，累计推动30家次珠宝金银首饰企业开展技术改造，实现企业向高端化、数字化、智能化、绿色化转型。</w:t>
      </w:r>
    </w:p>
    <w:p w14:paraId="09B836AD">
      <w:pPr>
        <w:keepNext w:val="0"/>
        <w:keepLines w:val="0"/>
        <w:pageBreakBefore w:val="0"/>
        <w:widowControl/>
        <w:suppressLineNumbers w:val="0"/>
        <w:kinsoku/>
        <w:wordWrap/>
        <w:topLinePunct w:val="0"/>
        <w:bidi w:val="0"/>
        <w:spacing w:line="579" w:lineRule="exact"/>
        <w:ind w:firstLine="664" w:firstLineChars="200"/>
        <w:jc w:val="both"/>
        <w:textAlignment w:val="auto"/>
        <w:rPr>
          <w:rFonts w:hint="eastAsia" w:ascii="黑体" w:hAnsi="黑体" w:eastAsia="黑体" w:cs="黑体"/>
          <w:snapToGrid w:val="0"/>
          <w:color w:val="auto"/>
          <w:spacing w:val="6"/>
          <w:kern w:val="32"/>
          <w:sz w:val="32"/>
          <w:szCs w:val="32"/>
          <w:lang w:val="en-US" w:eastAsia="zh-CN"/>
        </w:rPr>
      </w:pPr>
      <w:r>
        <w:rPr>
          <w:rFonts w:hint="eastAsia" w:ascii="黑体" w:hAnsi="黑体" w:eastAsia="黑体" w:cs="黑体"/>
          <w:snapToGrid w:val="0"/>
          <w:color w:val="auto"/>
          <w:spacing w:val="6"/>
          <w:kern w:val="32"/>
          <w:sz w:val="32"/>
          <w:szCs w:val="32"/>
          <w:lang w:val="en-US" w:eastAsia="zh-CN"/>
        </w:rPr>
        <w:t>二、主要任务</w:t>
      </w:r>
    </w:p>
    <w:p w14:paraId="70A692EF">
      <w:pPr>
        <w:keepNext w:val="0"/>
        <w:keepLines w:val="0"/>
        <w:pageBreakBefore w:val="0"/>
        <w:widowControl/>
        <w:suppressLineNumbers w:val="0"/>
        <w:kinsoku/>
        <w:wordWrap/>
        <w:topLinePunct w:val="0"/>
        <w:bidi w:val="0"/>
        <w:spacing w:line="579" w:lineRule="exact"/>
        <w:ind w:firstLine="664" w:firstLineChars="200"/>
        <w:jc w:val="both"/>
        <w:textAlignment w:val="auto"/>
        <w:rPr>
          <w:rFonts w:hint="eastAsia" w:ascii="仿宋_GB2312" w:hAnsi="仿宋_GB2312" w:eastAsia="仿宋_GB2312" w:cs="仿宋_GB2312"/>
          <w:snapToGrid w:val="0"/>
          <w:color w:val="auto"/>
          <w:spacing w:val="6"/>
          <w:kern w:val="32"/>
          <w:sz w:val="32"/>
          <w:szCs w:val="32"/>
          <w:lang w:val="en-US" w:eastAsia="zh-CN"/>
        </w:rPr>
      </w:pPr>
      <w:r>
        <w:rPr>
          <w:rFonts w:hint="eastAsia" w:ascii="仿宋_GB2312" w:hAnsi="仿宋_GB2312" w:eastAsia="仿宋_GB2312" w:cs="仿宋_GB2312"/>
          <w:snapToGrid w:val="0"/>
          <w:color w:val="auto"/>
          <w:spacing w:val="6"/>
          <w:kern w:val="32"/>
          <w:sz w:val="32"/>
          <w:szCs w:val="32"/>
          <w:lang w:val="en-US" w:eastAsia="zh-CN"/>
        </w:rPr>
        <w:t>贯彻落实市委、市政府“5+N”先进制造业体系和“一核两翼三带”产业格局部署要求，</w:t>
      </w:r>
      <w:r>
        <w:rPr>
          <w:rFonts w:hint="eastAsia" w:ascii="仿宋_GB2312" w:hAnsi="仿宋_GB2312" w:eastAsia="仿宋_GB2312" w:cs="仿宋_GB2312"/>
          <w:color w:val="auto"/>
          <w:sz w:val="32"/>
          <w:szCs w:val="32"/>
          <w:u w:val="none"/>
        </w:rPr>
        <w:t>加快</w:t>
      </w:r>
      <w:r>
        <w:rPr>
          <w:rFonts w:hint="eastAsia" w:ascii="仿宋_GB2312" w:hAnsi="仿宋_GB2312" w:eastAsia="仿宋_GB2312" w:cs="仿宋_GB2312"/>
          <w:color w:val="auto"/>
          <w:sz w:val="32"/>
          <w:szCs w:val="32"/>
          <w:u w:val="none"/>
          <w:lang w:eastAsia="zh-CN"/>
        </w:rPr>
        <w:t>珠宝金银首饰产业链条</w:t>
      </w:r>
      <w:r>
        <w:rPr>
          <w:rFonts w:hint="eastAsia" w:ascii="仿宋_GB2312" w:hAnsi="仿宋_GB2312" w:eastAsia="仿宋_GB2312" w:cs="仿宋_GB2312"/>
          <w:color w:val="auto"/>
          <w:sz w:val="32"/>
          <w:szCs w:val="32"/>
          <w:u w:val="none"/>
        </w:rPr>
        <w:t>建链</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补链</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延链</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强链</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snapToGrid w:val="0"/>
          <w:color w:val="auto"/>
          <w:spacing w:val="6"/>
          <w:kern w:val="32"/>
          <w:sz w:val="32"/>
          <w:szCs w:val="32"/>
          <w:lang w:val="en-US" w:eastAsia="zh-CN"/>
        </w:rPr>
        <w:t>科学融合生产要素，优化要素市场化配置，推动</w:t>
      </w:r>
      <w:r>
        <w:rPr>
          <w:rFonts w:hint="eastAsia" w:ascii="仿宋_GB2312" w:hAnsi="仿宋_GB2312" w:eastAsia="仿宋_GB2312" w:cs="仿宋_GB2312"/>
          <w:color w:val="auto"/>
          <w:sz w:val="32"/>
          <w:szCs w:val="32"/>
          <w:u w:val="none"/>
          <w:lang w:eastAsia="zh-CN"/>
        </w:rPr>
        <w:t>珠宝金银首饰产业</w:t>
      </w:r>
      <w:r>
        <w:rPr>
          <w:rFonts w:hint="eastAsia" w:ascii="仿宋_GB2312" w:hAnsi="仿宋_GB2312" w:eastAsia="仿宋_GB2312" w:cs="仿宋_GB2312"/>
          <w:snapToGrid w:val="0"/>
          <w:color w:val="auto"/>
          <w:spacing w:val="6"/>
          <w:kern w:val="32"/>
          <w:sz w:val="32"/>
          <w:szCs w:val="32"/>
          <w:lang w:val="en-US" w:eastAsia="zh-CN"/>
        </w:rPr>
        <w:t>高质量发展。</w:t>
      </w:r>
    </w:p>
    <w:p w14:paraId="63245BE0">
      <w:pPr>
        <w:keepNext w:val="0"/>
        <w:keepLines w:val="0"/>
        <w:pageBreakBefore w:val="0"/>
        <w:widowControl/>
        <w:numPr>
          <w:ilvl w:val="-1"/>
          <w:numId w:val="0"/>
        </w:numPr>
        <w:suppressLineNumbers w:val="0"/>
        <w:kinsoku/>
        <w:wordWrap/>
        <w:topLinePunct w:val="0"/>
        <w:bidi w:val="0"/>
        <w:spacing w:line="579" w:lineRule="exact"/>
        <w:ind w:firstLine="664" w:firstLineChars="200"/>
        <w:jc w:val="both"/>
        <w:textAlignment w:val="auto"/>
        <w:rPr>
          <w:rFonts w:hint="eastAsia" w:ascii="仿宋_GB2312" w:hAnsi="仿宋_GB2312" w:eastAsia="仿宋_GB2312" w:cs="仿宋_GB2312"/>
          <w:b/>
          <w:bCs w:val="0"/>
          <w:color w:val="auto"/>
          <w:sz w:val="32"/>
          <w:szCs w:val="32"/>
          <w:lang w:eastAsia="zh-CN"/>
        </w:rPr>
      </w:pPr>
      <w:r>
        <w:rPr>
          <w:rFonts w:hint="eastAsia" w:ascii="CESI楷体-GB2312" w:hAnsi="CESI楷体-GB2312" w:eastAsia="CESI楷体-GB2312" w:cs="CESI楷体-GB2312"/>
          <w:b w:val="0"/>
          <w:bCs w:val="0"/>
          <w:snapToGrid w:val="0"/>
          <w:color w:val="auto"/>
          <w:spacing w:val="6"/>
          <w:kern w:val="32"/>
          <w:sz w:val="32"/>
          <w:szCs w:val="32"/>
          <w:lang w:val="en-US" w:eastAsia="zh-CN"/>
        </w:rPr>
        <w:t>（一）强化规划政策引领。</w:t>
      </w:r>
      <w:r>
        <w:rPr>
          <w:rFonts w:hint="eastAsia" w:ascii="仿宋_GB2312" w:hAnsi="仿宋_GB2312" w:eastAsia="仿宋_GB2312" w:cs="仿宋_GB2312"/>
          <w:snapToGrid w:val="0"/>
          <w:color w:val="auto"/>
          <w:spacing w:val="6"/>
          <w:kern w:val="32"/>
          <w:sz w:val="32"/>
          <w:szCs w:val="32"/>
          <w:lang w:val="en-US" w:eastAsia="zh-CN"/>
        </w:rPr>
        <w:t>统筹海丰县加快首饰行业产业发展规划编制工作，重点强化梅陇镇环保集聚区布局金银首饰产业，可塘镇长桥工业园布局珠宝产业，开展可塘、星都园区一体化国土空间规划和产业规划编制工作，争取可塘园区纳入省级产业园管理，实现园区扩容升级。完善政策扶持体系，以产业集聚、集群、集约发展为主线，加大政策创新、分类指导力度，把扩张规模总量和加快转型升级摆在突出位置，明晰产业发展重点，促进产业高端化、规模化、品牌化、外向化，增强企业核心竞争力和抗风险能力，促进珠宝金银首饰产业持续、健康、快速发展。</w:t>
      </w:r>
      <w:r>
        <w:rPr>
          <w:rFonts w:hint="eastAsia" w:ascii="CESI楷体-GB2312" w:hAnsi="CESI楷体-GB2312" w:eastAsia="CESI楷体-GB2312" w:cs="CESI楷体-GB2312"/>
          <w:b w:val="0"/>
          <w:bCs/>
          <w:color w:val="auto"/>
          <w:sz w:val="32"/>
          <w:szCs w:val="32"/>
          <w:lang w:eastAsia="zh-CN"/>
        </w:rPr>
        <w:t>（市工业和信息化局、市发展改革局牵头，市科技局、市商务局，各县（市、区）人民政府等按职责分工负责；以下均需各县（市、区）人民政府落实，不再一一列出）</w:t>
      </w:r>
    </w:p>
    <w:p w14:paraId="19A29136">
      <w:pPr>
        <w:keepNext w:val="0"/>
        <w:keepLines w:val="0"/>
        <w:pageBreakBefore w:val="0"/>
        <w:widowControl/>
        <w:numPr>
          <w:ilvl w:val="0"/>
          <w:numId w:val="0"/>
        </w:numPr>
        <w:suppressLineNumbers w:val="0"/>
        <w:kinsoku/>
        <w:wordWrap/>
        <w:topLinePunct w:val="0"/>
        <w:bidi w:val="0"/>
        <w:spacing w:line="579" w:lineRule="exact"/>
        <w:ind w:firstLine="664" w:firstLineChars="200"/>
        <w:jc w:val="both"/>
        <w:textAlignment w:val="auto"/>
        <w:rPr>
          <w:rFonts w:hint="eastAsia" w:ascii="楷体" w:hAnsi="楷体" w:eastAsia="楷体" w:cs="楷体"/>
          <w:b w:val="0"/>
          <w:bCs w:val="0"/>
          <w:snapToGrid w:val="0"/>
          <w:color w:val="auto"/>
          <w:spacing w:val="6"/>
          <w:kern w:val="32"/>
          <w:sz w:val="32"/>
          <w:szCs w:val="32"/>
          <w:lang w:val="en-US" w:eastAsia="zh-CN"/>
        </w:rPr>
      </w:pPr>
      <w:r>
        <w:rPr>
          <w:rFonts w:hint="eastAsia" w:ascii="CESI楷体-GB2312" w:hAnsi="CESI楷体-GB2312" w:eastAsia="CESI楷体-GB2312" w:cs="CESI楷体-GB2312"/>
          <w:b w:val="0"/>
          <w:bCs w:val="0"/>
          <w:snapToGrid w:val="0"/>
          <w:color w:val="auto"/>
          <w:spacing w:val="6"/>
          <w:kern w:val="32"/>
          <w:sz w:val="32"/>
          <w:szCs w:val="32"/>
          <w:lang w:val="en-US" w:eastAsia="zh-CN"/>
        </w:rPr>
        <w:t>（二）加快平台载体建设。</w:t>
      </w:r>
      <w:r>
        <w:rPr>
          <w:rFonts w:hint="eastAsia" w:ascii="仿宋_GB2312" w:hAnsi="仿宋_GB2312" w:eastAsia="仿宋_GB2312" w:cs="仿宋_GB2312"/>
          <w:snapToGrid w:val="0"/>
          <w:color w:val="auto"/>
          <w:spacing w:val="6"/>
          <w:kern w:val="32"/>
          <w:sz w:val="32"/>
          <w:szCs w:val="32"/>
          <w:lang w:val="en-US" w:eastAsia="zh-CN"/>
        </w:rPr>
        <w:t>加大园区开发建设资金投入，推动可塘长桥工业园区道路扩宽、给排水、供电、厂房装修等基础设施建设，2024年底前，完成长桥工业园区配套基础设施工程—污水管网建设项目、圆山岭河生态治理工程等项目落地验收。</w:t>
      </w:r>
      <w:r>
        <w:rPr>
          <w:rFonts w:hint="eastAsia" w:ascii="仿宋_GB2312" w:hAnsi="仿宋_GB2312" w:eastAsia="仿宋_GB2312" w:cs="仿宋_GB2312"/>
          <w:snapToGrid w:val="0"/>
          <w:color w:val="auto"/>
          <w:spacing w:val="6"/>
          <w:kern w:val="32"/>
          <w:sz w:val="32"/>
          <w:szCs w:val="32"/>
          <w:u w:val="none"/>
          <w:lang w:val="en-US" w:eastAsia="zh-CN"/>
        </w:rPr>
        <w:t>加快推进梅陇金银首饰产业园区</w:t>
      </w:r>
      <w:r>
        <w:rPr>
          <w:rFonts w:hint="eastAsia" w:ascii="仿宋_GB2312" w:hAnsi="仿宋_GB2312" w:eastAsia="仿宋_GB2312" w:cs="仿宋_GB2312"/>
          <w:strike w:val="0"/>
          <w:dstrike w:val="0"/>
          <w:snapToGrid w:val="0"/>
          <w:color w:val="auto"/>
          <w:spacing w:val="6"/>
          <w:kern w:val="32"/>
          <w:sz w:val="32"/>
          <w:szCs w:val="32"/>
          <w:u w:val="none"/>
          <w:lang w:val="en-US" w:eastAsia="zh-CN"/>
        </w:rPr>
        <w:t>员工宿舍等</w:t>
      </w:r>
      <w:r>
        <w:rPr>
          <w:rFonts w:hint="eastAsia" w:ascii="仿宋_GB2312" w:hAnsi="仿宋_GB2312" w:eastAsia="仿宋_GB2312" w:cs="仿宋_GB2312"/>
          <w:snapToGrid w:val="0"/>
          <w:color w:val="auto"/>
          <w:spacing w:val="6"/>
          <w:kern w:val="32"/>
          <w:sz w:val="32"/>
          <w:szCs w:val="32"/>
          <w:u w:val="none"/>
          <w:lang w:val="en-US" w:eastAsia="zh-CN"/>
        </w:rPr>
        <w:t>基础配套设施建设，完</w:t>
      </w:r>
      <w:r>
        <w:rPr>
          <w:rFonts w:hint="eastAsia" w:ascii="仿宋_GB2312" w:hAnsi="仿宋_GB2312" w:eastAsia="仿宋_GB2312" w:cs="仿宋_GB2312"/>
          <w:snapToGrid w:val="0"/>
          <w:color w:val="auto"/>
          <w:spacing w:val="6"/>
          <w:kern w:val="32"/>
          <w:sz w:val="32"/>
          <w:szCs w:val="32"/>
          <w:lang w:val="en-US" w:eastAsia="zh-CN"/>
        </w:rPr>
        <w:t>善物流、公交直达、餐饮、设计等生产性服务业。2025年前，实现污水处理厂排污管道接入企业直排使用，完成企业“乱排偷排”整治工作，为传统产业转型升级建好载体。</w:t>
      </w:r>
      <w:r>
        <w:rPr>
          <w:rFonts w:hint="eastAsia" w:ascii="仿宋_GB2312" w:hAnsi="仿宋_GB2312" w:eastAsia="仿宋_GB2312" w:cs="仿宋_GB2312"/>
          <w:b w:val="0"/>
          <w:bCs w:val="0"/>
          <w:snapToGrid/>
          <w:kern w:val="2"/>
          <w:sz w:val="32"/>
          <w:szCs w:val="32"/>
          <w:highlight w:val="none"/>
          <w:lang w:val="en-US" w:eastAsia="zh-CN" w:bidi="ar-SA"/>
        </w:rPr>
        <w:t>到2026年，每年实现入驻园区企业达100家以上。</w:t>
      </w:r>
      <w:r>
        <w:rPr>
          <w:rFonts w:hint="eastAsia" w:ascii="CESI楷体-GB2312" w:hAnsi="CESI楷体-GB2312" w:eastAsia="CESI楷体-GB2312" w:cs="CESI楷体-GB2312"/>
          <w:b/>
          <w:bCs/>
          <w:snapToGrid/>
          <w:kern w:val="2"/>
          <w:sz w:val="32"/>
          <w:szCs w:val="32"/>
          <w:lang w:val="en-US" w:eastAsia="zh-CN" w:bidi="ar-SA"/>
        </w:rPr>
        <w:t>（</w:t>
      </w:r>
      <w:r>
        <w:rPr>
          <w:rFonts w:hint="eastAsia" w:ascii="CESI楷体-GB2312" w:hAnsi="CESI楷体-GB2312" w:eastAsia="CESI楷体-GB2312" w:cs="CESI楷体-GB2312"/>
          <w:b w:val="0"/>
          <w:bCs w:val="0"/>
          <w:snapToGrid/>
          <w:kern w:val="2"/>
          <w:sz w:val="32"/>
          <w:szCs w:val="32"/>
          <w:lang w:val="en-US" w:eastAsia="zh-CN" w:bidi="ar-SA"/>
        </w:rPr>
        <w:t>市工业和信息化局、市生态环境局、市住房城乡建设局牵头，市自然资源局、市交通运输局</w:t>
      </w:r>
      <w:r>
        <w:rPr>
          <w:rFonts w:hint="eastAsia" w:ascii="CESI楷体-GB2312" w:hAnsi="CESI楷体-GB2312" w:eastAsia="CESI楷体-GB2312" w:cs="CESI楷体-GB2312"/>
          <w:b w:val="0"/>
          <w:bCs w:val="0"/>
          <w:color w:val="auto"/>
          <w:sz w:val="32"/>
          <w:szCs w:val="32"/>
          <w:lang w:eastAsia="zh-CN"/>
        </w:rPr>
        <w:t>等按职责分工负责）</w:t>
      </w:r>
    </w:p>
    <w:p w14:paraId="12EF5122">
      <w:pPr>
        <w:keepNext w:val="0"/>
        <w:keepLines w:val="0"/>
        <w:pageBreakBefore w:val="0"/>
        <w:widowControl/>
        <w:numPr>
          <w:ilvl w:val="0"/>
          <w:numId w:val="0"/>
        </w:numPr>
        <w:suppressLineNumbers w:val="0"/>
        <w:kinsoku/>
        <w:wordWrap/>
        <w:topLinePunct w:val="0"/>
        <w:bidi w:val="0"/>
        <w:spacing w:line="579" w:lineRule="exact"/>
        <w:ind w:firstLine="664" w:firstLineChars="200"/>
        <w:jc w:val="both"/>
        <w:textAlignment w:val="auto"/>
        <w:rPr>
          <w:rFonts w:hint="eastAsia" w:ascii="楷体" w:hAnsi="楷体" w:eastAsia="楷体" w:cs="楷体"/>
          <w:b/>
          <w:bCs/>
          <w:snapToGrid w:val="0"/>
          <w:color w:val="auto"/>
          <w:spacing w:val="6"/>
          <w:kern w:val="32"/>
          <w:sz w:val="32"/>
          <w:szCs w:val="32"/>
          <w:lang w:val="en-US" w:eastAsia="zh-CN"/>
        </w:rPr>
      </w:pPr>
      <w:r>
        <w:rPr>
          <w:rFonts w:hint="eastAsia" w:ascii="CESI楷体-GB2312" w:hAnsi="CESI楷体-GB2312" w:eastAsia="CESI楷体-GB2312" w:cs="CESI楷体-GB2312"/>
          <w:b w:val="0"/>
          <w:bCs w:val="0"/>
          <w:snapToGrid w:val="0"/>
          <w:color w:val="auto"/>
          <w:spacing w:val="6"/>
          <w:kern w:val="32"/>
          <w:sz w:val="32"/>
          <w:szCs w:val="32"/>
          <w:lang w:val="en-US" w:eastAsia="zh-CN"/>
        </w:rPr>
        <w:t>（三）强化技术创新。</w:t>
      </w:r>
      <w:r>
        <w:rPr>
          <w:rFonts w:hint="eastAsia" w:ascii="仿宋_GB2312" w:hAnsi="仿宋_GB2312" w:eastAsia="仿宋_GB2312" w:cs="仿宋_GB2312"/>
          <w:b w:val="0"/>
          <w:bCs w:val="0"/>
          <w:snapToGrid w:val="0"/>
          <w:color w:val="auto"/>
          <w:spacing w:val="6"/>
          <w:kern w:val="32"/>
          <w:sz w:val="32"/>
          <w:szCs w:val="32"/>
          <w:lang w:val="en-US" w:eastAsia="zh-CN"/>
        </w:rPr>
        <w:t>践行“绿水青山就是金山银山”理念，坚决淘汰低端产能和落后工艺，加大涉VOC排放、涉有机溶剂使用企业排查甄别力度，严禁新设立高耗能、高污染项目，遏制小型黄金珠宝加工等低投入、低附加值、低税收、高污染“三低一高”项目进驻园区。组织行业重点企业前往浙江诸暨等地区学习先进经营模式，引导企业引进精工手工雕刻以及光谱仪、自动点钻机等先进工艺技术设备，实现高端化、数字化、智能化、绿色化转型升级。鼓励理想首饰建立企业技术中心和研发机构，到2026年，全市建成2个以上省级企业技术中心和工程研究中心。依托华南师范大学汕尾校区、汕尾职业技术学院等高校专业技能，建设开放的资源共享技术平台和信息网络体系，实现共性技术和信息资源高效利用，为建设珠宝金银首饰产业研究设计中心提供有效的技术支撑。（</w:t>
      </w:r>
      <w:r>
        <w:rPr>
          <w:rFonts w:hint="eastAsia" w:ascii="CESI楷体-GB2312" w:hAnsi="CESI楷体-GB2312" w:eastAsia="CESI楷体-GB2312" w:cs="CESI楷体-GB2312"/>
          <w:b w:val="0"/>
          <w:bCs w:val="0"/>
          <w:snapToGrid w:val="0"/>
          <w:color w:val="auto"/>
          <w:spacing w:val="6"/>
          <w:kern w:val="32"/>
          <w:sz w:val="32"/>
          <w:szCs w:val="32"/>
          <w:lang w:val="en-US" w:eastAsia="zh-CN"/>
        </w:rPr>
        <w:t>市科技局、市工业和信息化局牵头，市教育局、市生态环境局等</w:t>
      </w:r>
      <w:r>
        <w:rPr>
          <w:rFonts w:hint="eastAsia" w:ascii="CESI楷体-GB2312" w:hAnsi="CESI楷体-GB2312" w:eastAsia="CESI楷体-GB2312" w:cs="CESI楷体-GB2312"/>
          <w:b w:val="0"/>
          <w:bCs w:val="0"/>
          <w:color w:val="auto"/>
          <w:sz w:val="32"/>
          <w:szCs w:val="32"/>
          <w:lang w:eastAsia="zh-CN"/>
        </w:rPr>
        <w:t>按职责分工负责</w:t>
      </w:r>
      <w:r>
        <w:rPr>
          <w:rFonts w:hint="eastAsia" w:ascii="仿宋_GB2312" w:hAnsi="仿宋_GB2312" w:eastAsia="仿宋_GB2312" w:cs="仿宋_GB2312"/>
          <w:b w:val="0"/>
          <w:bCs w:val="0"/>
          <w:snapToGrid w:val="0"/>
          <w:color w:val="auto"/>
          <w:spacing w:val="6"/>
          <w:kern w:val="32"/>
          <w:sz w:val="32"/>
          <w:szCs w:val="32"/>
          <w:lang w:val="en-US" w:eastAsia="zh-CN"/>
        </w:rPr>
        <w:t>）</w:t>
      </w:r>
    </w:p>
    <w:p w14:paraId="13C1CB87">
      <w:pPr>
        <w:keepNext w:val="0"/>
        <w:keepLines w:val="0"/>
        <w:pageBreakBefore w:val="0"/>
        <w:widowControl/>
        <w:numPr>
          <w:ilvl w:val="0"/>
          <w:numId w:val="0"/>
        </w:numPr>
        <w:suppressLineNumbers w:val="0"/>
        <w:kinsoku/>
        <w:wordWrap/>
        <w:topLinePunct w:val="0"/>
        <w:bidi w:val="0"/>
        <w:spacing w:line="579" w:lineRule="exact"/>
        <w:ind w:firstLine="664" w:firstLineChars="200"/>
        <w:jc w:val="both"/>
        <w:textAlignment w:val="auto"/>
        <w:rPr>
          <w:rFonts w:hint="eastAsia" w:ascii="仿宋_GB2312" w:hAnsi="仿宋_GB2312" w:eastAsia="仿宋_GB2312" w:cs="仿宋_GB2312"/>
          <w:b/>
          <w:snapToGrid w:val="0"/>
          <w:color w:val="auto"/>
          <w:spacing w:val="6"/>
          <w:kern w:val="32"/>
          <w:sz w:val="32"/>
          <w:szCs w:val="32"/>
          <w:lang w:val="en-US" w:eastAsia="zh-CN"/>
        </w:rPr>
      </w:pPr>
      <w:r>
        <w:rPr>
          <w:rFonts w:hint="eastAsia" w:ascii="CESI楷体-GB2312" w:hAnsi="CESI楷体-GB2312" w:eastAsia="CESI楷体-GB2312" w:cs="CESI楷体-GB2312"/>
          <w:b w:val="0"/>
          <w:bCs w:val="0"/>
          <w:snapToGrid w:val="0"/>
          <w:color w:val="auto"/>
          <w:spacing w:val="6"/>
          <w:kern w:val="32"/>
          <w:sz w:val="32"/>
          <w:szCs w:val="32"/>
          <w:lang w:val="en-US" w:eastAsia="zh-CN"/>
        </w:rPr>
        <w:t>（四）提升产业品牌影响力。</w:t>
      </w:r>
      <w:r>
        <w:rPr>
          <w:rFonts w:hint="eastAsia" w:ascii="仿宋_GB2312" w:hAnsi="仿宋_GB2312" w:eastAsia="仿宋_GB2312" w:cs="仿宋_GB2312"/>
          <w:b w:val="0"/>
          <w:bCs w:val="0"/>
          <w:snapToGrid w:val="0"/>
          <w:color w:val="auto"/>
          <w:spacing w:val="6"/>
          <w:kern w:val="32"/>
          <w:sz w:val="32"/>
          <w:szCs w:val="32"/>
          <w:lang w:val="en-US" w:eastAsia="zh-CN"/>
        </w:rPr>
        <w:t>借鉴浙江萧山经验，以“用真心、做好金”为核心价值观，以迪霖、展鹏珠宝等“龙头”名牌企业为依托，不断加强新产品开发和技术创新，进一步延伸产业链，细化产业分工，形成汕尾珠宝金银首饰名牌产业集群，到2026年，累计新增10家企业申报广东省地理标志保护产品。2024年8月前海丰县完成珠宝首饰行业协会申报批复工作，2024年底前成立海丰县珠宝首饰行业协会，2025年前，出台珠宝行业标准。实施《梅陇首饰银S930技术要求》《梅陇首饰精工镶嵌技术规范》和《梅陇首饰机织链技术规范》等行业标准，打响产品品质招牌。2025年</w:t>
      </w:r>
      <w:r>
        <w:rPr>
          <w:rFonts w:hint="eastAsia" w:ascii="仿宋_GB2312" w:hAnsi="仿宋_GB2312" w:eastAsia="仿宋_GB2312" w:cs="仿宋_GB2312"/>
          <w:b w:val="0"/>
          <w:bCs w:val="0"/>
          <w:snapToGrid w:val="0"/>
          <w:color w:val="auto"/>
          <w:spacing w:val="6"/>
          <w:kern w:val="32"/>
          <w:sz w:val="32"/>
          <w:szCs w:val="32"/>
          <w:lang w:val="en-US" w:eastAsia="zh-CN" w:bidi="ar"/>
        </w:rPr>
        <w:t>全市金银珠宝首饰企业通过汕尾创新岛（深圳），实现设计成果转化落地汕尾50个。</w:t>
      </w:r>
      <w:r>
        <w:rPr>
          <w:rFonts w:hint="eastAsia" w:ascii="仿宋_GB2312" w:hAnsi="仿宋_GB2312" w:eastAsia="仿宋_GB2312" w:cs="仿宋_GB2312"/>
          <w:b w:val="0"/>
          <w:bCs w:val="0"/>
          <w:snapToGrid w:val="0"/>
          <w:color w:val="auto"/>
          <w:spacing w:val="6"/>
          <w:kern w:val="32"/>
          <w:sz w:val="32"/>
          <w:szCs w:val="32"/>
          <w:lang w:val="en-US" w:eastAsia="zh-CN"/>
        </w:rPr>
        <w:t>组织开展珠宝金银首饰展览、慈善晚会等活动，提升“中国彩宝之都”“中国珠宝玉石首饰特色产业基地”品牌影响力。</w:t>
      </w:r>
      <w:r>
        <w:rPr>
          <w:rFonts w:hint="eastAsia" w:ascii="CESI楷体-GB2312" w:hAnsi="CESI楷体-GB2312" w:eastAsia="CESI楷体-GB2312" w:cs="CESI楷体-GB2312"/>
          <w:b w:val="0"/>
          <w:bCs/>
          <w:color w:val="auto"/>
          <w:sz w:val="32"/>
          <w:szCs w:val="32"/>
          <w:lang w:eastAsia="zh-CN"/>
        </w:rPr>
        <w:t>（市市场监管局牵头，市科技局、市工业和信息化局、市商务局等按职责分工负责）</w:t>
      </w:r>
    </w:p>
    <w:p w14:paraId="1CB5588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579" w:lineRule="exact"/>
        <w:ind w:firstLine="664" w:firstLineChars="200"/>
        <w:textAlignment w:val="baseline"/>
        <w:rPr>
          <w:rFonts w:hint="eastAsia" w:ascii="仿宋_GB2312" w:hAnsi="仿宋_GB2312" w:eastAsia="仿宋_GB2312" w:cs="仿宋_GB2312"/>
          <w:b/>
          <w:bCs/>
          <w:snapToGrid/>
          <w:kern w:val="2"/>
          <w:sz w:val="32"/>
          <w:szCs w:val="32"/>
          <w:lang w:val="en-US" w:eastAsia="zh-CN" w:bidi="ar-SA"/>
        </w:rPr>
      </w:pPr>
      <w:r>
        <w:rPr>
          <w:rFonts w:hint="eastAsia" w:ascii="CESI楷体-GB2312" w:hAnsi="CESI楷体-GB2312" w:eastAsia="CESI楷体-GB2312" w:cs="CESI楷体-GB2312"/>
          <w:b w:val="0"/>
          <w:bCs w:val="0"/>
          <w:snapToGrid w:val="0"/>
          <w:color w:val="auto"/>
          <w:spacing w:val="6"/>
          <w:kern w:val="32"/>
          <w:sz w:val="32"/>
          <w:szCs w:val="32"/>
          <w:lang w:val="en-US" w:eastAsia="zh-CN"/>
        </w:rPr>
        <w:t>（五）拓宽珠宝金银首饰市场推广渠道。</w:t>
      </w:r>
      <w:r>
        <w:rPr>
          <w:rFonts w:hint="eastAsia" w:ascii="仿宋_GB2312" w:hAnsi="仿宋_GB2312" w:eastAsia="仿宋_GB2312" w:cs="仿宋_GB2312"/>
          <w:b w:val="0"/>
          <w:bCs w:val="0"/>
          <w:snapToGrid w:val="0"/>
          <w:color w:val="auto"/>
          <w:spacing w:val="6"/>
          <w:kern w:val="32"/>
          <w:sz w:val="32"/>
          <w:szCs w:val="32"/>
          <w:lang w:val="en-US" w:eastAsia="zh-CN"/>
        </w:rPr>
        <w:t>以可塘珠宝梅陇首饰产业为依托，以“产业带出海”为主题，开展以专业招商跨境市场解析、新商培育赋能分享、线下一对一详细讲解为主要环节的推介活动，邀请国内知名珠宝金银首饰企业、外贸企业、跨境电商平台、专业买家参加，到2026年底，主题推介活动举办不少于12场。支持全市珠宝金银首饰企业抱团参加广交会、中博会、进博会等国内大型综合专业展会，支持全市珠宝金银首饰企业自主建立电商平台，与国内“抖音、快手、希音”等知名电商战略合作，引导电商平台与企业签订合作协议，到2026年底，实现签约企业1000家。支持中宝实业、雅旌仓储、云上珠宝等企业运用大数据分析，开发适销对路的商品，实现个性化订制，推进珠宝金银首饰销售从B2B、B2C向C2M（定制）转变，实现精准营销。对接融入浙江义乌线上商贸城，同步推进“电商换市”战略，打造汕尾的义乌分部。</w:t>
      </w:r>
      <w:r>
        <w:rPr>
          <w:rFonts w:hint="eastAsia" w:ascii="CESI楷体-GB2312" w:hAnsi="CESI楷体-GB2312" w:eastAsia="CESI楷体-GB2312" w:cs="CESI楷体-GB2312"/>
          <w:b w:val="0"/>
          <w:bCs w:val="0"/>
          <w:snapToGrid/>
          <w:kern w:val="2"/>
          <w:sz w:val="32"/>
          <w:szCs w:val="32"/>
          <w:lang w:val="en-US" w:eastAsia="zh-CN" w:bidi="ar-SA"/>
        </w:rPr>
        <w:t>（市商务局牵头，市工业和信息化局、市市场监管局</w:t>
      </w:r>
      <w:r>
        <w:rPr>
          <w:rFonts w:hint="eastAsia" w:ascii="CESI楷体-GB2312" w:hAnsi="CESI楷体-GB2312" w:eastAsia="CESI楷体-GB2312" w:cs="CESI楷体-GB2312"/>
          <w:b w:val="0"/>
          <w:bCs w:val="0"/>
          <w:color w:val="auto"/>
          <w:sz w:val="32"/>
          <w:szCs w:val="32"/>
          <w:lang w:eastAsia="zh-CN"/>
        </w:rPr>
        <w:t>等按职责分工负责</w:t>
      </w:r>
      <w:r>
        <w:rPr>
          <w:rFonts w:hint="eastAsia" w:ascii="CESI楷体-GB2312" w:hAnsi="CESI楷体-GB2312" w:eastAsia="CESI楷体-GB2312" w:cs="CESI楷体-GB2312"/>
          <w:b w:val="0"/>
          <w:bCs w:val="0"/>
          <w:snapToGrid/>
          <w:kern w:val="2"/>
          <w:sz w:val="32"/>
          <w:szCs w:val="32"/>
          <w:lang w:val="en-US" w:eastAsia="zh-CN" w:bidi="ar-SA"/>
        </w:rPr>
        <w:t>）</w:t>
      </w:r>
    </w:p>
    <w:p w14:paraId="3FD4BF1E">
      <w:pPr>
        <w:keepNext w:val="0"/>
        <w:keepLines w:val="0"/>
        <w:pageBreakBefore w:val="0"/>
        <w:widowControl/>
        <w:numPr>
          <w:ilvl w:val="-1"/>
          <w:numId w:val="0"/>
        </w:numPr>
        <w:suppressLineNumbers w:val="0"/>
        <w:kinsoku/>
        <w:wordWrap/>
        <w:topLinePunct w:val="0"/>
        <w:bidi w:val="0"/>
        <w:spacing w:line="579" w:lineRule="exact"/>
        <w:ind w:firstLine="664" w:firstLineChars="200"/>
        <w:jc w:val="both"/>
        <w:textAlignment w:val="auto"/>
        <w:rPr>
          <w:rFonts w:hint="eastAsia" w:ascii="楷体" w:hAnsi="楷体" w:eastAsia="楷体" w:cs="楷体"/>
          <w:b/>
          <w:bCs/>
          <w:snapToGrid w:val="0"/>
          <w:color w:val="auto"/>
          <w:spacing w:val="6"/>
          <w:kern w:val="32"/>
          <w:sz w:val="32"/>
          <w:szCs w:val="32"/>
          <w:lang w:val="en-US" w:eastAsia="zh-CN"/>
        </w:rPr>
      </w:pPr>
      <w:r>
        <w:rPr>
          <w:rFonts w:hint="eastAsia" w:ascii="CESI楷体-GB2312" w:hAnsi="CESI楷体-GB2312" w:eastAsia="CESI楷体-GB2312" w:cs="CESI楷体-GB2312"/>
          <w:b w:val="0"/>
          <w:bCs w:val="0"/>
          <w:snapToGrid w:val="0"/>
          <w:color w:val="auto"/>
          <w:spacing w:val="6"/>
          <w:kern w:val="32"/>
          <w:sz w:val="32"/>
          <w:szCs w:val="32"/>
          <w:lang w:val="en-US" w:eastAsia="zh-CN"/>
        </w:rPr>
        <w:t>（六）引进培育专业人才。</w:t>
      </w:r>
      <w:r>
        <w:rPr>
          <w:rFonts w:hint="eastAsia" w:ascii="Times New Roman" w:hAnsi="Times New Roman" w:eastAsia="仿宋_GB2312" w:cs="Times New Roman"/>
          <w:color w:val="auto"/>
          <w:sz w:val="32"/>
          <w:szCs w:val="32"/>
          <w:lang w:val="en-US" w:eastAsia="zh-CN"/>
        </w:rPr>
        <w:t>落实“善美英才计划”，针对珠宝金银首饰产业开展高层次人才招引，畅通制造业劳动力和人才社会性流动渠道。依托</w:t>
      </w:r>
      <w:r>
        <w:rPr>
          <w:rFonts w:hint="eastAsia" w:ascii="仿宋_GB2312" w:hAnsi="仿宋_GB2312" w:eastAsia="仿宋_GB2312" w:cs="仿宋_GB2312"/>
          <w:b w:val="0"/>
          <w:bCs w:val="0"/>
          <w:snapToGrid w:val="0"/>
          <w:color w:val="auto"/>
          <w:spacing w:val="6"/>
          <w:kern w:val="32"/>
          <w:sz w:val="32"/>
          <w:szCs w:val="32"/>
          <w:lang w:val="en-US" w:eastAsia="zh-CN"/>
        </w:rPr>
        <w:t>海丰县珠宝首饰行业协会，组织业内人员每年开展培训活动，提升行业人员素质水平，力争到2026年，发展协会会员达400名。</w:t>
      </w:r>
      <w:r>
        <w:rPr>
          <w:rFonts w:hint="eastAsia" w:ascii="Times New Roman" w:hAnsi="Times New Roman" w:eastAsia="仿宋_GB2312" w:cs="Times New Roman"/>
          <w:color w:val="auto"/>
          <w:sz w:val="32"/>
          <w:szCs w:val="32"/>
          <w:lang w:val="en-US" w:eastAsia="zh-CN"/>
        </w:rPr>
        <w:t>完善技术技能评价制度，实行更加开放人才政策，畅通港澳及海外人才来汕尾工作通道，在职业资格认定认可、子女教育、商业医疗保险、停留居留等方面提供便利。联合市职业技术学院等中职院校设立珠宝首饰设计相关专业，定向培养金银珠宝专业人才或技能人才，夯实产业技术基础，形成人才“向外引进，向内孵化”良性循环格局。</w:t>
      </w:r>
      <w:r>
        <w:rPr>
          <w:rFonts w:hint="eastAsia" w:ascii="CESI楷体-GB2312" w:hAnsi="CESI楷体-GB2312" w:eastAsia="CESI楷体-GB2312" w:cs="CESI楷体-GB2312"/>
          <w:b w:val="0"/>
          <w:bCs w:val="0"/>
          <w:snapToGrid w:val="0"/>
          <w:color w:val="auto"/>
          <w:spacing w:val="6"/>
          <w:kern w:val="32"/>
          <w:sz w:val="32"/>
          <w:szCs w:val="32"/>
          <w:lang w:val="en-US" w:eastAsia="zh-CN"/>
        </w:rPr>
        <w:t>（市人力资源社会保障局牵头，市教育局、市科技局、市工业和信息化局、市公安局、市商务局、市医保局</w:t>
      </w:r>
      <w:r>
        <w:rPr>
          <w:rFonts w:hint="eastAsia" w:ascii="CESI楷体-GB2312" w:hAnsi="CESI楷体-GB2312" w:eastAsia="CESI楷体-GB2312" w:cs="CESI楷体-GB2312"/>
          <w:b w:val="0"/>
          <w:bCs w:val="0"/>
          <w:color w:val="auto"/>
          <w:sz w:val="32"/>
          <w:szCs w:val="32"/>
          <w:lang w:eastAsia="zh-CN"/>
        </w:rPr>
        <w:t>等按职责分工负责</w:t>
      </w:r>
      <w:r>
        <w:rPr>
          <w:rFonts w:hint="eastAsia" w:ascii="CESI楷体-GB2312" w:hAnsi="CESI楷体-GB2312" w:eastAsia="CESI楷体-GB2312" w:cs="CESI楷体-GB2312"/>
          <w:b w:val="0"/>
          <w:bCs w:val="0"/>
          <w:snapToGrid w:val="0"/>
          <w:color w:val="auto"/>
          <w:spacing w:val="6"/>
          <w:kern w:val="32"/>
          <w:sz w:val="32"/>
          <w:szCs w:val="32"/>
          <w:lang w:val="en-US" w:eastAsia="zh-CN"/>
        </w:rPr>
        <w:t>）</w:t>
      </w:r>
    </w:p>
    <w:p w14:paraId="13A720FC">
      <w:pPr>
        <w:keepNext w:val="0"/>
        <w:keepLines w:val="0"/>
        <w:pageBreakBefore w:val="0"/>
        <w:widowControl/>
        <w:numPr>
          <w:ilvl w:val="-1"/>
          <w:numId w:val="0"/>
        </w:numPr>
        <w:suppressLineNumbers w:val="0"/>
        <w:kinsoku/>
        <w:wordWrap/>
        <w:topLinePunct w:val="0"/>
        <w:bidi w:val="0"/>
        <w:spacing w:line="579" w:lineRule="exact"/>
        <w:ind w:left="0" w:leftChars="0" w:firstLine="664" w:firstLineChars="200"/>
        <w:jc w:val="both"/>
        <w:textAlignment w:val="auto"/>
        <w:rPr>
          <w:rFonts w:hint="eastAsia" w:ascii="楷体_GB2312" w:hAnsi="楷体_GB2312" w:eastAsia="楷体_GB2312" w:cs="楷体_GB2312"/>
          <w:b/>
          <w:bCs/>
          <w:snapToGrid w:val="0"/>
          <w:color w:val="auto"/>
          <w:spacing w:val="6"/>
          <w:kern w:val="32"/>
          <w:sz w:val="32"/>
          <w:szCs w:val="32"/>
          <w:lang w:val="en-US" w:eastAsia="zh-CN"/>
        </w:rPr>
      </w:pPr>
      <w:r>
        <w:rPr>
          <w:rFonts w:hint="eastAsia" w:ascii="CESI楷体-GB2312" w:hAnsi="CESI楷体-GB2312" w:eastAsia="CESI楷体-GB2312" w:cs="CESI楷体-GB2312"/>
          <w:b w:val="0"/>
          <w:bCs w:val="0"/>
          <w:snapToGrid w:val="0"/>
          <w:color w:val="auto"/>
          <w:spacing w:val="6"/>
          <w:kern w:val="32"/>
          <w:sz w:val="32"/>
          <w:szCs w:val="32"/>
          <w:lang w:val="en-US" w:eastAsia="zh-CN"/>
        </w:rPr>
        <w:t>（七）推动市场主体上规纳统。</w:t>
      </w:r>
      <w:r>
        <w:rPr>
          <w:rFonts w:hint="eastAsia" w:ascii="仿宋_GB2312" w:hAnsi="仿宋_GB2312" w:eastAsia="仿宋_GB2312" w:cs="仿宋_GB2312"/>
          <w:b w:val="0"/>
          <w:bCs w:val="0"/>
          <w:snapToGrid w:val="0"/>
          <w:color w:val="auto"/>
          <w:spacing w:val="6"/>
          <w:kern w:val="32"/>
          <w:sz w:val="32"/>
          <w:szCs w:val="32"/>
          <w:lang w:val="en-US" w:eastAsia="zh-CN"/>
        </w:rPr>
        <w:t>强化部门联动，加大企业服务力度，落实“小升规”培育政策，持续优化营商环境，助力珠宝、首饰行业做大做强。研究细化电商企业纳统办法，运用第三方大数据平台企业，分析比对重点指标等数据，服务精诚誉珠宝、锦之程兴首饰等企业升规纳统，到2026年，每年完成“小升规”企业5家以上。加强珠宝金银首饰行业“个转企”工作力度，扩大珠宝、首饰行业“小升规”企业培育面，</w:t>
      </w:r>
      <w:r>
        <w:rPr>
          <w:rFonts w:hint="eastAsia" w:ascii="仿宋_GB2312" w:hAnsi="仿宋_GB2312" w:eastAsia="仿宋_GB2312" w:cs="仿宋_GB2312"/>
          <w:sz w:val="32"/>
          <w:szCs w:val="32"/>
          <w:lang w:val="en-US" w:eastAsia="zh-CN"/>
        </w:rPr>
        <w:t>加强税收监管，依法查处涉税违法行为，规范企业税费申报，促进纳税遵从，建立有利于企业公平竞争的税赋环境</w:t>
      </w:r>
      <w:r>
        <w:rPr>
          <w:rFonts w:hint="eastAsia" w:ascii="仿宋_GB2312" w:hAnsi="仿宋_GB2312" w:eastAsia="仿宋_GB2312" w:cs="仿宋_GB2312"/>
          <w:b w:val="0"/>
          <w:bCs w:val="0"/>
          <w:snapToGrid w:val="0"/>
          <w:color w:val="auto"/>
          <w:spacing w:val="6"/>
          <w:kern w:val="32"/>
          <w:sz w:val="32"/>
          <w:szCs w:val="32"/>
          <w:lang w:val="en-US" w:eastAsia="zh-CN"/>
        </w:rPr>
        <w:t>。落实企业入库材料的完整性规范性要求，加强上级统计部门沟通协调，提高企业“升规”发展积极性。</w:t>
      </w:r>
      <w:r>
        <w:rPr>
          <w:rFonts w:hint="eastAsia" w:ascii="CESI楷体-GB2312" w:hAnsi="CESI楷体-GB2312" w:eastAsia="CESI楷体-GB2312" w:cs="CESI楷体-GB2312"/>
          <w:b w:val="0"/>
          <w:bCs w:val="0"/>
          <w:snapToGrid w:val="0"/>
          <w:color w:val="auto"/>
          <w:spacing w:val="6"/>
          <w:kern w:val="32"/>
          <w:sz w:val="32"/>
          <w:szCs w:val="32"/>
          <w:lang w:val="en-US" w:eastAsia="zh-CN"/>
        </w:rPr>
        <w:t>（市工业和信息化局、市市场监管局牵头，市发展改革局、市商务局、市统计局、市税务局</w:t>
      </w:r>
      <w:r>
        <w:rPr>
          <w:rFonts w:hint="eastAsia" w:ascii="CESI楷体-GB2312" w:hAnsi="CESI楷体-GB2312" w:eastAsia="CESI楷体-GB2312" w:cs="CESI楷体-GB2312"/>
          <w:b w:val="0"/>
          <w:bCs w:val="0"/>
          <w:color w:val="auto"/>
          <w:sz w:val="32"/>
          <w:szCs w:val="32"/>
          <w:lang w:eastAsia="zh-CN"/>
        </w:rPr>
        <w:t>等按职责分工负责</w:t>
      </w:r>
      <w:r>
        <w:rPr>
          <w:rFonts w:hint="eastAsia" w:ascii="CESI楷体-GB2312" w:hAnsi="CESI楷体-GB2312" w:eastAsia="CESI楷体-GB2312" w:cs="CESI楷体-GB2312"/>
          <w:b w:val="0"/>
          <w:bCs w:val="0"/>
          <w:snapToGrid w:val="0"/>
          <w:color w:val="auto"/>
          <w:spacing w:val="6"/>
          <w:kern w:val="32"/>
          <w:sz w:val="32"/>
          <w:szCs w:val="32"/>
          <w:lang w:val="en-US" w:eastAsia="zh-CN"/>
        </w:rPr>
        <w:t>）</w:t>
      </w:r>
    </w:p>
    <w:p w14:paraId="5064B64E">
      <w:pPr>
        <w:keepNext w:val="0"/>
        <w:keepLines w:val="0"/>
        <w:pageBreakBefore w:val="0"/>
        <w:widowControl/>
        <w:numPr>
          <w:ilvl w:val="-1"/>
          <w:numId w:val="0"/>
        </w:numPr>
        <w:suppressLineNumbers w:val="0"/>
        <w:kinsoku/>
        <w:wordWrap/>
        <w:topLinePunct w:val="0"/>
        <w:bidi w:val="0"/>
        <w:spacing w:line="579" w:lineRule="exact"/>
        <w:ind w:firstLine="664" w:firstLineChars="200"/>
        <w:jc w:val="both"/>
        <w:textAlignment w:val="auto"/>
        <w:rPr>
          <w:rFonts w:hint="eastAsia" w:ascii="楷体" w:hAnsi="楷体" w:eastAsia="楷体" w:cs="楷体"/>
          <w:snapToGrid w:val="0"/>
          <w:color w:val="auto"/>
          <w:spacing w:val="6"/>
          <w:kern w:val="32"/>
          <w:sz w:val="32"/>
          <w:szCs w:val="32"/>
          <w:lang w:val="en-US" w:eastAsia="zh-CN"/>
        </w:rPr>
      </w:pPr>
      <w:r>
        <w:rPr>
          <w:rFonts w:hint="eastAsia" w:ascii="CESI楷体-GB2312" w:hAnsi="CESI楷体-GB2312" w:eastAsia="CESI楷体-GB2312" w:cs="CESI楷体-GB2312"/>
          <w:b w:val="0"/>
          <w:bCs w:val="0"/>
          <w:snapToGrid w:val="0"/>
          <w:color w:val="auto"/>
          <w:spacing w:val="6"/>
          <w:kern w:val="32"/>
          <w:sz w:val="32"/>
          <w:szCs w:val="32"/>
          <w:lang w:val="en-US" w:eastAsia="zh-CN"/>
        </w:rPr>
        <w:t>（八）强化资金支持。</w:t>
      </w:r>
      <w:r>
        <w:rPr>
          <w:rFonts w:hint="eastAsia" w:ascii="仿宋_GB2312" w:hAnsi="仿宋_GB2312" w:eastAsia="仿宋_GB2312" w:cs="仿宋_GB2312"/>
          <w:snapToGrid w:val="0"/>
          <w:color w:val="auto"/>
          <w:spacing w:val="6"/>
          <w:kern w:val="32"/>
          <w:sz w:val="32"/>
          <w:szCs w:val="32"/>
          <w:lang w:val="en-US" w:eastAsia="zh-CN"/>
        </w:rPr>
        <w:t>以深圳—汕尾对口协作共建为契机，争取对园区基础设施配套、产业升级改造、环境整治等资金支持。结合我市财力对促进汕尾市珠宝金银首饰转型升级项目给予支持。</w:t>
      </w:r>
      <w:r>
        <w:rPr>
          <w:rFonts w:hint="eastAsia" w:ascii="仿宋_GB2312" w:hAnsi="仿宋_GB2312" w:eastAsia="仿宋_GB2312" w:cs="仿宋_GB2312"/>
          <w:snapToGrid w:val="0"/>
          <w:color w:val="auto"/>
          <w:spacing w:val="6"/>
          <w:kern w:val="32"/>
          <w:sz w:val="32"/>
          <w:szCs w:val="32"/>
          <w:lang w:val="en-US" w:eastAsia="zh-CN"/>
        </w:rPr>
        <w:t>组织金融机构向金银珠宝首饰企业宣讲大规模设备更新和技术改造一揽子金融服务方案，对企业技术改造、技术攻关等领域重大项目优先给</w:t>
      </w:r>
      <w:bookmarkStart w:id="0" w:name="_GoBack"/>
      <w:bookmarkEnd w:id="0"/>
      <w:r>
        <w:rPr>
          <w:rFonts w:hint="eastAsia" w:ascii="仿宋_GB2312" w:hAnsi="仿宋_GB2312" w:eastAsia="仿宋_GB2312" w:cs="仿宋_GB2312"/>
          <w:snapToGrid w:val="0"/>
          <w:color w:val="auto"/>
          <w:spacing w:val="6"/>
          <w:kern w:val="32"/>
          <w:sz w:val="32"/>
          <w:szCs w:val="32"/>
          <w:lang w:val="en-US" w:eastAsia="zh-CN"/>
        </w:rPr>
        <w:t>予信贷支持，并在贷款额度、贷款期限及贷款利率等方面予以倾斜。指导申报园区节能和清洁生产、节水、循环经济改造项目，争取省级资金奖补。</w:t>
      </w:r>
      <w:r>
        <w:rPr>
          <w:rFonts w:hint="eastAsia" w:ascii="CESI楷体-GB2312" w:hAnsi="CESI楷体-GB2312" w:eastAsia="CESI楷体-GB2312" w:cs="CESI楷体-GB2312"/>
          <w:b w:val="0"/>
          <w:bCs w:val="0"/>
          <w:snapToGrid w:val="0"/>
          <w:color w:val="auto"/>
          <w:spacing w:val="6"/>
          <w:kern w:val="32"/>
          <w:sz w:val="32"/>
          <w:szCs w:val="32"/>
          <w:lang w:val="en-US" w:eastAsia="zh-CN"/>
        </w:rPr>
        <w:t>（市人民政府办公室（金融）、市财政局牵头，市发展改革局、市工业和信息化局、市商务局</w:t>
      </w:r>
      <w:r>
        <w:rPr>
          <w:rFonts w:hint="eastAsia" w:ascii="CESI楷体-GB2312" w:hAnsi="CESI楷体-GB2312" w:eastAsia="CESI楷体-GB2312" w:cs="CESI楷体-GB2312"/>
          <w:b w:val="0"/>
          <w:bCs w:val="0"/>
          <w:color w:val="auto"/>
          <w:sz w:val="32"/>
          <w:szCs w:val="32"/>
          <w:lang w:eastAsia="zh-CN"/>
        </w:rPr>
        <w:t>等按职责分工负责</w:t>
      </w:r>
      <w:r>
        <w:rPr>
          <w:rFonts w:hint="eastAsia" w:ascii="CESI楷体-GB2312" w:hAnsi="CESI楷体-GB2312" w:eastAsia="CESI楷体-GB2312" w:cs="CESI楷体-GB2312"/>
          <w:b w:val="0"/>
          <w:bCs w:val="0"/>
          <w:snapToGrid w:val="0"/>
          <w:color w:val="auto"/>
          <w:spacing w:val="6"/>
          <w:kern w:val="32"/>
          <w:sz w:val="32"/>
          <w:szCs w:val="32"/>
          <w:lang w:val="en-US" w:eastAsia="zh-CN"/>
        </w:rPr>
        <w:t>）</w:t>
      </w:r>
    </w:p>
    <w:p w14:paraId="5D0F6AAD">
      <w:pPr>
        <w:keepNext w:val="0"/>
        <w:keepLines w:val="0"/>
        <w:pageBreakBefore w:val="0"/>
        <w:widowControl/>
        <w:suppressLineNumbers w:val="0"/>
        <w:kinsoku/>
        <w:wordWrap/>
        <w:topLinePunct w:val="0"/>
        <w:bidi w:val="0"/>
        <w:spacing w:line="579" w:lineRule="exact"/>
        <w:ind w:firstLine="640"/>
        <w:jc w:val="both"/>
        <w:textAlignment w:val="auto"/>
        <w:rPr>
          <w:rFonts w:hint="eastAsia" w:ascii="黑体" w:hAnsi="黑体" w:eastAsia="黑体" w:cs="黑体"/>
          <w:snapToGrid w:val="0"/>
          <w:color w:val="auto"/>
          <w:spacing w:val="6"/>
          <w:kern w:val="32"/>
          <w:sz w:val="32"/>
          <w:szCs w:val="32"/>
          <w:lang w:val="en-US" w:eastAsia="zh-CN"/>
        </w:rPr>
      </w:pPr>
      <w:r>
        <w:rPr>
          <w:rFonts w:hint="eastAsia" w:ascii="黑体" w:hAnsi="黑体" w:eastAsia="黑体" w:cs="黑体"/>
          <w:snapToGrid w:val="0"/>
          <w:color w:val="auto"/>
          <w:spacing w:val="6"/>
          <w:kern w:val="32"/>
          <w:sz w:val="32"/>
          <w:szCs w:val="32"/>
          <w:lang w:val="en-US" w:eastAsia="zh-CN"/>
        </w:rPr>
        <w:t>三、保障措施</w:t>
      </w:r>
    </w:p>
    <w:p w14:paraId="407BDA5B">
      <w:pPr>
        <w:keepNext w:val="0"/>
        <w:keepLines w:val="0"/>
        <w:pageBreakBefore w:val="0"/>
        <w:widowControl/>
        <w:kinsoku/>
        <w:wordWrap/>
        <w:overflowPunct/>
        <w:topLinePunct w:val="0"/>
        <w:bidi w:val="0"/>
        <w:adjustRightInd/>
        <w:snapToGrid/>
        <w:spacing w:after="0" w:line="579" w:lineRule="exact"/>
        <w:ind w:firstLine="640" w:firstLineChars="0"/>
        <w:jc w:val="both"/>
        <w:textAlignment w:val="auto"/>
        <w:rPr>
          <w:rFonts w:hint="eastAsia" w:ascii="仿宋_GB2312" w:hAnsi="仿宋_GB2312" w:eastAsia="仿宋_GB2312" w:cs="仿宋_GB2312"/>
          <w:b w:val="0"/>
          <w:bCs w:val="0"/>
          <w:snapToGrid w:val="0"/>
          <w:color w:val="auto"/>
          <w:spacing w:val="6"/>
          <w:kern w:val="32"/>
          <w:sz w:val="32"/>
          <w:szCs w:val="32"/>
          <w:lang w:val="en-US" w:eastAsia="zh-CN"/>
        </w:rPr>
      </w:pPr>
      <w:r>
        <w:rPr>
          <w:rFonts w:hint="eastAsia" w:ascii="CESI楷体-GB2312" w:hAnsi="CESI楷体-GB2312" w:eastAsia="CESI楷体-GB2312" w:cs="CESI楷体-GB2312"/>
          <w:b w:val="0"/>
          <w:bCs w:val="0"/>
          <w:snapToGrid w:val="0"/>
          <w:color w:val="auto"/>
          <w:spacing w:val="6"/>
          <w:kern w:val="32"/>
          <w:sz w:val="32"/>
          <w:szCs w:val="32"/>
          <w:lang w:val="en-US" w:eastAsia="zh-CN"/>
        </w:rPr>
        <w:t>（一）加强组织领导。</w:t>
      </w:r>
      <w:r>
        <w:rPr>
          <w:rFonts w:hint="eastAsia" w:ascii="仿宋_GB2312" w:hAnsi="仿宋_GB2312" w:eastAsia="仿宋_GB2312" w:cs="仿宋_GB2312"/>
          <w:b w:val="0"/>
          <w:bCs w:val="0"/>
          <w:snapToGrid w:val="0"/>
          <w:color w:val="auto"/>
          <w:spacing w:val="6"/>
          <w:kern w:val="32"/>
          <w:sz w:val="32"/>
          <w:szCs w:val="32"/>
          <w:lang w:val="en-US" w:eastAsia="zh-CN"/>
        </w:rPr>
        <w:t>市、县两级要成立珠宝金银首饰产业发展专班，切实把推动汕尾珠宝金银首饰产业高质量发展工作摆在更加突出位置，每季度举行一次工作会议，研究推进珠宝金银首饰产业集群发展方向、招商、转型升级、园区规划等重大事宜。各牵头单位和责任单位要明确职能职责，强化检查督导，形成市、县合力推动发展的良好局面。</w:t>
      </w:r>
    </w:p>
    <w:p w14:paraId="07E1F3D0">
      <w:pPr>
        <w:keepNext w:val="0"/>
        <w:keepLines w:val="0"/>
        <w:pageBreakBefore w:val="0"/>
        <w:widowControl/>
        <w:kinsoku/>
        <w:wordWrap/>
        <w:overflowPunct/>
        <w:topLinePunct w:val="0"/>
        <w:bidi w:val="0"/>
        <w:adjustRightInd/>
        <w:snapToGrid/>
        <w:spacing w:after="0" w:line="579" w:lineRule="exact"/>
        <w:ind w:firstLine="640" w:firstLineChars="0"/>
        <w:jc w:val="both"/>
        <w:textAlignment w:val="auto"/>
        <w:rPr>
          <w:rFonts w:hint="eastAsia" w:ascii="楷体_GB2312" w:hAnsi="楷体_GB2312" w:eastAsia="楷体_GB2312" w:cs="楷体_GB2312"/>
          <w:b/>
          <w:bCs/>
          <w:snapToGrid w:val="0"/>
          <w:color w:val="auto"/>
          <w:spacing w:val="6"/>
          <w:kern w:val="32"/>
          <w:sz w:val="32"/>
          <w:szCs w:val="32"/>
          <w:lang w:val="en-US" w:eastAsia="zh-CN"/>
        </w:rPr>
      </w:pPr>
      <w:r>
        <w:rPr>
          <w:rFonts w:hint="eastAsia" w:ascii="CESI楷体-GB2312" w:hAnsi="CESI楷体-GB2312" w:eastAsia="CESI楷体-GB2312" w:cs="CESI楷体-GB2312"/>
          <w:b w:val="0"/>
          <w:bCs w:val="0"/>
          <w:snapToGrid w:val="0"/>
          <w:color w:val="auto"/>
          <w:spacing w:val="6"/>
          <w:kern w:val="32"/>
          <w:sz w:val="32"/>
          <w:szCs w:val="32"/>
          <w:lang w:val="en-US" w:eastAsia="zh-CN"/>
        </w:rPr>
        <w:t>（二）压实工作责任。</w:t>
      </w:r>
      <w:r>
        <w:rPr>
          <w:rFonts w:hint="eastAsia" w:ascii="仿宋_GB2312" w:hAnsi="仿宋_GB2312" w:eastAsia="仿宋_GB2312" w:cs="仿宋_GB2312"/>
          <w:b w:val="0"/>
          <w:bCs w:val="0"/>
          <w:snapToGrid w:val="0"/>
          <w:color w:val="auto"/>
          <w:spacing w:val="6"/>
          <w:kern w:val="32"/>
          <w:sz w:val="32"/>
          <w:szCs w:val="32"/>
          <w:lang w:val="en-US" w:eastAsia="zh-CN"/>
        </w:rPr>
        <w:t>各地各部门要真抓实干，主动担当，认真听取企业诉求，研究提出解决措施，落实工作部门和具体责任人，明确完成时限，形成工作闭环。各地各部门主要领导要发挥统筹作用，细化工作方案，协调组织有关部门全力解决企业反映的问题。</w:t>
      </w:r>
    </w:p>
    <w:p w14:paraId="3103BFAA">
      <w:pPr>
        <w:keepNext w:val="0"/>
        <w:keepLines w:val="0"/>
        <w:pageBreakBefore w:val="0"/>
        <w:widowControl/>
        <w:kinsoku/>
        <w:wordWrap/>
        <w:overflowPunct/>
        <w:topLinePunct w:val="0"/>
        <w:bidi w:val="0"/>
        <w:adjustRightInd/>
        <w:snapToGrid/>
        <w:spacing w:after="0" w:line="579" w:lineRule="exact"/>
        <w:ind w:firstLine="640" w:firstLineChars="0"/>
        <w:jc w:val="both"/>
        <w:textAlignment w:val="auto"/>
        <w:rPr>
          <w:rFonts w:hint="eastAsia" w:ascii="仿宋_GB2312" w:hAnsi="仿宋_GB2312" w:eastAsia="仿宋_GB2312" w:cs="仿宋_GB2312"/>
          <w:b w:val="0"/>
          <w:bCs w:val="0"/>
          <w:snapToGrid w:val="0"/>
          <w:color w:val="auto"/>
          <w:spacing w:val="6"/>
          <w:kern w:val="32"/>
          <w:sz w:val="32"/>
          <w:szCs w:val="32"/>
          <w:lang w:val="en-US" w:eastAsia="zh-CN"/>
        </w:rPr>
      </w:pPr>
      <w:r>
        <w:rPr>
          <w:rFonts w:hint="eastAsia" w:ascii="CESI楷体-GB2312" w:hAnsi="CESI楷体-GB2312" w:eastAsia="CESI楷体-GB2312" w:cs="CESI楷体-GB2312"/>
          <w:b w:val="0"/>
          <w:bCs w:val="0"/>
          <w:snapToGrid w:val="0"/>
          <w:color w:val="auto"/>
          <w:spacing w:val="6"/>
          <w:kern w:val="32"/>
          <w:sz w:val="32"/>
          <w:szCs w:val="32"/>
          <w:lang w:val="en-US" w:eastAsia="zh-CN"/>
        </w:rPr>
        <w:t>（三）加强要素保障。</w:t>
      </w:r>
      <w:r>
        <w:rPr>
          <w:rFonts w:hint="eastAsia" w:ascii="仿宋_GB2312" w:hAnsi="仿宋_GB2312" w:eastAsia="仿宋_GB2312" w:cs="仿宋_GB2312"/>
          <w:b w:val="0"/>
          <w:bCs w:val="0"/>
          <w:snapToGrid w:val="0"/>
          <w:color w:val="auto"/>
          <w:spacing w:val="6"/>
          <w:kern w:val="32"/>
          <w:sz w:val="32"/>
          <w:szCs w:val="32"/>
          <w:lang w:val="en-US" w:eastAsia="zh-CN"/>
        </w:rPr>
        <w:t>各部门要加强对珠宝金银首饰产业发展的顶层设计，相应出台土地、资金、人才、统计等配套政策措施，在政策、资金、空间资源配套、基础设施建设、公共服务配套等方面予以支持，形成全面推进珠宝金银首饰产业高质量发展的政策体系。</w:t>
      </w:r>
    </w:p>
    <w:p w14:paraId="5AD1D04F">
      <w:pPr>
        <w:keepNext w:val="0"/>
        <w:keepLines w:val="0"/>
        <w:pageBreakBefore w:val="0"/>
        <w:widowControl/>
        <w:kinsoku/>
        <w:wordWrap/>
        <w:overflowPunct/>
        <w:topLinePunct w:val="0"/>
        <w:bidi w:val="0"/>
        <w:adjustRightInd/>
        <w:snapToGrid/>
        <w:spacing w:after="0" w:line="579" w:lineRule="exact"/>
        <w:ind w:firstLine="640" w:firstLineChars="0"/>
        <w:jc w:val="both"/>
        <w:textAlignment w:val="auto"/>
        <w:rPr>
          <w:rFonts w:hint="eastAsia" w:ascii="仿宋_GB2312" w:hAnsi="仿宋_GB2312" w:eastAsia="仿宋_GB2312" w:cs="仿宋_GB2312"/>
          <w:b w:val="0"/>
          <w:bCs w:val="0"/>
          <w:snapToGrid w:val="0"/>
          <w:color w:val="auto"/>
          <w:spacing w:val="6"/>
          <w:kern w:val="32"/>
          <w:sz w:val="32"/>
          <w:szCs w:val="32"/>
          <w:lang w:val="en-US" w:eastAsia="zh-CN"/>
        </w:rPr>
      </w:pPr>
      <w:r>
        <w:rPr>
          <w:rFonts w:hint="eastAsia" w:ascii="CESI楷体-GB2312" w:hAnsi="CESI楷体-GB2312" w:eastAsia="CESI楷体-GB2312" w:cs="CESI楷体-GB2312"/>
          <w:b w:val="0"/>
          <w:bCs w:val="0"/>
          <w:snapToGrid w:val="0"/>
          <w:color w:val="auto"/>
          <w:spacing w:val="6"/>
          <w:kern w:val="32"/>
          <w:sz w:val="32"/>
          <w:szCs w:val="32"/>
          <w:lang w:val="en-US" w:eastAsia="zh-CN"/>
        </w:rPr>
        <w:t>（四）发挥协会优势。</w:t>
      </w:r>
      <w:r>
        <w:rPr>
          <w:rFonts w:hint="eastAsia" w:ascii="仿宋_GB2312" w:hAnsi="仿宋_GB2312" w:eastAsia="仿宋_GB2312" w:cs="仿宋_GB2312"/>
          <w:b w:val="0"/>
          <w:bCs w:val="0"/>
          <w:snapToGrid w:val="0"/>
          <w:color w:val="auto"/>
          <w:spacing w:val="6"/>
          <w:kern w:val="32"/>
          <w:sz w:val="32"/>
          <w:szCs w:val="32"/>
          <w:lang w:val="en-US" w:eastAsia="zh-CN"/>
        </w:rPr>
        <w:t>强化政府引导作用，充分发挥金银首饰、珠宝首饰行业协会在行业标准制修订、公共信息发布平台建立、设计人才培训、品牌宣传推广、新产品展览展示、区域交流合作等方面的积极作用，共同推动金银珠宝首饰产业高质量发展。</w:t>
      </w:r>
    </w:p>
    <w:p w14:paraId="7A396BFE">
      <w:pPr>
        <w:rPr>
          <w:rFonts w:hint="eastAsia" w:ascii="仿宋_GB2312" w:hAnsi="仿宋_GB2312" w:eastAsia="仿宋_GB2312" w:cs="仿宋_GB2312"/>
          <w:b w:val="0"/>
          <w:bCs w:val="0"/>
          <w:sz w:val="32"/>
          <w:szCs w:val="32"/>
        </w:rPr>
      </w:pPr>
    </w:p>
    <w:sectPr>
      <w:footerReference r:id="rId3" w:type="default"/>
      <w:pgSz w:w="11906" w:h="16838"/>
      <w:pgMar w:top="2041" w:right="1474" w:bottom="181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ESI楷体-GB2312">
    <w:altName w:val="宋体"/>
    <w:panose1 w:val="02000500000000000000"/>
    <w:charset w:val="86"/>
    <w:family w:val="auto"/>
    <w:pitch w:val="default"/>
    <w:sig w:usb0="00000000" w:usb1="00000000" w:usb2="00000012" w:usb3="00000000" w:csb0="0004000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4C6D0">
    <w:pPr>
      <w:widowControl w:val="0"/>
      <w:tabs>
        <w:tab w:val="center" w:pos="4153"/>
        <w:tab w:val="right" w:pos="8306"/>
      </w:tabs>
      <w:jc w:val="both"/>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DEEB9D">
                          <w:pPr>
                            <w:widowControl w:val="0"/>
                            <w:tabs>
                              <w:tab w:val="center" w:pos="4153"/>
                              <w:tab w:val="right" w:pos="8306"/>
                            </w:tabs>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PAGE  \* MERGEFORMAT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US" w:eastAsia="zh-CN" w:bidi="ar-SA"/>
                            </w:rPr>
                            <w:t>1</w:t>
                          </w:r>
                          <w:r>
                            <w:rPr>
                              <w:rFonts w:hint="eastAsia" w:ascii="仿宋_GB2312" w:hAnsi="仿宋_GB2312" w:eastAsia="仿宋_GB2312" w:cs="仿宋_GB2312"/>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4DEEB9D">
                    <w:pPr>
                      <w:widowControl w:val="0"/>
                      <w:tabs>
                        <w:tab w:val="center" w:pos="4153"/>
                        <w:tab w:val="right" w:pos="8306"/>
                      </w:tabs>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PAGE  \* MERGEFORMAT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US" w:eastAsia="zh-CN" w:bidi="ar-SA"/>
                      </w:rPr>
                      <w:t>1</w:t>
                    </w:r>
                    <w:r>
                      <w:rPr>
                        <w:rFonts w:hint="eastAsia" w:ascii="仿宋_GB2312" w:hAnsi="仿宋_GB2312" w:eastAsia="仿宋_GB2312" w:cs="仿宋_GB2312"/>
                        <w:kern w:val="2"/>
                        <w:sz w:val="28"/>
                        <w:szCs w:val="28"/>
                        <w:lang w:val="en-US" w:eastAsia="zh-CN"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3Nzk1ZjRmODI1MzRlZmFlYjVjZWY3ZDY1ODYzNzcifQ=="/>
  </w:docVars>
  <w:rsids>
    <w:rsidRoot w:val="38F91B60"/>
    <w:rsid w:val="04E13A54"/>
    <w:rsid w:val="05740424"/>
    <w:rsid w:val="08F51B46"/>
    <w:rsid w:val="15BE7792"/>
    <w:rsid w:val="1EFA3DA4"/>
    <w:rsid w:val="215F5628"/>
    <w:rsid w:val="239C1489"/>
    <w:rsid w:val="240F1DBF"/>
    <w:rsid w:val="25F330FE"/>
    <w:rsid w:val="38F91B60"/>
    <w:rsid w:val="3B752EFE"/>
    <w:rsid w:val="41CF4659"/>
    <w:rsid w:val="45D77834"/>
    <w:rsid w:val="4815067B"/>
    <w:rsid w:val="4A3C6604"/>
    <w:rsid w:val="4B0C5FD6"/>
    <w:rsid w:val="4FEA32FB"/>
    <w:rsid w:val="50E33015"/>
    <w:rsid w:val="559E4DF9"/>
    <w:rsid w:val="5C932F46"/>
    <w:rsid w:val="65642646"/>
    <w:rsid w:val="66E55A5B"/>
    <w:rsid w:val="671C1A58"/>
    <w:rsid w:val="77CE7372"/>
    <w:rsid w:val="78FD9592"/>
    <w:rsid w:val="EEEFEDEF"/>
    <w:rsid w:val="F5F701D8"/>
    <w:rsid w:val="FC57F903"/>
    <w:rsid w:val="FFDF9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4336</Words>
  <Characters>4440</Characters>
  <Lines>0</Lines>
  <Paragraphs>0</Paragraphs>
  <TotalTime>2</TotalTime>
  <ScaleCrop>false</ScaleCrop>
  <LinksUpToDate>false</LinksUpToDate>
  <CharactersWithSpaces>4440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2024-06-04T21:32:00Z</dcterms:created>
  <dc:creator>吖喜-惠-Tsai</dc:creator>
  <cp:lastModifiedBy>古墨留香</cp:lastModifiedBy>
  <cp:lastPrinted>2024-06-05T00:33:00Z</cp:lastPrinted>
  <dcterms:modified xsi:type="dcterms:W3CDTF">2024-07-29T14:21:55Z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0492114467494F5D988CDD7219766761_11</vt:lpwstr>
  </property>
  <property fmtid="{D5CDD505-2E9C-101B-9397-08002B2CF9AE}" pid="4" name="showFlag">
    <vt:bool>true</vt:bool>
  </property>
  <property fmtid="{D5CDD505-2E9C-101B-9397-08002B2CF9AE}" pid="5" name="userName">
    <vt:lpwstr>陈艺凭</vt:lpwstr>
  </property>
</Properties>
</file>