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216"/>
        </w:tabs>
        <w:bidi w:val="0"/>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汕尾市新增统建工业园区供配电设施建设规范指引</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（征求意见</w:t>
      </w:r>
      <w:r>
        <w:rPr>
          <w:rFonts w:hint="eastAsia" w:ascii="楷体_GB2312" w:hAnsi="楷体_GB2312" w:eastAsia="楷体_GB2312" w:cs="楷体_GB2312"/>
          <w:color w:val="auto"/>
          <w:sz w:val="32"/>
          <w:szCs w:val="32"/>
          <w:highlight w:val="none"/>
          <w:lang w:val="en-US" w:eastAsia="zh-CN"/>
        </w:rPr>
        <w:t>稿</w:t>
      </w:r>
      <w:r>
        <w:rPr>
          <w:rFonts w:hint="eastAsia" w:ascii="楷体_GB2312" w:hAnsi="楷体_GB2312" w:eastAsia="楷体_GB2312" w:cs="楷体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before="313" w:beforeLines="100" w:after="157" w:afterLines="50" w:line="560" w:lineRule="exact"/>
        <w:jc w:val="center"/>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第一条 </w:t>
      </w:r>
      <w:r>
        <w:rPr>
          <w:rFonts w:hint="eastAsia" w:ascii="仿宋_GB2312" w:hAnsi="仿宋_GB2312" w:eastAsia="仿宋_GB2312" w:cs="仿宋_GB2312"/>
          <w:color w:val="auto"/>
          <w:sz w:val="32"/>
          <w:szCs w:val="32"/>
          <w:highlight w:val="none"/>
          <w:lang w:val="en-US" w:eastAsia="zh-CN"/>
        </w:rPr>
        <w:t>全面落实《广东省发展改革委关于印发&lt;广东省工业园区供电抄表到户升级改造实施方案&gt;的通知》（粤发改能源〔2024〕151号）要求，规范新建、在建工业园区内供电设施建设管理，从源头上实现全面抄表收费到户，营造工业园区安全、可靠的供用电环境。根据《20kV及以下变电所设计规范》（GB 50053-2013）、《供配电系统设计规范》（GB 50052-2009）、《中低压配电网改造技术导则》（DLT 599-2016）、《工业与民用供配电设计手册》（第四版）、《民用建筑电气设计标准》（GB51348-2019）、《住宅建筑电气设计规范》（JGJ 242-2011）等国家及行业标准，并结合我市实际，特制定本指导意见。</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第二条</w:t>
      </w:r>
      <w:r>
        <w:rPr>
          <w:rFonts w:hint="eastAsia" w:ascii="Times New Roman" w:hAnsi="Times New Roman" w:eastAsia="仿宋_GB2312" w:cs="Times New Roman"/>
          <w:color w:val="auto"/>
          <w:sz w:val="32"/>
          <w:szCs w:val="32"/>
          <w:highlight w:val="none"/>
          <w:lang w:val="en-US" w:eastAsia="zh-CN"/>
        </w:rPr>
        <w:t xml:space="preserve"> 统建工业园项目是指在同一工业用地红线内，由统建工业园项目开</w:t>
      </w:r>
      <w:bookmarkStart w:id="0" w:name="_GoBack"/>
      <w:bookmarkEnd w:id="0"/>
      <w:r>
        <w:rPr>
          <w:rFonts w:hint="eastAsia" w:ascii="Times New Roman" w:hAnsi="Times New Roman" w:eastAsia="仿宋_GB2312" w:cs="Times New Roman"/>
          <w:color w:val="auto"/>
          <w:sz w:val="32"/>
          <w:szCs w:val="32"/>
          <w:highlight w:val="none"/>
          <w:lang w:val="en-US" w:eastAsia="zh-CN"/>
        </w:rPr>
        <w:t>发方全面负责，实行统一规划、统一建设、统一验收、统一租售的工业用地开发项目。本指导意见适用于汕尾市范围用途为工业用途的统建工业园供配电设施设计、施工、验收及管理。工业园供电设施设计、施工、验收及管理除执行本指导意见外，还应符合国家及行业相关标准和规范。</w:t>
      </w:r>
    </w:p>
    <w:p>
      <w:pPr>
        <w:keepNext w:val="0"/>
        <w:keepLines w:val="0"/>
        <w:pageBreakBefore w:val="0"/>
        <w:widowControl/>
        <w:kinsoku/>
        <w:wordWrap/>
        <w:overflowPunct/>
        <w:topLinePunct w:val="0"/>
        <w:autoSpaceDE/>
        <w:autoSpaceDN/>
        <w:bidi w:val="0"/>
        <w:adjustRightInd/>
        <w:snapToGrid/>
        <w:spacing w:before="313" w:beforeLines="100" w:after="157" w:afterLines="50" w:line="560" w:lineRule="exact"/>
        <w:jc w:val="center"/>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第二章 用电负荷指标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第三条</w:t>
      </w:r>
      <w:r>
        <w:rPr>
          <w:rFonts w:hint="eastAsia" w:ascii="仿宋_GB2312" w:hAnsi="仿宋_GB2312" w:eastAsia="仿宋_GB2312" w:cs="仿宋_GB2312"/>
          <w:color w:val="auto"/>
          <w:sz w:val="32"/>
          <w:szCs w:val="32"/>
          <w:highlight w:val="none"/>
          <w:lang w:val="en-US" w:eastAsia="zh-CN"/>
        </w:rPr>
        <w:t xml:space="preserve"> 统建工业园项目开发方应按照招商引资的建设规划以及按相关行政（主管）部门批准的产权分割模式，估算整个园区的终期用电规模，以书面确认的方式提交至供电企业纳入总体用电规划考虑。</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第四条</w:t>
      </w:r>
      <w:r>
        <w:rPr>
          <w:rFonts w:hint="eastAsia" w:ascii="仿宋_GB2312" w:hAnsi="仿宋_GB2312" w:eastAsia="仿宋_GB2312" w:cs="仿宋_GB2312"/>
          <w:color w:val="auto"/>
          <w:sz w:val="32"/>
          <w:szCs w:val="32"/>
          <w:highlight w:val="none"/>
          <w:lang w:val="en-US" w:eastAsia="zh-CN"/>
        </w:rPr>
        <w:t xml:space="preserve"> 工业园设计前期的负荷估算可采用负荷密度指标法（参考《工业与民用供配电设计手册第四版》）。规划单位建设用地负荷指标和规划单位建筑面积负荷指标详见附表1。负荷密度指标法的单位指标受多种因素的影响，如地理位置、气候条件、地区发展水平、居民生活习惯、建筑规模大小、建设标准高低、使用能源种类、节能措施力度等，详见附表2和附表3示例。同时按照省有关文件要求，新建公共停车场及新增的路内收费停车位应按不低于30%的比例建设快速充电桩。</w:t>
      </w:r>
    </w:p>
    <w:p>
      <w:pPr>
        <w:keepNext w:val="0"/>
        <w:keepLines w:val="0"/>
        <w:pageBreakBefore w:val="0"/>
        <w:widowControl/>
        <w:kinsoku/>
        <w:wordWrap/>
        <w:overflowPunct/>
        <w:topLinePunct w:val="0"/>
        <w:autoSpaceDE/>
        <w:autoSpaceDN/>
        <w:bidi w:val="0"/>
        <w:adjustRightInd/>
        <w:snapToGrid/>
        <w:spacing w:before="313" w:beforeLines="100" w:after="157" w:afterLines="50" w:line="560" w:lineRule="exact"/>
        <w:jc w:val="center"/>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第三章 电压等级划分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第五条</w:t>
      </w:r>
      <w:r>
        <w:rPr>
          <w:rFonts w:hint="eastAsia" w:ascii="仿宋_GB2312" w:hAnsi="仿宋_GB2312" w:eastAsia="仿宋_GB2312" w:cs="仿宋_GB2312"/>
          <w:color w:val="auto"/>
          <w:sz w:val="32"/>
          <w:szCs w:val="32"/>
          <w:highlight w:val="none"/>
          <w:lang w:val="en-US" w:eastAsia="zh-CN"/>
        </w:rPr>
        <w:t xml:space="preserve"> 供电电压等级应根据当地电网条件、客户分级、用电最大需求量或受电设备总容量，经过技术经济比较后确定，详见附表4。</w:t>
      </w:r>
    </w:p>
    <w:p>
      <w:pPr>
        <w:keepNext w:val="0"/>
        <w:keepLines w:val="0"/>
        <w:pageBreakBefore w:val="0"/>
        <w:widowControl/>
        <w:kinsoku/>
        <w:wordWrap/>
        <w:overflowPunct/>
        <w:topLinePunct w:val="0"/>
        <w:autoSpaceDE/>
        <w:autoSpaceDN/>
        <w:bidi w:val="0"/>
        <w:adjustRightInd/>
        <w:snapToGrid/>
        <w:spacing w:before="313" w:beforeLines="100" w:after="157" w:afterLines="50" w:line="560" w:lineRule="exact"/>
        <w:jc w:val="center"/>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第四章 配电站建设规定</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第六条</w:t>
      </w:r>
      <w:r>
        <w:rPr>
          <w:rFonts w:hint="eastAsia" w:ascii="仿宋_GB2312" w:hAnsi="仿宋_GB2312" w:eastAsia="仿宋_GB2312" w:cs="仿宋_GB2312"/>
          <w:color w:val="auto"/>
          <w:sz w:val="32"/>
          <w:szCs w:val="32"/>
          <w:highlight w:val="none"/>
          <w:lang w:val="en-US" w:eastAsia="zh-CN"/>
        </w:rPr>
        <w:t xml:space="preserve"> 新建统建工业园区供电设施的建设遵循“统一规划、统筹建设”原则，自然资源部门</w:t>
      </w:r>
      <w:r>
        <w:rPr>
          <w:rFonts w:hint="eastAsia" w:ascii="Times New Roman" w:hAnsi="Times New Roman" w:eastAsia="仿宋_GB2312" w:cs="Times New Roman"/>
          <w:color w:val="auto"/>
          <w:sz w:val="32"/>
          <w:szCs w:val="32"/>
          <w:highlight w:val="none"/>
          <w:lang w:val="en-US" w:eastAsia="zh-CN"/>
        </w:rPr>
        <w:t>在审查建设项目工程时</w:t>
      </w:r>
      <w:r>
        <w:rPr>
          <w:rFonts w:hint="eastAsia" w:ascii="仿宋_GB2312" w:hAnsi="仿宋_GB2312" w:eastAsia="仿宋_GB2312" w:cs="仿宋_GB2312"/>
          <w:color w:val="auto"/>
          <w:sz w:val="32"/>
          <w:szCs w:val="32"/>
          <w:highlight w:val="none"/>
          <w:lang w:val="en-US" w:eastAsia="zh-CN"/>
        </w:rPr>
        <w:t>根据</w:t>
      </w:r>
      <w:r>
        <w:rPr>
          <w:rFonts w:hint="eastAsia" w:ascii="Times New Roman" w:hAnsi="Times New Roman" w:eastAsia="仿宋_GB2312" w:cs="Times New Roman"/>
          <w:color w:val="auto"/>
          <w:sz w:val="32"/>
          <w:szCs w:val="32"/>
          <w:highlight w:val="none"/>
          <w:lang w:val="en-US" w:eastAsia="zh-CN"/>
        </w:rPr>
        <w:t>园区</w:t>
      </w:r>
      <w:r>
        <w:rPr>
          <w:rFonts w:hint="eastAsia" w:ascii="仿宋_GB2312" w:hAnsi="仿宋_GB2312" w:eastAsia="仿宋_GB2312" w:cs="仿宋_GB2312"/>
          <w:color w:val="auto"/>
          <w:sz w:val="32"/>
          <w:szCs w:val="32"/>
          <w:highlight w:val="none"/>
          <w:lang w:val="en-US" w:eastAsia="zh-CN"/>
        </w:rPr>
        <w:t>建设规模和用电容量情况征询供电企业的意见，供电企业配合确定配电房位置及供电范围、高低压电缆（线）通道等，并在总平面图中标明配电房位置以及尺寸。统建工业园项目开发方按照审定的总体规划建设后同步投入使用。</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第七条</w:t>
      </w:r>
      <w:r>
        <w:rPr>
          <w:rFonts w:hint="eastAsia" w:ascii="仿宋_GB2312" w:hAnsi="仿宋_GB2312" w:eastAsia="仿宋_GB2312" w:cs="仿宋_GB2312"/>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统建工业园项目开发方</w:t>
      </w:r>
      <w:r>
        <w:rPr>
          <w:rFonts w:hint="eastAsia" w:ascii="仿宋_GB2312" w:hAnsi="仿宋_GB2312" w:eastAsia="仿宋_GB2312" w:cs="仿宋_GB2312"/>
          <w:color w:val="auto"/>
          <w:sz w:val="32"/>
          <w:szCs w:val="32"/>
          <w:highlight w:val="none"/>
          <w:lang w:val="en-US" w:eastAsia="zh-CN"/>
        </w:rPr>
        <w:t>应提前收集园区用户用电需求，根据终期用电需求开展规划建设，合理规划园区内用电布点以及开关站和配电房位置，将园区划分为专变供电和公变供电不同的区域，区域间不可交叉供电，区域间须有明确的物理隔断（如围墙、马路等）。</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第八条</w:t>
      </w:r>
      <w:r>
        <w:rPr>
          <w:rFonts w:hint="eastAsia" w:ascii="仿宋_GB2312" w:hAnsi="仿宋_GB2312" w:eastAsia="仿宋_GB2312" w:cs="仿宋_GB2312"/>
          <w:color w:val="auto"/>
          <w:sz w:val="32"/>
          <w:szCs w:val="32"/>
          <w:highlight w:val="none"/>
          <w:lang w:val="en-US" w:eastAsia="zh-CN"/>
        </w:rPr>
        <w:t xml:space="preserve"> 新建统建工业园应建设足够数量开关站、配电房、变压器、开关柜和供电线路通道以及消防通道、运输维护通道和设备吊装装置的位置，应适当留出增容余量和按环网接线方式预留足够的备用柜位置，并保证各种通道满足规范要求。公变供电区域（含有意向移交的）供配电设施</w:t>
      </w:r>
      <w:r>
        <w:rPr>
          <w:rFonts w:hint="eastAsia" w:ascii="仿宋_GB2312" w:hAnsi="仿宋_GB2312" w:eastAsia="仿宋_GB2312" w:cs="仿宋_GB2312"/>
          <w:color w:val="auto"/>
          <w:sz w:val="32"/>
          <w:szCs w:val="32"/>
          <w:highlight w:val="none"/>
        </w:rPr>
        <w:t>设计应</w:t>
      </w:r>
      <w:r>
        <w:rPr>
          <w:rFonts w:hint="eastAsia" w:ascii="仿宋_GB2312" w:hAnsi="仿宋_GB2312" w:eastAsia="仿宋_GB2312" w:cs="仿宋_GB2312"/>
          <w:color w:val="auto"/>
          <w:sz w:val="32"/>
          <w:szCs w:val="32"/>
          <w:highlight w:val="none"/>
          <w:lang w:val="en-US" w:eastAsia="zh-CN"/>
        </w:rPr>
        <w:t>符合</w:t>
      </w:r>
      <w:r>
        <w:rPr>
          <w:rFonts w:hint="eastAsia" w:ascii="仿宋_GB2312" w:hAnsi="仿宋_GB2312" w:eastAsia="仿宋_GB2312" w:cs="仿宋_GB2312"/>
          <w:color w:val="auto"/>
          <w:sz w:val="32"/>
          <w:szCs w:val="32"/>
          <w:highlight w:val="none"/>
        </w:rPr>
        <w:t>《南方电网标准设计与典型造价》相关要求。</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第九条</w:t>
      </w:r>
      <w:r>
        <w:rPr>
          <w:rFonts w:hint="eastAsia" w:ascii="仿宋_GB2312" w:hAnsi="仿宋_GB2312" w:eastAsia="仿宋_GB2312" w:cs="仿宋_GB2312"/>
          <w:color w:val="auto"/>
          <w:sz w:val="32"/>
          <w:szCs w:val="32"/>
          <w:highlight w:val="none"/>
          <w:lang w:val="en-US" w:eastAsia="zh-CN"/>
        </w:rPr>
        <w:t xml:space="preserve"> 公用开关站、配电站应按“宽裕度、多布点”原则规划独立设置。公用开关站位置的确定应考虑负荷中心和进出线方便，每座公用开关站实用面积应不小于40平方米。</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第十条</w:t>
      </w:r>
      <w:r>
        <w:rPr>
          <w:rFonts w:hint="eastAsia" w:ascii="仿宋_GB2312" w:hAnsi="仿宋_GB2312" w:eastAsia="仿宋_GB2312" w:cs="仿宋_GB2312"/>
          <w:color w:val="auto"/>
          <w:sz w:val="32"/>
          <w:szCs w:val="32"/>
          <w:highlight w:val="none"/>
          <w:lang w:val="en-US" w:eastAsia="zh-CN"/>
        </w:rPr>
        <w:t xml:space="preserve"> 每座公用配电房的供电半径不超过500米，每座公变配电房按两台或以上配变设计，电房面积及数量可按实际低压报装容量确定。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第十一条</w:t>
      </w:r>
      <w:r>
        <w:rPr>
          <w:rFonts w:hint="eastAsia" w:ascii="仿宋_GB2312" w:hAnsi="仿宋_GB2312" w:eastAsia="仿宋_GB2312" w:cs="仿宋_GB2312"/>
          <w:color w:val="auto"/>
          <w:sz w:val="32"/>
          <w:szCs w:val="32"/>
          <w:highlight w:val="none"/>
          <w:lang w:val="en-US" w:eastAsia="zh-CN"/>
        </w:rPr>
        <w:t xml:space="preserve"> 配电房原则上不采用全地下式，避免设置于地势低洼点处，严禁设置于建筑物最底层。特别是处于高危、易引发次生灾害、特别重要地段的配电设施必须建在地上。如受客观条件所限，必须采用全地下式或半地下式建设的，要进行充分论证，经自然资源部门确认论证结果，</w:t>
      </w:r>
      <w:r>
        <w:rPr>
          <w:rFonts w:hint="eastAsia" w:ascii="仿宋_GB2312" w:hAnsi="仿宋_GB2312" w:eastAsia="仿宋_GB2312" w:cs="仿宋_GB2312"/>
          <w:color w:val="auto"/>
          <w:sz w:val="32"/>
          <w:szCs w:val="32"/>
          <w:highlight w:val="none"/>
          <w:lang w:val="en-US" w:eastAsia="zh-CN"/>
        </w:rPr>
        <w:t>严格按照有关规定和技术规范的要求，设置防水排涝设施，降低防洪防涝风险。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仿宋_GB2312" w:eastAsia="仿宋_GB2312" w:cs="仿宋_GB2312"/>
          <w:b/>
          <w:bCs/>
          <w:color w:val="auto"/>
          <w:sz w:val="32"/>
          <w:szCs w:val="32"/>
          <w:highlight w:val="none"/>
          <w:lang w:val="en-US" w:eastAsia="zh-CN"/>
        </w:rPr>
        <w:t>第十二条</w:t>
      </w:r>
      <w:r>
        <w:rPr>
          <w:rFonts w:hint="eastAsia" w:ascii="仿宋_GB2312" w:hAnsi="仿宋_GB2312" w:eastAsia="仿宋_GB2312" w:cs="仿宋_GB2312"/>
          <w:color w:val="auto"/>
          <w:sz w:val="32"/>
          <w:szCs w:val="32"/>
          <w:highlight w:val="none"/>
          <w:lang w:val="en-US" w:eastAsia="zh-CN"/>
        </w:rPr>
        <w:t xml:space="preserve"> 公用开关站、公用配电房（含有意向移交的）必须设置在地面首层及以上。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b/>
          <w:bCs/>
          <w:color w:val="auto"/>
          <w:kern w:val="0"/>
          <w:sz w:val="32"/>
          <w:szCs w:val="32"/>
          <w:highlight w:val="none"/>
          <w:lang w:val="en-US" w:eastAsia="zh-CN" w:bidi="ar"/>
        </w:rPr>
        <w:t>第十三条</w:t>
      </w:r>
      <w:r>
        <w:rPr>
          <w:rFonts w:hint="eastAsia" w:ascii="仿宋_GB2312" w:hAnsi="宋体" w:eastAsia="仿宋_GB2312" w:cs="仿宋_GB2312"/>
          <w:color w:val="auto"/>
          <w:kern w:val="0"/>
          <w:sz w:val="32"/>
          <w:szCs w:val="32"/>
          <w:highlight w:val="none"/>
          <w:lang w:val="en-US" w:eastAsia="zh-CN" w:bidi="ar"/>
        </w:rPr>
        <w:t xml:space="preserve"> </w:t>
      </w:r>
      <w:r>
        <w:rPr>
          <w:rFonts w:hint="eastAsia" w:ascii="仿宋_GB2312" w:hAnsi="仿宋_GB2312" w:eastAsia="仿宋_GB2312" w:cs="仿宋_GB2312"/>
          <w:color w:val="auto"/>
          <w:sz w:val="32"/>
          <w:szCs w:val="32"/>
          <w:highlight w:val="none"/>
          <w:lang w:val="en-US" w:eastAsia="zh-CN"/>
        </w:rPr>
        <w:t>专用配电房设置在建筑物的负一层时，还应满足以下技术条件：（1）高压开关柜等配电设备应采用防水、防潮的全封闭开关设备；配电变压器应采用干式变压器。（2）根据环境要求加设机械通风、去湿设备或空气调节设备，同时应适当抬高配电站地面，采取防水、通风、排水、防渗漏等措施，避免洪水或积水从其他渠道淹渍配电站的可能性。（3）为确保日后电气设备的维修与维护方便，从车库的出入口至每个配电站均应预留设备的运输通道；具备条件的，应配置发电车快速接入装置。</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第十四条 </w:t>
      </w:r>
      <w:r>
        <w:rPr>
          <w:rFonts w:hint="eastAsia" w:ascii="仿宋_GB2312" w:hAnsi="仿宋_GB2312" w:eastAsia="仿宋_GB2312" w:cs="仿宋_GB2312"/>
          <w:b w:val="0"/>
          <w:bCs w:val="0"/>
          <w:color w:val="auto"/>
          <w:sz w:val="32"/>
          <w:szCs w:val="32"/>
          <w:highlight w:val="none"/>
          <w:lang w:val="en-US" w:eastAsia="zh-CN"/>
        </w:rPr>
        <w:t>配电房周边应预留消防车、发电车及检修车足够的进出通道。检修通道需直达电房门口，没有阻塞检修车辆通行的堆积物或违章建筑。电房门口、检修通道位置不得设置停车位。</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第十五条 </w:t>
      </w:r>
      <w:r>
        <w:rPr>
          <w:rFonts w:hint="eastAsia" w:ascii="仿宋_GB2312" w:hAnsi="仿宋_GB2312" w:eastAsia="仿宋_GB2312" w:cs="仿宋_GB2312"/>
          <w:b w:val="0"/>
          <w:bCs w:val="0"/>
          <w:color w:val="auto"/>
          <w:sz w:val="32"/>
          <w:szCs w:val="32"/>
          <w:highlight w:val="none"/>
          <w:lang w:val="en-US" w:eastAsia="zh-CN"/>
        </w:rPr>
        <w:t>配电房应设自动及手动的排风系统，排风口应设有防雨、防小动物措施，并未对周围环境造成影响，符合相关噪音标准。</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第十六条 </w:t>
      </w:r>
      <w:r>
        <w:rPr>
          <w:rFonts w:hint="eastAsia" w:ascii="仿宋_GB2312" w:hAnsi="仿宋_GB2312" w:eastAsia="仿宋_GB2312" w:cs="仿宋_GB2312"/>
          <w:b w:val="0"/>
          <w:bCs w:val="0"/>
          <w:color w:val="auto"/>
          <w:sz w:val="32"/>
          <w:szCs w:val="32"/>
          <w:highlight w:val="none"/>
          <w:lang w:val="en-US" w:eastAsia="zh-CN"/>
        </w:rPr>
        <w:t>配电房消防措施应满足《建筑防火通用规范》（GB 55037）、《建筑设计防火规范》（GB 50016）等国家标准要求。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before="313" w:beforeLines="100" w:after="157" w:afterLines="50" w:line="560" w:lineRule="exact"/>
        <w:jc w:val="center"/>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第五章 园区配电网建设要求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第十七条</w:t>
      </w:r>
      <w:r>
        <w:rPr>
          <w:rFonts w:hint="eastAsia" w:ascii="仿宋_GB2312" w:hAnsi="仿宋_GB2312" w:eastAsia="仿宋_GB2312" w:cs="仿宋_GB2312"/>
          <w:color w:val="auto"/>
          <w:sz w:val="32"/>
          <w:szCs w:val="32"/>
          <w:highlight w:val="none"/>
          <w:lang w:val="en-US" w:eastAsia="zh-CN"/>
        </w:rPr>
        <w:t xml:space="preserve"> 园区内一般采用10千伏电压等级供电，按照环网接线方式，开环运行配置网络；配电网络主干线按长期规划选定。</w:t>
      </w:r>
    </w:p>
    <w:p>
      <w:pPr>
        <w:pStyle w:val="3"/>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第十八条</w:t>
      </w:r>
      <w:r>
        <w:rPr>
          <w:rFonts w:hint="eastAsia" w:ascii="仿宋_GB2312" w:hAnsi="仿宋_GB2312" w:eastAsia="仿宋_GB2312" w:cs="仿宋_GB2312"/>
          <w:color w:val="auto"/>
          <w:sz w:val="32"/>
          <w:szCs w:val="32"/>
          <w:highlight w:val="none"/>
          <w:lang w:val="en-US" w:eastAsia="zh-CN"/>
        </w:rPr>
        <w:t xml:space="preserve"> 对于有意愿无偿移交的工业园区，公用配电房中单台变压器的容量不得大于800kVA</w:t>
      </w:r>
      <w:r>
        <w:rPr>
          <w:rFonts w:hint="eastAsia" w:ascii="仿宋_GB2312" w:hAnsi="仿宋_GB2312" w:eastAsia="仿宋_GB2312" w:cs="仿宋_GB2312"/>
          <w:color w:val="auto"/>
          <w:sz w:val="32"/>
          <w:szCs w:val="32"/>
          <w:highlight w:val="none"/>
          <w:lang w:val="en-US" w:eastAsia="zh-CN"/>
        </w:rPr>
        <w:t>，其他情况下园区公用配电房中单台变压器的容量不宜大于800kVA</w:t>
      </w:r>
      <w:r>
        <w:rPr>
          <w:rFonts w:hint="eastAsia" w:ascii="仿宋_GB2312" w:hAnsi="仿宋_GB2312" w:eastAsia="仿宋_GB2312" w:cs="仿宋_GB2312"/>
          <w:color w:val="auto"/>
          <w:sz w:val="32"/>
          <w:szCs w:val="32"/>
          <w:highlight w:val="none"/>
          <w:lang w:val="en-US" w:eastAsia="zh-CN"/>
        </w:rPr>
        <w:t>。变压器的负载率在0.8以内。电源规模应满足用电负荷对可靠性的要求。对于重要电力客户或有一、二级负荷的客户，选择两路或多路电源供电。由两路及以上电源供电时，当断开一路时，其余线路容量应满足一级负荷和二级负荷的全部用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第十九条 </w:t>
      </w:r>
      <w:r>
        <w:rPr>
          <w:rFonts w:hint="eastAsia" w:ascii="仿宋_GB2312" w:hAnsi="仿宋_GB2312" w:eastAsia="仿宋_GB2312" w:cs="仿宋_GB2312"/>
          <w:b w:val="0"/>
          <w:bCs w:val="0"/>
          <w:color w:val="auto"/>
          <w:sz w:val="32"/>
          <w:szCs w:val="32"/>
          <w:highlight w:val="none"/>
          <w:lang w:val="en-US" w:eastAsia="zh-CN"/>
        </w:rPr>
        <w:t>公用配电房供电线路与专用配电房供电线路应采用各自独立的电缆管（沟、槽）敷设，供电线路路径清晰，互不交叉。园区低压配电网应做好分区供电管理，工业用电和生活用电分区分表进行供电，要满足新型负控的负荷分设安装要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第二十条 </w:t>
      </w:r>
      <w:r>
        <w:rPr>
          <w:rFonts w:hint="eastAsia" w:ascii="仿宋_GB2312" w:hAnsi="仿宋_GB2312" w:eastAsia="仿宋_GB2312" w:cs="仿宋_GB2312"/>
          <w:b w:val="0"/>
          <w:bCs w:val="0"/>
          <w:color w:val="auto"/>
          <w:sz w:val="32"/>
          <w:szCs w:val="32"/>
          <w:highlight w:val="none"/>
          <w:lang w:val="en-US" w:eastAsia="zh-CN"/>
        </w:rPr>
        <w:t>中低压架空线路对构建筑物、输油气管道、铁路、高速公路、树木等最小（水平）垂直距离应满足《66kV及以下架空电力线路设计规范》（GB 50061）中的安全距离要求，中低压电缆走向图等图纸资料齐全，应与现场实际一致，且标志清晰齐全。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第二十一条 </w:t>
      </w:r>
      <w:r>
        <w:rPr>
          <w:rFonts w:hint="eastAsia" w:ascii="仿宋_GB2312" w:hAnsi="仿宋_GB2312" w:eastAsia="仿宋_GB2312" w:cs="仿宋_GB2312"/>
          <w:b w:val="0"/>
          <w:bCs w:val="0"/>
          <w:color w:val="auto"/>
          <w:sz w:val="32"/>
          <w:szCs w:val="32"/>
          <w:highlight w:val="none"/>
          <w:lang w:val="en-US" w:eastAsia="zh-CN"/>
        </w:rPr>
        <w:t>高层低压配电竖井必须在每层人力电井中，设置防火阻隔，采用防火堵料密实封堵。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第二十二条 </w:t>
      </w:r>
      <w:r>
        <w:rPr>
          <w:rFonts w:hint="eastAsia" w:ascii="仿宋_GB2312" w:hAnsi="仿宋_GB2312" w:eastAsia="仿宋_GB2312" w:cs="仿宋_GB2312"/>
          <w:b w:val="0"/>
          <w:bCs w:val="0"/>
          <w:color w:val="auto"/>
          <w:sz w:val="32"/>
          <w:szCs w:val="32"/>
          <w:highlight w:val="none"/>
          <w:lang w:val="en-US" w:eastAsia="zh-CN"/>
        </w:rPr>
        <w:t>中压电缆线路对燃气管道、构建筑物、输油气管道、铁路、公路等最小（水平）垂直距离应满足《电力工程电缆设计规范》（GB 50217）安全距离要求。</w:t>
      </w:r>
    </w:p>
    <w:p>
      <w:pPr>
        <w:keepNext w:val="0"/>
        <w:keepLines w:val="0"/>
        <w:pageBreakBefore w:val="0"/>
        <w:widowControl/>
        <w:kinsoku/>
        <w:wordWrap/>
        <w:overflowPunct/>
        <w:topLinePunct w:val="0"/>
        <w:autoSpaceDE/>
        <w:autoSpaceDN/>
        <w:bidi w:val="0"/>
        <w:adjustRightInd/>
        <w:snapToGrid/>
        <w:spacing w:before="313" w:beforeLines="100" w:after="157" w:afterLines="50" w:line="560" w:lineRule="exact"/>
        <w:jc w:val="center"/>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第六章 供电设施管理和抄表到户规定</w:t>
      </w:r>
    </w:p>
    <w:p>
      <w:pPr>
        <w:pStyle w:val="3"/>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color w:val="auto"/>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第二十三条</w:t>
      </w:r>
      <w:r>
        <w:rPr>
          <w:rFonts w:hint="eastAsia" w:ascii="仿宋_GB2312" w:hAnsi="仿宋_GB2312" w:eastAsia="仿宋_GB2312" w:cs="仿宋_GB2312"/>
          <w:color w:val="auto"/>
          <w:sz w:val="32"/>
          <w:szCs w:val="32"/>
          <w:highlight w:val="none"/>
          <w:lang w:val="en-US" w:eastAsia="zh-CN"/>
        </w:rPr>
        <w:t xml:space="preserve"> 统建工业园供配电建筑物和供配电设施工程（包括专用、公用配电站，供配电线路、低压集中表箱等）的建设费用由开发主体负责投资。</w:t>
      </w:r>
      <w:r>
        <w:rPr>
          <w:rFonts w:hint="default" w:ascii="Times New Roman" w:hAnsi="Times New Roman" w:eastAsia="仿宋_GB2312" w:cs="Times New Roman"/>
          <w:color w:val="auto"/>
          <w:sz w:val="32"/>
          <w:szCs w:val="32"/>
          <w:highlight w:val="none"/>
          <w:u w:val="none"/>
          <w:lang w:eastAsia="zh-CN"/>
        </w:rPr>
        <w:t>属于</w:t>
      </w:r>
      <w:r>
        <w:rPr>
          <w:rFonts w:hint="eastAsia" w:ascii="Times New Roman" w:hAnsi="Times New Roman" w:eastAsia="仿宋_GB2312" w:cs="Times New Roman"/>
          <w:color w:val="auto"/>
          <w:sz w:val="32"/>
          <w:szCs w:val="32"/>
          <w:highlight w:val="none"/>
          <w:u w:val="none"/>
          <w:lang w:eastAsia="zh-CN"/>
        </w:rPr>
        <w:t>省级</w:t>
      </w:r>
      <w:r>
        <w:rPr>
          <w:rFonts w:hint="default" w:ascii="Times New Roman" w:hAnsi="Times New Roman" w:eastAsia="仿宋_GB2312" w:cs="Times New Roman"/>
          <w:color w:val="auto"/>
          <w:sz w:val="32"/>
          <w:szCs w:val="32"/>
          <w:highlight w:val="none"/>
          <w:u w:val="none"/>
          <w:lang w:eastAsia="zh-CN"/>
        </w:rPr>
        <w:t>有关园区和</w:t>
      </w:r>
      <w:r>
        <w:rPr>
          <w:rFonts w:hint="eastAsia" w:eastAsia="仿宋_GB2312" w:cs="Times New Roman"/>
          <w:color w:val="auto"/>
          <w:sz w:val="32"/>
          <w:szCs w:val="32"/>
          <w:highlight w:val="none"/>
          <w:u w:val="none"/>
          <w:lang w:val="en-US" w:eastAsia="zh-CN"/>
        </w:rPr>
        <w:t>市</w:t>
      </w:r>
      <w:r>
        <w:rPr>
          <w:rFonts w:hint="default" w:ascii="Times New Roman" w:hAnsi="Times New Roman" w:eastAsia="仿宋_GB2312" w:cs="Times New Roman"/>
          <w:color w:val="auto"/>
          <w:sz w:val="32"/>
          <w:szCs w:val="32"/>
          <w:highlight w:val="none"/>
          <w:u w:val="none"/>
          <w:lang w:eastAsia="zh-CN"/>
        </w:rPr>
        <w:t>政府认定的</w:t>
      </w:r>
      <w:r>
        <w:rPr>
          <w:rFonts w:hint="default" w:ascii="Times New Roman" w:hAnsi="Times New Roman" w:eastAsia="仿宋_GB2312" w:cs="Times New Roman"/>
          <w:color w:val="auto"/>
          <w:sz w:val="32"/>
          <w:szCs w:val="32"/>
          <w:highlight w:val="none"/>
          <w:lang w:eastAsia="zh-CN"/>
        </w:rPr>
        <w:t>新增工业园区项目</w:t>
      </w:r>
      <w:r>
        <w:rPr>
          <w:rFonts w:hint="default" w:ascii="Times New Roman" w:hAnsi="Times New Roman" w:eastAsia="仿宋_GB2312" w:cs="Times New Roman"/>
          <w:color w:val="auto"/>
          <w:sz w:val="32"/>
          <w:szCs w:val="32"/>
          <w:highlight w:val="none"/>
          <w:lang w:val="en-US" w:eastAsia="zh-CN"/>
        </w:rPr>
        <w:t>供配电</w:t>
      </w:r>
      <w:r>
        <w:rPr>
          <w:rFonts w:hint="default" w:ascii="Times New Roman" w:hAnsi="Times New Roman" w:eastAsia="仿宋_GB2312" w:cs="Times New Roman"/>
          <w:color w:val="auto"/>
          <w:sz w:val="32"/>
          <w:szCs w:val="32"/>
          <w:highlight w:val="none"/>
          <w:lang w:eastAsia="zh-CN"/>
        </w:rPr>
        <w:t>设施（以省有关园区管理单位或</w:t>
      </w:r>
      <w:r>
        <w:rPr>
          <w:rFonts w:hint="eastAsia" w:eastAsia="仿宋_GB2312" w:cs="Times New Roman"/>
          <w:color w:val="auto"/>
          <w:sz w:val="32"/>
          <w:szCs w:val="32"/>
          <w:highlight w:val="none"/>
          <w:lang w:val="en-US" w:eastAsia="zh-CN" w:bidi="ar-SA"/>
        </w:rPr>
        <w:t>市政府</w:t>
      </w:r>
      <w:r>
        <w:rPr>
          <w:rFonts w:hint="default" w:ascii="Times New Roman" w:hAnsi="Times New Roman" w:eastAsia="仿宋_GB2312" w:cs="Times New Roman"/>
          <w:color w:val="auto"/>
          <w:sz w:val="32"/>
          <w:szCs w:val="32"/>
          <w:highlight w:val="none"/>
          <w:lang w:eastAsia="zh-CN"/>
        </w:rPr>
        <w:t>出具的认定工业园区清单或相关</w:t>
      </w:r>
      <w:r>
        <w:rPr>
          <w:rFonts w:hint="eastAsia" w:eastAsia="仿宋_GB2312" w:cs="Times New Roman"/>
          <w:color w:val="auto"/>
          <w:sz w:val="32"/>
          <w:szCs w:val="32"/>
          <w:highlight w:val="none"/>
          <w:lang w:val="en-US" w:eastAsia="zh-CN"/>
        </w:rPr>
        <w:t>正式</w:t>
      </w:r>
      <w:r>
        <w:rPr>
          <w:rFonts w:hint="default" w:ascii="Times New Roman" w:hAnsi="Times New Roman" w:eastAsia="仿宋_GB2312" w:cs="Times New Roman"/>
          <w:color w:val="auto"/>
          <w:sz w:val="32"/>
          <w:szCs w:val="32"/>
          <w:highlight w:val="none"/>
          <w:lang w:eastAsia="zh-CN"/>
        </w:rPr>
        <w:t>证明文件），</w:t>
      </w:r>
      <w:r>
        <w:rPr>
          <w:rFonts w:hint="default" w:ascii="Times New Roman" w:hAnsi="Times New Roman" w:eastAsia="仿宋_GB2312" w:cs="Times New Roman"/>
          <w:color w:val="auto"/>
          <w:sz w:val="32"/>
          <w:szCs w:val="32"/>
          <w:highlight w:val="none"/>
          <w:lang w:val="en-US" w:eastAsia="zh-CN"/>
        </w:rPr>
        <w:t>在</w:t>
      </w:r>
      <w:r>
        <w:rPr>
          <w:rFonts w:hint="eastAsia" w:eastAsia="仿宋_GB2312" w:cs="Times New Roman"/>
          <w:color w:val="auto"/>
          <w:sz w:val="32"/>
          <w:szCs w:val="32"/>
          <w:highlight w:val="none"/>
          <w:lang w:val="en-US" w:eastAsia="zh-CN"/>
        </w:rPr>
        <w:t>市级电力主管部门</w:t>
      </w:r>
      <w:r>
        <w:rPr>
          <w:rFonts w:hint="default" w:ascii="Times New Roman" w:hAnsi="Times New Roman" w:eastAsia="仿宋_GB2312" w:cs="Times New Roman"/>
          <w:color w:val="auto"/>
          <w:sz w:val="32"/>
          <w:szCs w:val="32"/>
          <w:highlight w:val="none"/>
          <w:lang w:val="en-US" w:eastAsia="zh-CN"/>
        </w:rPr>
        <w:t>统筹指导下，经与</w:t>
      </w:r>
      <w:r>
        <w:rPr>
          <w:rFonts w:hint="default" w:ascii="Times New Roman" w:hAnsi="Times New Roman" w:eastAsia="仿宋_GB2312" w:cs="Times New Roman"/>
          <w:b w:val="0"/>
          <w:bCs w:val="0"/>
          <w:color w:val="auto"/>
          <w:sz w:val="32"/>
          <w:szCs w:val="32"/>
          <w:highlight w:val="none"/>
          <w:lang w:val="en-US" w:eastAsia="zh-CN"/>
        </w:rPr>
        <w:t>园区开发主体（管理方）</w:t>
      </w:r>
      <w:r>
        <w:rPr>
          <w:rFonts w:hint="default" w:ascii="Times New Roman" w:hAnsi="Times New Roman" w:eastAsia="仿宋_GB2312" w:cs="Times New Roman"/>
          <w:color w:val="auto"/>
          <w:sz w:val="32"/>
          <w:szCs w:val="32"/>
          <w:highlight w:val="none"/>
          <w:lang w:val="en-US" w:eastAsia="zh-CN"/>
        </w:rPr>
        <w:t>、供电企业协商，</w:t>
      </w:r>
      <w:r>
        <w:rPr>
          <w:rFonts w:hint="eastAsia" w:ascii="Times New Roman" w:hAnsi="Times New Roman" w:eastAsia="仿宋_GB2312" w:cs="Times New Roman"/>
          <w:color w:val="auto"/>
          <w:sz w:val="32"/>
          <w:szCs w:val="32"/>
          <w:highlight w:val="none"/>
          <w:lang w:val="en-US" w:eastAsia="zh-CN" w:bidi="ar-SA"/>
        </w:rPr>
        <w:t>由园区投资方</w:t>
      </w:r>
      <w:r>
        <w:rPr>
          <w:rFonts w:hint="eastAsia" w:ascii="Times New Roman" w:hAnsi="Times New Roman" w:eastAsia="仿宋_GB2312" w:cs="Times New Roman"/>
          <w:color w:val="auto"/>
          <w:sz w:val="32"/>
          <w:szCs w:val="32"/>
          <w:highlight w:val="none"/>
          <w:lang w:val="en-US" w:eastAsia="zh-CN" w:bidi="ar-SA"/>
        </w:rPr>
        <w:t>负责园区公共配电房土建和电力线路廊道</w:t>
      </w:r>
      <w:r>
        <w:rPr>
          <w:rFonts w:hint="eastAsia" w:eastAsia="仿宋_GB2312" w:cs="Times New Roman"/>
          <w:color w:val="auto"/>
          <w:sz w:val="32"/>
          <w:szCs w:val="32"/>
          <w:highlight w:val="none"/>
          <w:lang w:val="en-US" w:eastAsia="zh-CN" w:bidi="ar-SA"/>
        </w:rPr>
        <w:t>投资</w:t>
      </w:r>
      <w:r>
        <w:rPr>
          <w:rFonts w:hint="eastAsia" w:ascii="Times New Roman" w:hAnsi="Times New Roman" w:eastAsia="仿宋_GB2312" w:cs="Times New Roman"/>
          <w:color w:val="auto"/>
          <w:sz w:val="32"/>
          <w:szCs w:val="32"/>
          <w:highlight w:val="none"/>
          <w:lang w:val="en-US" w:eastAsia="zh-CN" w:bidi="ar-SA"/>
        </w:rPr>
        <w:t>建设</w:t>
      </w:r>
      <w:r>
        <w:rPr>
          <w:rFonts w:hint="eastAsia" w:eastAsia="仿宋_GB2312" w:cs="Times New Roman"/>
          <w:color w:val="auto"/>
          <w:sz w:val="32"/>
          <w:szCs w:val="32"/>
          <w:highlight w:val="none"/>
          <w:lang w:val="en-US" w:eastAsia="zh-CN" w:bidi="ar-SA"/>
        </w:rPr>
        <w:t>（无偿提供给供电企业使用）</w:t>
      </w:r>
      <w:r>
        <w:rPr>
          <w:rFonts w:hint="eastAsia" w:ascii="Times New Roman" w:hAnsi="Times New Roman" w:eastAsia="仿宋_GB2312" w:cs="Times New Roman"/>
          <w:color w:val="auto"/>
          <w:sz w:val="32"/>
          <w:szCs w:val="32"/>
          <w:highlight w:val="none"/>
          <w:lang w:val="en-US" w:eastAsia="zh-CN" w:bidi="ar-SA"/>
        </w:rPr>
        <w:t>，电气部分可由供电企业负责投资建设并抄表到户。</w:t>
      </w:r>
      <w:r>
        <w:rPr>
          <w:rFonts w:hint="eastAsia" w:ascii="Times New Roman" w:hAnsi="Times New Roman" w:eastAsia="仿宋_GB2312" w:cs="Times New Roman"/>
          <w:color w:val="auto"/>
          <w:sz w:val="32"/>
          <w:szCs w:val="32"/>
          <w:highlight w:val="none"/>
          <w:lang w:val="en-US" w:eastAsia="zh-CN" w:bidi="ar-SA"/>
        </w:rPr>
        <w:t>市级</w:t>
      </w:r>
      <w:r>
        <w:rPr>
          <w:rFonts w:hint="eastAsia" w:ascii="Times New Roman" w:hAnsi="Times New Roman" w:eastAsia="仿宋_GB2312" w:cs="Times New Roman"/>
          <w:b w:val="0"/>
          <w:bCs w:val="0"/>
          <w:color w:val="auto"/>
          <w:sz w:val="32"/>
          <w:szCs w:val="32"/>
          <w:highlight w:val="none"/>
          <w:lang w:val="en-US" w:eastAsia="zh-CN"/>
        </w:rPr>
        <w:t>工业园区主管部门要建立新增工业园区信息共享机制，实现新增批准设立的各类工业园区相关信息及时告知供电企业。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color w:val="auto"/>
          <w:highlight w:val="none"/>
          <w:lang w:val="en-US" w:eastAsia="zh-CN"/>
        </w:rPr>
      </w:pPr>
      <w:r>
        <w:rPr>
          <w:rFonts w:hint="eastAsia" w:ascii="仿宋_GB2312" w:hAnsi="仿宋_GB2312" w:eastAsia="仿宋_GB2312" w:cs="仿宋_GB2312"/>
          <w:b/>
          <w:bCs/>
          <w:color w:val="auto"/>
          <w:sz w:val="32"/>
          <w:szCs w:val="32"/>
          <w:highlight w:val="none"/>
          <w:lang w:val="en-US" w:eastAsia="zh-CN"/>
        </w:rPr>
        <w:t>第二十四条</w:t>
      </w:r>
      <w:r>
        <w:rPr>
          <w:rFonts w:hint="eastAsia" w:ascii="仿宋_GB2312" w:hAnsi="仿宋_GB2312" w:eastAsia="仿宋_GB2312" w:cs="仿宋_GB2312"/>
          <w:color w:val="auto"/>
          <w:sz w:val="32"/>
          <w:szCs w:val="32"/>
          <w:highlight w:val="none"/>
          <w:lang w:val="en-US" w:eastAsia="zh-CN"/>
        </w:rPr>
        <w:t xml:space="preserve"> 统建工业园区具备直接安装电表、抄表到户条件的，园区终端用户可凭“物业租赁协议+园区业主授权+园区产权证”办理用电报装。鼓励由园区</w:t>
      </w:r>
      <w:r>
        <w:rPr>
          <w:rFonts w:hint="default" w:ascii="Times New Roman" w:hAnsi="Times New Roman" w:eastAsia="仿宋_GB2312" w:cs="Times New Roman"/>
          <w:b w:val="0"/>
          <w:bCs w:val="0"/>
          <w:color w:val="auto"/>
          <w:sz w:val="32"/>
          <w:szCs w:val="32"/>
          <w:highlight w:val="none"/>
          <w:lang w:val="en-US" w:eastAsia="zh-CN"/>
        </w:rPr>
        <w:t>开发主体（管理方）</w:t>
      </w:r>
      <w:r>
        <w:rPr>
          <w:rFonts w:hint="eastAsia" w:ascii="仿宋_GB2312" w:hAnsi="仿宋_GB2312" w:eastAsia="仿宋_GB2312" w:cs="仿宋_GB2312"/>
          <w:color w:val="auto"/>
          <w:sz w:val="32"/>
          <w:szCs w:val="32"/>
          <w:highlight w:val="none"/>
          <w:lang w:val="en-US" w:eastAsia="zh-CN"/>
        </w:rPr>
        <w:t>统一报装，终端用户入住时办理过户手续，提升报装便利度。</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第二十五条</w:t>
      </w:r>
      <w:r>
        <w:rPr>
          <w:rFonts w:hint="eastAsia" w:ascii="仿宋_GB2312" w:hAnsi="仿宋_GB2312" w:eastAsia="仿宋_GB2312" w:cs="仿宋_GB2312"/>
          <w:color w:val="auto"/>
          <w:sz w:val="32"/>
          <w:szCs w:val="32"/>
          <w:highlight w:val="none"/>
          <w:lang w:val="en-US" w:eastAsia="zh-CN"/>
        </w:rPr>
        <w:t xml:space="preserve"> 低压供电应采用集中装表的形式，集中装表点宜设置在公变电房内或与公变电房相邻。确不具备条件的，在每栋建筑物合适位置采用小范围集中式布置。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第二十六条</w:t>
      </w:r>
      <w:r>
        <w:rPr>
          <w:rFonts w:hint="eastAsia" w:ascii="仿宋_GB2312" w:hAnsi="仿宋_GB2312" w:eastAsia="仿宋_GB2312" w:cs="仿宋_GB2312"/>
          <w:color w:val="auto"/>
          <w:sz w:val="32"/>
          <w:szCs w:val="40"/>
          <w:highlight w:val="none"/>
          <w:lang w:val="en-US" w:eastAsia="zh-CN"/>
        </w:rPr>
        <w:t xml:space="preserve"> 按照自愿原则，园区内具有公（共）用性质或占用公用线路走廊的供电线路、设备，可由供电企业对符合接收标准的配电设施资产予以无偿接收。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第二十七条</w:t>
      </w:r>
      <w:r>
        <w:rPr>
          <w:rFonts w:hint="eastAsia" w:ascii="仿宋_GB2312" w:hAnsi="仿宋_GB2312" w:eastAsia="仿宋_GB2312" w:cs="仿宋_GB2312"/>
          <w:color w:val="auto"/>
          <w:sz w:val="32"/>
          <w:szCs w:val="40"/>
          <w:highlight w:val="none"/>
          <w:lang w:val="en-US" w:eastAsia="zh-CN"/>
        </w:rPr>
        <w:t xml:space="preserve"> 供电设施的运行维护管理范围，按产权归属确定。对于已移交供配电资产至供电企业的工业园，根据供电企业与园区终端用户</w:t>
      </w:r>
      <w:r>
        <w:rPr>
          <w:rFonts w:hint="eastAsia" w:ascii="仿宋_GB2312" w:hAnsi="仿宋_GB2312" w:eastAsia="仿宋_GB2312" w:cs="仿宋_GB2312"/>
          <w:color w:val="auto"/>
          <w:sz w:val="32"/>
          <w:szCs w:val="40"/>
          <w:highlight w:val="none"/>
        </w:rPr>
        <w:t>签订</w:t>
      </w:r>
      <w:r>
        <w:rPr>
          <w:rFonts w:hint="eastAsia" w:ascii="仿宋_GB2312" w:hAnsi="仿宋_GB2312" w:eastAsia="仿宋_GB2312" w:cs="仿宋_GB2312"/>
          <w:color w:val="auto"/>
          <w:sz w:val="32"/>
          <w:szCs w:val="40"/>
          <w:highlight w:val="none"/>
          <w:lang w:val="en-US" w:eastAsia="zh-CN"/>
        </w:rPr>
        <w:t>的</w:t>
      </w:r>
      <w:r>
        <w:rPr>
          <w:rFonts w:hint="eastAsia" w:ascii="仿宋_GB2312" w:hAnsi="仿宋_GB2312" w:eastAsia="仿宋_GB2312" w:cs="仿宋_GB2312"/>
          <w:color w:val="auto"/>
          <w:sz w:val="32"/>
          <w:szCs w:val="40"/>
          <w:highlight w:val="none"/>
        </w:rPr>
        <w:t>供用电合同</w:t>
      </w:r>
      <w:r>
        <w:rPr>
          <w:rFonts w:hint="eastAsia" w:ascii="仿宋_GB2312" w:hAnsi="仿宋_GB2312" w:eastAsia="仿宋_GB2312" w:cs="仿宋_GB2312"/>
          <w:color w:val="auto"/>
          <w:sz w:val="32"/>
          <w:szCs w:val="40"/>
          <w:highlight w:val="none"/>
          <w:lang w:val="en-US" w:eastAsia="zh-CN"/>
        </w:rPr>
        <w:t>约定的产权分界点划分运维界面，属产权分界点后用户侧资产的</w:t>
      </w:r>
      <w:r>
        <w:rPr>
          <w:rFonts w:hint="eastAsia" w:ascii="仿宋_GB2312" w:hAnsi="仿宋_GB2312" w:eastAsia="仿宋_GB2312" w:cs="仿宋_GB2312"/>
          <w:color w:val="auto"/>
          <w:sz w:val="32"/>
          <w:szCs w:val="40"/>
          <w:highlight w:val="none"/>
        </w:rPr>
        <w:t>运维由</w:t>
      </w:r>
      <w:r>
        <w:rPr>
          <w:rFonts w:hint="eastAsia" w:ascii="仿宋_GB2312" w:hAnsi="仿宋_GB2312" w:eastAsia="仿宋_GB2312" w:cs="仿宋_GB2312"/>
          <w:color w:val="auto"/>
          <w:sz w:val="32"/>
          <w:szCs w:val="40"/>
          <w:highlight w:val="none"/>
          <w:lang w:val="en-US" w:eastAsia="zh-CN"/>
        </w:rPr>
        <w:t>终端用户</w:t>
      </w:r>
      <w:r>
        <w:rPr>
          <w:rFonts w:hint="eastAsia" w:ascii="仿宋_GB2312" w:hAnsi="仿宋_GB2312" w:eastAsia="仿宋_GB2312" w:cs="仿宋_GB2312"/>
          <w:color w:val="auto"/>
          <w:sz w:val="32"/>
          <w:szCs w:val="40"/>
          <w:highlight w:val="none"/>
        </w:rPr>
        <w:t>负责</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终端用户应通过自主或委托运维等方式保障园区自有供配电资产供电的安全性、可靠性</w:t>
      </w:r>
      <w:r>
        <w:rPr>
          <w:rFonts w:hint="eastAsia" w:ascii="仿宋_GB2312" w:hAnsi="仿宋_GB2312" w:eastAsia="仿宋_GB2312" w:cs="仿宋_GB2312"/>
          <w:color w:val="auto"/>
          <w:sz w:val="32"/>
          <w:szCs w:val="40"/>
          <w:highlight w:val="none"/>
        </w:rPr>
        <w:t>。</w:t>
      </w:r>
      <w:r>
        <w:rPr>
          <w:rFonts w:hint="eastAsia" w:ascii="仿宋_GB2312" w:hAnsi="仿宋_GB2312" w:eastAsia="仿宋_GB2312" w:cs="仿宋_GB2312"/>
          <w:color w:val="auto"/>
          <w:sz w:val="32"/>
          <w:szCs w:val="40"/>
          <w:highlight w:val="none"/>
          <w:lang w:val="en-US" w:eastAsia="zh-CN"/>
        </w:rPr>
        <w:t>产权分界点前电源侧资产由供电企业负责运维。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第</w:t>
      </w:r>
      <w:r>
        <w:rPr>
          <w:rFonts w:hint="eastAsia" w:ascii="仿宋_GB2312" w:hAnsi="仿宋_GB2312" w:eastAsia="仿宋_GB2312" w:cs="仿宋_GB2312"/>
          <w:b/>
          <w:bCs/>
          <w:color w:val="auto"/>
          <w:sz w:val="30"/>
          <w:szCs w:val="30"/>
          <w:highlight w:val="none"/>
          <w:lang w:val="en-US" w:eastAsia="zh-CN"/>
        </w:rPr>
        <w:t>二十八</w:t>
      </w:r>
      <w:r>
        <w:rPr>
          <w:rFonts w:hint="eastAsia" w:ascii="仿宋_GB2312" w:hAnsi="仿宋_GB2312" w:eastAsia="仿宋_GB2312" w:cs="仿宋_GB2312"/>
          <w:b/>
          <w:bCs/>
          <w:color w:val="auto"/>
          <w:sz w:val="32"/>
          <w:szCs w:val="40"/>
          <w:highlight w:val="none"/>
          <w:lang w:val="en-US" w:eastAsia="zh-CN"/>
        </w:rPr>
        <w:t xml:space="preserve">条 </w:t>
      </w:r>
      <w:r>
        <w:rPr>
          <w:rFonts w:hint="eastAsia" w:ascii="仿宋_GB2312" w:hAnsi="仿宋_GB2312" w:eastAsia="仿宋_GB2312" w:cs="仿宋_GB2312"/>
          <w:b w:val="0"/>
          <w:bCs w:val="0"/>
          <w:color w:val="auto"/>
          <w:sz w:val="32"/>
          <w:szCs w:val="40"/>
          <w:highlight w:val="none"/>
          <w:lang w:val="en-US" w:eastAsia="zh-CN"/>
        </w:rPr>
        <w:t>对于没有移交供配电资产至供电企业的工业园，由产权方落实园区内的供配电设施运维、供电服务保障、供用电安全等责任，由供电企业落实供电计量装置的运维和抄表收费责任。</w:t>
      </w:r>
      <w:r>
        <w:rPr>
          <w:rFonts w:hint="eastAsia" w:ascii="仿宋_GB2312" w:hAnsi="仿宋_GB2312" w:eastAsia="仿宋_GB2312" w:cs="仿宋_GB2312"/>
          <w:color w:val="auto"/>
          <w:sz w:val="32"/>
          <w:szCs w:val="32"/>
          <w:highlight w:val="none"/>
          <w:lang w:val="en-US" w:eastAsia="zh-CN"/>
        </w:rPr>
        <w:t>统建工业园区开发主体（产权方）</w:t>
      </w:r>
      <w:r>
        <w:rPr>
          <w:rFonts w:hint="eastAsia" w:ascii="仿宋_GB2312" w:hAnsi="仿宋_GB2312" w:eastAsia="仿宋_GB2312" w:cs="仿宋_GB2312"/>
          <w:b w:val="0"/>
          <w:bCs w:val="0"/>
          <w:color w:val="auto"/>
          <w:sz w:val="32"/>
          <w:szCs w:val="40"/>
          <w:highlight w:val="none"/>
          <w:lang w:val="en-US" w:eastAsia="zh-CN"/>
        </w:rPr>
        <w:t>、</w:t>
      </w:r>
      <w:r>
        <w:rPr>
          <w:rFonts w:hint="eastAsia" w:ascii="仿宋_GB2312" w:hAnsi="仿宋_GB2312" w:eastAsia="仿宋_GB2312" w:cs="仿宋_GB2312"/>
          <w:b w:val="0"/>
          <w:bCs w:val="0"/>
          <w:color w:val="auto"/>
          <w:sz w:val="32"/>
          <w:szCs w:val="40"/>
          <w:highlight w:val="none"/>
          <w:lang w:val="en-US" w:eastAsia="zh-CN"/>
        </w:rPr>
        <w:t>园区终端用户、供电企业签订三方协议，</w:t>
      </w:r>
      <w:r>
        <w:rPr>
          <w:rFonts w:hint="default" w:ascii="Times New Roman" w:hAnsi="Times New Roman" w:eastAsia="仿宋_GB2312" w:cs="Times New Roman"/>
          <w:b w:val="0"/>
          <w:bCs w:val="0"/>
          <w:color w:val="auto"/>
          <w:sz w:val="32"/>
          <w:szCs w:val="32"/>
          <w:highlight w:val="none"/>
          <w:lang w:val="en-US" w:eastAsia="zh-CN"/>
        </w:rPr>
        <w:t>明确管理</w:t>
      </w:r>
      <w:r>
        <w:rPr>
          <w:rFonts w:hint="eastAsia" w:ascii="Times New Roman" w:hAnsi="Times New Roman" w:eastAsia="仿宋_GB2312" w:cs="Times New Roman"/>
          <w:b w:val="0"/>
          <w:bCs w:val="0"/>
          <w:color w:val="auto"/>
          <w:sz w:val="32"/>
          <w:szCs w:val="32"/>
          <w:highlight w:val="none"/>
          <w:lang w:val="en-US" w:eastAsia="zh-CN"/>
        </w:rPr>
        <w:t>运维</w:t>
      </w:r>
      <w:r>
        <w:rPr>
          <w:rFonts w:hint="default" w:ascii="Times New Roman" w:hAnsi="Times New Roman" w:eastAsia="仿宋_GB2312" w:cs="Times New Roman"/>
          <w:b w:val="0"/>
          <w:bCs w:val="0"/>
          <w:color w:val="auto"/>
          <w:sz w:val="32"/>
          <w:szCs w:val="32"/>
          <w:highlight w:val="none"/>
          <w:lang w:val="en-US" w:eastAsia="zh-CN"/>
        </w:rPr>
        <w:t>责任</w:t>
      </w:r>
      <w:r>
        <w:rPr>
          <w:rFonts w:hint="eastAsia" w:ascii="仿宋_GB2312" w:hAnsi="仿宋_GB2312" w:eastAsia="仿宋_GB2312" w:cs="仿宋_GB2312"/>
          <w:b w:val="0"/>
          <w:bCs w:val="0"/>
          <w:color w:val="auto"/>
          <w:sz w:val="32"/>
          <w:szCs w:val="40"/>
          <w:highlight w:val="none"/>
          <w:lang w:val="en-US" w:eastAsia="zh-CN"/>
        </w:rPr>
        <w:t>。</w:t>
      </w:r>
      <w:r>
        <w:rPr>
          <w:rFonts w:hint="eastAsia" w:ascii="仿宋_GB2312" w:hAnsi="仿宋_GB2312" w:eastAsia="仿宋_GB2312" w:cs="仿宋_GB2312"/>
          <w:color w:val="auto"/>
          <w:sz w:val="32"/>
          <w:szCs w:val="32"/>
          <w:highlight w:val="none"/>
          <w:lang w:val="en-US" w:eastAsia="zh-CN"/>
        </w:rPr>
        <w:br w:type="page"/>
      </w:r>
    </w:p>
    <w:p>
      <w:pPr>
        <w:jc w:val="both"/>
        <w:outlineLvl w:val="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附表1</w:t>
      </w:r>
    </w:p>
    <w:p>
      <w:pPr>
        <w:jc w:val="cente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规划单位建设用地负荷指标和规划单位建筑面积负荷指标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（单位W/㎡）</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4427"/>
        <w:gridCol w:w="3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规划单位建设用地负荷指标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3" w:type="dxa"/>
            <w:gridSpan w:val="2"/>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类别</w:t>
            </w:r>
          </w:p>
        </w:tc>
        <w:tc>
          <w:tcPr>
            <w:tcW w:w="3559" w:type="dxa"/>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单位建设用地负荷指标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restart"/>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城市建设用地类别</w:t>
            </w:r>
          </w:p>
        </w:tc>
        <w:tc>
          <w:tcPr>
            <w:tcW w:w="4427" w:type="dxa"/>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居住用地</w:t>
            </w:r>
          </w:p>
        </w:tc>
        <w:tc>
          <w:tcPr>
            <w:tcW w:w="3559" w:type="dxa"/>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36" w:type="dxa"/>
            <w:vMerge w:val="continue"/>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p>
        </w:tc>
        <w:tc>
          <w:tcPr>
            <w:tcW w:w="4427" w:type="dxa"/>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商业服务业设施用地</w:t>
            </w:r>
          </w:p>
        </w:tc>
        <w:tc>
          <w:tcPr>
            <w:tcW w:w="3559" w:type="dxa"/>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65-170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continue"/>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p>
        </w:tc>
        <w:tc>
          <w:tcPr>
            <w:tcW w:w="4427" w:type="dxa"/>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公共管理与公共服务设施用地</w:t>
            </w:r>
          </w:p>
        </w:tc>
        <w:tc>
          <w:tcPr>
            <w:tcW w:w="3559" w:type="dxa"/>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continue"/>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p>
        </w:tc>
        <w:tc>
          <w:tcPr>
            <w:tcW w:w="4427" w:type="dxa"/>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工业用地</w:t>
            </w:r>
          </w:p>
        </w:tc>
        <w:tc>
          <w:tcPr>
            <w:tcW w:w="3559" w:type="dxa"/>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40-280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continue"/>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p>
        </w:tc>
        <w:tc>
          <w:tcPr>
            <w:tcW w:w="4427" w:type="dxa"/>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物流仓储用地</w:t>
            </w:r>
          </w:p>
        </w:tc>
        <w:tc>
          <w:tcPr>
            <w:tcW w:w="3559" w:type="dxa"/>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continue"/>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p>
        </w:tc>
        <w:tc>
          <w:tcPr>
            <w:tcW w:w="4427" w:type="dxa"/>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道路与交通设施用地</w:t>
            </w:r>
          </w:p>
        </w:tc>
        <w:tc>
          <w:tcPr>
            <w:tcW w:w="3559" w:type="dxa"/>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continue"/>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p>
        </w:tc>
        <w:tc>
          <w:tcPr>
            <w:tcW w:w="4427" w:type="dxa"/>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公用设施用地</w:t>
            </w:r>
          </w:p>
        </w:tc>
        <w:tc>
          <w:tcPr>
            <w:tcW w:w="3559" w:type="dxa"/>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continue"/>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p>
        </w:tc>
        <w:tc>
          <w:tcPr>
            <w:tcW w:w="4427" w:type="dxa"/>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绿地与广场用地</w:t>
            </w:r>
          </w:p>
        </w:tc>
        <w:tc>
          <w:tcPr>
            <w:tcW w:w="3559" w:type="dxa"/>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规划单位建筑面积负荷指标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3" w:type="dxa"/>
            <w:gridSpan w:val="2"/>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类别</w:t>
            </w:r>
          </w:p>
        </w:tc>
        <w:tc>
          <w:tcPr>
            <w:tcW w:w="3559" w:type="dxa"/>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单位建筑面积负荷指标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restart"/>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建筑类别</w:t>
            </w:r>
          </w:p>
        </w:tc>
        <w:tc>
          <w:tcPr>
            <w:tcW w:w="4427" w:type="dxa"/>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居住建筑</w:t>
            </w:r>
          </w:p>
        </w:tc>
        <w:tc>
          <w:tcPr>
            <w:tcW w:w="3559" w:type="dxa"/>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30-70（4-16kW/户）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continue"/>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p>
        </w:tc>
        <w:tc>
          <w:tcPr>
            <w:tcW w:w="4427" w:type="dxa"/>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公共建筑</w:t>
            </w:r>
          </w:p>
        </w:tc>
        <w:tc>
          <w:tcPr>
            <w:tcW w:w="3559" w:type="dxa"/>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continue"/>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p>
        </w:tc>
        <w:tc>
          <w:tcPr>
            <w:tcW w:w="4427" w:type="dxa"/>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工业建筑</w:t>
            </w:r>
          </w:p>
        </w:tc>
        <w:tc>
          <w:tcPr>
            <w:tcW w:w="3559" w:type="dxa"/>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continue"/>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p>
        </w:tc>
        <w:tc>
          <w:tcPr>
            <w:tcW w:w="4427" w:type="dxa"/>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仓储物流建筑</w:t>
            </w:r>
          </w:p>
        </w:tc>
        <w:tc>
          <w:tcPr>
            <w:tcW w:w="3559" w:type="dxa"/>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continue"/>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p>
        </w:tc>
        <w:tc>
          <w:tcPr>
            <w:tcW w:w="4427" w:type="dxa"/>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市政设施建筑</w:t>
            </w:r>
          </w:p>
        </w:tc>
        <w:tc>
          <w:tcPr>
            <w:tcW w:w="3559" w:type="dxa"/>
          </w:tcPr>
          <w:p>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20-70</w:t>
            </w:r>
          </w:p>
        </w:tc>
      </w:tr>
    </w:tbl>
    <w:p>
      <w:pPr>
        <w:jc w:val="both"/>
        <w:rPr>
          <w:rFonts w:hint="eastAsia" w:ascii="黑体" w:hAnsi="黑体" w:eastAsia="黑体" w:cs="黑体"/>
          <w:color w:val="auto"/>
          <w:sz w:val="32"/>
          <w:szCs w:val="32"/>
          <w:highlight w:val="none"/>
          <w:lang w:val="en-US" w:eastAsia="zh-CN"/>
        </w:rPr>
      </w:pPr>
    </w:p>
    <w:p>
      <w:pPr>
        <w:jc w:val="both"/>
        <w:rPr>
          <w:rFonts w:hint="eastAsia" w:ascii="黑体" w:hAnsi="黑体" w:eastAsia="黑体" w:cs="黑体"/>
          <w:color w:val="auto"/>
          <w:sz w:val="32"/>
          <w:szCs w:val="32"/>
          <w:highlight w:val="none"/>
          <w:lang w:val="en-US" w:eastAsia="zh-CN"/>
        </w:rPr>
      </w:pPr>
    </w:p>
    <w:p>
      <w:pPr>
        <w:jc w:val="both"/>
        <w:rPr>
          <w:rFonts w:hint="eastAsia" w:ascii="黑体" w:hAnsi="黑体" w:eastAsia="黑体" w:cs="黑体"/>
          <w:color w:val="auto"/>
          <w:sz w:val="32"/>
          <w:szCs w:val="32"/>
          <w:highlight w:val="none"/>
          <w:lang w:val="en-US" w:eastAsia="zh-CN"/>
        </w:rPr>
      </w:pPr>
    </w:p>
    <w:p>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pPr>
        <w:jc w:val="both"/>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附表2</w:t>
      </w:r>
    </w:p>
    <w:p>
      <w:pPr>
        <w:jc w:val="cente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各类建筑用电负荷指标示例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（单位W/㎡）</w:t>
      </w:r>
    </w:p>
    <w:tbl>
      <w:tblPr>
        <w:tblStyle w:val="11"/>
        <w:tblW w:w="84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3"/>
        <w:gridCol w:w="1787"/>
        <w:gridCol w:w="1417"/>
        <w:gridCol w:w="1320"/>
        <w:gridCol w:w="1812"/>
        <w:gridCol w:w="1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23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建筑类别</w:t>
            </w:r>
          </w:p>
        </w:tc>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负荷密度</w:t>
            </w:r>
          </w:p>
        </w:tc>
        <w:tc>
          <w:tcPr>
            <w:tcW w:w="1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建筑类别</w:t>
            </w:r>
          </w:p>
        </w:tc>
        <w:tc>
          <w:tcPr>
            <w:tcW w:w="1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负荷密度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中心城和</w:t>
            </w:r>
            <w:r>
              <w:rPr>
                <w:rStyle w:val="17"/>
                <w:rFonts w:hint="eastAsia" w:asciiTheme="minorEastAsia" w:hAnsiTheme="minorEastAsia" w:eastAsiaTheme="minorEastAsia" w:cstheme="minorEastAsia"/>
                <w:color w:val="auto"/>
                <w:sz w:val="24"/>
                <w:szCs w:val="24"/>
                <w:highlight w:val="none"/>
                <w:lang w:val="en-US" w:eastAsia="zh-CN" w:bidi="ar"/>
              </w:rPr>
              <w:br w:type="textWrapping"/>
            </w:r>
            <w:r>
              <w:rPr>
                <w:rStyle w:val="17"/>
                <w:rFonts w:hint="eastAsia" w:asciiTheme="minorEastAsia" w:hAnsiTheme="minorEastAsia" w:eastAsiaTheme="minorEastAsia" w:cstheme="minorEastAsia"/>
                <w:color w:val="auto"/>
                <w:sz w:val="24"/>
                <w:szCs w:val="24"/>
                <w:highlight w:val="none"/>
                <w:lang w:val="en-US" w:eastAsia="zh-CN" w:bidi="ar"/>
              </w:rPr>
              <w:t>新城</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新市镇</w:t>
            </w: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0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上海市控规技术准则的用电负荷指标</w:t>
            </w:r>
          </w:p>
        </w:tc>
        <w:tc>
          <w:tcPr>
            <w:tcW w:w="3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陕西省规划设计院的预测指标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住宅</w:t>
            </w:r>
            <w:r>
              <w:rPr>
                <w:rStyle w:val="17"/>
                <w:rFonts w:hint="eastAsia" w:asciiTheme="minorEastAsia" w:hAnsiTheme="minorEastAsia" w:eastAsiaTheme="minorEastAsia" w:cstheme="minorEastAsia"/>
                <w:color w:val="auto"/>
                <w:sz w:val="24"/>
                <w:szCs w:val="24"/>
                <w:highlight w:val="none"/>
                <w:lang w:val="en-US" w:eastAsia="zh-CN" w:bidi="ar"/>
              </w:rPr>
              <w:br w:type="textWrapping"/>
            </w:r>
            <w:r>
              <w:rPr>
                <w:rStyle w:val="17"/>
                <w:rFonts w:hint="eastAsia" w:asciiTheme="minorEastAsia" w:hAnsiTheme="minorEastAsia" w:eastAsiaTheme="minorEastAsia" w:cstheme="minorEastAsia"/>
                <w:color w:val="auto"/>
                <w:sz w:val="24"/>
                <w:szCs w:val="24"/>
                <w:highlight w:val="none"/>
                <w:lang w:val="en-US" w:eastAsia="zh-CN" w:bidi="ar"/>
              </w:rPr>
              <w:t>建筑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平均值</w:t>
            </w:r>
          </w:p>
        </w:tc>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50～60</w:t>
            </w:r>
          </w:p>
        </w:tc>
        <w:tc>
          <w:tcPr>
            <w:tcW w:w="1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住宅</w:t>
            </w:r>
          </w:p>
        </w:tc>
        <w:tc>
          <w:tcPr>
            <w:tcW w:w="1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90m²以下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w:t>
            </w: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90～140m²</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w:t>
            </w: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140m²以上</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w:t>
            </w: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公共</w:t>
            </w:r>
            <w:r>
              <w:rPr>
                <w:rStyle w:val="17"/>
                <w:rFonts w:hint="eastAsia" w:asciiTheme="minorEastAsia" w:hAnsiTheme="minorEastAsia" w:eastAsiaTheme="minorEastAsia" w:cstheme="minorEastAsia"/>
                <w:color w:val="auto"/>
                <w:sz w:val="24"/>
                <w:szCs w:val="24"/>
                <w:highlight w:val="none"/>
                <w:lang w:val="en-US" w:eastAsia="zh-CN" w:bidi="ar"/>
              </w:rPr>
              <w:br w:type="textWrapping"/>
            </w:r>
            <w:r>
              <w:rPr>
                <w:rStyle w:val="17"/>
                <w:rFonts w:hint="eastAsia" w:asciiTheme="minorEastAsia" w:hAnsiTheme="minorEastAsia" w:eastAsiaTheme="minorEastAsia" w:cstheme="minorEastAsia"/>
                <w:color w:val="auto"/>
                <w:sz w:val="24"/>
                <w:szCs w:val="24"/>
                <w:highlight w:val="none"/>
                <w:lang w:val="en-US" w:eastAsia="zh-CN" w:bidi="ar"/>
              </w:rPr>
              <w:t>建筑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平均值</w:t>
            </w:r>
          </w:p>
        </w:tc>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80～90</w:t>
            </w:r>
          </w:p>
        </w:tc>
        <w:tc>
          <w:tcPr>
            <w:tcW w:w="341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办公金融</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办公金融</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商业</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100</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商业</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医疗卫生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医疗卫生</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教育科研</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教育科研</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文化娱乐</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文化娱乐</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工业</w:t>
            </w:r>
            <w:r>
              <w:rPr>
                <w:rStyle w:val="17"/>
                <w:rFonts w:hint="eastAsia" w:asciiTheme="minorEastAsia" w:hAnsiTheme="minorEastAsia" w:eastAsiaTheme="minorEastAsia" w:cstheme="minorEastAsia"/>
                <w:color w:val="auto"/>
                <w:sz w:val="24"/>
                <w:szCs w:val="24"/>
                <w:highlight w:val="none"/>
                <w:lang w:val="en-US" w:eastAsia="zh-CN" w:bidi="ar"/>
              </w:rPr>
              <w:br w:type="textWrapping"/>
            </w:r>
            <w:r>
              <w:rPr>
                <w:rStyle w:val="17"/>
                <w:rFonts w:hint="eastAsia" w:asciiTheme="minorEastAsia" w:hAnsiTheme="minorEastAsia" w:eastAsiaTheme="minorEastAsia" w:cstheme="minorEastAsia"/>
                <w:color w:val="auto"/>
                <w:sz w:val="24"/>
                <w:szCs w:val="24"/>
                <w:highlight w:val="none"/>
                <w:lang w:val="en-US" w:eastAsia="zh-CN" w:bidi="ar"/>
              </w:rPr>
              <w:t>建筑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平均值</w:t>
            </w:r>
          </w:p>
        </w:tc>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55～60</w:t>
            </w:r>
          </w:p>
        </w:tc>
        <w:tc>
          <w:tcPr>
            <w:tcW w:w="341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研发</w:t>
            </w:r>
          </w:p>
        </w:tc>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80～90</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auto"/>
                <w:sz w:val="24"/>
                <w:szCs w:val="24"/>
                <w:highlight w:val="none"/>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精细化工、生物制药</w:t>
            </w:r>
          </w:p>
        </w:tc>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90～100</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auto"/>
                <w:sz w:val="24"/>
                <w:szCs w:val="24"/>
                <w:highlight w:val="none"/>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电子信息</w:t>
            </w:r>
          </w:p>
        </w:tc>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55～80</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auto"/>
                <w:sz w:val="24"/>
                <w:szCs w:val="24"/>
                <w:highlight w:val="none"/>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精密机械、新型材料</w:t>
            </w:r>
          </w:p>
        </w:tc>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50～60</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auto"/>
                <w:sz w:val="24"/>
                <w:szCs w:val="24"/>
                <w:highlight w:val="none"/>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市政设施</w:t>
            </w:r>
          </w:p>
        </w:tc>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35～40</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auto"/>
                <w:sz w:val="24"/>
                <w:szCs w:val="24"/>
                <w:highlight w:val="none"/>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仓储物流</w:t>
            </w:r>
          </w:p>
        </w:tc>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10～40</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auto"/>
                <w:sz w:val="24"/>
                <w:szCs w:val="24"/>
                <w:highlight w:val="none"/>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公共绿地</w:t>
            </w:r>
          </w:p>
        </w:tc>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auto"/>
                <w:sz w:val="24"/>
                <w:szCs w:val="24"/>
                <w:highlight w:val="none"/>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17"/>
                <w:rFonts w:hint="eastAsia" w:asciiTheme="minorEastAsia" w:hAnsiTheme="minorEastAsia" w:eastAsiaTheme="minorEastAsia" w:cstheme="minorEastAsia"/>
                <w:color w:val="auto"/>
                <w:sz w:val="24"/>
                <w:szCs w:val="24"/>
                <w:highlight w:val="none"/>
                <w:lang w:val="en-US" w:eastAsia="zh-CN" w:bidi="ar"/>
              </w:rPr>
              <w:t>道路广场</w:t>
            </w:r>
          </w:p>
        </w:tc>
        <w:tc>
          <w:tcPr>
            <w:tcW w:w="2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auto"/>
                <w:sz w:val="24"/>
                <w:szCs w:val="24"/>
                <w:highlight w:val="none"/>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auto"/>
                <w:sz w:val="24"/>
                <w:szCs w:val="24"/>
                <w:highlight w:val="none"/>
                <w:u w:val="none"/>
              </w:rPr>
            </w:pPr>
          </w:p>
        </w:tc>
      </w:tr>
    </w:tbl>
    <w:p>
      <w:pPr>
        <w:rPr>
          <w:rFonts w:hint="eastAsia" w:ascii="Times New Roman" w:hAnsi="Times New Roman" w:eastAsia="仿宋_GB2312" w:cs="Times New Roman"/>
          <w:color w:val="auto"/>
          <w:sz w:val="32"/>
          <w:szCs w:val="32"/>
          <w:highlight w:val="none"/>
          <w:lang w:val="en-US" w:eastAsia="zh-CN"/>
        </w:rPr>
      </w:pPr>
    </w:p>
    <w:p>
      <w:pPr>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br w:type="page"/>
      </w:r>
    </w:p>
    <w:p>
      <w:pPr>
        <w:jc w:val="both"/>
        <w:outlineLvl w:val="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附表3</w:t>
      </w:r>
    </w:p>
    <w:p>
      <w:pPr>
        <w:jc w:val="center"/>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t>工厂部分车间负荷密度和功率因数</w:t>
      </w:r>
    </w:p>
    <w:p>
      <w:pPr>
        <w:jc w:val="center"/>
        <w:rPr>
          <w:rFonts w:hint="default" w:ascii="黑体" w:hAnsi="黑体" w:eastAsia="黑体" w:cs="黑体"/>
          <w:color w:val="auto"/>
          <w:sz w:val="32"/>
          <w:szCs w:val="32"/>
          <w:highlight w:val="none"/>
          <w:lang w:val="en-US" w:eastAsia="zh-CN"/>
        </w:rPr>
      </w:pPr>
    </w:p>
    <w:tbl>
      <w:tblPr>
        <w:tblStyle w:val="11"/>
        <w:tblW w:w="76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4"/>
        <w:gridCol w:w="1037"/>
        <w:gridCol w:w="1170"/>
        <w:gridCol w:w="1071"/>
        <w:gridCol w:w="1188"/>
        <w:gridCol w:w="1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2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车间名称</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负荷密度</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(W/m²)</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c0s@</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tang</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金属加工</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小型机床部</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100～290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0.55～0.65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1.52～1.17</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中型机床部</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300～500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0.55～0.65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1.52～1.17</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装配部</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150～350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0.4～0.5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2.29~1.73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2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铸铁车间</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0.7</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2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铸钢车间</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55～60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0.65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1.17</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不包括电弧炉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2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工</w:t>
            </w:r>
            <w:r>
              <w:rPr>
                <w:rFonts w:hint="eastAsia" w:asciiTheme="minorEastAsia" w:hAnsiTheme="minorEastAsia" w:cstheme="minorEastAsia"/>
                <w:i w:val="0"/>
                <w:iCs w:val="0"/>
                <w:color w:val="auto"/>
                <w:kern w:val="0"/>
                <w:sz w:val="24"/>
                <w:szCs w:val="24"/>
                <w:highlight w:val="none"/>
                <w:u w:val="none"/>
                <w:lang w:val="en-US" w:eastAsia="zh-CN" w:bidi="ar"/>
              </w:rPr>
              <w:t>具</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车间</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100～120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0.65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1.17</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2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铆焊车间</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40～200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0.45～0,5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1.98～1.73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2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金属结构车间</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0.35～0.45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2.67～1.98</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2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木工车间</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0.6</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auto"/>
                <w:sz w:val="24"/>
                <w:szCs w:val="24"/>
                <w:highlight w:val="none"/>
                <w:u w:val="none"/>
              </w:rPr>
            </w:pPr>
          </w:p>
        </w:tc>
      </w:tr>
    </w:tbl>
    <w:p>
      <w:pPr>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br w:type="page"/>
      </w:r>
    </w:p>
    <w:p>
      <w:pPr>
        <w:jc w:val="left"/>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附表4</w:t>
      </w:r>
    </w:p>
    <w:p>
      <w:pPr>
        <w:jc w:val="center"/>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供电电压等级参考表</w:t>
      </w:r>
    </w:p>
    <w:p>
      <w:pPr>
        <w:pStyle w:val="15"/>
        <w:rPr>
          <w:rFonts w:hint="eastAsia"/>
          <w:color w:val="auto"/>
          <w:highlight w:val="none"/>
          <w:lang w:val="en-US" w:eastAsia="zh-CN"/>
        </w:rPr>
      </w:pPr>
    </w:p>
    <w:p>
      <w:pPr>
        <w:pStyle w:val="15"/>
        <w:rPr>
          <w:rFonts w:hint="default"/>
          <w:color w:val="auto"/>
          <w:highlight w:val="none"/>
          <w:lang w:val="en-US" w:eastAsia="zh-CN"/>
        </w:rPr>
      </w:pPr>
    </w:p>
    <w:tbl>
      <w:tblPr>
        <w:tblStyle w:val="11"/>
        <w:tblW w:w="84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37"/>
        <w:gridCol w:w="2809"/>
        <w:gridCol w:w="2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highlight w:val="none"/>
                <w:u w:val="none"/>
              </w:rPr>
            </w:pPr>
            <w:r>
              <w:rPr>
                <w:rStyle w:val="18"/>
                <w:rFonts w:hint="eastAsia" w:ascii="宋体" w:hAnsi="宋体" w:eastAsia="宋体" w:cs="宋体"/>
                <w:color w:val="auto"/>
                <w:sz w:val="24"/>
                <w:szCs w:val="24"/>
                <w:highlight w:val="none"/>
                <w:lang w:val="en-US" w:eastAsia="zh-CN" w:bidi="ar"/>
              </w:rPr>
              <w:t>供电电压等级</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highlight w:val="none"/>
                <w:u w:val="none"/>
              </w:rPr>
            </w:pPr>
            <w:r>
              <w:rPr>
                <w:rStyle w:val="18"/>
                <w:rFonts w:hint="eastAsia" w:ascii="宋体" w:hAnsi="宋体" w:eastAsia="宋体" w:cs="宋体"/>
                <w:color w:val="auto"/>
                <w:sz w:val="24"/>
                <w:szCs w:val="24"/>
                <w:highlight w:val="none"/>
                <w:lang w:val="en-US" w:eastAsia="zh-CN" w:bidi="ar"/>
              </w:rPr>
              <w:t>用电设备容量</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highlight w:val="none"/>
                <w:u w:val="none"/>
              </w:rPr>
            </w:pPr>
            <w:r>
              <w:rPr>
                <w:rStyle w:val="18"/>
                <w:rFonts w:hint="eastAsia" w:ascii="宋体" w:hAnsi="宋体" w:eastAsia="宋体" w:cs="宋体"/>
                <w:color w:val="auto"/>
                <w:sz w:val="24"/>
                <w:szCs w:val="24"/>
                <w:highlight w:val="none"/>
                <w:lang w:val="en-US" w:eastAsia="zh-CN" w:bidi="ar"/>
              </w:rPr>
              <w:t>受电变压器总容量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highlight w:val="none"/>
                <w:u w:val="none"/>
              </w:rPr>
            </w:pPr>
            <w:r>
              <w:rPr>
                <w:rStyle w:val="18"/>
                <w:rFonts w:hint="eastAsia" w:ascii="宋体" w:hAnsi="宋体" w:eastAsia="宋体" w:cs="宋体"/>
                <w:color w:val="auto"/>
                <w:sz w:val="24"/>
                <w:szCs w:val="24"/>
                <w:highlight w:val="none"/>
                <w:lang w:val="en-US" w:eastAsia="zh-CN" w:bidi="ar"/>
              </w:rPr>
              <w:t>220V</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highlight w:val="none"/>
                <w:u w:val="none"/>
              </w:rPr>
            </w:pPr>
            <w:r>
              <w:rPr>
                <w:rStyle w:val="18"/>
                <w:rFonts w:hint="eastAsia" w:ascii="宋体" w:hAnsi="宋体" w:eastAsia="宋体" w:cs="宋体"/>
                <w:color w:val="auto"/>
                <w:sz w:val="24"/>
                <w:szCs w:val="24"/>
                <w:highlight w:val="none"/>
                <w:lang w:val="en-US" w:eastAsia="zh-CN" w:bidi="ar"/>
              </w:rPr>
              <w:t>10kW及以下单相设备</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highlight w:val="none"/>
                <w:u w:val="none"/>
              </w:rPr>
            </w:pPr>
            <w:r>
              <w:rPr>
                <w:rStyle w:val="18"/>
                <w:rFonts w:hint="eastAsia" w:ascii="宋体" w:hAnsi="宋体" w:eastAsia="宋体" w:cs="宋体"/>
                <w:color w:val="auto"/>
                <w:sz w:val="24"/>
                <w:szCs w:val="24"/>
                <w:highlight w:val="none"/>
                <w:lang w:val="en-US" w:eastAsia="zh-CN" w:bidi="ar"/>
              </w:rPr>
              <w:t>380V</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highlight w:val="none"/>
                <w:u w:val="none"/>
              </w:rPr>
            </w:pPr>
            <w:r>
              <w:rPr>
                <w:rStyle w:val="18"/>
                <w:rFonts w:hint="eastAsia" w:ascii="宋体" w:hAnsi="宋体" w:eastAsia="宋体" w:cs="宋体"/>
                <w:color w:val="auto"/>
                <w:sz w:val="24"/>
                <w:szCs w:val="24"/>
                <w:highlight w:val="none"/>
                <w:lang w:val="en-US" w:eastAsia="zh-CN" w:bidi="ar"/>
              </w:rPr>
              <w:t>16</w:t>
            </w:r>
            <w:r>
              <w:rPr>
                <w:rFonts w:hint="eastAsia" w:ascii="宋体" w:hAnsi="宋体" w:eastAsia="宋体" w:cs="宋体"/>
                <w:i w:val="0"/>
                <w:iCs w:val="0"/>
                <w:color w:val="auto"/>
                <w:kern w:val="0"/>
                <w:sz w:val="24"/>
                <w:szCs w:val="24"/>
                <w:highlight w:val="none"/>
                <w:u w:val="none"/>
                <w:lang w:val="en-US" w:eastAsia="zh-CN" w:bidi="ar"/>
              </w:rPr>
              <w:t>0kW及以下</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highlight w:val="none"/>
                <w:u w:val="none"/>
              </w:rPr>
            </w:pPr>
            <w:r>
              <w:rPr>
                <w:rStyle w:val="18"/>
                <w:rFonts w:hint="eastAsia" w:ascii="宋体" w:hAnsi="宋体" w:eastAsia="宋体" w:cs="宋体"/>
                <w:color w:val="auto"/>
                <w:sz w:val="24"/>
                <w:szCs w:val="24"/>
                <w:highlight w:val="none"/>
                <w:lang w:val="en-US" w:eastAsia="zh-CN" w:bidi="ar"/>
              </w:rPr>
              <w:t>50kVA及以下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highlight w:val="none"/>
                <w:u w:val="none"/>
              </w:rPr>
            </w:pPr>
            <w:r>
              <w:rPr>
                <w:rStyle w:val="18"/>
                <w:rFonts w:hint="eastAsia" w:ascii="宋体" w:hAnsi="宋体" w:eastAsia="宋体" w:cs="宋体"/>
                <w:color w:val="auto"/>
                <w:sz w:val="24"/>
                <w:szCs w:val="24"/>
                <w:highlight w:val="none"/>
                <w:lang w:val="en-US" w:eastAsia="zh-CN" w:bidi="ar"/>
              </w:rPr>
              <w:t>10kV</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u w:val="none"/>
                <w:lang w:val="en-US" w:eastAsia="zh-CN" w:bidi="ar"/>
              </w:rPr>
              <w:t>——</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highlight w:val="none"/>
                <w:u w:val="none"/>
              </w:rPr>
            </w:pPr>
            <w:r>
              <w:rPr>
                <w:rStyle w:val="18"/>
                <w:rFonts w:hint="eastAsia" w:ascii="宋体" w:hAnsi="宋体" w:eastAsia="宋体" w:cs="宋体"/>
                <w:color w:val="auto"/>
                <w:sz w:val="24"/>
                <w:szCs w:val="24"/>
                <w:highlight w:val="none"/>
                <w:lang w:val="en-US" w:eastAsia="zh-CN" w:bidi="ar"/>
              </w:rPr>
              <w:t>50kVA～40MVA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highlight w:val="none"/>
                <w:u w:val="none"/>
              </w:rPr>
            </w:pPr>
            <w:r>
              <w:rPr>
                <w:rStyle w:val="19"/>
                <w:rFonts w:hint="eastAsia" w:ascii="宋体" w:hAnsi="宋体" w:eastAsia="宋体" w:cs="宋体"/>
                <w:color w:val="auto"/>
                <w:sz w:val="24"/>
                <w:szCs w:val="24"/>
                <w:highlight w:val="none"/>
                <w:lang w:val="en-US" w:eastAsia="zh-CN" w:bidi="ar"/>
              </w:rPr>
              <w:t>110kV</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highlight w:val="none"/>
                <w:u w:val="none"/>
              </w:rPr>
            </w:pPr>
            <w:r>
              <w:rPr>
                <w:rStyle w:val="20"/>
                <w:rFonts w:hint="eastAsia" w:ascii="宋体" w:hAnsi="宋体" w:eastAsia="宋体" w:cs="宋体"/>
                <w:color w:val="auto"/>
                <w:sz w:val="24"/>
                <w:szCs w:val="24"/>
                <w:highlight w:val="none"/>
                <w:lang w:val="en-US" w:eastAsia="zh-CN" w:bidi="ar"/>
              </w:rPr>
              <w:t>——</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highlight w:val="none"/>
                <w:u w:val="none"/>
              </w:rPr>
            </w:pPr>
            <w:r>
              <w:rPr>
                <w:rStyle w:val="18"/>
                <w:rFonts w:hint="eastAsia" w:ascii="宋体" w:hAnsi="宋体" w:eastAsia="宋体" w:cs="宋体"/>
                <w:color w:val="auto"/>
                <w:sz w:val="24"/>
                <w:szCs w:val="24"/>
                <w:highlight w:val="none"/>
                <w:lang w:val="en-US" w:eastAsia="zh-CN" w:bidi="ar"/>
              </w:rPr>
              <w:t>20MVA～100MVA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8473"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bottom"/>
              <w:rPr>
                <w:rFonts w:hint="eastAsia" w:ascii="宋体" w:hAnsi="宋体" w:eastAsia="宋体" w:cs="宋体"/>
                <w:i w:val="0"/>
                <w:iCs w:val="0"/>
                <w:color w:val="auto"/>
                <w:sz w:val="24"/>
                <w:szCs w:val="24"/>
                <w:highlight w:val="none"/>
                <w:u w:val="none"/>
              </w:rPr>
            </w:pPr>
            <w:r>
              <w:rPr>
                <w:rStyle w:val="18"/>
                <w:rFonts w:hint="eastAsia" w:ascii="宋体" w:hAnsi="宋体" w:eastAsia="宋体" w:cs="宋体"/>
                <w:color w:val="auto"/>
                <w:sz w:val="24"/>
                <w:szCs w:val="24"/>
                <w:highlight w:val="none"/>
                <w:lang w:val="en-US" w:eastAsia="zh-CN" w:bidi="ar"/>
              </w:rPr>
              <w:t>注1:</w:t>
            </w:r>
            <w:r>
              <w:rPr>
                <w:rFonts w:ascii="宋体" w:hAnsi="宋体" w:eastAsia="宋体" w:cs="宋体"/>
                <w:sz w:val="24"/>
                <w:szCs w:val="24"/>
              </w:rPr>
              <w:t>用户累计或终期报装容量40MVA及以上，原则上应在用电地块范围内或协调政府在周边地块预留110</w:t>
            </w:r>
            <w:r>
              <w:rPr>
                <w:rFonts w:hint="eastAsia" w:ascii="宋体" w:hAnsi="宋体" w:eastAsia="宋体" w:cs="宋体"/>
                <w:sz w:val="24"/>
                <w:szCs w:val="24"/>
                <w:lang w:val="en-US" w:eastAsia="zh-CN"/>
              </w:rPr>
              <w:t>kV</w:t>
            </w:r>
            <w:r>
              <w:rPr>
                <w:rFonts w:ascii="宋体" w:hAnsi="宋体" w:eastAsia="宋体" w:cs="宋体"/>
                <w:sz w:val="24"/>
                <w:szCs w:val="24"/>
              </w:rPr>
              <w:t>及以上电压等级变电站站址，由电网公司投资新建110</w:t>
            </w:r>
            <w:r>
              <w:rPr>
                <w:rFonts w:hint="eastAsia" w:ascii="宋体" w:hAnsi="宋体" w:eastAsia="宋体" w:cs="宋体"/>
                <w:sz w:val="24"/>
                <w:szCs w:val="24"/>
                <w:lang w:val="en-US" w:eastAsia="zh-CN"/>
              </w:rPr>
              <w:t>kV</w:t>
            </w:r>
            <w:r>
              <w:rPr>
                <w:rFonts w:ascii="宋体" w:hAnsi="宋体" w:eastAsia="宋体" w:cs="宋体"/>
                <w:sz w:val="24"/>
                <w:szCs w:val="24"/>
              </w:rPr>
              <w:t>及以上公用变电站进行10</w:t>
            </w:r>
            <w:r>
              <w:rPr>
                <w:rFonts w:hint="eastAsia" w:ascii="宋体" w:hAnsi="宋体" w:eastAsia="宋体" w:cs="宋体"/>
                <w:sz w:val="24"/>
                <w:szCs w:val="24"/>
                <w:lang w:val="en-US" w:eastAsia="zh-CN"/>
              </w:rPr>
              <w:t>kV</w:t>
            </w:r>
            <w:r>
              <w:rPr>
                <w:rFonts w:ascii="宋体" w:hAnsi="宋体" w:eastAsia="宋体" w:cs="宋体"/>
                <w:sz w:val="24"/>
                <w:szCs w:val="24"/>
              </w:rPr>
              <w:t>延伸供电。</w:t>
            </w:r>
            <w:r>
              <w:rPr>
                <w:rStyle w:val="18"/>
                <w:rFonts w:hint="eastAsia" w:ascii="宋体" w:hAnsi="宋体" w:eastAsia="宋体" w:cs="宋体"/>
                <w:color w:val="auto"/>
                <w:sz w:val="24"/>
                <w:szCs w:val="24"/>
                <w:highlight w:val="none"/>
                <w:lang w:val="en-US" w:eastAsia="zh-CN" w:bidi="ar"/>
              </w:rPr>
              <w:br w:type="textWrapping"/>
            </w:r>
            <w:r>
              <w:rPr>
                <w:rStyle w:val="18"/>
                <w:rFonts w:hint="eastAsia" w:ascii="宋体" w:hAnsi="宋体" w:eastAsia="宋体" w:cs="宋体"/>
                <w:color w:val="auto"/>
                <w:sz w:val="24"/>
                <w:szCs w:val="24"/>
                <w:highlight w:val="none"/>
                <w:lang w:val="en-US" w:eastAsia="zh-CN" w:bidi="ar"/>
              </w:rPr>
              <w:t>注2:用户累计报装负荷大于160</w:t>
            </w:r>
            <w:r>
              <w:rPr>
                <w:rFonts w:hint="eastAsia" w:ascii="宋体" w:hAnsi="宋体" w:eastAsia="宋体" w:cs="宋体"/>
                <w:sz w:val="24"/>
                <w:szCs w:val="24"/>
                <w:lang w:val="en-US" w:eastAsia="zh-CN"/>
              </w:rPr>
              <w:t>kVA</w:t>
            </w:r>
            <w:r>
              <w:rPr>
                <w:rStyle w:val="18"/>
                <w:rFonts w:hint="eastAsia" w:ascii="宋体" w:hAnsi="宋体" w:eastAsia="宋体" w:cs="宋体"/>
                <w:color w:val="auto"/>
                <w:sz w:val="24"/>
                <w:szCs w:val="24"/>
                <w:highlight w:val="none"/>
                <w:lang w:val="en-US" w:eastAsia="zh-CN" w:bidi="ar"/>
              </w:rPr>
              <w:t>时应采用专用变压器供电，小于50</w:t>
            </w:r>
            <w:r>
              <w:rPr>
                <w:rFonts w:hint="eastAsia" w:ascii="宋体" w:hAnsi="宋体" w:eastAsia="宋体" w:cs="宋体"/>
                <w:sz w:val="24"/>
                <w:szCs w:val="24"/>
                <w:lang w:val="en-US" w:eastAsia="zh-CN"/>
              </w:rPr>
              <w:t>kVA</w:t>
            </w:r>
            <w:r>
              <w:rPr>
                <w:rStyle w:val="18"/>
                <w:rFonts w:hint="eastAsia" w:ascii="宋体" w:hAnsi="宋体" w:eastAsia="宋体" w:cs="宋体"/>
                <w:color w:val="auto"/>
                <w:sz w:val="24"/>
                <w:szCs w:val="24"/>
                <w:highlight w:val="none"/>
                <w:lang w:val="en-US" w:eastAsia="zh-CN" w:bidi="ar"/>
              </w:rPr>
              <w:t>时采用低压接入，在160</w:t>
            </w:r>
            <w:r>
              <w:rPr>
                <w:rFonts w:hint="eastAsia" w:ascii="宋体" w:hAnsi="宋体" w:eastAsia="宋体" w:cs="宋体"/>
                <w:sz w:val="24"/>
                <w:szCs w:val="24"/>
                <w:lang w:val="en-US" w:eastAsia="zh-CN"/>
              </w:rPr>
              <w:t>kVA</w:t>
            </w:r>
            <w:r>
              <w:rPr>
                <w:rStyle w:val="18"/>
                <w:rFonts w:hint="eastAsia" w:ascii="宋体" w:hAnsi="宋体" w:eastAsia="宋体" w:cs="宋体"/>
                <w:color w:val="auto"/>
                <w:sz w:val="24"/>
                <w:szCs w:val="24"/>
                <w:highlight w:val="none"/>
                <w:lang w:val="en-US" w:eastAsia="zh-CN" w:bidi="ar"/>
              </w:rPr>
              <w:t>及以下视具体情况确定采用专变或低压接入。</w:t>
            </w:r>
            <w:r>
              <w:rPr>
                <w:rStyle w:val="18"/>
                <w:rFonts w:hint="eastAsia" w:ascii="宋体" w:hAnsi="宋体" w:eastAsia="宋体" w:cs="宋体"/>
                <w:color w:val="auto"/>
                <w:sz w:val="24"/>
                <w:szCs w:val="24"/>
                <w:highlight w:val="none"/>
                <w:lang w:val="en-US" w:eastAsia="zh-CN" w:bidi="ar"/>
              </w:rPr>
              <w:br w:type="textWrapping"/>
            </w:r>
            <w:r>
              <w:rPr>
                <w:rStyle w:val="18"/>
                <w:rFonts w:hint="eastAsia" w:ascii="宋体" w:hAnsi="宋体" w:eastAsia="宋体" w:cs="宋体"/>
                <w:color w:val="auto"/>
                <w:sz w:val="24"/>
                <w:szCs w:val="24"/>
                <w:highlight w:val="none"/>
                <w:lang w:val="en-US" w:eastAsia="zh-CN" w:bidi="ar"/>
              </w:rPr>
              <w:t>注3:省内粤港澳大湾区用户报装容量200</w:t>
            </w:r>
            <w:r>
              <w:rPr>
                <w:rFonts w:hint="eastAsia" w:ascii="宋体" w:hAnsi="宋体" w:eastAsia="宋体" w:cs="宋体"/>
                <w:sz w:val="24"/>
                <w:szCs w:val="24"/>
                <w:lang w:val="en-US" w:eastAsia="zh-CN"/>
              </w:rPr>
              <w:t>kVA</w:t>
            </w:r>
            <w:r>
              <w:rPr>
                <w:rStyle w:val="18"/>
                <w:rFonts w:hint="eastAsia" w:ascii="宋体" w:hAnsi="宋体" w:eastAsia="宋体" w:cs="宋体"/>
                <w:color w:val="auto"/>
                <w:sz w:val="24"/>
                <w:szCs w:val="24"/>
                <w:highlight w:val="none"/>
                <w:lang w:val="en-US" w:eastAsia="zh-CN" w:bidi="ar"/>
              </w:rPr>
              <w:t>及以下（其他地区报装容量​160</w:t>
            </w:r>
            <w:r>
              <w:rPr>
                <w:rFonts w:hint="eastAsia" w:ascii="宋体" w:hAnsi="宋体" w:eastAsia="宋体" w:cs="宋体"/>
                <w:sz w:val="24"/>
                <w:szCs w:val="24"/>
                <w:lang w:val="en-US" w:eastAsia="zh-CN"/>
              </w:rPr>
              <w:t>kVA</w:t>
            </w:r>
            <w:r>
              <w:rPr>
                <w:rStyle w:val="18"/>
                <w:rFonts w:hint="eastAsia" w:ascii="宋体" w:hAnsi="宋体" w:eastAsia="宋体" w:cs="宋体"/>
                <w:color w:val="auto"/>
                <w:sz w:val="24"/>
                <w:szCs w:val="24"/>
                <w:highlight w:val="none"/>
                <w:lang w:val="en-US" w:eastAsia="zh-CN" w:bidi="ar"/>
              </w:rPr>
              <w:t>及以下）小微企业(工商)客户可采用低压供电，因可靠性需求或需使用10</w:t>
            </w:r>
            <w:r>
              <w:rPr>
                <w:rFonts w:hint="eastAsia" w:ascii="宋体" w:hAnsi="宋体" w:eastAsia="宋体" w:cs="宋体"/>
                <w:sz w:val="24"/>
                <w:szCs w:val="24"/>
                <w:lang w:val="en-US" w:eastAsia="zh-CN"/>
              </w:rPr>
              <w:t>kV</w:t>
            </w:r>
            <w:r>
              <w:rPr>
                <w:rStyle w:val="18"/>
                <w:rFonts w:hint="eastAsia" w:ascii="宋体" w:hAnsi="宋体" w:eastAsia="宋体" w:cs="宋体"/>
                <w:color w:val="auto"/>
                <w:sz w:val="24"/>
                <w:szCs w:val="24"/>
                <w:highlight w:val="none"/>
                <w:lang w:val="en-US" w:eastAsia="zh-CN" w:bidi="ar"/>
              </w:rPr>
              <w:t>设备可采用10</w:t>
            </w:r>
            <w:r>
              <w:rPr>
                <w:rFonts w:hint="eastAsia" w:ascii="宋体" w:hAnsi="宋体" w:eastAsia="宋体" w:cs="宋体"/>
                <w:sz w:val="24"/>
                <w:szCs w:val="24"/>
                <w:lang w:val="en-US" w:eastAsia="zh-CN"/>
              </w:rPr>
              <w:t>kV</w:t>
            </w:r>
            <w:r>
              <w:rPr>
                <w:rStyle w:val="18"/>
                <w:rFonts w:hint="eastAsia" w:ascii="宋体" w:hAnsi="宋体" w:eastAsia="宋体" w:cs="宋体"/>
                <w:color w:val="auto"/>
                <w:sz w:val="24"/>
                <w:szCs w:val="24"/>
                <w:highlight w:val="none"/>
                <w:lang w:val="en-US" w:eastAsia="zh-CN" w:bidi="ar"/>
              </w:rPr>
              <w:t>电压等级供电。</w:t>
            </w:r>
          </w:p>
        </w:tc>
      </w:tr>
    </w:tbl>
    <w:p>
      <w:pPr>
        <w:pStyle w:val="16"/>
        <w:rPr>
          <w:rFonts w:hint="default"/>
          <w:color w:val="auto"/>
          <w:highlight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00D743B5"/>
    <w:rsid w:val="00E948AB"/>
    <w:rsid w:val="068C3AD4"/>
    <w:rsid w:val="06E223E1"/>
    <w:rsid w:val="080F67B9"/>
    <w:rsid w:val="0B526FCE"/>
    <w:rsid w:val="0CFE6997"/>
    <w:rsid w:val="0D2C6E5C"/>
    <w:rsid w:val="122F0649"/>
    <w:rsid w:val="129A5249"/>
    <w:rsid w:val="151C03CA"/>
    <w:rsid w:val="17246E9F"/>
    <w:rsid w:val="1AEE2DC1"/>
    <w:rsid w:val="1BEC4722"/>
    <w:rsid w:val="1D1C0594"/>
    <w:rsid w:val="1E8F7290"/>
    <w:rsid w:val="1FEFB6B3"/>
    <w:rsid w:val="217E4194"/>
    <w:rsid w:val="219E572A"/>
    <w:rsid w:val="21AF6735"/>
    <w:rsid w:val="24832476"/>
    <w:rsid w:val="267833C2"/>
    <w:rsid w:val="27A54527"/>
    <w:rsid w:val="27FB3CE8"/>
    <w:rsid w:val="2A822B91"/>
    <w:rsid w:val="2D5D6F9C"/>
    <w:rsid w:val="2DC50948"/>
    <w:rsid w:val="2F200335"/>
    <w:rsid w:val="30BB25DA"/>
    <w:rsid w:val="316977D8"/>
    <w:rsid w:val="33565D53"/>
    <w:rsid w:val="35857DA4"/>
    <w:rsid w:val="36E05C91"/>
    <w:rsid w:val="376938F5"/>
    <w:rsid w:val="380D63B3"/>
    <w:rsid w:val="3AAC55D7"/>
    <w:rsid w:val="3AAE6F29"/>
    <w:rsid w:val="3B052B5E"/>
    <w:rsid w:val="3E35470B"/>
    <w:rsid w:val="438E6C15"/>
    <w:rsid w:val="43AF6656"/>
    <w:rsid w:val="444C2337"/>
    <w:rsid w:val="45A100BA"/>
    <w:rsid w:val="484D1EA0"/>
    <w:rsid w:val="49485409"/>
    <w:rsid w:val="4AEF475E"/>
    <w:rsid w:val="4C2B3A02"/>
    <w:rsid w:val="4D4E1482"/>
    <w:rsid w:val="52426D4D"/>
    <w:rsid w:val="55E3134D"/>
    <w:rsid w:val="56911639"/>
    <w:rsid w:val="58DC5EAB"/>
    <w:rsid w:val="5AB93CC0"/>
    <w:rsid w:val="5AC73CC7"/>
    <w:rsid w:val="5AF20E52"/>
    <w:rsid w:val="5BD90695"/>
    <w:rsid w:val="5CA7BD0B"/>
    <w:rsid w:val="5D965389"/>
    <w:rsid w:val="5EBFEB41"/>
    <w:rsid w:val="5F365670"/>
    <w:rsid w:val="5F48490C"/>
    <w:rsid w:val="607404EC"/>
    <w:rsid w:val="62EE6E58"/>
    <w:rsid w:val="638A5ADB"/>
    <w:rsid w:val="63D60EF5"/>
    <w:rsid w:val="651F30D4"/>
    <w:rsid w:val="66FD7CD4"/>
    <w:rsid w:val="67A55E99"/>
    <w:rsid w:val="684341D6"/>
    <w:rsid w:val="689715E0"/>
    <w:rsid w:val="6A421347"/>
    <w:rsid w:val="6B2C4161"/>
    <w:rsid w:val="6C9C6A39"/>
    <w:rsid w:val="6DBDE40D"/>
    <w:rsid w:val="6DFF9390"/>
    <w:rsid w:val="6E9544FD"/>
    <w:rsid w:val="6EC33606"/>
    <w:rsid w:val="6F26181C"/>
    <w:rsid w:val="6FF7ADD0"/>
    <w:rsid w:val="70787B30"/>
    <w:rsid w:val="71FB0A7A"/>
    <w:rsid w:val="741A30BB"/>
    <w:rsid w:val="7539085E"/>
    <w:rsid w:val="75460F3D"/>
    <w:rsid w:val="755C2B21"/>
    <w:rsid w:val="756206C9"/>
    <w:rsid w:val="75F7BF98"/>
    <w:rsid w:val="76BD6DE5"/>
    <w:rsid w:val="7A1263E6"/>
    <w:rsid w:val="7ABB9D74"/>
    <w:rsid w:val="7D55172E"/>
    <w:rsid w:val="7EB734CA"/>
    <w:rsid w:val="7F1B620C"/>
    <w:rsid w:val="7FA86AE8"/>
    <w:rsid w:val="7FEDFE4A"/>
    <w:rsid w:val="7FF21283"/>
    <w:rsid w:val="AC59C5BA"/>
    <w:rsid w:val="B74402A5"/>
    <w:rsid w:val="EB7A9782"/>
    <w:rsid w:val="EFDEFD85"/>
    <w:rsid w:val="F62B0B55"/>
    <w:rsid w:val="F7978536"/>
    <w:rsid w:val="FA5F4AB1"/>
    <w:rsid w:val="FEEE531D"/>
    <w:rsid w:val="FEFE967C"/>
    <w:rsid w:val="FF7BA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Body Text"/>
    <w:basedOn w:val="1"/>
    <w:next w:val="1"/>
    <w:qFormat/>
    <w:uiPriority w:val="0"/>
    <w:rPr>
      <w:sz w:val="28"/>
      <w:szCs w:val="20"/>
    </w:r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rPr>
  </w:style>
  <w:style w:type="paragraph" w:styleId="9">
    <w:name w:val="Title"/>
    <w:basedOn w:val="1"/>
    <w:next w:val="1"/>
    <w:qFormat/>
    <w:uiPriority w:val="0"/>
    <w:pPr>
      <w:spacing w:before="240" w:beforeLines="0" w:after="60" w:afterLines="0"/>
      <w:jc w:val="center"/>
      <w:outlineLvl w:val="0"/>
    </w:pPr>
    <w:rPr>
      <w:rFonts w:ascii="Arial" w:hAnsi="Arial" w:cs="Arial"/>
      <w:b/>
      <w:bCs/>
      <w:sz w:val="32"/>
      <w:szCs w:val="32"/>
    </w:rPr>
  </w:style>
  <w:style w:type="paragraph" w:styleId="10">
    <w:name w:val="Body Text First Indent 2"/>
    <w:basedOn w:val="5"/>
    <w:qFormat/>
    <w:uiPriority w:val="0"/>
    <w:pPr>
      <w:ind w:firstLine="420" w:firstLineChars="200"/>
    </w:pPr>
    <w:rPr>
      <w:rFonts w:ascii="Times New Roman" w:hAnsi="Times New Roman"/>
      <w:kern w:val="0"/>
      <w:sz w:val="20"/>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otnote reference"/>
    <w:basedOn w:val="13"/>
    <w:qFormat/>
    <w:uiPriority w:val="0"/>
    <w:rPr>
      <w:vertAlign w:val="superscript"/>
    </w:rPr>
  </w:style>
  <w:style w:type="paragraph" w:customStyle="1" w:styleId="15">
    <w:name w:val="图表目录1"/>
    <w:basedOn w:val="16"/>
    <w:next w:val="16"/>
    <w:qFormat/>
    <w:uiPriority w:val="0"/>
    <w:pPr>
      <w:ind w:left="200" w:leftChars="200" w:hanging="200" w:hangingChars="200"/>
    </w:p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font21"/>
    <w:basedOn w:val="13"/>
    <w:qFormat/>
    <w:uiPriority w:val="0"/>
    <w:rPr>
      <w:rFonts w:ascii="宋体" w:hAnsi="宋体" w:eastAsia="宋体" w:cs="宋体"/>
      <w:color w:val="000000"/>
      <w:sz w:val="14"/>
      <w:szCs w:val="14"/>
      <w:u w:val="none"/>
    </w:rPr>
  </w:style>
  <w:style w:type="character" w:customStyle="1" w:styleId="18">
    <w:name w:val="font11"/>
    <w:basedOn w:val="13"/>
    <w:qFormat/>
    <w:uiPriority w:val="0"/>
    <w:rPr>
      <w:rFonts w:ascii="宋体" w:hAnsi="宋体" w:eastAsia="宋体" w:cs="宋体"/>
      <w:color w:val="000000"/>
      <w:sz w:val="14"/>
      <w:szCs w:val="14"/>
      <w:u w:val="none"/>
    </w:rPr>
  </w:style>
  <w:style w:type="character" w:customStyle="1" w:styleId="19">
    <w:name w:val="font31"/>
    <w:basedOn w:val="13"/>
    <w:qFormat/>
    <w:uiPriority w:val="0"/>
    <w:rPr>
      <w:rFonts w:ascii="宋体" w:hAnsi="宋体" w:eastAsia="宋体" w:cs="宋体"/>
      <w:color w:val="710062"/>
      <w:sz w:val="14"/>
      <w:szCs w:val="14"/>
      <w:u w:val="none"/>
    </w:rPr>
  </w:style>
  <w:style w:type="character" w:customStyle="1" w:styleId="20">
    <w:name w:val="font41"/>
    <w:basedOn w:val="13"/>
    <w:qFormat/>
    <w:uiPriority w:val="0"/>
    <w:rPr>
      <w:rFonts w:ascii="宋体" w:hAnsi="宋体" w:eastAsia="宋体" w:cs="宋体"/>
      <w:color w:val="000000"/>
      <w:sz w:val="6"/>
      <w:szCs w:val="6"/>
      <w:u w:val="none"/>
    </w:rPr>
  </w:style>
  <w:style w:type="character" w:customStyle="1" w:styleId="21">
    <w:name w:val="font51"/>
    <w:basedOn w:val="13"/>
    <w:qFormat/>
    <w:uiPriority w:val="0"/>
    <w:rPr>
      <w:rFonts w:ascii="宋体" w:hAnsi="宋体" w:eastAsia="宋体" w:cs="宋体"/>
      <w:color w:val="4C003D"/>
      <w:sz w:val="14"/>
      <w:szCs w:val="1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3689</Words>
  <Characters>4064</Characters>
  <Lines>0</Lines>
  <Paragraphs>0</Paragraphs>
  <TotalTime>39</TotalTime>
  <ScaleCrop>false</ScaleCrop>
  <LinksUpToDate>false</LinksUpToDate>
  <CharactersWithSpaces>4104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2023-11-08T17:35:00Z</dcterms:created>
  <dc:creator>chenglongjie</dc:creator>
  <cp:lastModifiedBy>linmiaoling</cp:lastModifiedBy>
  <dcterms:modified xsi:type="dcterms:W3CDTF">2024-07-26T11:37:33Z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A20ED98D716C421A984FBCA010EE32AC</vt:lpwstr>
  </property>
</Properties>
</file>