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0"/>
        <w:textAlignment w:val="auto"/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</w:pPr>
      <w:r>
        <w:rPr>
          <w:rFonts w:hint="default" w:ascii="黑体" w:hAnsi="黑体" w:eastAsia="黑体"/>
          <w:color w:val="auto"/>
          <w:sz w:val="32"/>
          <w:szCs w:val="32"/>
          <w:lang w:eastAsia="zh-CN"/>
        </w:rPr>
        <w:t>附件1</w:t>
      </w:r>
    </w:p>
    <w:p>
      <w:pPr>
        <w:kinsoku/>
        <w:autoSpaceDE/>
        <w:autoSpaceDN w:val="0"/>
        <w:spacing w:before="225" w:beforeLines="0" w:after="225" w:afterLines="0" w:line="34" w:lineRule="atLeast"/>
        <w:ind w:firstLine="0"/>
        <w:jc w:val="center"/>
        <w:rPr>
          <w:rFonts w:hint="default" w:ascii="微软雅黑" w:hAnsi="微软雅黑" w:eastAsia="微软雅黑"/>
          <w:b w:val="0"/>
          <w:i w:val="0"/>
          <w:snapToGrid/>
          <w:color w:val="auto"/>
          <w:sz w:val="2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汕尾市</w:t>
      </w:r>
      <w:r>
        <w:rPr>
          <w:rFonts w:hint="default" w:ascii="方正小标宋简体" w:eastAsia="方正小标宋简体"/>
          <w:color w:val="auto"/>
          <w:sz w:val="44"/>
          <w:szCs w:val="44"/>
          <w:lang w:eastAsia="zh-CN"/>
        </w:rPr>
        <w:t>不动产登记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中心</w:t>
      </w:r>
      <w:r>
        <w:rPr>
          <w:rFonts w:hint="default" w:ascii="方正小标宋简体" w:eastAsia="方正小标宋简体"/>
          <w:color w:val="auto"/>
          <w:sz w:val="44"/>
          <w:szCs w:val="44"/>
          <w:lang w:eastAsia="zh-CN"/>
        </w:rPr>
        <w:t>容缺受理事项清单</w:t>
      </w:r>
      <w:bookmarkEnd w:id="0"/>
    </w:p>
    <w:tbl>
      <w:tblPr>
        <w:tblStyle w:val="2"/>
        <w:tblW w:w="8646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70"/>
        <w:gridCol w:w="810"/>
        <w:gridCol w:w="2040"/>
        <w:gridCol w:w="233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24"/>
                <w:lang w:eastAsia="zh-CN"/>
              </w:rPr>
              <w:t>事项类型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24"/>
                <w:lang w:eastAsia="zh-CN"/>
              </w:rPr>
              <w:t>事项名称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24"/>
                <w:lang w:eastAsia="zh-CN"/>
              </w:rPr>
              <w:t>可适用容缺受理办理的业务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24"/>
                <w:lang w:eastAsia="zh-CN"/>
              </w:rPr>
              <w:t>可适用容缺受理办理的情形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z w:val="24"/>
                <w:lang w:eastAsia="zh-CN"/>
              </w:rPr>
              <w:t>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行政确认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不动产登记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抵押权登记（变更登记）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抵押权登记（首次登记）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3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抵押权登记（注销登记）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4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抵押权登记（转移登记）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5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国有建设用地使用权登记（变更登记）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6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国有建设用地使用权登记（首次登记）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7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国有建设用地使用权登记（注销登记）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8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国有建设用地使用权登记（转移登记）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9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国有建设用地使用权及房屋所有权登记（变更登记）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10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国有建设用地使用权及房屋所有权登记（首次登记）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11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国有建设用地使用权及房屋所有权登记（注销登记）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12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国有建设用地使用权及房屋所有权登记（转移登记）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异议登记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异议登记（注销）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预告登记（变更）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预告登记（设立）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预告登记（注销）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预告登记（转移）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缺少非关键性申请材料或非关键性申请材料存在瑕疵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4"/>
                <w:lang w:eastAsia="zh-CN"/>
              </w:rPr>
              <w:t>对于欠缺的非关键性材料在  年  月  日前补交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DdhYzQ2N2RmMTEzNDA3ZjhkZjRlMjUwMzBlMGQifQ=="/>
  </w:docVars>
  <w:rsids>
    <w:rsidRoot w:val="4FBB590E"/>
    <w:rsid w:val="4FB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2023-04-12T08:46:00Z</dcterms:created>
  <dc:creator>HJ</dc:creator>
  <cp:lastModifiedBy>HJ</cp:lastModifiedBy>
  <dcterms:modified xsi:type="dcterms:W3CDTF">2023-04-12T08:47:08Z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31D7DD63E92D48B9B18DE0A9AA9A6261_11</vt:lpwstr>
  </property>
</Properties>
</file>