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方正小标宋简体" w:hAnsi="方正小标宋简体" w:eastAsia="方正小标宋简体" w:cs="方正小标宋简体"/>
          <w:bCs/>
          <w:sz w:val="38"/>
          <w:szCs w:val="38"/>
        </w:rPr>
      </w:pPr>
      <w:r>
        <w:rPr>
          <w:rFonts w:hint="eastAsia" w:ascii="方正小标宋简体" w:hAnsi="方正小标宋简体" w:eastAsia="方正小标宋简体" w:cs="方正小标宋简体"/>
          <w:bCs/>
          <w:sz w:val="38"/>
          <w:szCs w:val="38"/>
        </w:rPr>
        <w:t>《</w:t>
      </w:r>
      <w:r>
        <w:rPr>
          <w:rFonts w:ascii="方正小标宋简体" w:hAnsi="方正小标宋简体" w:eastAsia="方正小标宋简体" w:cs="方正小标宋简体"/>
          <w:bCs/>
          <w:sz w:val="38"/>
          <w:szCs w:val="38"/>
        </w:rPr>
        <w:t>汕尾市综合交通运输体系</w:t>
      </w:r>
      <w:r>
        <w:rPr>
          <w:rFonts w:hint="eastAsia" w:ascii="方正小标宋简体" w:hAnsi="方正小标宋简体" w:eastAsia="方正小标宋简体" w:cs="方正小标宋简体"/>
          <w:bCs/>
          <w:sz w:val="38"/>
          <w:szCs w:val="38"/>
          <w:lang w:eastAsia="zh-CN"/>
        </w:rPr>
        <w:t>“十五五”</w:t>
      </w:r>
      <w:r>
        <w:rPr>
          <w:rFonts w:ascii="方正小标宋简体" w:hAnsi="方正小标宋简体" w:eastAsia="方正小标宋简体" w:cs="方正小标宋简体"/>
          <w:bCs/>
          <w:sz w:val="38"/>
          <w:szCs w:val="38"/>
        </w:rPr>
        <w:t>发展规划</w:t>
      </w:r>
      <w:r>
        <w:rPr>
          <w:rFonts w:hint="eastAsia" w:ascii="方正小标宋简体" w:hAnsi="方正小标宋简体" w:eastAsia="方正小标宋简体" w:cs="方正小标宋简体"/>
          <w:bCs/>
          <w:sz w:val="38"/>
          <w:szCs w:val="38"/>
        </w:rPr>
        <w:t>》</w:t>
      </w:r>
    </w:p>
    <w:p>
      <w:pPr>
        <w:spacing w:line="580" w:lineRule="exact"/>
        <w:jc w:val="center"/>
        <w:rPr>
          <w:rFonts w:hint="eastAsia" w:ascii="方正小标宋简体" w:hAnsi="方正小标宋简体" w:eastAsia="方正小标宋简体" w:cs="方正小标宋简体"/>
          <w:bCs/>
          <w:sz w:val="38"/>
          <w:szCs w:val="38"/>
        </w:rPr>
      </w:pPr>
      <w:r>
        <w:rPr>
          <w:rFonts w:hint="eastAsia" w:ascii="方正小标宋简体" w:hAnsi="方正小标宋简体" w:eastAsia="方正小标宋简体" w:cs="方正小标宋简体"/>
          <w:bCs/>
          <w:sz w:val="38"/>
          <w:szCs w:val="38"/>
        </w:rPr>
        <w:t>起草说明</w:t>
      </w:r>
    </w:p>
    <w:p>
      <w:pPr>
        <w:pStyle w:val="8"/>
        <w:rPr>
          <w:rFonts w:ascii="Times New Roman" w:hAnsi="Times New Roman" w:eastAsia="仿宋_GB2312" w:cs="Times New Roman"/>
          <w:sz w:val="32"/>
          <w:szCs w:val="32"/>
        </w:rPr>
      </w:pPr>
    </w:p>
    <w:p>
      <w:pPr>
        <w:autoSpaceDE w:val="0"/>
        <w:autoSpaceDN w:val="0"/>
        <w:adjustRightInd w:val="0"/>
        <w:spacing w:line="560" w:lineRule="exact"/>
        <w:ind w:firstLine="640" w:firstLineChars="200"/>
        <w:jc w:val="both"/>
        <w:rPr>
          <w:rFonts w:hint="eastAsia" w:ascii="黑体" w:hAnsi="黑体" w:eastAsia="黑体" w:cs="黑体"/>
          <w:sz w:val="32"/>
          <w:szCs w:val="32"/>
        </w:rPr>
      </w:pPr>
      <w:r>
        <w:rPr>
          <w:rFonts w:hint="eastAsia" w:ascii="黑体" w:hAnsi="黑体" w:eastAsia="黑体" w:cs="黑体"/>
          <w:sz w:val="32"/>
          <w:szCs w:val="32"/>
        </w:rPr>
        <w:t>一、编制背景</w:t>
      </w:r>
    </w:p>
    <w:p>
      <w:pPr>
        <w:autoSpaceDE w:val="0"/>
        <w:autoSpaceDN w:val="0"/>
        <w:adjustRightInd w:val="0"/>
        <w:spacing w:line="560" w:lineRule="exact"/>
        <w:ind w:firstLine="640" w:firstLineChars="200"/>
        <w:jc w:val="both"/>
        <w:rPr>
          <w:rFonts w:ascii="Times New Roman" w:hAnsi="Times New Roman" w:eastAsia="仿宋_GB2312" w:cs="Times New Roman"/>
          <w:sz w:val="32"/>
          <w:szCs w:val="32"/>
        </w:rPr>
      </w:pPr>
      <w:r>
        <w:rPr>
          <w:rFonts w:hint="eastAsia" w:ascii="仿宋_GB2312" w:hAnsi="仿宋_GB2312" w:eastAsia="仿宋_GB2312" w:cs="仿宋_GB2312"/>
          <w:sz w:val="32"/>
          <w:szCs w:val="32"/>
        </w:rPr>
        <w:t>交通运输是中国式现代化的开路先锋。为完善汕尾市现代化综合交通运输体系，支撑汕尾市经济实现跨越式发展，根据《广东省综合交通运输体系发展</w:t>
      </w:r>
      <w:r>
        <w:rPr>
          <w:rFonts w:hint="eastAsia" w:ascii="仿宋_GB2312" w:hAnsi="仿宋_GB2312" w:eastAsia="仿宋_GB2312" w:cs="仿宋_GB2312"/>
          <w:sz w:val="32"/>
          <w:szCs w:val="32"/>
          <w:lang w:eastAsia="zh-CN"/>
        </w:rPr>
        <w:t>“十五五”</w:t>
      </w:r>
      <w:r>
        <w:rPr>
          <w:rFonts w:hint="eastAsia" w:ascii="仿宋_GB2312" w:hAnsi="仿宋_GB2312" w:eastAsia="仿宋_GB2312" w:cs="仿宋_GB2312"/>
          <w:sz w:val="32"/>
          <w:szCs w:val="32"/>
        </w:rPr>
        <w:t>规划》《汕尾市国民经济和社会发展第十五个五年规划纲要》等上位规划，我局组织开展了《汕尾市综合交通运输体系</w:t>
      </w:r>
      <w:r>
        <w:rPr>
          <w:rFonts w:hint="eastAsia" w:ascii="仿宋_GB2312" w:hAnsi="仿宋_GB2312" w:eastAsia="仿宋_GB2312" w:cs="仿宋_GB2312"/>
          <w:sz w:val="32"/>
          <w:szCs w:val="32"/>
          <w:lang w:eastAsia="zh-CN"/>
        </w:rPr>
        <w:t>“十五五”</w:t>
      </w:r>
      <w:r>
        <w:rPr>
          <w:rFonts w:hint="eastAsia" w:ascii="仿宋_GB2312" w:hAnsi="仿宋_GB2312" w:eastAsia="仿宋_GB2312" w:cs="仿宋_GB2312"/>
          <w:sz w:val="32"/>
          <w:szCs w:val="32"/>
        </w:rPr>
        <w:t>发展规划》（以下简称《规划》）编制工作。</w:t>
      </w:r>
    </w:p>
    <w:p>
      <w:pPr>
        <w:autoSpaceDE w:val="0"/>
        <w:autoSpaceDN w:val="0"/>
        <w:adjustRightInd w:val="0"/>
        <w:spacing w:line="560" w:lineRule="exact"/>
        <w:ind w:firstLine="640" w:firstLineChars="200"/>
        <w:jc w:val="both"/>
        <w:rPr>
          <w:rFonts w:hint="eastAsia" w:ascii="黑体" w:hAnsi="黑体" w:eastAsia="黑体" w:cs="黑体"/>
          <w:sz w:val="32"/>
          <w:szCs w:val="32"/>
        </w:rPr>
      </w:pPr>
      <w:r>
        <w:rPr>
          <w:rFonts w:ascii="黑体" w:hAnsi="黑体" w:eastAsia="黑体" w:cs="黑体"/>
          <w:sz w:val="32"/>
          <w:szCs w:val="32"/>
        </w:rPr>
        <w:t>二、编制过程</w:t>
      </w:r>
    </w:p>
    <w:p>
      <w:pPr>
        <w:autoSpaceDE w:val="0"/>
        <w:autoSpaceDN w:val="0"/>
        <w:adjustRightInd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2026年4月形成《规划》初稿；2026年5月《规划》完成市交通运输局各科室及各区县交通运输局意见征求；2026年7月完成各区县人民政府及有关市直单位意见征求；2026年9月通过我局组织的专家评审论证。</w:t>
      </w:r>
    </w:p>
    <w:p>
      <w:pPr>
        <w:autoSpaceDE w:val="0"/>
        <w:autoSpaceDN w:val="0"/>
        <w:adjustRightInd w:val="0"/>
        <w:spacing w:line="560" w:lineRule="exact"/>
        <w:ind w:firstLine="640" w:firstLineChars="200"/>
        <w:jc w:val="both"/>
        <w:rPr>
          <w:rFonts w:hint="default" w:ascii="黑体" w:hAnsi="黑体" w:eastAsia="黑体" w:cs="黑体"/>
          <w:sz w:val="32"/>
          <w:szCs w:val="32"/>
          <w:lang w:val="en-US" w:eastAsia="zh-CN"/>
        </w:rPr>
      </w:pPr>
      <w:r>
        <w:rPr>
          <w:rFonts w:ascii="黑体" w:hAnsi="黑体" w:eastAsia="黑体" w:cs="黑体"/>
          <w:sz w:val="32"/>
          <w:szCs w:val="32"/>
        </w:rPr>
        <w:t>三、征求意见</w:t>
      </w:r>
      <w:r>
        <w:rPr>
          <w:rFonts w:hint="eastAsia" w:ascii="黑体" w:hAnsi="黑体" w:eastAsia="黑体" w:cs="黑体"/>
          <w:sz w:val="32"/>
          <w:szCs w:val="32"/>
          <w:lang w:val="en-US" w:eastAsia="zh-CN"/>
        </w:rPr>
        <w:t>及采纳情况</w:t>
      </w:r>
    </w:p>
    <w:p>
      <w:pPr>
        <w:autoSpaceDE w:val="0"/>
        <w:autoSpaceDN w:val="0"/>
        <w:adjustRightInd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2026年7月，《规划》征求意见稿征求各区县人民政府及有关市直单位意见，共收集到27条意见建议，其中涉及项目规模、要素保障、布局表述调整等内容均予以采纳并作了相应修改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涉及市财政局提出的“建议省道S241线汕尾城区后径至北山段改建工程不纳入《规划》”意见未采纳，由于项目已完成立项，拟保留规划未来落实政策后实施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涉及市住建局提出的“建议将明珠大道北段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自工业大道至埔边高速路口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作为快速路纳入《规划》”意见未采纳，市政道路均不纳入《规划》。</w:t>
      </w:r>
    </w:p>
    <w:p>
      <w:pPr>
        <w:autoSpaceDE w:val="0"/>
        <w:autoSpaceDN w:val="0"/>
        <w:adjustRightInd w:val="0"/>
        <w:spacing w:line="560" w:lineRule="exact"/>
        <w:ind w:firstLine="640" w:firstLineChars="200"/>
        <w:jc w:val="both"/>
        <w:rPr>
          <w:rFonts w:hint="eastAsia" w:ascii="黑体" w:hAnsi="黑体" w:eastAsia="黑体" w:cs="黑体"/>
          <w:sz w:val="32"/>
          <w:szCs w:val="32"/>
        </w:rPr>
      </w:pPr>
      <w:r>
        <w:rPr>
          <w:rFonts w:hint="eastAsia" w:ascii="黑体" w:hAnsi="黑体" w:eastAsia="黑体" w:cs="黑体"/>
          <w:sz w:val="32"/>
          <w:szCs w:val="32"/>
          <w:lang w:val="en-US" w:eastAsia="zh-CN"/>
        </w:rPr>
        <w:t>四</w:t>
      </w:r>
      <w:r>
        <w:rPr>
          <w:rFonts w:ascii="黑体" w:hAnsi="黑体" w:eastAsia="黑体" w:cs="黑体"/>
          <w:sz w:val="32"/>
          <w:szCs w:val="32"/>
        </w:rPr>
        <w:t>、专家评审情况</w:t>
      </w:r>
    </w:p>
    <w:p>
      <w:pPr>
        <w:pStyle w:val="18"/>
        <w:spacing w:line="560" w:lineRule="exact"/>
        <w:ind w:firstLine="640" w:firstLineChars="200"/>
        <w:jc w:val="both"/>
        <w:rPr>
          <w:rFonts w:ascii="Times New Roman" w:hAnsi="Times New Roman" w:eastAsia="仿宋_GB2312" w:cs="Times New Roman"/>
          <w:color w:val="auto"/>
          <w:sz w:val="32"/>
          <w:szCs w:val="32"/>
        </w:rPr>
      </w:pPr>
      <w:r>
        <w:rPr>
          <w:rFonts w:hint="eastAsia" w:ascii="仿宋_GB2312" w:hAnsi="仿宋_GB2312" w:eastAsia="仿宋_GB2312" w:cs="仿宋_GB2312"/>
          <w:color w:val="auto"/>
          <w:kern w:val="2"/>
          <w:sz w:val="32"/>
          <w:szCs w:val="32"/>
          <w:lang w:val="en-US" w:eastAsia="zh-CN" w:bidi="ar-SA"/>
        </w:rPr>
        <w:t>2026年9月，邀请有关专家及各单位代表召开评审会，按照专家意见进一步加强与上位规划、国土空间规划的衔接，完善规划发展指标，优化项目表。</w:t>
      </w:r>
    </w:p>
    <w:p>
      <w:pPr>
        <w:autoSpaceDE w:val="0"/>
        <w:autoSpaceDN w:val="0"/>
        <w:adjustRightInd w:val="0"/>
        <w:spacing w:line="560" w:lineRule="exact"/>
        <w:ind w:firstLine="640" w:firstLineChars="200"/>
        <w:jc w:val="both"/>
        <w:rPr>
          <w:rFonts w:hint="eastAsia" w:ascii="黑体" w:hAnsi="黑体" w:eastAsia="黑体" w:cs="黑体"/>
          <w:sz w:val="32"/>
          <w:szCs w:val="32"/>
        </w:rPr>
      </w:pPr>
      <w:r>
        <w:rPr>
          <w:rFonts w:hint="eastAsia" w:ascii="黑体" w:hAnsi="黑体" w:eastAsia="黑体" w:cs="黑体"/>
          <w:sz w:val="32"/>
          <w:szCs w:val="32"/>
          <w:lang w:val="en-US" w:eastAsia="zh-CN"/>
        </w:rPr>
        <w:t>五</w:t>
      </w:r>
      <w:r>
        <w:rPr>
          <w:rFonts w:ascii="黑体" w:hAnsi="黑体" w:eastAsia="黑体" w:cs="黑体"/>
          <w:sz w:val="32"/>
          <w:szCs w:val="32"/>
        </w:rPr>
        <w:t>、规划主要内容</w:t>
      </w:r>
    </w:p>
    <w:p>
      <w:pPr>
        <w:pStyle w:val="18"/>
        <w:spacing w:line="560" w:lineRule="exact"/>
        <w:ind w:firstLine="640" w:firstLineChars="200"/>
        <w:jc w:val="both"/>
        <w:rPr>
          <w:rFonts w:hint="eastAsia" w:ascii="楷体_GB2312" w:hAnsi="Times New Roman" w:eastAsia="楷体_GB2312" w:cs="Times New Roman"/>
          <w:color w:val="auto"/>
          <w:kern w:val="2"/>
          <w:sz w:val="32"/>
          <w:szCs w:val="32"/>
          <w:lang w:eastAsia="zh-CN"/>
        </w:rPr>
      </w:pPr>
      <w:r>
        <w:rPr>
          <w:rFonts w:hint="eastAsia" w:ascii="楷体_GB2312" w:hAnsi="Times New Roman" w:eastAsia="楷体_GB2312" w:cs="Times New Roman"/>
          <w:color w:val="auto"/>
          <w:kern w:val="2"/>
          <w:sz w:val="32"/>
          <w:szCs w:val="32"/>
        </w:rPr>
        <w:t>（一）编制</w:t>
      </w:r>
      <w:r>
        <w:rPr>
          <w:rFonts w:hint="eastAsia" w:ascii="楷体_GB2312" w:hAnsi="Times New Roman" w:eastAsia="楷体_GB2312" w:cs="Times New Roman"/>
          <w:color w:val="auto"/>
          <w:kern w:val="2"/>
          <w:sz w:val="32"/>
          <w:szCs w:val="32"/>
          <w:lang w:val="en-US" w:eastAsia="zh-CN"/>
        </w:rPr>
        <w:t>必要性</w:t>
      </w:r>
    </w:p>
    <w:p>
      <w:pPr>
        <w:pStyle w:val="18"/>
        <w:spacing w:line="560" w:lineRule="exact"/>
        <w:ind w:firstLine="640" w:firstLineChars="200"/>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十五五”时期，是我国基本实现社会主义现代化发展阶段中承上启下的五年，是广东省进一步推动高质量发展，实现在推进中国式现代化中走在前列使命任务的关键时期。国家层面，党的二十大报告指出，要加快建设交通强国。省级层面，“百县千镇万村高质量发展工程”、《广东省综合立体交通网规划纲要》对交通发展提出要求，指明方向。省委书记黄坤明在汕尾调研时，强调要聚力做实做强承接大湾区辐射、联动东海岸发展的桥头堡功能，抓住机遇加快发展、后发赶超，为促进全省城乡区域协调发展作出更大贡献。2025年1月，广东省第十四届人民代表大会第三次会议召开，“支持汕尾做实做强西承东联桥头堡，支持老区苏区振兴发展”被写入2025年广东省政府工作报告。市级层面，2025年12月，汕尾市第八届委员会第十次全体会议审议通过了《中共汕尾市委关于制定汕尾市国民经济和社会发展第十五个五年规划的建议》，提出了“再造一个新汕尾”总目标，擘画了汕尾“一轴四组团”发展格局，提出坚持“核心集聚、组团推进、陆海一体”的发展策略。</w:t>
      </w:r>
    </w:p>
    <w:p>
      <w:pPr>
        <w:pStyle w:val="18"/>
        <w:spacing w:line="560" w:lineRule="exact"/>
        <w:ind w:firstLine="640" w:firstLineChars="200"/>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为深入贯彻党的二十大和二十届历次全会精神，全面落实习近平总书记视察广东重要讲话、重要指示精神，落实《交通强国建设纲要》《国家综合立体交通网规划纲要》，实现“百县千镇万村高质量发展工程”目标，做好与《广东省综合立体交通网规划纲要》衔接，锚定省委赋予汕尾市“西承东联桥头堡，东海岸重要支点”全新发展定位，为汕尾经济社会发展提供坚实交通支撑，编制《规划》意义重大。</w:t>
      </w:r>
    </w:p>
    <w:p>
      <w:pPr>
        <w:pStyle w:val="18"/>
        <w:spacing w:line="560" w:lineRule="exact"/>
        <w:ind w:firstLine="640" w:firstLineChars="200"/>
        <w:jc w:val="both"/>
        <w:rPr>
          <w:rFonts w:hint="eastAsia" w:ascii="楷体_GB2312" w:hAnsi="Times New Roman" w:eastAsia="楷体_GB2312" w:cs="Times New Roman"/>
          <w:color w:val="auto"/>
          <w:kern w:val="2"/>
          <w:sz w:val="32"/>
          <w:szCs w:val="32"/>
        </w:rPr>
      </w:pPr>
      <w:r>
        <w:rPr>
          <w:rFonts w:hint="eastAsia" w:ascii="楷体_GB2312" w:hAnsi="Times New Roman" w:eastAsia="楷体_GB2312" w:cs="Times New Roman"/>
          <w:color w:val="auto"/>
          <w:kern w:val="2"/>
          <w:sz w:val="32"/>
          <w:szCs w:val="32"/>
        </w:rPr>
        <w:t>（二）</w:t>
      </w:r>
      <w:r>
        <w:rPr>
          <w:rFonts w:hint="eastAsia" w:ascii="楷体_GB2312" w:hAnsi="Times New Roman" w:eastAsia="楷体_GB2312" w:cs="Times New Roman"/>
          <w:color w:val="auto"/>
          <w:kern w:val="2"/>
          <w:sz w:val="32"/>
          <w:szCs w:val="32"/>
          <w:lang w:eastAsia="zh-CN"/>
        </w:rPr>
        <w:t>“十五五”</w:t>
      </w:r>
      <w:r>
        <w:rPr>
          <w:rFonts w:hint="eastAsia" w:ascii="楷体_GB2312" w:hAnsi="Times New Roman" w:eastAsia="楷体_GB2312" w:cs="Times New Roman"/>
          <w:color w:val="auto"/>
          <w:kern w:val="2"/>
          <w:sz w:val="32"/>
          <w:szCs w:val="32"/>
        </w:rPr>
        <w:t>时期总体考量</w:t>
      </w:r>
    </w:p>
    <w:p>
      <w:pPr>
        <w:pStyle w:val="18"/>
        <w:spacing w:line="560" w:lineRule="exact"/>
        <w:ind w:firstLine="640" w:firstLineChars="200"/>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汕尾市国民经济和社会发展第十五个五年规划纲要》提出，到“十五五”期末，全市经济总量突破2500亿元、力争达到3000亿元。汕尾交通应当在实现这一目标的过程中，提供持续、稳定、强大的助推力，当好经济跨越式发展的重要支撑。</w:t>
      </w:r>
    </w:p>
    <w:p>
      <w:pPr>
        <w:pStyle w:val="18"/>
        <w:spacing w:line="560" w:lineRule="exact"/>
        <w:ind w:firstLine="640" w:firstLineChars="200"/>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汕尾市“十五五”交通发展核心任务是实现从通道节点向区域枢纽支点转型。从发展战略层面而言，要大力发展港口经济，持续扩能高铁经济，加力做大物流经济，前瞻布局低空经济。</w:t>
      </w:r>
    </w:p>
    <w:p>
      <w:pPr>
        <w:pStyle w:val="18"/>
        <w:spacing w:line="560" w:lineRule="exact"/>
        <w:ind w:firstLine="640" w:firstLineChars="200"/>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就基础设施指标而言，《规划》提出的目标是，到2030年，汕尾市公路通车里程达到6100公里，其中高速公路通车里程达到235公里，普通国道一级公路比例达到45%，普通国道二级及以上比例达到100%，普通省道三级及以上比例达到90%，县道三级及以上比例达到80%，港口生产用码头泊位数达到15个，港口货物吞吐量达到3500万吨。</w:t>
      </w:r>
    </w:p>
    <w:p>
      <w:pPr>
        <w:pStyle w:val="18"/>
        <w:spacing w:line="560" w:lineRule="exact"/>
        <w:ind w:firstLine="640" w:firstLineChars="200"/>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就时效性指标而言，《规划》提出打造“4060180”出行交通圈（40分钟直达惠州、深圳及汕潮揭都市圈核心区，60分钟直达广州、东莞，180分钟通达省内其他城市），“152060”市内出行交通圈（中心镇区15分钟内上高速公路，大型产业集聚区20分钟内到高速公路出入口，城区、县城及中心镇60分钟内上高铁），“1123”快货物流圈（市内当天送达，省内1天送达，国内及东南亚主要城市2天送达，全球主要城市3天送达）。</w:t>
      </w:r>
    </w:p>
    <w:p>
      <w:pPr>
        <w:pStyle w:val="18"/>
        <w:spacing w:line="560" w:lineRule="exact"/>
        <w:ind w:firstLine="640" w:firstLineChars="200"/>
        <w:jc w:val="both"/>
        <w:rPr>
          <w:rFonts w:hint="eastAsia" w:ascii="楷体_GB2312" w:hAnsi="Times New Roman" w:eastAsia="楷体_GB2312" w:cs="Times New Roman"/>
          <w:color w:val="auto"/>
          <w:kern w:val="2"/>
          <w:sz w:val="32"/>
          <w:szCs w:val="32"/>
        </w:rPr>
      </w:pPr>
      <w:r>
        <w:rPr>
          <w:rFonts w:hint="eastAsia" w:ascii="楷体_GB2312" w:hAnsi="Times New Roman" w:eastAsia="楷体_GB2312" w:cs="Times New Roman"/>
          <w:color w:val="auto"/>
          <w:kern w:val="2"/>
          <w:sz w:val="32"/>
          <w:szCs w:val="32"/>
        </w:rPr>
        <w:t>（三）重点任务</w:t>
      </w:r>
    </w:p>
    <w:p>
      <w:pPr>
        <w:pStyle w:val="18"/>
        <w:spacing w:line="560" w:lineRule="exact"/>
        <w:ind w:firstLine="640" w:firstLineChars="200"/>
        <w:jc w:val="both"/>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《规划》共形成7个方面，22项具体任务。</w:t>
      </w:r>
    </w:p>
    <w:p>
      <w:pPr>
        <w:pStyle w:val="18"/>
        <w:spacing w:line="560" w:lineRule="exact"/>
        <w:ind w:firstLine="640" w:firstLineChars="200"/>
        <w:jc w:val="both"/>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1.完善综合交通通道网络布局。包括四项具体任务。一是完善外联内畅的高快速路布局。二是建设品质优良的普通国省干线。三是推进广覆深达的农村公路升级。四是推动稳运恒通的铁路通道落成。</w:t>
      </w:r>
    </w:p>
    <w:p>
      <w:pPr>
        <w:pStyle w:val="18"/>
        <w:spacing w:line="560" w:lineRule="exact"/>
        <w:ind w:firstLine="640" w:firstLineChars="200"/>
        <w:jc w:val="both"/>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2.打造粤东重要区域枢纽支点。包括四项任务。一是推进现代集约的港口枢纽建设。二是谋划服务多元的机场枢纽建设。三是健全人享其行的客运交通体系。四是打造系统高效的货运综合枢纽。</w:t>
      </w:r>
    </w:p>
    <w:p>
      <w:pPr>
        <w:pStyle w:val="18"/>
        <w:spacing w:line="560" w:lineRule="exact"/>
        <w:ind w:firstLine="640" w:firstLineChars="200"/>
        <w:jc w:val="both"/>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3.提升综合交通运输服务质效。包括三项具体任务。一是拓展普惠共享的末端寄递格局。二是加强城乡与公共交通服务建设。三是为低空经济对标进位夯基垒台。</w:t>
      </w:r>
    </w:p>
    <w:p>
      <w:pPr>
        <w:pStyle w:val="18"/>
        <w:spacing w:line="560" w:lineRule="exact"/>
        <w:ind w:firstLine="640" w:firstLineChars="200"/>
        <w:jc w:val="both"/>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4.推动交通产业深度融合发展。包括三项具体任务。一是交旅融合发展提升城市吸引力。二是交能融合发展发掘行业新动能。三是站城融合发展打造城市新地标。</w:t>
      </w:r>
    </w:p>
    <w:p>
      <w:pPr>
        <w:pStyle w:val="18"/>
        <w:spacing w:line="560" w:lineRule="exact"/>
        <w:ind w:firstLine="640" w:firstLineChars="200"/>
        <w:jc w:val="both"/>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5.夯实平安汕尾交通安全韧性。包括三项具体任务。一是提高交通设施本质安全水平。二是提升行业安全运行监管能力。三是完善综合交通应急保障体系。</w:t>
      </w:r>
    </w:p>
    <w:p>
      <w:pPr>
        <w:pStyle w:val="18"/>
        <w:spacing w:line="560" w:lineRule="exact"/>
        <w:ind w:firstLine="640" w:firstLineChars="200"/>
        <w:jc w:val="both"/>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6.打造绿美低碳交通汕尾样板。包括三项具体任务。一是建设绿色低碳交通基础设施。二是加快低碳运输装备推广应用。三是深化交通运输污染防控治理。</w:t>
      </w:r>
    </w:p>
    <w:p>
      <w:pPr>
        <w:pStyle w:val="18"/>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rPr>
        <w:t>7.加快推进交通行业数智赋能。包括两项具体任务。一是构建城市智慧出行服务体系。二是发展智慧物流实现降本增效</w:t>
      </w:r>
      <w:r>
        <w:rPr>
          <w:rFonts w:hint="eastAsia" w:ascii="仿宋_GB2312" w:hAnsi="仿宋_GB2312" w:eastAsia="仿宋_GB2312" w:cs="仿宋_GB2312"/>
          <w:color w:val="auto"/>
          <w:sz w:val="32"/>
          <w:szCs w:val="32"/>
        </w:rPr>
        <w:t>。</w:t>
      </w:r>
    </w:p>
    <w:p>
      <w:pPr>
        <w:pStyle w:val="18"/>
        <w:spacing w:line="560" w:lineRule="exact"/>
        <w:ind w:firstLine="640" w:firstLineChars="200"/>
        <w:jc w:val="both"/>
        <w:rPr>
          <w:rFonts w:hint="default" w:ascii="楷体_GB2312" w:hAnsi="Times New Roman" w:eastAsia="楷体_GB2312" w:cs="Times New Roman"/>
          <w:color w:val="auto"/>
          <w:kern w:val="2"/>
          <w:sz w:val="32"/>
          <w:szCs w:val="32"/>
          <w:lang w:val="en-US" w:eastAsia="zh-CN"/>
        </w:rPr>
      </w:pPr>
      <w:r>
        <w:rPr>
          <w:rFonts w:hint="eastAsia" w:ascii="楷体_GB2312" w:hAnsi="Times New Roman" w:eastAsia="楷体_GB2312" w:cs="Times New Roman"/>
          <w:color w:val="auto"/>
          <w:kern w:val="2"/>
          <w:sz w:val="32"/>
          <w:szCs w:val="32"/>
        </w:rPr>
        <w:t>（四）</w:t>
      </w:r>
      <w:r>
        <w:rPr>
          <w:rFonts w:hint="eastAsia" w:ascii="楷体_GB2312" w:hAnsi="Times New Roman" w:eastAsia="楷体_GB2312" w:cs="Times New Roman"/>
          <w:color w:val="auto"/>
          <w:kern w:val="2"/>
          <w:sz w:val="32"/>
          <w:szCs w:val="32"/>
          <w:lang w:val="en-US" w:eastAsia="zh-CN"/>
        </w:rPr>
        <w:t>重大项目和投资安排</w:t>
      </w:r>
    </w:p>
    <w:p>
      <w:pPr>
        <w:pStyle w:val="18"/>
        <w:spacing w:line="560" w:lineRule="exact"/>
        <w:ind w:firstLine="640" w:firstLineChars="200"/>
        <w:jc w:val="both"/>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《规划》纳入项目89项，总投资637.2亿元，</w:t>
      </w:r>
      <w:r>
        <w:rPr>
          <w:rFonts w:hint="eastAsia" w:ascii="仿宋_GB2312" w:hAnsi="仿宋_GB2312" w:eastAsia="仿宋_GB2312" w:cs="仿宋_GB2312"/>
          <w:color w:val="auto"/>
          <w:kern w:val="2"/>
          <w:sz w:val="32"/>
          <w:szCs w:val="32"/>
          <w:lang w:eastAsia="zh-CN"/>
        </w:rPr>
        <w:t>“十五五”</w:t>
      </w:r>
      <w:r>
        <w:rPr>
          <w:rFonts w:hint="eastAsia" w:ascii="仿宋_GB2312" w:hAnsi="仿宋_GB2312" w:eastAsia="仿宋_GB2312" w:cs="仿宋_GB2312"/>
          <w:color w:val="auto"/>
          <w:kern w:val="2"/>
          <w:sz w:val="32"/>
          <w:szCs w:val="32"/>
        </w:rPr>
        <w:t>期</w:t>
      </w:r>
      <w:r>
        <w:rPr>
          <w:rFonts w:hint="eastAsia" w:ascii="仿宋_GB2312" w:hAnsi="仿宋_GB2312" w:eastAsia="仿宋_GB2312" w:cs="仿宋_GB2312"/>
          <w:color w:val="auto"/>
          <w:kern w:val="2"/>
          <w:sz w:val="32"/>
          <w:szCs w:val="32"/>
          <w:highlight w:val="none"/>
        </w:rPr>
        <w:t>投资约367.</w:t>
      </w:r>
      <w:r>
        <w:rPr>
          <w:rFonts w:hint="default" w:ascii="仿宋_GB2312" w:hAnsi="仿宋_GB2312" w:eastAsia="仿宋_GB2312" w:cs="仿宋_GB2312"/>
          <w:color w:val="auto"/>
          <w:kern w:val="2"/>
          <w:sz w:val="32"/>
          <w:szCs w:val="32"/>
          <w:highlight w:val="none"/>
          <w:lang w:val="en-US"/>
        </w:rPr>
        <w:t>2</w:t>
      </w:r>
      <w:r>
        <w:rPr>
          <w:rFonts w:hint="eastAsia" w:ascii="仿宋_GB2312" w:hAnsi="仿宋_GB2312" w:eastAsia="仿宋_GB2312" w:cs="仿宋_GB2312"/>
          <w:color w:val="auto"/>
          <w:kern w:val="2"/>
          <w:sz w:val="32"/>
          <w:szCs w:val="32"/>
          <w:highlight w:val="none"/>
        </w:rPr>
        <w:t>亿元。其中，铁路项目1项，总投资26.8亿元，</w:t>
      </w:r>
      <w:r>
        <w:rPr>
          <w:rFonts w:hint="eastAsia" w:ascii="仿宋_GB2312" w:hAnsi="仿宋_GB2312" w:eastAsia="仿宋_GB2312" w:cs="仿宋_GB2312"/>
          <w:color w:val="auto"/>
          <w:kern w:val="2"/>
          <w:sz w:val="32"/>
          <w:szCs w:val="32"/>
          <w:highlight w:val="none"/>
          <w:lang w:eastAsia="zh-CN"/>
        </w:rPr>
        <w:t>“十五五”</w:t>
      </w:r>
      <w:r>
        <w:rPr>
          <w:rFonts w:hint="eastAsia" w:ascii="仿宋_GB2312" w:hAnsi="仿宋_GB2312" w:eastAsia="仿宋_GB2312" w:cs="仿宋_GB2312"/>
          <w:color w:val="auto"/>
          <w:kern w:val="2"/>
          <w:sz w:val="32"/>
          <w:szCs w:val="32"/>
          <w:highlight w:val="none"/>
        </w:rPr>
        <w:t>期投资约</w:t>
      </w:r>
      <w:r>
        <w:rPr>
          <w:rFonts w:hint="default" w:ascii="仿宋_GB2312" w:hAnsi="仿宋_GB2312" w:eastAsia="仿宋_GB2312" w:cs="仿宋_GB2312"/>
          <w:color w:val="auto"/>
          <w:kern w:val="2"/>
          <w:sz w:val="32"/>
          <w:szCs w:val="32"/>
          <w:highlight w:val="none"/>
          <w:lang w:val="en-US"/>
        </w:rPr>
        <w:t>20</w:t>
      </w:r>
      <w:r>
        <w:rPr>
          <w:rFonts w:hint="eastAsia" w:ascii="仿宋_GB2312" w:hAnsi="仿宋_GB2312" w:eastAsia="仿宋_GB2312" w:cs="仿宋_GB2312"/>
          <w:color w:val="auto"/>
          <w:kern w:val="2"/>
          <w:sz w:val="32"/>
          <w:szCs w:val="32"/>
          <w:highlight w:val="none"/>
        </w:rPr>
        <w:t>亿元</w:t>
      </w:r>
      <w:r>
        <w:rPr>
          <w:rFonts w:hint="eastAsia" w:ascii="仿宋_GB2312" w:hAnsi="仿宋_GB2312" w:eastAsia="仿宋_GB2312" w:cs="仿宋_GB2312"/>
          <w:color w:val="auto"/>
          <w:kern w:val="2"/>
          <w:sz w:val="32"/>
          <w:szCs w:val="32"/>
        </w:rPr>
        <w:t>。公路项目63项，总投资309.2亿元，</w:t>
      </w:r>
      <w:r>
        <w:rPr>
          <w:rFonts w:hint="eastAsia" w:ascii="仿宋_GB2312" w:hAnsi="仿宋_GB2312" w:eastAsia="仿宋_GB2312" w:cs="仿宋_GB2312"/>
          <w:color w:val="auto"/>
          <w:kern w:val="2"/>
          <w:sz w:val="32"/>
          <w:szCs w:val="32"/>
          <w:lang w:eastAsia="zh-CN"/>
        </w:rPr>
        <w:t>“十五五”</w:t>
      </w:r>
      <w:r>
        <w:rPr>
          <w:rFonts w:hint="eastAsia" w:ascii="仿宋_GB2312" w:hAnsi="仿宋_GB2312" w:eastAsia="仿宋_GB2312" w:cs="仿宋_GB2312"/>
          <w:color w:val="auto"/>
          <w:kern w:val="2"/>
          <w:sz w:val="32"/>
          <w:szCs w:val="32"/>
        </w:rPr>
        <w:t>期投资约156.3亿元。港口码头项目5项，总投资109.9亿元，</w:t>
      </w:r>
      <w:r>
        <w:rPr>
          <w:rFonts w:hint="eastAsia" w:ascii="仿宋_GB2312" w:hAnsi="仿宋_GB2312" w:eastAsia="仿宋_GB2312" w:cs="仿宋_GB2312"/>
          <w:color w:val="auto"/>
          <w:kern w:val="2"/>
          <w:sz w:val="32"/>
          <w:szCs w:val="32"/>
          <w:lang w:eastAsia="zh-CN"/>
        </w:rPr>
        <w:t>“十五五”</w:t>
      </w:r>
      <w:r>
        <w:rPr>
          <w:rFonts w:hint="eastAsia" w:ascii="仿宋_GB2312" w:hAnsi="仿宋_GB2312" w:eastAsia="仿宋_GB2312" w:cs="仿宋_GB2312"/>
          <w:color w:val="auto"/>
          <w:kern w:val="2"/>
          <w:sz w:val="32"/>
          <w:szCs w:val="32"/>
        </w:rPr>
        <w:t>期投资约</w:t>
      </w:r>
      <w:r>
        <w:rPr>
          <w:rFonts w:hint="eastAsia" w:ascii="仿宋_GB2312" w:hAnsi="仿宋_GB2312" w:eastAsia="仿宋_GB2312" w:cs="仿宋_GB2312"/>
          <w:color w:val="auto"/>
          <w:kern w:val="2"/>
          <w:sz w:val="32"/>
          <w:szCs w:val="32"/>
          <w:highlight w:val="none"/>
          <w:lang w:val="en-US"/>
        </w:rPr>
        <w:t>84.</w:t>
      </w:r>
      <w:r>
        <w:rPr>
          <w:rFonts w:hint="default" w:ascii="仿宋_GB2312" w:hAnsi="仿宋_GB2312" w:eastAsia="仿宋_GB2312" w:cs="仿宋_GB2312"/>
          <w:color w:val="auto"/>
          <w:kern w:val="2"/>
          <w:sz w:val="32"/>
          <w:szCs w:val="32"/>
          <w:highlight w:val="none"/>
          <w:lang w:val="en-US"/>
        </w:rPr>
        <w:t>8</w:t>
      </w:r>
      <w:r>
        <w:rPr>
          <w:rFonts w:hint="eastAsia" w:ascii="仿宋_GB2312" w:hAnsi="仿宋_GB2312" w:eastAsia="仿宋_GB2312" w:cs="仿宋_GB2312"/>
          <w:color w:val="auto"/>
          <w:kern w:val="2"/>
          <w:sz w:val="32"/>
          <w:szCs w:val="32"/>
          <w:highlight w:val="none"/>
        </w:rPr>
        <w:t>亿元</w:t>
      </w:r>
      <w:r>
        <w:rPr>
          <w:rFonts w:hint="eastAsia" w:ascii="仿宋_GB2312" w:hAnsi="仿宋_GB2312" w:eastAsia="仿宋_GB2312" w:cs="仿宋_GB2312"/>
          <w:color w:val="auto"/>
          <w:kern w:val="2"/>
          <w:sz w:val="32"/>
          <w:szCs w:val="32"/>
        </w:rPr>
        <w:t>。机场项目1项，总投资11.9亿元，</w:t>
      </w:r>
      <w:r>
        <w:rPr>
          <w:rFonts w:hint="eastAsia" w:ascii="仿宋_GB2312" w:hAnsi="仿宋_GB2312" w:eastAsia="仿宋_GB2312" w:cs="仿宋_GB2312"/>
          <w:color w:val="auto"/>
          <w:kern w:val="2"/>
          <w:sz w:val="32"/>
          <w:szCs w:val="32"/>
          <w:lang w:eastAsia="zh-CN"/>
        </w:rPr>
        <w:t>“十五五”</w:t>
      </w:r>
      <w:r>
        <w:rPr>
          <w:rFonts w:hint="eastAsia" w:ascii="仿宋_GB2312" w:hAnsi="仿宋_GB2312" w:eastAsia="仿宋_GB2312" w:cs="仿宋_GB2312"/>
          <w:color w:val="auto"/>
          <w:kern w:val="2"/>
          <w:sz w:val="32"/>
          <w:szCs w:val="32"/>
        </w:rPr>
        <w:t>期投资约8亿元。枢纽站场项目19项，总投资179.4亿元，</w:t>
      </w:r>
      <w:r>
        <w:rPr>
          <w:rFonts w:hint="eastAsia" w:ascii="仿宋_GB2312" w:hAnsi="仿宋_GB2312" w:eastAsia="仿宋_GB2312" w:cs="仿宋_GB2312"/>
          <w:color w:val="auto"/>
          <w:kern w:val="2"/>
          <w:sz w:val="32"/>
          <w:szCs w:val="32"/>
          <w:lang w:eastAsia="zh-CN"/>
        </w:rPr>
        <w:t>“十五五”</w:t>
      </w:r>
      <w:r>
        <w:rPr>
          <w:rFonts w:hint="eastAsia" w:ascii="仿宋_GB2312" w:hAnsi="仿宋_GB2312" w:eastAsia="仿宋_GB2312" w:cs="仿宋_GB2312"/>
          <w:color w:val="auto"/>
          <w:kern w:val="2"/>
          <w:sz w:val="32"/>
          <w:szCs w:val="32"/>
        </w:rPr>
        <w:t>期投资98.1亿元。</w:t>
      </w:r>
    </w:p>
    <w:p>
      <w:pPr>
        <w:pStyle w:val="18"/>
        <w:spacing w:line="560" w:lineRule="exact"/>
        <w:ind w:firstLine="640" w:firstLineChars="200"/>
        <w:jc w:val="both"/>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规划》纳入储备项目99项，总投资963.7亿元。其中，铁路项目4项，总投资277.2亿元。公路项目87项，总投资539.7亿元。港口码头项目4项，总投资81.4亿元。机场项目1项，总投资50亿元。枢纽站场项目3项，总投资15.4亿元。</w:t>
      </w:r>
    </w:p>
    <w:p>
      <w:pPr>
        <w:autoSpaceDE w:val="0"/>
        <w:autoSpaceDN w:val="0"/>
        <w:adjustRightInd w:val="0"/>
        <w:spacing w:line="560" w:lineRule="exact"/>
        <w:ind w:firstLine="640" w:firstLineChars="200"/>
        <w:jc w:val="both"/>
        <w:rPr>
          <w:rFonts w:hint="eastAsia" w:ascii="黑体" w:hAnsi="黑体" w:eastAsia="黑体" w:cs="黑体"/>
          <w:sz w:val="32"/>
          <w:szCs w:val="32"/>
        </w:rPr>
      </w:pPr>
      <w:r>
        <w:rPr>
          <w:rFonts w:hint="eastAsia" w:ascii="黑体" w:hAnsi="黑体" w:eastAsia="黑体" w:cs="黑体"/>
          <w:sz w:val="32"/>
          <w:szCs w:val="32"/>
          <w:lang w:val="en-US" w:eastAsia="zh-CN"/>
        </w:rPr>
        <w:t>六</w:t>
      </w:r>
      <w:r>
        <w:rPr>
          <w:rFonts w:hint="eastAsia" w:ascii="黑体" w:hAnsi="黑体" w:eastAsia="黑体" w:cs="黑体"/>
          <w:sz w:val="32"/>
          <w:szCs w:val="32"/>
        </w:rPr>
        <w:t>、规划衔接情况</w:t>
      </w:r>
    </w:p>
    <w:p>
      <w:pPr>
        <w:pStyle w:val="18"/>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rPr>
        <w:t>《规划》</w:t>
      </w:r>
      <w:r>
        <w:rPr>
          <w:rFonts w:hint="eastAsia" w:ascii="仿宋_GB2312" w:hAnsi="仿宋_GB2312" w:eastAsia="仿宋_GB2312" w:cs="仿宋_GB2312"/>
          <w:color w:val="auto"/>
          <w:sz w:val="32"/>
          <w:szCs w:val="32"/>
        </w:rPr>
        <w:t>严格按照相关程序开展编制工作。本规划衔接的空间规划为《广东省国土空间规划（2021</w:t>
      </w:r>
      <w:r>
        <w:rPr>
          <w:rFonts w:hint="default" w:ascii="仿宋_GB2312" w:hAnsi="仿宋_GB2312" w:eastAsia="仿宋_GB2312" w:cs="仿宋_GB2312"/>
          <w:color w:val="auto"/>
          <w:sz w:val="32"/>
          <w:szCs w:val="32"/>
          <w:lang w:val="en-US"/>
        </w:rPr>
        <w:t>-</w:t>
      </w:r>
      <w:r>
        <w:rPr>
          <w:rFonts w:hint="eastAsia" w:ascii="仿宋_GB2312" w:hAnsi="仿宋_GB2312" w:eastAsia="仿宋_GB2312" w:cs="仿宋_GB2312"/>
          <w:color w:val="auto"/>
          <w:sz w:val="32"/>
          <w:szCs w:val="32"/>
        </w:rPr>
        <w:t>2035年）》《汕尾市国土空间总体规划（2021-2035年）》。</w:t>
      </w:r>
    </w:p>
    <w:p>
      <w:pPr>
        <w:pStyle w:val="18"/>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本规划衔接的交通规划包括《国家中长期铁路网规划》《广东省综合立体交通网规划纲要》《广东省综合交通运输体系发展</w:t>
      </w:r>
      <w:r>
        <w:rPr>
          <w:rFonts w:hint="eastAsia" w:ascii="仿宋_GB2312" w:hAnsi="仿宋_GB2312" w:eastAsia="仿宋_GB2312" w:cs="仿宋_GB2312"/>
          <w:color w:val="auto"/>
          <w:sz w:val="32"/>
          <w:szCs w:val="32"/>
          <w:lang w:eastAsia="zh-CN"/>
        </w:rPr>
        <w:t>“十五五”</w:t>
      </w:r>
      <w:r>
        <w:rPr>
          <w:rFonts w:hint="eastAsia" w:ascii="仿宋_GB2312" w:hAnsi="仿宋_GB2312" w:eastAsia="仿宋_GB2312" w:cs="仿宋_GB2312"/>
          <w:color w:val="auto"/>
          <w:sz w:val="32"/>
          <w:szCs w:val="32"/>
        </w:rPr>
        <w:t>规划》《广东省高速公路网规划（2020-2035年）》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本规划衔接的市级交通专项规划包括《汕尾市综合立体交通网规划（2021-2035年）》《汕尾市公路网规划（2016-2035年）》《汕尾市物流专项规划（2020-2035年）》《汕尾港总体规划（2025-2035年）》。</w:t>
      </w:r>
    </w:p>
    <w:p>
      <w:pPr>
        <w:pStyle w:val="18"/>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指导本规划编制的其他规划包括《中华人民共和国国民经济和社会发展第十五个五年规划纲要》《中华人民共和国国民经济和社会发展第十四个五年规划和2035年远景目标纲要》《广东省国民经济和社会发展第十五个五年规划纲要》《广东省国民经济和社会发展第十四个五年规划和2035年远景目标纲要》《汕尾市国民经济和社会发展第十五个五年规划纲要》《汕尾市国民经济和社会发展第十四个五年规划和二〇三五年远景目标纲要</w:t>
      </w:r>
      <w:r>
        <w:rPr>
          <w:rFonts w:hint="eastAsia" w:ascii="仿宋_GB2312" w:hAnsi="仿宋_GB2312" w:eastAsia="仿宋_GB2312" w:cs="仿宋_GB2312"/>
          <w:color w:val="auto"/>
          <w:sz w:val="32"/>
          <w:szCs w:val="32"/>
        </w:rPr>
        <w:t>》。</w:t>
      </w:r>
    </w:p>
    <w:p>
      <w:pPr>
        <w:pStyle w:val="18"/>
        <w:spacing w:line="560" w:lineRule="exact"/>
        <w:ind w:firstLine="640" w:firstLineChars="200"/>
        <w:jc w:val="center"/>
        <w:rPr>
          <w:rFonts w:ascii="Times New Roman" w:hAnsi="Times New Roman" w:eastAsia="仿宋_GB2312" w:cs="Times New Roman"/>
          <w:color w:val="auto"/>
          <w:sz w:val="32"/>
          <w:szCs w:val="32"/>
        </w:rPr>
      </w:pPr>
      <w:bookmarkStart w:id="0" w:name="_GoBack"/>
      <w:bookmarkEnd w:id="0"/>
    </w:p>
    <w:p>
      <w:pPr>
        <w:pStyle w:val="18"/>
        <w:spacing w:line="560" w:lineRule="exact"/>
        <w:rPr>
          <w:rFonts w:ascii="Times New Roman" w:hAnsi="Times New Roman" w:eastAsia="仿宋_GB2312" w:cs="Times New Roman"/>
          <w:color w:val="auto"/>
          <w:sz w:val="32"/>
          <w:szCs w:val="32"/>
        </w:rPr>
      </w:pPr>
    </w:p>
    <w:sectPr>
      <w:footerReference r:id="rId3" w:type="default"/>
      <w:pgSz w:w="11906" w:h="16838"/>
      <w:pgMar w:top="1814" w:right="1587"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C2D09"/>
    <w:rsid w:val="00163348"/>
    <w:rsid w:val="00172A27"/>
    <w:rsid w:val="00312FD0"/>
    <w:rsid w:val="00521F64"/>
    <w:rsid w:val="006620F3"/>
    <w:rsid w:val="00754705"/>
    <w:rsid w:val="00A302BD"/>
    <w:rsid w:val="00A8684D"/>
    <w:rsid w:val="00D21AE8"/>
    <w:rsid w:val="00D43F9A"/>
    <w:rsid w:val="00E442B3"/>
    <w:rsid w:val="00EB010D"/>
    <w:rsid w:val="00F14136"/>
    <w:rsid w:val="01017AC0"/>
    <w:rsid w:val="015631D6"/>
    <w:rsid w:val="019D5BC4"/>
    <w:rsid w:val="01A1217E"/>
    <w:rsid w:val="01CE0480"/>
    <w:rsid w:val="025B06C1"/>
    <w:rsid w:val="026B177A"/>
    <w:rsid w:val="03526A8D"/>
    <w:rsid w:val="0420101D"/>
    <w:rsid w:val="048522DF"/>
    <w:rsid w:val="04AB2F86"/>
    <w:rsid w:val="04C6512C"/>
    <w:rsid w:val="050E4677"/>
    <w:rsid w:val="0515731D"/>
    <w:rsid w:val="05200A1E"/>
    <w:rsid w:val="054D5070"/>
    <w:rsid w:val="054F55ED"/>
    <w:rsid w:val="056019B8"/>
    <w:rsid w:val="05816D92"/>
    <w:rsid w:val="05D52E60"/>
    <w:rsid w:val="05D53642"/>
    <w:rsid w:val="05E8208B"/>
    <w:rsid w:val="06262456"/>
    <w:rsid w:val="063C051C"/>
    <w:rsid w:val="0651102C"/>
    <w:rsid w:val="066B38CB"/>
    <w:rsid w:val="069157F1"/>
    <w:rsid w:val="06934F54"/>
    <w:rsid w:val="06E3028B"/>
    <w:rsid w:val="06E66EF6"/>
    <w:rsid w:val="070C09D6"/>
    <w:rsid w:val="07A15B0E"/>
    <w:rsid w:val="07A42397"/>
    <w:rsid w:val="07D3441B"/>
    <w:rsid w:val="08756719"/>
    <w:rsid w:val="08D51F7C"/>
    <w:rsid w:val="09364119"/>
    <w:rsid w:val="09477C9B"/>
    <w:rsid w:val="0A12122B"/>
    <w:rsid w:val="0A354037"/>
    <w:rsid w:val="0A3C53B1"/>
    <w:rsid w:val="0A470A69"/>
    <w:rsid w:val="0AAE6EDC"/>
    <w:rsid w:val="0BAA16E4"/>
    <w:rsid w:val="0BB42C54"/>
    <w:rsid w:val="0BB57B48"/>
    <w:rsid w:val="0C043D46"/>
    <w:rsid w:val="0C2A22BA"/>
    <w:rsid w:val="0CA8345B"/>
    <w:rsid w:val="0CC36739"/>
    <w:rsid w:val="0D1C636D"/>
    <w:rsid w:val="0D28254E"/>
    <w:rsid w:val="0D422726"/>
    <w:rsid w:val="0DA14DD5"/>
    <w:rsid w:val="0DB64C0C"/>
    <w:rsid w:val="0DBC04A1"/>
    <w:rsid w:val="0DFD19A1"/>
    <w:rsid w:val="0E1E1F45"/>
    <w:rsid w:val="0E2F69A0"/>
    <w:rsid w:val="0E7E5169"/>
    <w:rsid w:val="0EC7288A"/>
    <w:rsid w:val="0F11716D"/>
    <w:rsid w:val="0F29649F"/>
    <w:rsid w:val="0F406A3D"/>
    <w:rsid w:val="0F5E46D8"/>
    <w:rsid w:val="0F92732B"/>
    <w:rsid w:val="0FF7205E"/>
    <w:rsid w:val="100A2459"/>
    <w:rsid w:val="104D3978"/>
    <w:rsid w:val="11094CEF"/>
    <w:rsid w:val="11576E4C"/>
    <w:rsid w:val="11895E34"/>
    <w:rsid w:val="11CD71D5"/>
    <w:rsid w:val="11D42265"/>
    <w:rsid w:val="11FC19F3"/>
    <w:rsid w:val="12145ED3"/>
    <w:rsid w:val="122C634C"/>
    <w:rsid w:val="123211A6"/>
    <w:rsid w:val="12CF79C9"/>
    <w:rsid w:val="12DC2E15"/>
    <w:rsid w:val="12EE5B2F"/>
    <w:rsid w:val="13380516"/>
    <w:rsid w:val="13436BA6"/>
    <w:rsid w:val="13570BD9"/>
    <w:rsid w:val="13B22C6E"/>
    <w:rsid w:val="13CD4D0D"/>
    <w:rsid w:val="13E602E4"/>
    <w:rsid w:val="14213283"/>
    <w:rsid w:val="147F4115"/>
    <w:rsid w:val="14850DC3"/>
    <w:rsid w:val="149262B0"/>
    <w:rsid w:val="156D033C"/>
    <w:rsid w:val="16163B2E"/>
    <w:rsid w:val="171D43D3"/>
    <w:rsid w:val="17292E41"/>
    <w:rsid w:val="17706821"/>
    <w:rsid w:val="17BE08E3"/>
    <w:rsid w:val="17C96283"/>
    <w:rsid w:val="17F324CF"/>
    <w:rsid w:val="188E4176"/>
    <w:rsid w:val="18DA3E36"/>
    <w:rsid w:val="18E82277"/>
    <w:rsid w:val="190551C5"/>
    <w:rsid w:val="19883FC7"/>
    <w:rsid w:val="19951683"/>
    <w:rsid w:val="19CD0C11"/>
    <w:rsid w:val="19EB4319"/>
    <w:rsid w:val="19F61116"/>
    <w:rsid w:val="1A462F98"/>
    <w:rsid w:val="1A974635"/>
    <w:rsid w:val="1B9C743A"/>
    <w:rsid w:val="1BB75B82"/>
    <w:rsid w:val="1BC84F58"/>
    <w:rsid w:val="1C013D6A"/>
    <w:rsid w:val="1C2D1E25"/>
    <w:rsid w:val="1C33692E"/>
    <w:rsid w:val="1C383517"/>
    <w:rsid w:val="1C7D7CB3"/>
    <w:rsid w:val="1C7F17F2"/>
    <w:rsid w:val="1C8745A1"/>
    <w:rsid w:val="1CC60A4D"/>
    <w:rsid w:val="1CD8212D"/>
    <w:rsid w:val="1CE8296B"/>
    <w:rsid w:val="1D265005"/>
    <w:rsid w:val="1D2A40DA"/>
    <w:rsid w:val="1D41028F"/>
    <w:rsid w:val="1D7069CF"/>
    <w:rsid w:val="1DEE38C9"/>
    <w:rsid w:val="1E160500"/>
    <w:rsid w:val="1E375CF9"/>
    <w:rsid w:val="1E631A03"/>
    <w:rsid w:val="1F623FA2"/>
    <w:rsid w:val="1F8A7F13"/>
    <w:rsid w:val="1FDD4779"/>
    <w:rsid w:val="20454CA3"/>
    <w:rsid w:val="211542E7"/>
    <w:rsid w:val="21340D55"/>
    <w:rsid w:val="21A12525"/>
    <w:rsid w:val="22010503"/>
    <w:rsid w:val="22B02705"/>
    <w:rsid w:val="22E8058C"/>
    <w:rsid w:val="23264F18"/>
    <w:rsid w:val="232E0C40"/>
    <w:rsid w:val="2372630D"/>
    <w:rsid w:val="23883231"/>
    <w:rsid w:val="24955A05"/>
    <w:rsid w:val="251135A8"/>
    <w:rsid w:val="251D6650"/>
    <w:rsid w:val="25625157"/>
    <w:rsid w:val="25684D8E"/>
    <w:rsid w:val="25760F7C"/>
    <w:rsid w:val="257F2807"/>
    <w:rsid w:val="2580390E"/>
    <w:rsid w:val="264825FE"/>
    <w:rsid w:val="2690582D"/>
    <w:rsid w:val="272B782F"/>
    <w:rsid w:val="275170C5"/>
    <w:rsid w:val="27845E7B"/>
    <w:rsid w:val="27CF5873"/>
    <w:rsid w:val="28053643"/>
    <w:rsid w:val="28256034"/>
    <w:rsid w:val="28756F5E"/>
    <w:rsid w:val="289616D7"/>
    <w:rsid w:val="29265C40"/>
    <w:rsid w:val="2927361B"/>
    <w:rsid w:val="29776E5E"/>
    <w:rsid w:val="29944768"/>
    <w:rsid w:val="29EC4FF2"/>
    <w:rsid w:val="2A3D4D43"/>
    <w:rsid w:val="2A7D1394"/>
    <w:rsid w:val="2A870EA5"/>
    <w:rsid w:val="2AE717A4"/>
    <w:rsid w:val="2B685BE2"/>
    <w:rsid w:val="2B7C4C45"/>
    <w:rsid w:val="2C3B1224"/>
    <w:rsid w:val="2CA54305"/>
    <w:rsid w:val="2CCD1843"/>
    <w:rsid w:val="2CCE79AB"/>
    <w:rsid w:val="2D1E1EDF"/>
    <w:rsid w:val="2D342178"/>
    <w:rsid w:val="2D4B0DDF"/>
    <w:rsid w:val="2D6B385C"/>
    <w:rsid w:val="2D742100"/>
    <w:rsid w:val="2D96720F"/>
    <w:rsid w:val="2EB07FD7"/>
    <w:rsid w:val="2EE725FB"/>
    <w:rsid w:val="2F6344D2"/>
    <w:rsid w:val="2FA97E07"/>
    <w:rsid w:val="2FAB1F7A"/>
    <w:rsid w:val="2FBE1B5E"/>
    <w:rsid w:val="30151256"/>
    <w:rsid w:val="302D64FD"/>
    <w:rsid w:val="303A0D95"/>
    <w:rsid w:val="309A612B"/>
    <w:rsid w:val="310D56A7"/>
    <w:rsid w:val="312D6055"/>
    <w:rsid w:val="31552708"/>
    <w:rsid w:val="31862891"/>
    <w:rsid w:val="319B480F"/>
    <w:rsid w:val="31AC2788"/>
    <w:rsid w:val="322331B3"/>
    <w:rsid w:val="324B01AB"/>
    <w:rsid w:val="32891334"/>
    <w:rsid w:val="32C60068"/>
    <w:rsid w:val="33091C3B"/>
    <w:rsid w:val="333E4386"/>
    <w:rsid w:val="336245C1"/>
    <w:rsid w:val="33665265"/>
    <w:rsid w:val="33CC247F"/>
    <w:rsid w:val="34075E0B"/>
    <w:rsid w:val="343116B8"/>
    <w:rsid w:val="343B7691"/>
    <w:rsid w:val="34D64004"/>
    <w:rsid w:val="34DA6E76"/>
    <w:rsid w:val="34FD655D"/>
    <w:rsid w:val="352430CD"/>
    <w:rsid w:val="35275AFD"/>
    <w:rsid w:val="353F5364"/>
    <w:rsid w:val="353F5FE8"/>
    <w:rsid w:val="355C0E62"/>
    <w:rsid w:val="35B50607"/>
    <w:rsid w:val="35CC4288"/>
    <w:rsid w:val="35D052F6"/>
    <w:rsid w:val="35F20A54"/>
    <w:rsid w:val="36211CFE"/>
    <w:rsid w:val="36894729"/>
    <w:rsid w:val="36A13F5E"/>
    <w:rsid w:val="36B335E8"/>
    <w:rsid w:val="36B33948"/>
    <w:rsid w:val="36C827E3"/>
    <w:rsid w:val="36E20BB7"/>
    <w:rsid w:val="378B6DBF"/>
    <w:rsid w:val="37AC0530"/>
    <w:rsid w:val="37AD226E"/>
    <w:rsid w:val="37B70A99"/>
    <w:rsid w:val="38210237"/>
    <w:rsid w:val="382D69C5"/>
    <w:rsid w:val="38306895"/>
    <w:rsid w:val="386502B5"/>
    <w:rsid w:val="387B607F"/>
    <w:rsid w:val="387E6154"/>
    <w:rsid w:val="38EC36EC"/>
    <w:rsid w:val="39677F50"/>
    <w:rsid w:val="396C460B"/>
    <w:rsid w:val="397F7C2C"/>
    <w:rsid w:val="39915EDD"/>
    <w:rsid w:val="39952CCB"/>
    <w:rsid w:val="39C3544E"/>
    <w:rsid w:val="3AB70F89"/>
    <w:rsid w:val="3AE467E7"/>
    <w:rsid w:val="3AF80D6B"/>
    <w:rsid w:val="3B8115D6"/>
    <w:rsid w:val="3BD64906"/>
    <w:rsid w:val="3BF26EE2"/>
    <w:rsid w:val="3C315C33"/>
    <w:rsid w:val="3CD1639D"/>
    <w:rsid w:val="3CDD5347"/>
    <w:rsid w:val="3CE51CBA"/>
    <w:rsid w:val="3CF9186D"/>
    <w:rsid w:val="3D1A6B1E"/>
    <w:rsid w:val="3D311EF2"/>
    <w:rsid w:val="3D780652"/>
    <w:rsid w:val="3E0A08B8"/>
    <w:rsid w:val="3EC01729"/>
    <w:rsid w:val="3ED67821"/>
    <w:rsid w:val="3F5C30E9"/>
    <w:rsid w:val="3F6C3AAB"/>
    <w:rsid w:val="3F8D3B8B"/>
    <w:rsid w:val="3F954FBE"/>
    <w:rsid w:val="3FA82982"/>
    <w:rsid w:val="3FB34688"/>
    <w:rsid w:val="3FC41EA0"/>
    <w:rsid w:val="3FCB1D07"/>
    <w:rsid w:val="3FEC6272"/>
    <w:rsid w:val="409E29BD"/>
    <w:rsid w:val="40E2000D"/>
    <w:rsid w:val="40FD409E"/>
    <w:rsid w:val="410834EB"/>
    <w:rsid w:val="41217994"/>
    <w:rsid w:val="42556FB8"/>
    <w:rsid w:val="429F5EC7"/>
    <w:rsid w:val="42C819DB"/>
    <w:rsid w:val="432D688A"/>
    <w:rsid w:val="433B72AF"/>
    <w:rsid w:val="434E3B2F"/>
    <w:rsid w:val="43A71AB6"/>
    <w:rsid w:val="43CF6A1A"/>
    <w:rsid w:val="43EC1949"/>
    <w:rsid w:val="44041965"/>
    <w:rsid w:val="440638AD"/>
    <w:rsid w:val="44253EC6"/>
    <w:rsid w:val="44D55F29"/>
    <w:rsid w:val="45506A5B"/>
    <w:rsid w:val="4551273B"/>
    <w:rsid w:val="45A55AB5"/>
    <w:rsid w:val="45C45280"/>
    <w:rsid w:val="462F1240"/>
    <w:rsid w:val="46324888"/>
    <w:rsid w:val="466518AA"/>
    <w:rsid w:val="46834CE1"/>
    <w:rsid w:val="468E63DC"/>
    <w:rsid w:val="46CC2CA6"/>
    <w:rsid w:val="46DA2F58"/>
    <w:rsid w:val="475576B9"/>
    <w:rsid w:val="477D3D7E"/>
    <w:rsid w:val="47EE4499"/>
    <w:rsid w:val="48855B60"/>
    <w:rsid w:val="48A25A4C"/>
    <w:rsid w:val="48EC48B7"/>
    <w:rsid w:val="48F82F61"/>
    <w:rsid w:val="490771AC"/>
    <w:rsid w:val="49214BEE"/>
    <w:rsid w:val="49304716"/>
    <w:rsid w:val="495C0ED1"/>
    <w:rsid w:val="4A24282C"/>
    <w:rsid w:val="4A285686"/>
    <w:rsid w:val="4A85190B"/>
    <w:rsid w:val="4A966244"/>
    <w:rsid w:val="4AAB1717"/>
    <w:rsid w:val="4AE93C5A"/>
    <w:rsid w:val="4AEA37C3"/>
    <w:rsid w:val="4AF721F5"/>
    <w:rsid w:val="4B773587"/>
    <w:rsid w:val="4BC15429"/>
    <w:rsid w:val="4BD13E6E"/>
    <w:rsid w:val="4C123C95"/>
    <w:rsid w:val="4C194787"/>
    <w:rsid w:val="4C591D37"/>
    <w:rsid w:val="4D624ECB"/>
    <w:rsid w:val="4D8014E6"/>
    <w:rsid w:val="4D906D34"/>
    <w:rsid w:val="4DB7197C"/>
    <w:rsid w:val="4DDA5D8A"/>
    <w:rsid w:val="4DE879FE"/>
    <w:rsid w:val="4E2760C3"/>
    <w:rsid w:val="4EBF5C41"/>
    <w:rsid w:val="4EF54CE6"/>
    <w:rsid w:val="4F24378D"/>
    <w:rsid w:val="4F4C3F25"/>
    <w:rsid w:val="4F594191"/>
    <w:rsid w:val="4F9A0321"/>
    <w:rsid w:val="4FC76B3A"/>
    <w:rsid w:val="50152011"/>
    <w:rsid w:val="50287FC3"/>
    <w:rsid w:val="50A669E0"/>
    <w:rsid w:val="50B969B9"/>
    <w:rsid w:val="511244E1"/>
    <w:rsid w:val="519306E3"/>
    <w:rsid w:val="519E3800"/>
    <w:rsid w:val="519E5928"/>
    <w:rsid w:val="521F6D98"/>
    <w:rsid w:val="522F3AFF"/>
    <w:rsid w:val="5271512D"/>
    <w:rsid w:val="52A10601"/>
    <w:rsid w:val="52A24D33"/>
    <w:rsid w:val="52B417D4"/>
    <w:rsid w:val="52CD37F8"/>
    <w:rsid w:val="52E07A45"/>
    <w:rsid w:val="52EB6B6A"/>
    <w:rsid w:val="533165DC"/>
    <w:rsid w:val="53400820"/>
    <w:rsid w:val="534D4562"/>
    <w:rsid w:val="54384AFD"/>
    <w:rsid w:val="549A5C90"/>
    <w:rsid w:val="54A63FAD"/>
    <w:rsid w:val="54B27D6D"/>
    <w:rsid w:val="54F1427D"/>
    <w:rsid w:val="54F47880"/>
    <w:rsid w:val="554078BA"/>
    <w:rsid w:val="55841761"/>
    <w:rsid w:val="558B0A06"/>
    <w:rsid w:val="5590163B"/>
    <w:rsid w:val="56DD6D77"/>
    <w:rsid w:val="57237190"/>
    <w:rsid w:val="57435E98"/>
    <w:rsid w:val="577A6330"/>
    <w:rsid w:val="580B2813"/>
    <w:rsid w:val="58A81205"/>
    <w:rsid w:val="59365B9C"/>
    <w:rsid w:val="59814776"/>
    <w:rsid w:val="5A686598"/>
    <w:rsid w:val="5A8E1126"/>
    <w:rsid w:val="5ABD2950"/>
    <w:rsid w:val="5B220916"/>
    <w:rsid w:val="5B377672"/>
    <w:rsid w:val="5BB5123B"/>
    <w:rsid w:val="5BBB5BA6"/>
    <w:rsid w:val="5BC2189B"/>
    <w:rsid w:val="5BFA1385"/>
    <w:rsid w:val="5C3E34DC"/>
    <w:rsid w:val="5C7D39C6"/>
    <w:rsid w:val="5C892BEC"/>
    <w:rsid w:val="5CCC09FC"/>
    <w:rsid w:val="5D715568"/>
    <w:rsid w:val="5D8C618D"/>
    <w:rsid w:val="5E206C86"/>
    <w:rsid w:val="5E292D50"/>
    <w:rsid w:val="5E443118"/>
    <w:rsid w:val="5E711745"/>
    <w:rsid w:val="5EB6738D"/>
    <w:rsid w:val="5EEC0ECD"/>
    <w:rsid w:val="5EEF10CD"/>
    <w:rsid w:val="5FAC46D0"/>
    <w:rsid w:val="5FCE02AE"/>
    <w:rsid w:val="601D3588"/>
    <w:rsid w:val="604917ED"/>
    <w:rsid w:val="611F47ED"/>
    <w:rsid w:val="61422759"/>
    <w:rsid w:val="617132AB"/>
    <w:rsid w:val="61775C15"/>
    <w:rsid w:val="619C03DA"/>
    <w:rsid w:val="61F6133A"/>
    <w:rsid w:val="62273517"/>
    <w:rsid w:val="63413B2B"/>
    <w:rsid w:val="634F4C27"/>
    <w:rsid w:val="63617A0E"/>
    <w:rsid w:val="63647C89"/>
    <w:rsid w:val="63693699"/>
    <w:rsid w:val="644707BA"/>
    <w:rsid w:val="6463486B"/>
    <w:rsid w:val="64B15697"/>
    <w:rsid w:val="64CD4DB5"/>
    <w:rsid w:val="64D21089"/>
    <w:rsid w:val="64D51E09"/>
    <w:rsid w:val="65717FDE"/>
    <w:rsid w:val="659B2967"/>
    <w:rsid w:val="65CB6F19"/>
    <w:rsid w:val="66216222"/>
    <w:rsid w:val="662658E7"/>
    <w:rsid w:val="66707006"/>
    <w:rsid w:val="667F7DE8"/>
    <w:rsid w:val="66830D1E"/>
    <w:rsid w:val="66BE4804"/>
    <w:rsid w:val="66E276A3"/>
    <w:rsid w:val="67231B5D"/>
    <w:rsid w:val="67B17D1E"/>
    <w:rsid w:val="67F440F9"/>
    <w:rsid w:val="685F2291"/>
    <w:rsid w:val="68873FF2"/>
    <w:rsid w:val="68D12D65"/>
    <w:rsid w:val="6921365F"/>
    <w:rsid w:val="697625F5"/>
    <w:rsid w:val="69CD0543"/>
    <w:rsid w:val="6A0960DA"/>
    <w:rsid w:val="6A0B41A2"/>
    <w:rsid w:val="6A1B7B25"/>
    <w:rsid w:val="6A2D0AEE"/>
    <w:rsid w:val="6A3848E2"/>
    <w:rsid w:val="6A464BB3"/>
    <w:rsid w:val="6A823B59"/>
    <w:rsid w:val="6A970226"/>
    <w:rsid w:val="6ADC5C57"/>
    <w:rsid w:val="6B1025B7"/>
    <w:rsid w:val="6B197613"/>
    <w:rsid w:val="6B78797A"/>
    <w:rsid w:val="6B7F427B"/>
    <w:rsid w:val="6BC22D7C"/>
    <w:rsid w:val="6C0B722F"/>
    <w:rsid w:val="6C884FDE"/>
    <w:rsid w:val="6DB842D0"/>
    <w:rsid w:val="6DDE5DA3"/>
    <w:rsid w:val="6DEC68D7"/>
    <w:rsid w:val="6E030C19"/>
    <w:rsid w:val="6E2638BD"/>
    <w:rsid w:val="6E8F7D45"/>
    <w:rsid w:val="6F762DD7"/>
    <w:rsid w:val="6FB33B49"/>
    <w:rsid w:val="700064C6"/>
    <w:rsid w:val="70490C0C"/>
    <w:rsid w:val="70672D43"/>
    <w:rsid w:val="70B140EC"/>
    <w:rsid w:val="70CE169C"/>
    <w:rsid w:val="710C78BF"/>
    <w:rsid w:val="714B358C"/>
    <w:rsid w:val="71DE574A"/>
    <w:rsid w:val="71E1460F"/>
    <w:rsid w:val="7209108E"/>
    <w:rsid w:val="721719A3"/>
    <w:rsid w:val="72343C40"/>
    <w:rsid w:val="724B122C"/>
    <w:rsid w:val="72917B89"/>
    <w:rsid w:val="73084129"/>
    <w:rsid w:val="73376B52"/>
    <w:rsid w:val="737C2043"/>
    <w:rsid w:val="73FD70D1"/>
    <w:rsid w:val="740C6204"/>
    <w:rsid w:val="74155DF8"/>
    <w:rsid w:val="741F0F75"/>
    <w:rsid w:val="74206737"/>
    <w:rsid w:val="743F5448"/>
    <w:rsid w:val="74641E33"/>
    <w:rsid w:val="747913CE"/>
    <w:rsid w:val="747C7883"/>
    <w:rsid w:val="748E2ECD"/>
    <w:rsid w:val="74E52126"/>
    <w:rsid w:val="75896E89"/>
    <w:rsid w:val="75A2454D"/>
    <w:rsid w:val="760F2744"/>
    <w:rsid w:val="768A7B62"/>
    <w:rsid w:val="772F6516"/>
    <w:rsid w:val="773577F4"/>
    <w:rsid w:val="77C0369F"/>
    <w:rsid w:val="789604A8"/>
    <w:rsid w:val="79206EF5"/>
    <w:rsid w:val="796067B8"/>
    <w:rsid w:val="79F91D2C"/>
    <w:rsid w:val="7A0C4B55"/>
    <w:rsid w:val="7A327E55"/>
    <w:rsid w:val="7A520B67"/>
    <w:rsid w:val="7ABD7476"/>
    <w:rsid w:val="7B0C4D54"/>
    <w:rsid w:val="7B271CAD"/>
    <w:rsid w:val="7B2C0218"/>
    <w:rsid w:val="7B360283"/>
    <w:rsid w:val="7B5E3583"/>
    <w:rsid w:val="7B690F02"/>
    <w:rsid w:val="7B6A1345"/>
    <w:rsid w:val="7BBB4934"/>
    <w:rsid w:val="7BF51B92"/>
    <w:rsid w:val="7CF4101B"/>
    <w:rsid w:val="7D03310C"/>
    <w:rsid w:val="7D6A69BB"/>
    <w:rsid w:val="7DAF1A45"/>
    <w:rsid w:val="7DB4173A"/>
    <w:rsid w:val="7DB974CF"/>
    <w:rsid w:val="7DD12F0A"/>
    <w:rsid w:val="7DE01CD6"/>
    <w:rsid w:val="7DE84F73"/>
    <w:rsid w:val="7DEF2B52"/>
    <w:rsid w:val="7DF63A1A"/>
    <w:rsid w:val="7ED737C9"/>
    <w:rsid w:val="7EDD2FAF"/>
    <w:rsid w:val="7EDE6126"/>
    <w:rsid w:val="7F076C5A"/>
    <w:rsid w:val="7F221C09"/>
    <w:rsid w:val="7F362D89"/>
    <w:rsid w:val="7F432865"/>
    <w:rsid w:val="7F487D09"/>
    <w:rsid w:val="7F834A90"/>
    <w:rsid w:val="7F935409"/>
    <w:rsid w:val="7FA06F68"/>
    <w:rsid w:val="7FA92170"/>
    <w:rsid w:val="7FDE5CD8"/>
    <w:rsid w:val="7FE56D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0"/>
    <w:pPr>
      <w:keepNext/>
      <w:keepLines/>
      <w:spacing w:line="600" w:lineRule="exact"/>
      <w:ind w:firstLine="880" w:firstLineChars="200"/>
      <w:outlineLvl w:val="0"/>
    </w:pPr>
    <w:rPr>
      <w:rFonts w:eastAsia="黑体"/>
      <w:kern w:val="44"/>
    </w:rPr>
  </w:style>
  <w:style w:type="paragraph" w:styleId="3">
    <w:name w:val="heading 2"/>
    <w:basedOn w:val="1"/>
    <w:next w:val="1"/>
    <w:semiHidden/>
    <w:unhideWhenUsed/>
    <w:qFormat/>
    <w:uiPriority w:val="0"/>
    <w:pPr>
      <w:keepNext/>
      <w:keepLines/>
      <w:spacing w:line="600" w:lineRule="exact"/>
      <w:ind w:firstLine="640" w:firstLineChars="200"/>
      <w:outlineLvl w:val="1"/>
    </w:pPr>
    <w:rPr>
      <w:rFonts w:eastAsia="楷体"/>
    </w:rPr>
  </w:style>
  <w:style w:type="paragraph" w:styleId="4">
    <w:name w:val="heading 3"/>
    <w:basedOn w:val="1"/>
    <w:next w:val="1"/>
    <w:semiHidden/>
    <w:unhideWhenUsed/>
    <w:qFormat/>
    <w:uiPriority w:val="0"/>
    <w:pPr>
      <w:keepNext/>
      <w:keepLines/>
      <w:spacing w:line="600" w:lineRule="exact"/>
      <w:outlineLvl w:val="2"/>
    </w:pPr>
    <w:rPr>
      <w:b/>
    </w:rPr>
  </w:style>
  <w:style w:type="paragraph" w:styleId="5">
    <w:name w:val="heading 4"/>
    <w:basedOn w:val="1"/>
    <w:next w:val="1"/>
    <w:semiHidden/>
    <w:unhideWhenUsed/>
    <w:qFormat/>
    <w:uiPriority w:val="0"/>
    <w:pPr>
      <w:keepNext/>
      <w:keepLines/>
      <w:spacing w:after="100" w:afterLines="100" w:line="600" w:lineRule="exact"/>
      <w:jc w:val="center"/>
      <w:outlineLvl w:val="3"/>
    </w:pPr>
    <w:rPr>
      <w:rFonts w:eastAsia="方正小标宋简体"/>
      <w:sz w:val="44"/>
      <w:szCs w:val="4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1"/>
    <w:qFormat/>
    <w:uiPriority w:val="0"/>
    <w:pPr>
      <w:ind w:firstLine="420"/>
    </w:pPr>
  </w:style>
  <w:style w:type="paragraph" w:styleId="7">
    <w:name w:val="Body Text Indent"/>
    <w:basedOn w:val="1"/>
    <w:qFormat/>
    <w:uiPriority w:val="0"/>
    <w:pPr>
      <w:ind w:firstLine="525"/>
    </w:pPr>
    <w:rPr>
      <w:rFonts w:ascii="Times New Roman" w:hAnsi="Times New Roman" w:eastAsia="Times New Roman"/>
      <w:sz w:val="28"/>
    </w:rPr>
  </w:style>
  <w:style w:type="paragraph" w:styleId="8">
    <w:name w:val="Plain Text"/>
    <w:basedOn w:val="1"/>
    <w:qFormat/>
    <w:uiPriority w:val="0"/>
    <w:rPr>
      <w:rFonts w:ascii="宋体" w:hAnsi="Courier New" w:cs="Courier New"/>
      <w:szCs w:val="21"/>
    </w:rPr>
  </w:style>
  <w:style w:type="paragraph" w:styleId="9">
    <w:name w:val="footer"/>
    <w:basedOn w:val="1"/>
    <w:link w:val="17"/>
    <w:qFormat/>
    <w:uiPriority w:val="0"/>
    <w:pPr>
      <w:tabs>
        <w:tab w:val="center" w:pos="4153"/>
        <w:tab w:val="right" w:pos="8306"/>
      </w:tabs>
      <w:snapToGrid w:val="0"/>
      <w:spacing w:line="600" w:lineRule="exact"/>
      <w:jc w:val="center"/>
    </w:pPr>
    <w:rPr>
      <w:rFonts w:eastAsia="宋体"/>
      <w:sz w:val="28"/>
      <w:szCs w:val="28"/>
    </w:rPr>
  </w:style>
  <w:style w:type="paragraph" w:styleId="10">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unhideWhenUsed/>
    <w:qFormat/>
    <w:uiPriority w:val="99"/>
    <w:pPr>
      <w:snapToGrid w:val="0"/>
      <w:jc w:val="left"/>
    </w:pPr>
    <w:rPr>
      <w:rFonts w:ascii="Calibri" w:hAnsi="Calibri" w:eastAsia="宋体" w:cs="Times New Roman"/>
      <w:sz w:val="18"/>
      <w:szCs w:val="18"/>
    </w:rPr>
  </w:style>
  <w:style w:type="paragraph" w:styleId="12">
    <w:name w:val="Body Text First Indent 2"/>
    <w:basedOn w:val="7"/>
    <w:qFormat/>
    <w:uiPriority w:val="99"/>
    <w:pPr>
      <w:keepNext/>
      <w:keepLines/>
      <w:spacing w:line="380" w:lineRule="exact"/>
      <w:ind w:firstLine="480"/>
      <w:jc w:val="left"/>
      <w:outlineLvl w:val="3"/>
    </w:pPr>
    <w:rPr>
      <w:b/>
    </w:rPr>
  </w:style>
  <w:style w:type="character" w:styleId="15">
    <w:name w:val="footnote reference"/>
    <w:unhideWhenUsed/>
    <w:qFormat/>
    <w:uiPriority w:val="99"/>
    <w:rPr>
      <w:vertAlign w:val="superscript"/>
    </w:rPr>
  </w:style>
  <w:style w:type="character" w:customStyle="1" w:styleId="16">
    <w:name w:val="标题 1 字符"/>
    <w:basedOn w:val="14"/>
    <w:link w:val="2"/>
    <w:qFormat/>
    <w:uiPriority w:val="9"/>
    <w:rPr>
      <w:rFonts w:ascii="Times New Roman" w:hAnsi="Times New Roman" w:eastAsia="黑体"/>
      <w:kern w:val="44"/>
      <w:sz w:val="32"/>
      <w:szCs w:val="32"/>
    </w:rPr>
  </w:style>
  <w:style w:type="character" w:customStyle="1" w:styleId="17">
    <w:name w:val="页脚 字符"/>
    <w:basedOn w:val="14"/>
    <w:link w:val="9"/>
    <w:qFormat/>
    <w:uiPriority w:val="99"/>
    <w:rPr>
      <w:rFonts w:ascii="Times New Roman" w:hAnsi="Times New Roman" w:eastAsia="宋体"/>
      <w:sz w:val="28"/>
      <w:szCs w:val="28"/>
    </w:rPr>
  </w:style>
  <w:style w:type="paragraph" w:customStyle="1" w:styleId="18">
    <w:name w:val="Default"/>
    <w:basedOn w:val="1"/>
    <w:qFormat/>
    <w:uiPriority w:val="0"/>
    <w:pPr>
      <w:autoSpaceDE w:val="0"/>
      <w:autoSpaceDN w:val="0"/>
      <w:jc w:val="left"/>
    </w:pPr>
    <w:rPr>
      <w:rFonts w:ascii="宋体" w:hAnsi="宋体" w:cs="黑体"/>
      <w:color w:val="000000"/>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572</Words>
  <Characters>3263</Characters>
  <Lines>27</Lines>
  <Paragraphs>7</Paragraphs>
  <TotalTime>19</TotalTime>
  <ScaleCrop>false</ScaleCrop>
  <LinksUpToDate>false</LinksUpToDate>
  <CharactersWithSpaces>3828</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2026-10-27T07:24:00Z</dcterms:created>
  <dc:creator>lenovo</dc:creator>
  <cp:lastModifiedBy>郭秋鹏</cp:lastModifiedBy>
  <dcterms:modified xsi:type="dcterms:W3CDTF">2026-10-29T02:29:01Z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75089E100A364441BED9E070E8725604</vt:lpwstr>
  </property>
</Properties>
</file>