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napToGrid w:val="0"/>
        <w:ind w:firstLine="0" w:firstLineChars="0"/>
        <w:jc w:val="center"/>
        <w:rPr>
          <w:rFonts w:eastAsia="方正小标宋简体"/>
          <w:bCs/>
          <w:sz w:val="44"/>
        </w:rPr>
      </w:pPr>
    </w:p>
    <w:p>
      <w:pPr>
        <w:pStyle w:val="23"/>
        <w:ind w:firstLine="0" w:firstLineChars="0"/>
        <w:rPr>
          <w:sz w:val="22"/>
          <w:szCs w:val="18"/>
        </w:rPr>
      </w:pPr>
    </w:p>
    <w:p>
      <w:pPr>
        <w:adjustRightInd w:val="0"/>
        <w:snapToGrid w:val="0"/>
        <w:ind w:firstLine="0" w:firstLineChars="0"/>
        <w:jc w:val="center"/>
        <w:rPr>
          <w:rFonts w:eastAsia="方正小标宋简体"/>
          <w:bCs/>
          <w:sz w:val="56"/>
          <w:szCs w:val="56"/>
        </w:rPr>
      </w:pPr>
      <w:r>
        <w:rPr>
          <w:rFonts w:hint="eastAsia" w:eastAsia="方正小标宋简体"/>
          <w:bCs/>
          <w:sz w:val="56"/>
          <w:szCs w:val="56"/>
        </w:rPr>
        <w:t>汕尾市综合交通运输体系</w:t>
      </w:r>
    </w:p>
    <w:p>
      <w:pPr>
        <w:adjustRightInd w:val="0"/>
        <w:snapToGrid w:val="0"/>
        <w:ind w:firstLine="0" w:firstLineChars="0"/>
        <w:jc w:val="center"/>
        <w:rPr>
          <w:rFonts w:eastAsia="方正小标宋简体"/>
          <w:bCs/>
          <w:sz w:val="56"/>
          <w:szCs w:val="56"/>
        </w:rPr>
      </w:pPr>
      <w:r>
        <w:rPr>
          <w:rFonts w:hint="eastAsia" w:eastAsia="方正小标宋简体"/>
          <w:bCs/>
          <w:sz w:val="56"/>
          <w:szCs w:val="56"/>
        </w:rPr>
        <w:t>“十五五”发展规划</w:t>
      </w:r>
    </w:p>
    <w:p>
      <w:pPr>
        <w:adjustRightInd w:val="0"/>
        <w:snapToGrid w:val="0"/>
        <w:ind w:firstLine="0" w:firstLineChars="0"/>
        <w:jc w:val="center"/>
        <w:rPr>
          <w:rFonts w:eastAsia="方正小标宋简体"/>
          <w:bCs/>
          <w:sz w:val="66"/>
          <w:szCs w:val="66"/>
        </w:rPr>
      </w:pPr>
    </w:p>
    <w:p>
      <w:pPr>
        <w:pStyle w:val="23"/>
        <w:ind w:firstLine="464"/>
      </w:pPr>
    </w:p>
    <w:p>
      <w:pPr>
        <w:pStyle w:val="23"/>
        <w:adjustRightInd w:val="0"/>
        <w:snapToGrid w:val="0"/>
        <w:ind w:firstLine="0" w:firstLineChars="0"/>
        <w:jc w:val="center"/>
        <w:rPr>
          <w:rFonts w:hint="eastAsia" w:ascii="楷体_GB2312" w:hAnsi="黑体" w:eastAsia="楷体_GB2312"/>
          <w:b/>
          <w:bCs/>
          <w:sz w:val="44"/>
          <w:szCs w:val="32"/>
        </w:rPr>
      </w:pPr>
      <w:r>
        <w:rPr>
          <w:rFonts w:hint="eastAsia" w:ascii="楷体_GB2312" w:hAnsi="黑体" w:eastAsia="楷体_GB2312"/>
          <w:b/>
          <w:bCs/>
          <w:sz w:val="44"/>
          <w:szCs w:val="32"/>
        </w:rPr>
        <w:t>（</w:t>
      </w:r>
      <w:r>
        <w:rPr>
          <w:rFonts w:hint="eastAsia" w:ascii="楷体_GB2312" w:hAnsi="黑体" w:eastAsia="楷体_GB2312"/>
          <w:b/>
          <w:bCs/>
          <w:sz w:val="44"/>
          <w:szCs w:val="32"/>
          <w:lang w:val="en-US" w:eastAsia="zh-CN"/>
        </w:rPr>
        <w:t>公示</w:t>
      </w:r>
      <w:r>
        <w:rPr>
          <w:rFonts w:hint="eastAsia" w:ascii="楷体_GB2312" w:hAnsi="黑体" w:eastAsia="楷体_GB2312"/>
          <w:b/>
          <w:bCs/>
          <w:sz w:val="44"/>
          <w:szCs w:val="32"/>
        </w:rPr>
        <w:t>稿）</w:t>
      </w:r>
    </w:p>
    <w:p>
      <w:pPr>
        <w:pStyle w:val="23"/>
        <w:adjustRightInd w:val="0"/>
        <w:snapToGrid w:val="0"/>
        <w:spacing w:line="240" w:lineRule="auto"/>
        <w:ind w:firstLine="0" w:firstLineChars="0"/>
      </w:pPr>
    </w:p>
    <w:p>
      <w:pPr>
        <w:pStyle w:val="23"/>
        <w:adjustRightInd w:val="0"/>
        <w:snapToGrid w:val="0"/>
        <w:spacing w:line="240" w:lineRule="auto"/>
        <w:ind w:firstLine="0" w:firstLineChars="0"/>
      </w:pPr>
    </w:p>
    <w:p>
      <w:pPr>
        <w:pStyle w:val="23"/>
        <w:adjustRightInd w:val="0"/>
        <w:snapToGrid w:val="0"/>
        <w:spacing w:line="240" w:lineRule="auto"/>
        <w:ind w:firstLine="0" w:firstLineChars="0"/>
      </w:pPr>
    </w:p>
    <w:p>
      <w:pPr>
        <w:pStyle w:val="23"/>
        <w:adjustRightInd w:val="0"/>
        <w:snapToGrid w:val="0"/>
        <w:spacing w:line="240" w:lineRule="auto"/>
        <w:ind w:firstLine="0" w:firstLineChars="0"/>
      </w:pPr>
    </w:p>
    <w:p>
      <w:pPr>
        <w:pStyle w:val="23"/>
        <w:adjustRightInd w:val="0"/>
        <w:snapToGrid w:val="0"/>
        <w:spacing w:line="240" w:lineRule="auto"/>
        <w:ind w:firstLine="0" w:firstLineChars="0"/>
      </w:pPr>
    </w:p>
    <w:p>
      <w:pPr>
        <w:pStyle w:val="23"/>
        <w:adjustRightInd w:val="0"/>
        <w:snapToGrid w:val="0"/>
        <w:spacing w:line="240" w:lineRule="auto"/>
        <w:ind w:firstLine="0" w:firstLineChars="0"/>
      </w:pPr>
    </w:p>
    <w:p>
      <w:pPr>
        <w:pStyle w:val="23"/>
        <w:adjustRightInd w:val="0"/>
        <w:snapToGrid w:val="0"/>
        <w:spacing w:line="240" w:lineRule="auto"/>
        <w:ind w:firstLine="0" w:firstLineChars="0"/>
      </w:pPr>
    </w:p>
    <w:p>
      <w:pPr>
        <w:pStyle w:val="23"/>
        <w:adjustRightInd w:val="0"/>
        <w:snapToGrid w:val="0"/>
        <w:spacing w:line="240" w:lineRule="auto"/>
        <w:ind w:firstLine="0" w:firstLineChars="0"/>
      </w:pPr>
    </w:p>
    <w:p>
      <w:pPr>
        <w:pStyle w:val="23"/>
        <w:adjustRightInd w:val="0"/>
        <w:snapToGrid w:val="0"/>
        <w:spacing w:line="240" w:lineRule="auto"/>
        <w:ind w:firstLine="0" w:firstLineChars="0"/>
      </w:pPr>
    </w:p>
    <w:p>
      <w:pPr>
        <w:pStyle w:val="23"/>
        <w:adjustRightInd w:val="0"/>
        <w:snapToGrid w:val="0"/>
        <w:spacing w:line="240" w:lineRule="auto"/>
        <w:ind w:firstLine="0" w:firstLineChars="0"/>
      </w:pPr>
    </w:p>
    <w:p>
      <w:pPr>
        <w:pStyle w:val="23"/>
        <w:adjustRightInd w:val="0"/>
        <w:snapToGrid w:val="0"/>
        <w:spacing w:line="240" w:lineRule="auto"/>
        <w:ind w:firstLine="0" w:firstLineChars="0"/>
      </w:pPr>
    </w:p>
    <w:p>
      <w:pPr>
        <w:pStyle w:val="23"/>
        <w:adjustRightInd w:val="0"/>
        <w:snapToGrid w:val="0"/>
        <w:spacing w:line="240" w:lineRule="auto"/>
        <w:ind w:firstLine="0" w:firstLineChars="0"/>
      </w:pPr>
    </w:p>
    <w:p>
      <w:pPr>
        <w:pStyle w:val="23"/>
        <w:adjustRightInd w:val="0"/>
        <w:snapToGrid w:val="0"/>
        <w:spacing w:line="240" w:lineRule="auto"/>
        <w:ind w:firstLine="0" w:firstLineChars="0"/>
      </w:pPr>
    </w:p>
    <w:p>
      <w:pPr>
        <w:pStyle w:val="23"/>
        <w:adjustRightInd w:val="0"/>
        <w:snapToGrid w:val="0"/>
        <w:spacing w:line="240" w:lineRule="auto"/>
        <w:ind w:firstLine="0" w:firstLineChars="0"/>
      </w:pPr>
    </w:p>
    <w:p>
      <w:pPr>
        <w:pStyle w:val="23"/>
        <w:ind w:firstLine="864"/>
      </w:pPr>
      <w:r>
        <w:rPr>
          <w:rFonts w:hint="eastAsia" w:ascii="方正小标宋简体" w:hAnsi="方正小标宋简体" w:eastAsia="方正小标宋简体" w:cs="方正小标宋简体"/>
          <w:bCs/>
          <w:spacing w:val="20"/>
          <w:sz w:val="44"/>
          <w:szCs w:val="32"/>
        </w:rPr>
        <mc:AlternateContent>
          <mc:Choice Requires="wps">
            <w:drawing>
              <wp:anchor distT="45720" distB="45720" distL="114300" distR="114300" simplePos="0" relativeHeight="251659264" behindDoc="0" locked="0" layoutInCell="1" allowOverlap="1">
                <wp:simplePos x="0" y="0"/>
                <wp:positionH relativeFrom="column">
                  <wp:posOffset>327660</wp:posOffset>
                </wp:positionH>
                <wp:positionV relativeFrom="paragraph">
                  <wp:posOffset>554355</wp:posOffset>
                </wp:positionV>
                <wp:extent cx="4754880" cy="918210"/>
                <wp:effectExtent l="0" t="0" r="7620" b="6350"/>
                <wp:wrapNone/>
                <wp:docPr id="217" name="文本框 6"/>
                <wp:cNvGraphicFramePr/>
                <a:graphic xmlns:a="http://schemas.openxmlformats.org/drawingml/2006/main">
                  <a:graphicData uri="http://schemas.microsoft.com/office/word/2010/wordprocessingShape">
                    <wps:wsp>
                      <wps:cNvSpPr txBox="1">
                        <a:spLocks noChangeArrowheads="1"/>
                      </wps:cNvSpPr>
                      <wps:spPr bwMode="auto">
                        <a:xfrm>
                          <a:off x="0" y="0"/>
                          <a:ext cx="4754880" cy="918210"/>
                        </a:xfrm>
                        <a:prstGeom prst="rect">
                          <a:avLst/>
                        </a:prstGeom>
                        <a:solidFill>
                          <a:srgbClr val="FFFFFF"/>
                        </a:solidFill>
                        <a:ln w="9525">
                          <a:noFill/>
                          <a:miter lim="800000"/>
                        </a:ln>
                      </wps:spPr>
                      <wps:txbx>
                        <w:txbxContent>
                          <w:p>
                            <w:pPr>
                              <w:snapToGrid w:val="0"/>
                              <w:ind w:firstLine="704"/>
                              <w:jc w:val="distribute"/>
                              <w:rPr>
                                <w:rFonts w:hint="eastAsia" w:ascii="华文中宋" w:hAnsi="华文中宋" w:eastAsia="华文中宋"/>
                                <w:sz w:val="36"/>
                                <w:szCs w:val="36"/>
                                <w:lang w:bidi="ar"/>
                              </w:rPr>
                            </w:pPr>
                            <w:r>
                              <w:rPr>
                                <w:rFonts w:hint="eastAsia" w:ascii="华文中宋" w:hAnsi="华文中宋" w:eastAsia="华文中宋"/>
                                <w:sz w:val="36"/>
                                <w:szCs w:val="36"/>
                                <w:lang w:bidi="ar"/>
                              </w:rPr>
                              <w:t>汕尾</w:t>
                            </w:r>
                            <w:r>
                              <w:rPr>
                                <w:rFonts w:ascii="华文中宋" w:hAnsi="华文中宋" w:eastAsia="华文中宋"/>
                                <w:sz w:val="36"/>
                                <w:szCs w:val="36"/>
                                <w:lang w:bidi="ar"/>
                              </w:rPr>
                              <w:t>市</w:t>
                            </w:r>
                            <w:r>
                              <w:rPr>
                                <w:rFonts w:hint="eastAsia" w:ascii="华文中宋" w:hAnsi="华文中宋" w:eastAsia="华文中宋"/>
                                <w:sz w:val="36"/>
                                <w:szCs w:val="36"/>
                                <w:lang w:bidi="ar"/>
                              </w:rPr>
                              <w:t>交通运输局</w:t>
                            </w:r>
                          </w:p>
                          <w:p>
                            <w:pPr>
                              <w:snapToGrid w:val="0"/>
                              <w:ind w:firstLine="704"/>
                              <w:jc w:val="distribute"/>
                              <w:rPr>
                                <w:sz w:val="24"/>
                                <w:szCs w:val="16"/>
                              </w:rPr>
                            </w:pPr>
                            <w:r>
                              <w:rPr>
                                <w:rFonts w:ascii="华文中宋" w:hAnsi="华文中宋" w:eastAsia="华文中宋"/>
                                <w:sz w:val="36"/>
                                <w:szCs w:val="36"/>
                                <w:lang w:bidi="ar"/>
                              </w:rPr>
                              <w:t>广东省交通运输规划研究中心</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6" o:spid="_x0000_s1026" o:spt="202" type="#_x0000_t202" style="position:absolute;left:0pt;margin-left:25.8pt;margin-top:43.65pt;height:72.3pt;width:374.4pt;z-index:251659264;mso-width-relative:page;mso-height-relative:margin;mso-height-percent:200;" fillcolor="#FFFFFF" filled="t" stroked="f" coordsize="21600,21600" o:gfxdata="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V+9nftgAAAAJAQAADwAAAAAAAAABACAAAAAiAAAAZHJzL2Rv&#10;d25yZXYueG1sUEsBAhQAFAAAAAgAh07iQOFj7Ls6AgAAVAQAAA4AAAAAAAAAAQAgAAAAJwEAAGRy&#10;cy9lMm9Eb2MueG1sUEsFBgAAAAAGAAYAWQEAANMFAAAAAA==&#10;">
                <v:fill on="t" focussize="0,0"/>
                <v:stroke on="f" miterlimit="8" joinstyle="miter"/>
                <v:imagedata o:title=""/>
                <o:lock v:ext="edit" aspectratio="f"/>
                <v:textbox style="mso-fit-shape-to-text:t;">
                  <w:txbxContent>
                    <w:p>
                      <w:pPr>
                        <w:snapToGrid w:val="0"/>
                        <w:ind w:firstLine="704"/>
                        <w:jc w:val="distribute"/>
                        <w:rPr>
                          <w:rFonts w:hint="eastAsia" w:ascii="华文中宋" w:hAnsi="华文中宋" w:eastAsia="华文中宋"/>
                          <w:sz w:val="36"/>
                          <w:szCs w:val="36"/>
                          <w:lang w:bidi="ar"/>
                        </w:rPr>
                      </w:pPr>
                      <w:r>
                        <w:rPr>
                          <w:rFonts w:hint="eastAsia" w:ascii="华文中宋" w:hAnsi="华文中宋" w:eastAsia="华文中宋"/>
                          <w:sz w:val="36"/>
                          <w:szCs w:val="36"/>
                          <w:lang w:bidi="ar"/>
                        </w:rPr>
                        <w:t>汕尾</w:t>
                      </w:r>
                      <w:r>
                        <w:rPr>
                          <w:rFonts w:ascii="华文中宋" w:hAnsi="华文中宋" w:eastAsia="华文中宋"/>
                          <w:sz w:val="36"/>
                          <w:szCs w:val="36"/>
                          <w:lang w:bidi="ar"/>
                        </w:rPr>
                        <w:t>市</w:t>
                      </w:r>
                      <w:r>
                        <w:rPr>
                          <w:rFonts w:hint="eastAsia" w:ascii="华文中宋" w:hAnsi="华文中宋" w:eastAsia="华文中宋"/>
                          <w:sz w:val="36"/>
                          <w:szCs w:val="36"/>
                          <w:lang w:bidi="ar"/>
                        </w:rPr>
                        <w:t>交通运输局</w:t>
                      </w:r>
                    </w:p>
                    <w:p>
                      <w:pPr>
                        <w:snapToGrid w:val="0"/>
                        <w:ind w:firstLine="704"/>
                        <w:jc w:val="distribute"/>
                        <w:rPr>
                          <w:sz w:val="24"/>
                          <w:szCs w:val="16"/>
                        </w:rPr>
                      </w:pPr>
                      <w:r>
                        <w:rPr>
                          <w:rFonts w:ascii="华文中宋" w:hAnsi="华文中宋" w:eastAsia="华文中宋"/>
                          <w:sz w:val="36"/>
                          <w:szCs w:val="36"/>
                          <w:lang w:bidi="ar"/>
                        </w:rPr>
                        <w:t>广东省交通运输规划研究中心</w:t>
                      </w:r>
                    </w:p>
                  </w:txbxContent>
                </v:textbox>
              </v:shape>
            </w:pict>
          </mc:Fallback>
        </mc:AlternateContent>
      </w:r>
    </w:p>
    <w:p>
      <w:pPr>
        <w:pStyle w:val="23"/>
        <w:ind w:firstLine="864"/>
        <w:jc w:val="center"/>
        <w:rPr>
          <w:rFonts w:hint="eastAsia" w:ascii="华文中宋" w:hAnsi="华文中宋" w:eastAsia="华文中宋"/>
          <w:sz w:val="44"/>
          <w:szCs w:val="32"/>
        </w:rPr>
      </w:pPr>
    </w:p>
    <w:p>
      <w:pPr>
        <w:pStyle w:val="23"/>
        <w:keepNext w:val="0"/>
        <w:keepLines w:val="0"/>
        <w:pageBreakBefore w:val="0"/>
        <w:widowControl w:val="0"/>
        <w:kinsoku/>
        <w:wordWrap/>
        <w:overflowPunct/>
        <w:topLinePunct w:val="0"/>
        <w:autoSpaceDE/>
        <w:autoSpaceDN/>
        <w:bidi w:val="0"/>
        <w:adjustRightInd w:val="0"/>
        <w:snapToGrid w:val="0"/>
        <w:spacing w:before="308" w:beforeLines="50"/>
        <w:ind w:firstLine="0" w:firstLineChars="0"/>
        <w:jc w:val="center"/>
        <w:textAlignment w:val="auto"/>
        <w:rPr>
          <w:rFonts w:hint="eastAsia" w:ascii="华文中宋" w:hAnsi="华文中宋" w:eastAsia="华文中宋"/>
          <w:sz w:val="36"/>
          <w:szCs w:val="24"/>
        </w:rPr>
      </w:pPr>
      <w:r>
        <w:rPr>
          <w:rFonts w:hint="eastAsia" w:ascii="华文中宋" w:hAnsi="华文中宋" w:eastAsia="华文中宋"/>
          <w:sz w:val="36"/>
          <w:szCs w:val="24"/>
        </w:rPr>
        <w:t>二○二六年十月</w:t>
      </w:r>
    </w:p>
    <w:p>
      <w:pPr>
        <w:ind w:firstLine="0" w:firstLineChars="0"/>
        <w:rPr>
          <w:rFonts w:hint="eastAsia" w:ascii="仿宋_GB2312" w:hAnsi="仿宋_GB2312" w:cs="仿宋_GB2312"/>
        </w:rPr>
        <w:sectPr>
          <w:headerReference r:id="rId7" w:type="first"/>
          <w:footerReference r:id="rId10" w:type="first"/>
          <w:headerReference r:id="rId5" w:type="default"/>
          <w:footerReference r:id="rId8" w:type="default"/>
          <w:headerReference r:id="rId6" w:type="even"/>
          <w:footerReference r:id="rId9" w:type="even"/>
          <w:pgSz w:w="11906" w:h="16838"/>
          <w:pgMar w:top="1701" w:right="1587" w:bottom="1701" w:left="1587" w:header="851" w:footer="992" w:gutter="0"/>
          <w:cols w:space="720" w:num="1"/>
          <w:titlePg/>
          <w:docGrid w:type="linesAndChars" w:linePitch="610" w:charSpace="-1668"/>
        </w:sectPr>
      </w:pPr>
    </w:p>
    <w:p>
      <w:pPr>
        <w:ind w:firstLine="0" w:firstLineChars="0"/>
        <w:rPr>
          <w:rFonts w:hint="eastAsia" w:ascii="仿宋_GB2312" w:hAnsi="仿宋_GB2312" w:cs="仿宋_GB2312"/>
        </w:rPr>
      </w:pPr>
    </w:p>
    <w:p>
      <w:pPr>
        <w:ind w:firstLine="0" w:firstLineChars="0"/>
        <w:jc w:val="center"/>
        <w:rPr>
          <w:rFonts w:hint="eastAsia" w:ascii="黑体" w:hAnsi="黑体" w:eastAsia="黑体" w:cs="仿宋_GB2312"/>
          <w:b/>
          <w:bCs/>
          <w:sz w:val="36"/>
          <w:szCs w:val="36"/>
        </w:rPr>
      </w:pPr>
      <w:r>
        <w:rPr>
          <w:rFonts w:hint="eastAsia" w:ascii="黑体" w:hAnsi="黑体" w:eastAsia="黑体" w:cs="仿宋_GB2312"/>
          <w:b/>
          <w:bCs/>
          <w:sz w:val="36"/>
          <w:szCs w:val="36"/>
        </w:rPr>
        <w:t>目 录</w:t>
      </w:r>
    </w:p>
    <w:p>
      <w:pPr>
        <w:pStyle w:val="23"/>
        <w:adjustRightInd w:val="0"/>
        <w:snapToGrid w:val="0"/>
        <w:spacing w:line="240" w:lineRule="auto"/>
        <w:ind w:firstLine="0" w:firstLineChars="0"/>
        <w:rPr>
          <w:sz w:val="21"/>
          <w:szCs w:val="16"/>
        </w:rPr>
      </w:pPr>
    </w:p>
    <w:p>
      <w:pPr>
        <w:pStyle w:val="23"/>
        <w:adjustRightInd w:val="0"/>
        <w:snapToGrid w:val="0"/>
        <w:spacing w:line="240" w:lineRule="auto"/>
        <w:ind w:firstLine="0" w:firstLineChars="0"/>
        <w:rPr>
          <w:sz w:val="21"/>
          <w:szCs w:val="16"/>
        </w:rPr>
      </w:pPr>
    </w:p>
    <w:p>
      <w:pPr>
        <w:pStyle w:val="15"/>
        <w:tabs>
          <w:tab w:val="right" w:leader="dot" w:pos="8722"/>
        </w:tabs>
        <w:rPr>
          <w:rFonts w:hint="eastAsia" w:asciiTheme="minorHAnsi" w:hAnsiTheme="minorHAnsi" w:eastAsiaTheme="minorEastAsia"/>
          <w:sz w:val="22"/>
          <w:szCs w:val="24"/>
          <w14:ligatures w14:val="standardContextual"/>
        </w:rPr>
      </w:pPr>
      <w:r>
        <w:rPr>
          <w:rFonts w:hint="eastAsia" w:ascii="仿宋_GB2312" w:hAnsi="仿宋_GB2312" w:cs="仿宋_GB2312"/>
        </w:rPr>
        <w:fldChar w:fldCharType="begin"/>
      </w:r>
      <w:r>
        <w:rPr>
          <w:rFonts w:hint="eastAsia" w:ascii="仿宋_GB2312" w:hAnsi="仿宋_GB2312" w:cs="仿宋_GB2312"/>
        </w:rPr>
        <w:instrText xml:space="preserve"> TOC \o "1-3" \h \z \u </w:instrText>
      </w:r>
      <w:r>
        <w:rPr>
          <w:rFonts w:hint="eastAsia" w:ascii="仿宋_GB2312" w:hAnsi="仿宋_GB2312" w:cs="仿宋_GB2312"/>
        </w:rPr>
        <w:fldChar w:fldCharType="separate"/>
      </w:r>
      <w:r>
        <w:fldChar w:fldCharType="begin"/>
      </w:r>
      <w:r>
        <w:instrText xml:space="preserve"> HYPERLINK \l "_Toc242797168" </w:instrText>
      </w:r>
      <w:r>
        <w:fldChar w:fldCharType="separate"/>
      </w:r>
      <w:r>
        <w:rPr>
          <w:rStyle w:val="29"/>
        </w:rPr>
        <w:t>一、总体要求</w:t>
      </w:r>
      <w:r>
        <w:rPr>
          <w:rFonts w:hint="eastAsia"/>
        </w:rPr>
        <w:tab/>
      </w:r>
      <w:r>
        <w:rPr>
          <w:rFonts w:hint="eastAsia"/>
        </w:rPr>
        <w:fldChar w:fldCharType="begin"/>
      </w:r>
      <w:r>
        <w:rPr>
          <w:rFonts w:hint="eastAsia"/>
        </w:rPr>
        <w:instrText xml:space="preserve"> </w:instrText>
      </w:r>
      <w:r>
        <w:instrText xml:space="preserve">PAGEREF _Toc242797168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15"/>
        <w:tabs>
          <w:tab w:val="right" w:leader="dot" w:pos="8722"/>
        </w:tabs>
        <w:rPr>
          <w:rFonts w:hint="eastAsia" w:asciiTheme="minorHAnsi" w:hAnsiTheme="minorHAnsi" w:eastAsiaTheme="minorEastAsia"/>
          <w:sz w:val="22"/>
          <w:szCs w:val="24"/>
          <w14:ligatures w14:val="standardContextual"/>
        </w:rPr>
      </w:pPr>
      <w:r>
        <w:fldChar w:fldCharType="begin"/>
      </w:r>
      <w:r>
        <w:instrText xml:space="preserve"> HYPERLINK \l "_Toc242797169" </w:instrText>
      </w:r>
      <w:r>
        <w:fldChar w:fldCharType="separate"/>
      </w:r>
      <w:r>
        <w:rPr>
          <w:rStyle w:val="29"/>
        </w:rPr>
        <w:t>二、完善综合交通通道网络布局</w:t>
      </w:r>
      <w:r>
        <w:rPr>
          <w:rFonts w:hint="eastAsia"/>
        </w:rPr>
        <w:tab/>
      </w:r>
      <w:r>
        <w:rPr>
          <w:rFonts w:hint="eastAsia"/>
        </w:rPr>
        <w:fldChar w:fldCharType="begin"/>
      </w:r>
      <w:r>
        <w:rPr>
          <w:rFonts w:hint="eastAsia"/>
        </w:rPr>
        <w:instrText xml:space="preserve"> </w:instrText>
      </w:r>
      <w:r>
        <w:instrText xml:space="preserve">PAGEREF _Toc242797169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"_Toc242797170" </w:instrText>
      </w:r>
      <w:r>
        <w:fldChar w:fldCharType="separate"/>
      </w:r>
      <w:r>
        <w:rPr>
          <w:rStyle w:val="29"/>
        </w:rPr>
        <w:t>（一）完善外联内畅的高快速路布局</w:t>
      </w:r>
      <w:r>
        <w:rPr>
          <w:rFonts w:hint="eastAsia"/>
        </w:rPr>
        <w:tab/>
      </w:r>
      <w:r>
        <w:rPr>
          <w:rFonts w:hint="eastAsia"/>
        </w:rPr>
        <w:fldChar w:fldCharType="begin"/>
      </w:r>
      <w:r>
        <w:rPr>
          <w:rFonts w:hint="eastAsia"/>
        </w:rPr>
        <w:instrText xml:space="preserve"> </w:instrText>
      </w:r>
      <w:r>
        <w:instrText xml:space="preserve">PAGEREF _Toc242797170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"_Toc242797171" </w:instrText>
      </w:r>
      <w:r>
        <w:fldChar w:fldCharType="separate"/>
      </w:r>
      <w:r>
        <w:rPr>
          <w:rStyle w:val="29"/>
        </w:rPr>
        <w:t>（二）建设品质优良的普通国省干线</w:t>
      </w:r>
      <w:r>
        <w:rPr>
          <w:rFonts w:hint="eastAsia"/>
        </w:rPr>
        <w:tab/>
      </w:r>
      <w:r>
        <w:rPr>
          <w:rFonts w:hint="eastAsia"/>
        </w:rPr>
        <w:fldChar w:fldCharType="begin"/>
      </w:r>
      <w:r>
        <w:rPr>
          <w:rFonts w:hint="eastAsia"/>
        </w:rPr>
        <w:instrText xml:space="preserve"> </w:instrText>
      </w:r>
      <w:r>
        <w:instrText xml:space="preserve">PAGEREF _Toc242797171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"_Toc242797172" </w:instrText>
      </w:r>
      <w:r>
        <w:fldChar w:fldCharType="separate"/>
      </w:r>
      <w:r>
        <w:rPr>
          <w:rStyle w:val="29"/>
        </w:rPr>
        <w:t>（三）推进广覆深达的农村公路升级</w:t>
      </w:r>
      <w:r>
        <w:rPr>
          <w:rFonts w:hint="eastAsia"/>
        </w:rPr>
        <w:tab/>
      </w:r>
      <w:r>
        <w:rPr>
          <w:rFonts w:hint="eastAsia"/>
        </w:rPr>
        <w:fldChar w:fldCharType="begin"/>
      </w:r>
      <w:r>
        <w:rPr>
          <w:rFonts w:hint="eastAsia"/>
        </w:rPr>
        <w:instrText xml:space="preserve"> </w:instrText>
      </w:r>
      <w:r>
        <w:instrText xml:space="preserve">PAGEREF _Toc242797172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"_Toc242797173" </w:instrText>
      </w:r>
      <w:r>
        <w:fldChar w:fldCharType="separate"/>
      </w:r>
      <w:r>
        <w:rPr>
          <w:rStyle w:val="29"/>
        </w:rPr>
        <w:t>（四）推动稳运恒通的铁路通道落成</w:t>
      </w:r>
      <w:r>
        <w:rPr>
          <w:rFonts w:hint="eastAsia"/>
        </w:rPr>
        <w:tab/>
      </w:r>
      <w:r>
        <w:rPr>
          <w:rFonts w:hint="eastAsia"/>
        </w:rPr>
        <w:fldChar w:fldCharType="begin"/>
      </w:r>
      <w:r>
        <w:rPr>
          <w:rFonts w:hint="eastAsia"/>
        </w:rPr>
        <w:instrText xml:space="preserve"> </w:instrText>
      </w:r>
      <w:r>
        <w:instrText xml:space="preserve">PAGEREF _Toc242797173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pPr>
        <w:pStyle w:val="15"/>
        <w:tabs>
          <w:tab w:val="right" w:leader="dot" w:pos="8722"/>
        </w:tabs>
        <w:rPr>
          <w:rFonts w:hint="eastAsia" w:asciiTheme="minorHAnsi" w:hAnsiTheme="minorHAnsi" w:eastAsiaTheme="minorEastAsia"/>
          <w:sz w:val="22"/>
          <w:szCs w:val="24"/>
          <w14:ligatures w14:val="standardContextual"/>
        </w:rPr>
      </w:pPr>
      <w:r>
        <w:fldChar w:fldCharType="begin"/>
      </w:r>
      <w:r>
        <w:instrText xml:space="preserve"> HYPERLINK \l "_Toc242797174" </w:instrText>
      </w:r>
      <w:r>
        <w:fldChar w:fldCharType="separate"/>
      </w:r>
      <w:r>
        <w:rPr>
          <w:rStyle w:val="29"/>
        </w:rPr>
        <w:t>三、打造粤东重要区域枢纽支点</w:t>
      </w:r>
      <w:r>
        <w:rPr>
          <w:rFonts w:hint="eastAsia"/>
        </w:rPr>
        <w:tab/>
      </w:r>
      <w:r>
        <w:rPr>
          <w:rFonts w:hint="eastAsia"/>
        </w:rPr>
        <w:fldChar w:fldCharType="begin"/>
      </w:r>
      <w:r>
        <w:rPr>
          <w:rFonts w:hint="eastAsia"/>
        </w:rPr>
        <w:instrText xml:space="preserve"> </w:instrText>
      </w:r>
      <w:r>
        <w:instrText xml:space="preserve">PAGEREF _Toc242797174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"_Toc242797175" </w:instrText>
      </w:r>
      <w:r>
        <w:fldChar w:fldCharType="separate"/>
      </w:r>
      <w:r>
        <w:rPr>
          <w:rStyle w:val="29"/>
        </w:rPr>
        <w:t>（五）推进现代集约的港口枢纽建设</w:t>
      </w:r>
      <w:r>
        <w:rPr>
          <w:rFonts w:hint="eastAsia"/>
        </w:rPr>
        <w:tab/>
      </w:r>
      <w:r>
        <w:rPr>
          <w:rFonts w:hint="eastAsia"/>
        </w:rPr>
        <w:fldChar w:fldCharType="begin"/>
      </w:r>
      <w:r>
        <w:rPr>
          <w:rFonts w:hint="eastAsia"/>
        </w:rPr>
        <w:instrText xml:space="preserve"> </w:instrText>
      </w:r>
      <w:r>
        <w:instrText xml:space="preserve">PAGEREF _Toc242797175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"_Toc242797176" </w:instrText>
      </w:r>
      <w:r>
        <w:fldChar w:fldCharType="separate"/>
      </w:r>
      <w:r>
        <w:rPr>
          <w:rStyle w:val="29"/>
        </w:rPr>
        <w:t>（六）谋划服务多元的机场枢纽建设</w:t>
      </w:r>
      <w:r>
        <w:rPr>
          <w:rFonts w:hint="eastAsia"/>
        </w:rPr>
        <w:tab/>
      </w:r>
      <w:r>
        <w:rPr>
          <w:rFonts w:hint="eastAsia"/>
        </w:rPr>
        <w:fldChar w:fldCharType="begin"/>
      </w:r>
      <w:r>
        <w:rPr>
          <w:rFonts w:hint="eastAsia"/>
        </w:rPr>
        <w:instrText xml:space="preserve"> </w:instrText>
      </w:r>
      <w:r>
        <w:instrText xml:space="preserve">PAGEREF _Toc242797176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"_Toc242797177" </w:instrText>
      </w:r>
      <w:r>
        <w:fldChar w:fldCharType="separate"/>
      </w:r>
      <w:r>
        <w:rPr>
          <w:rStyle w:val="29"/>
        </w:rPr>
        <w:t>（七）健全人享其行的客运交通体系</w:t>
      </w:r>
      <w:r>
        <w:rPr>
          <w:rFonts w:hint="eastAsia"/>
        </w:rPr>
        <w:tab/>
      </w:r>
      <w:r>
        <w:rPr>
          <w:rFonts w:hint="eastAsia"/>
        </w:rPr>
        <w:fldChar w:fldCharType="begin"/>
      </w:r>
      <w:r>
        <w:rPr>
          <w:rFonts w:hint="eastAsia"/>
        </w:rPr>
        <w:instrText xml:space="preserve"> </w:instrText>
      </w:r>
      <w:r>
        <w:instrText xml:space="preserve">PAGEREF _Toc242797177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"_Toc242797178" </w:instrText>
      </w:r>
      <w:r>
        <w:fldChar w:fldCharType="separate"/>
      </w:r>
      <w:r>
        <w:rPr>
          <w:rStyle w:val="29"/>
        </w:rPr>
        <w:t>（八）打造系统高效的货运综合枢纽</w:t>
      </w:r>
      <w:r>
        <w:rPr>
          <w:rFonts w:hint="eastAsia"/>
        </w:rPr>
        <w:tab/>
      </w:r>
      <w:r>
        <w:rPr>
          <w:rFonts w:hint="eastAsia"/>
        </w:rPr>
        <w:fldChar w:fldCharType="begin"/>
      </w:r>
      <w:r>
        <w:rPr>
          <w:rFonts w:hint="eastAsia"/>
        </w:rPr>
        <w:instrText xml:space="preserve"> </w:instrText>
      </w:r>
      <w:r>
        <w:instrText xml:space="preserve">PAGEREF _Toc242797178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pPr>
        <w:pStyle w:val="15"/>
        <w:tabs>
          <w:tab w:val="right" w:leader="dot" w:pos="8722"/>
        </w:tabs>
        <w:rPr>
          <w:rFonts w:hint="eastAsia" w:asciiTheme="minorHAnsi" w:hAnsiTheme="minorHAnsi" w:eastAsiaTheme="minorEastAsia"/>
          <w:sz w:val="22"/>
          <w:szCs w:val="24"/>
          <w14:ligatures w14:val="standardContextual"/>
        </w:rPr>
      </w:pPr>
      <w:r>
        <w:fldChar w:fldCharType="begin"/>
      </w:r>
      <w:r>
        <w:instrText xml:space="preserve"> HYPERLINK \l "_Toc242797179" </w:instrText>
      </w:r>
      <w:r>
        <w:fldChar w:fldCharType="separate"/>
      </w:r>
      <w:r>
        <w:rPr>
          <w:rStyle w:val="29"/>
        </w:rPr>
        <w:t>四、提升综合交通运输服务质效</w:t>
      </w:r>
      <w:r>
        <w:rPr>
          <w:rFonts w:hint="eastAsia"/>
        </w:rPr>
        <w:tab/>
      </w:r>
      <w:r>
        <w:rPr>
          <w:rFonts w:hint="eastAsia"/>
        </w:rPr>
        <w:fldChar w:fldCharType="begin"/>
      </w:r>
      <w:r>
        <w:rPr>
          <w:rFonts w:hint="eastAsia"/>
        </w:rPr>
        <w:instrText xml:space="preserve"> </w:instrText>
      </w:r>
      <w:r>
        <w:instrText xml:space="preserve">PAGEREF _Toc242797179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"_Toc242797180" </w:instrText>
      </w:r>
      <w:r>
        <w:fldChar w:fldCharType="separate"/>
      </w:r>
      <w:r>
        <w:rPr>
          <w:rStyle w:val="29"/>
        </w:rPr>
        <w:t>（九）拓展普惠共享的末端寄递格局</w:t>
      </w:r>
      <w:r>
        <w:rPr>
          <w:rFonts w:hint="eastAsia"/>
        </w:rPr>
        <w:tab/>
      </w:r>
      <w:r>
        <w:rPr>
          <w:rFonts w:hint="eastAsia"/>
        </w:rPr>
        <w:fldChar w:fldCharType="begin"/>
      </w:r>
      <w:r>
        <w:rPr>
          <w:rFonts w:hint="eastAsia"/>
        </w:rPr>
        <w:instrText xml:space="preserve"> </w:instrText>
      </w:r>
      <w:r>
        <w:instrText xml:space="preserve">PAGEREF _Toc242797180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"_Toc242797181" </w:instrText>
      </w:r>
      <w:r>
        <w:fldChar w:fldCharType="separate"/>
      </w:r>
      <w:r>
        <w:rPr>
          <w:rStyle w:val="29"/>
        </w:rPr>
        <w:t>（十）加强城乡与公共交通服务建设</w:t>
      </w:r>
      <w:r>
        <w:rPr>
          <w:rFonts w:hint="eastAsia"/>
        </w:rPr>
        <w:tab/>
      </w:r>
      <w:r>
        <w:rPr>
          <w:rFonts w:hint="eastAsia"/>
        </w:rPr>
        <w:fldChar w:fldCharType="begin"/>
      </w:r>
      <w:r>
        <w:rPr>
          <w:rFonts w:hint="eastAsia"/>
        </w:rPr>
        <w:instrText xml:space="preserve"> </w:instrText>
      </w:r>
      <w:r>
        <w:instrText xml:space="preserve">PAGEREF _Toc242797181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"_Toc242797182" </w:instrText>
      </w:r>
      <w:r>
        <w:fldChar w:fldCharType="separate"/>
      </w:r>
      <w:r>
        <w:rPr>
          <w:rStyle w:val="29"/>
        </w:rPr>
        <w:t>（十一）为低空经济对标进位夯基垒台</w:t>
      </w:r>
      <w:r>
        <w:rPr>
          <w:rFonts w:hint="eastAsia"/>
        </w:rPr>
        <w:tab/>
      </w:r>
      <w:r>
        <w:rPr>
          <w:rFonts w:hint="eastAsia"/>
        </w:rPr>
        <w:fldChar w:fldCharType="begin"/>
      </w:r>
      <w:r>
        <w:rPr>
          <w:rFonts w:hint="eastAsia"/>
        </w:rPr>
        <w:instrText xml:space="preserve"> </w:instrText>
      </w:r>
      <w:r>
        <w:instrText xml:space="preserve">PAGEREF _Toc242797182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pPr>
        <w:pStyle w:val="15"/>
        <w:tabs>
          <w:tab w:val="right" w:leader="dot" w:pos="8722"/>
        </w:tabs>
        <w:rPr>
          <w:rFonts w:hint="eastAsia" w:asciiTheme="minorHAnsi" w:hAnsiTheme="minorHAnsi" w:eastAsiaTheme="minorEastAsia"/>
          <w:sz w:val="22"/>
          <w:szCs w:val="24"/>
          <w14:ligatures w14:val="standardContextual"/>
        </w:rPr>
      </w:pPr>
      <w:r>
        <w:fldChar w:fldCharType="begin"/>
      </w:r>
      <w:r>
        <w:instrText xml:space="preserve"> HYPERLINK \l "_Toc242797183" </w:instrText>
      </w:r>
      <w:r>
        <w:fldChar w:fldCharType="separate"/>
      </w:r>
      <w:r>
        <w:rPr>
          <w:rStyle w:val="29"/>
        </w:rPr>
        <w:t>五、推动交通产业深度融合发展</w:t>
      </w:r>
      <w:r>
        <w:rPr>
          <w:rFonts w:hint="eastAsia"/>
        </w:rPr>
        <w:tab/>
      </w:r>
      <w:r>
        <w:rPr>
          <w:rFonts w:hint="eastAsia"/>
        </w:rPr>
        <w:fldChar w:fldCharType="begin"/>
      </w:r>
      <w:r>
        <w:rPr>
          <w:rFonts w:hint="eastAsia"/>
        </w:rPr>
        <w:instrText xml:space="preserve"> </w:instrText>
      </w:r>
      <w:r>
        <w:instrText xml:space="preserve">PAGEREF _Toc242797183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"_Toc242797184" </w:instrText>
      </w:r>
      <w:r>
        <w:fldChar w:fldCharType="separate"/>
      </w:r>
      <w:r>
        <w:rPr>
          <w:rStyle w:val="29"/>
        </w:rPr>
        <w:t>（十二）交旅融合发展提升城市吸引力</w:t>
      </w:r>
      <w:r>
        <w:rPr>
          <w:rFonts w:hint="eastAsia"/>
        </w:rPr>
        <w:tab/>
      </w:r>
      <w:r>
        <w:rPr>
          <w:rFonts w:hint="eastAsia"/>
        </w:rPr>
        <w:fldChar w:fldCharType="begin"/>
      </w:r>
      <w:r>
        <w:rPr>
          <w:rFonts w:hint="eastAsia"/>
        </w:rPr>
        <w:instrText xml:space="preserve"> </w:instrText>
      </w:r>
      <w:r>
        <w:instrText xml:space="preserve">PAGEREF _Toc242797184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"_Toc242797185" </w:instrText>
      </w:r>
      <w:r>
        <w:fldChar w:fldCharType="separate"/>
      </w:r>
      <w:r>
        <w:rPr>
          <w:rStyle w:val="29"/>
        </w:rPr>
        <w:t>（十三）交能融合发展发掘行业新动能</w:t>
      </w:r>
      <w:r>
        <w:rPr>
          <w:rFonts w:hint="eastAsia"/>
        </w:rPr>
        <w:tab/>
      </w:r>
      <w:r>
        <w:rPr>
          <w:rFonts w:hint="eastAsia"/>
        </w:rPr>
        <w:fldChar w:fldCharType="begin"/>
      </w:r>
      <w:r>
        <w:rPr>
          <w:rFonts w:hint="eastAsia"/>
        </w:rPr>
        <w:instrText xml:space="preserve"> </w:instrText>
      </w:r>
      <w:r>
        <w:instrText xml:space="preserve">PAGEREF _Toc242797185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"_Toc242797186" </w:instrText>
      </w:r>
      <w:r>
        <w:fldChar w:fldCharType="separate"/>
      </w:r>
      <w:r>
        <w:rPr>
          <w:rStyle w:val="29"/>
        </w:rPr>
        <w:t>（十四）站城融合发展打造城市新地标</w:t>
      </w:r>
      <w:r>
        <w:rPr>
          <w:rFonts w:hint="eastAsia"/>
        </w:rPr>
        <w:tab/>
      </w:r>
      <w:r>
        <w:rPr>
          <w:rFonts w:hint="eastAsia"/>
        </w:rPr>
        <w:fldChar w:fldCharType="begin"/>
      </w:r>
      <w:r>
        <w:rPr>
          <w:rFonts w:hint="eastAsia"/>
        </w:rPr>
        <w:instrText xml:space="preserve"> </w:instrText>
      </w:r>
      <w:r>
        <w:instrText xml:space="preserve">PAGEREF _Toc242797186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pPr>
        <w:pStyle w:val="15"/>
        <w:tabs>
          <w:tab w:val="right" w:leader="dot" w:pos="8722"/>
        </w:tabs>
        <w:rPr>
          <w:rFonts w:hint="eastAsia" w:asciiTheme="minorHAnsi" w:hAnsiTheme="minorHAnsi" w:eastAsiaTheme="minorEastAsia"/>
          <w:sz w:val="22"/>
          <w:szCs w:val="24"/>
          <w14:ligatures w14:val="standardContextual"/>
        </w:rPr>
      </w:pPr>
      <w:r>
        <w:fldChar w:fldCharType="begin"/>
      </w:r>
      <w:r>
        <w:instrText xml:space="preserve"> HYPERLINK \l "_Toc242797187" </w:instrText>
      </w:r>
      <w:r>
        <w:fldChar w:fldCharType="separate"/>
      </w:r>
      <w:r>
        <w:rPr>
          <w:rStyle w:val="29"/>
        </w:rPr>
        <w:t>六、夯实平安汕尾交通安全韧性</w:t>
      </w:r>
      <w:r>
        <w:rPr>
          <w:rFonts w:hint="eastAsia"/>
        </w:rPr>
        <w:tab/>
      </w:r>
      <w:r>
        <w:rPr>
          <w:rFonts w:hint="eastAsia"/>
        </w:rPr>
        <w:fldChar w:fldCharType="begin"/>
      </w:r>
      <w:r>
        <w:rPr>
          <w:rFonts w:hint="eastAsia"/>
        </w:rPr>
        <w:instrText xml:space="preserve"> </w:instrText>
      </w:r>
      <w:r>
        <w:instrText xml:space="preserve">PAGEREF _Toc242797187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"_Toc242797188" </w:instrText>
      </w:r>
      <w:r>
        <w:fldChar w:fldCharType="separate"/>
      </w:r>
      <w:r>
        <w:rPr>
          <w:rStyle w:val="29"/>
        </w:rPr>
        <w:t>（十五）提高交通设施本质安全水平</w:t>
      </w:r>
      <w:r>
        <w:rPr>
          <w:rFonts w:hint="eastAsia"/>
        </w:rPr>
        <w:tab/>
      </w:r>
      <w:r>
        <w:rPr>
          <w:rFonts w:hint="eastAsia"/>
        </w:rPr>
        <w:fldChar w:fldCharType="begin"/>
      </w:r>
      <w:r>
        <w:rPr>
          <w:rFonts w:hint="eastAsia"/>
        </w:rPr>
        <w:instrText xml:space="preserve"> </w:instrText>
      </w:r>
      <w:r>
        <w:instrText xml:space="preserve">PAGEREF _Toc242797188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"_Toc242797189" </w:instrText>
      </w:r>
      <w:r>
        <w:fldChar w:fldCharType="separate"/>
      </w:r>
      <w:r>
        <w:rPr>
          <w:rStyle w:val="29"/>
        </w:rPr>
        <w:t>（十六）提升行业安全运行监管能力</w:t>
      </w:r>
      <w:r>
        <w:rPr>
          <w:rFonts w:hint="eastAsia"/>
        </w:rPr>
        <w:tab/>
      </w:r>
      <w:r>
        <w:rPr>
          <w:rFonts w:hint="eastAsia"/>
        </w:rPr>
        <w:fldChar w:fldCharType="begin"/>
      </w:r>
      <w:r>
        <w:rPr>
          <w:rFonts w:hint="eastAsia"/>
        </w:rPr>
        <w:instrText xml:space="preserve"> </w:instrText>
      </w:r>
      <w:r>
        <w:instrText xml:space="preserve">PAGEREF _Toc242797189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"_Toc242797190" </w:instrText>
      </w:r>
      <w:r>
        <w:fldChar w:fldCharType="separate"/>
      </w:r>
      <w:r>
        <w:rPr>
          <w:rStyle w:val="29"/>
        </w:rPr>
        <w:t>（十七）完善综合交通应急保障体系</w:t>
      </w:r>
      <w:r>
        <w:rPr>
          <w:rFonts w:hint="eastAsia"/>
        </w:rPr>
        <w:tab/>
      </w:r>
      <w:r>
        <w:rPr>
          <w:rFonts w:hint="eastAsia"/>
        </w:rPr>
        <w:fldChar w:fldCharType="begin"/>
      </w:r>
      <w:r>
        <w:rPr>
          <w:rFonts w:hint="eastAsia"/>
        </w:rPr>
        <w:instrText xml:space="preserve"> </w:instrText>
      </w:r>
      <w:r>
        <w:instrText xml:space="preserve">PAGEREF _Toc242797190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pPr>
        <w:pStyle w:val="15"/>
        <w:tabs>
          <w:tab w:val="right" w:leader="dot" w:pos="8722"/>
        </w:tabs>
        <w:rPr>
          <w:rFonts w:hint="eastAsia" w:asciiTheme="minorHAnsi" w:hAnsiTheme="minorHAnsi" w:eastAsiaTheme="minorEastAsia"/>
          <w:sz w:val="22"/>
          <w:szCs w:val="24"/>
          <w14:ligatures w14:val="standardContextual"/>
        </w:rPr>
      </w:pPr>
      <w:r>
        <w:fldChar w:fldCharType="begin"/>
      </w:r>
      <w:r>
        <w:instrText xml:space="preserve"> HYPERLINK \l "_Toc242797191" </w:instrText>
      </w:r>
      <w:r>
        <w:fldChar w:fldCharType="separate"/>
      </w:r>
      <w:r>
        <w:rPr>
          <w:rStyle w:val="29"/>
        </w:rPr>
        <w:t>七、打造绿美低碳交通汕尾样板</w:t>
      </w:r>
      <w:r>
        <w:rPr>
          <w:rFonts w:hint="eastAsia"/>
        </w:rPr>
        <w:tab/>
      </w:r>
      <w:r>
        <w:rPr>
          <w:rFonts w:hint="eastAsia"/>
        </w:rPr>
        <w:fldChar w:fldCharType="begin"/>
      </w:r>
      <w:r>
        <w:rPr>
          <w:rFonts w:hint="eastAsia"/>
        </w:rPr>
        <w:instrText xml:space="preserve"> </w:instrText>
      </w:r>
      <w:r>
        <w:instrText xml:space="preserve">PAGEREF _Toc242797191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"_Toc242797192" </w:instrText>
      </w:r>
      <w:r>
        <w:fldChar w:fldCharType="separate"/>
      </w:r>
      <w:r>
        <w:rPr>
          <w:rStyle w:val="29"/>
        </w:rPr>
        <w:t>（十八）建设绿色低碳交通基础设施</w:t>
      </w:r>
      <w:r>
        <w:rPr>
          <w:rFonts w:hint="eastAsia"/>
        </w:rPr>
        <w:tab/>
      </w:r>
      <w:r>
        <w:rPr>
          <w:rFonts w:hint="eastAsia"/>
        </w:rPr>
        <w:fldChar w:fldCharType="begin"/>
      </w:r>
      <w:r>
        <w:rPr>
          <w:rFonts w:hint="eastAsia"/>
        </w:rPr>
        <w:instrText xml:space="preserve"> </w:instrText>
      </w:r>
      <w:r>
        <w:instrText xml:space="preserve">PAGEREF _Toc242797192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"_Toc242797193" </w:instrText>
      </w:r>
      <w:r>
        <w:fldChar w:fldCharType="separate"/>
      </w:r>
      <w:r>
        <w:rPr>
          <w:rStyle w:val="29"/>
        </w:rPr>
        <w:t>（十九）加快低碳运输装备推广应用</w:t>
      </w:r>
      <w:r>
        <w:rPr>
          <w:rFonts w:hint="eastAsia"/>
        </w:rPr>
        <w:tab/>
      </w:r>
      <w:r>
        <w:rPr>
          <w:rFonts w:hint="eastAsia"/>
        </w:rPr>
        <w:fldChar w:fldCharType="begin"/>
      </w:r>
      <w:r>
        <w:rPr>
          <w:rFonts w:hint="eastAsia"/>
        </w:rPr>
        <w:instrText xml:space="preserve"> </w:instrText>
      </w:r>
      <w:r>
        <w:instrText xml:space="preserve">PAGEREF _Toc242797193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"_Toc242797194" </w:instrText>
      </w:r>
      <w:r>
        <w:fldChar w:fldCharType="separate"/>
      </w:r>
      <w:r>
        <w:rPr>
          <w:rStyle w:val="29"/>
        </w:rPr>
        <w:t>（二十）深化交通运输污染防控治理</w:t>
      </w:r>
      <w:r>
        <w:rPr>
          <w:rFonts w:hint="eastAsia"/>
        </w:rPr>
        <w:tab/>
      </w:r>
      <w:r>
        <w:rPr>
          <w:rFonts w:hint="eastAsia"/>
        </w:rPr>
        <w:fldChar w:fldCharType="begin"/>
      </w:r>
      <w:r>
        <w:rPr>
          <w:rFonts w:hint="eastAsia"/>
        </w:rPr>
        <w:instrText xml:space="preserve"> </w:instrText>
      </w:r>
      <w:r>
        <w:instrText xml:space="preserve">PAGEREF _Toc242797194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pPr>
        <w:pStyle w:val="15"/>
        <w:tabs>
          <w:tab w:val="right" w:leader="dot" w:pos="8722"/>
        </w:tabs>
        <w:rPr>
          <w:rFonts w:hint="eastAsia" w:asciiTheme="minorHAnsi" w:hAnsiTheme="minorHAnsi" w:eastAsiaTheme="minorEastAsia"/>
          <w:sz w:val="22"/>
          <w:szCs w:val="24"/>
          <w14:ligatures w14:val="standardContextual"/>
        </w:rPr>
      </w:pPr>
      <w:r>
        <w:fldChar w:fldCharType="begin"/>
      </w:r>
      <w:r>
        <w:instrText xml:space="preserve"> HYPERLINK \l "_Toc242797195" </w:instrText>
      </w:r>
      <w:r>
        <w:fldChar w:fldCharType="separate"/>
      </w:r>
      <w:r>
        <w:rPr>
          <w:rStyle w:val="29"/>
        </w:rPr>
        <w:t>八、加快推进交通行业数智赋能</w:t>
      </w:r>
      <w:r>
        <w:rPr>
          <w:rFonts w:hint="eastAsia"/>
        </w:rPr>
        <w:tab/>
      </w:r>
      <w:r>
        <w:rPr>
          <w:rFonts w:hint="eastAsia"/>
        </w:rPr>
        <w:fldChar w:fldCharType="begin"/>
      </w:r>
      <w:r>
        <w:rPr>
          <w:rFonts w:hint="eastAsia"/>
        </w:rPr>
        <w:instrText xml:space="preserve"> </w:instrText>
      </w:r>
      <w:r>
        <w:instrText xml:space="preserve">PAGEREF _Toc242797195 \h</w:instrText>
      </w:r>
      <w:r>
        <w:rPr>
          <w:rFonts w:hint="eastAsia"/>
        </w:rPr>
        <w:instrText xml:space="preserve"> </w:instrText>
      </w:r>
      <w:r>
        <w:rPr>
          <w:rFonts w:hint="eastAsia"/>
        </w:rPr>
        <w:fldChar w:fldCharType="separate"/>
      </w:r>
      <w:r>
        <w:t>21</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"_Toc242797196" </w:instrText>
      </w:r>
      <w:r>
        <w:fldChar w:fldCharType="separate"/>
      </w:r>
      <w:r>
        <w:rPr>
          <w:rStyle w:val="29"/>
        </w:rPr>
        <w:t>（二十一）构建城市智慧出行服务体系</w:t>
      </w:r>
      <w:r>
        <w:rPr>
          <w:rFonts w:hint="eastAsia"/>
        </w:rPr>
        <w:tab/>
      </w:r>
      <w:r>
        <w:rPr>
          <w:rFonts w:hint="eastAsia"/>
        </w:rPr>
        <w:fldChar w:fldCharType="begin"/>
      </w:r>
      <w:r>
        <w:rPr>
          <w:rFonts w:hint="eastAsia"/>
        </w:rPr>
        <w:instrText xml:space="preserve"> </w:instrText>
      </w:r>
      <w:r>
        <w:instrText xml:space="preserve">PAGEREF _Toc242797196 \h</w:instrText>
      </w:r>
      <w:r>
        <w:rPr>
          <w:rFonts w:hint="eastAsia"/>
        </w:rPr>
        <w:instrText xml:space="preserve"> </w:instrText>
      </w:r>
      <w:r>
        <w:rPr>
          <w:rFonts w:hint="eastAsia"/>
        </w:rPr>
        <w:fldChar w:fldCharType="separate"/>
      </w:r>
      <w:r>
        <w:t>21</w:t>
      </w:r>
      <w:r>
        <w:rPr>
          <w:rFonts w:hint="eastAsia"/>
        </w:rPr>
        <w:fldChar w:fldCharType="end"/>
      </w:r>
      <w:r>
        <w:rPr>
          <w:rFonts w:hint="eastAsia"/>
        </w:rPr>
        <w:fldChar w:fldCharType="end"/>
      </w:r>
    </w:p>
    <w:p>
      <w:pPr>
        <w:pStyle w:val="20"/>
        <w:tabs>
          <w:tab w:val="right" w:leader="dot" w:pos="8722"/>
        </w:tabs>
        <w:ind w:firstLine="292"/>
        <w:rPr>
          <w:rFonts w:hint="eastAsia" w:asciiTheme="minorHAnsi" w:hAnsiTheme="minorHAnsi" w:eastAsiaTheme="minorEastAsia"/>
          <w:sz w:val="22"/>
          <w:szCs w:val="24"/>
          <w14:ligatures w14:val="standardContextual"/>
        </w:rPr>
      </w:pPr>
      <w:r>
        <w:fldChar w:fldCharType="begin"/>
      </w:r>
      <w:r>
        <w:instrText xml:space="preserve"> HYPERLINK \l "_Toc242797197" </w:instrText>
      </w:r>
      <w:r>
        <w:fldChar w:fldCharType="separate"/>
      </w:r>
      <w:r>
        <w:rPr>
          <w:rStyle w:val="29"/>
        </w:rPr>
        <w:t>（二十二）发展智慧物流实现降本增效</w:t>
      </w:r>
      <w:r>
        <w:rPr>
          <w:rFonts w:hint="eastAsia"/>
        </w:rPr>
        <w:tab/>
      </w:r>
      <w:r>
        <w:rPr>
          <w:rFonts w:hint="eastAsia"/>
        </w:rPr>
        <w:fldChar w:fldCharType="begin"/>
      </w:r>
      <w:r>
        <w:rPr>
          <w:rFonts w:hint="eastAsia"/>
        </w:rPr>
        <w:instrText xml:space="preserve"> </w:instrText>
      </w:r>
      <w:r>
        <w:instrText xml:space="preserve">PAGEREF _Toc242797197 \h</w:instrText>
      </w:r>
      <w:r>
        <w:rPr>
          <w:rFonts w:hint="eastAsia"/>
        </w:rPr>
        <w:instrText xml:space="preserve"> </w:instrText>
      </w:r>
      <w:r>
        <w:rPr>
          <w:rFonts w:hint="eastAsia"/>
        </w:rPr>
        <w:fldChar w:fldCharType="separate"/>
      </w:r>
      <w:r>
        <w:t>21</w:t>
      </w:r>
      <w:r>
        <w:rPr>
          <w:rFonts w:hint="eastAsia"/>
        </w:rPr>
        <w:fldChar w:fldCharType="end"/>
      </w:r>
      <w:r>
        <w:rPr>
          <w:rFonts w:hint="eastAsia"/>
        </w:rPr>
        <w:fldChar w:fldCharType="end"/>
      </w:r>
    </w:p>
    <w:p>
      <w:pPr>
        <w:pStyle w:val="15"/>
        <w:tabs>
          <w:tab w:val="right" w:leader="dot" w:pos="8722"/>
        </w:tabs>
        <w:rPr>
          <w:rFonts w:hint="eastAsia" w:asciiTheme="minorHAnsi" w:hAnsiTheme="minorHAnsi" w:eastAsiaTheme="minorEastAsia"/>
          <w:sz w:val="22"/>
          <w:szCs w:val="24"/>
          <w14:ligatures w14:val="standardContextual"/>
        </w:rPr>
      </w:pPr>
      <w:r>
        <w:fldChar w:fldCharType="begin"/>
      </w:r>
      <w:r>
        <w:instrText xml:space="preserve"> HYPERLINK \l "_Toc242797198" </w:instrText>
      </w:r>
      <w:r>
        <w:fldChar w:fldCharType="separate"/>
      </w:r>
      <w:r>
        <w:rPr>
          <w:rStyle w:val="29"/>
        </w:rPr>
        <w:t>九、加强组织实施</w:t>
      </w:r>
      <w:r>
        <w:rPr>
          <w:rFonts w:hint="eastAsia"/>
        </w:rPr>
        <w:tab/>
      </w:r>
      <w:r>
        <w:rPr>
          <w:rFonts w:hint="eastAsia"/>
        </w:rPr>
        <w:fldChar w:fldCharType="begin"/>
      </w:r>
      <w:r>
        <w:rPr>
          <w:rFonts w:hint="eastAsia"/>
        </w:rPr>
        <w:instrText xml:space="preserve"> </w:instrText>
      </w:r>
      <w:r>
        <w:instrText xml:space="preserve">PAGEREF _Toc242797198 \h</w:instrText>
      </w:r>
      <w:r>
        <w:rPr>
          <w:rFonts w:hint="eastAsia"/>
        </w:rPr>
        <w:instrText xml:space="preserve"> </w:instrText>
      </w:r>
      <w:r>
        <w:rPr>
          <w:rFonts w:hint="eastAsia"/>
        </w:rPr>
        <w:fldChar w:fldCharType="separate"/>
      </w:r>
      <w:r>
        <w:t>22</w:t>
      </w:r>
      <w:r>
        <w:rPr>
          <w:rFonts w:hint="eastAsia"/>
        </w:rPr>
        <w:fldChar w:fldCharType="end"/>
      </w:r>
      <w:r>
        <w:rPr>
          <w:rFonts w:hint="eastAsia"/>
        </w:rPr>
        <w:fldChar w:fldCharType="end"/>
      </w:r>
    </w:p>
    <w:p>
      <w:pPr>
        <w:ind w:firstLine="0" w:firstLineChars="0"/>
        <w:jc w:val="center"/>
        <w:rPr>
          <w:rFonts w:hint="eastAsia" w:ascii="仿宋_GB2312" w:hAnsi="仿宋_GB2312" w:eastAsia="黑体" w:cs="仿宋_GB2312"/>
        </w:rPr>
        <w:sectPr>
          <w:footerReference r:id="rId11" w:type="first"/>
          <w:pgSz w:w="11906" w:h="16838"/>
          <w:pgMar w:top="1701" w:right="1587" w:bottom="1701" w:left="1587" w:header="851" w:footer="992" w:gutter="0"/>
          <w:pgNumType w:fmt="upperRoman" w:start="1"/>
          <w:cols w:space="720" w:num="1"/>
          <w:titlePg/>
          <w:docGrid w:type="linesAndChars" w:linePitch="610" w:charSpace="-1668"/>
        </w:sectPr>
      </w:pPr>
      <w:r>
        <w:rPr>
          <w:rFonts w:hint="eastAsia" w:ascii="仿宋_GB2312" w:hAnsi="仿宋_GB2312" w:eastAsia="黑体" w:cs="仿宋_GB2312"/>
          <w:sz w:val="30"/>
        </w:rPr>
        <w:fldChar w:fldCharType="end"/>
      </w:r>
    </w:p>
    <w:p>
      <w:pPr>
        <w:pStyle w:val="33"/>
        <w:pageBreakBefore w:val="0"/>
        <w:widowControl w:val="0"/>
        <w:kinsoku/>
        <w:wordWrap/>
        <w:overflowPunct/>
        <w:topLinePunct w:val="0"/>
        <w:autoSpaceDE/>
        <w:autoSpaceDN/>
        <w:bidi w:val="0"/>
        <w:adjustRightInd w:val="0"/>
        <w:snapToGrid w:val="0"/>
        <w:spacing w:before="0" w:after="0" w:line="640" w:lineRule="exact"/>
        <w:ind w:firstLine="0" w:firstLineChars="0"/>
        <w:textAlignment w:val="auto"/>
        <w:outlineLvl w:val="9"/>
        <w:rPr>
          <w:rFonts w:hint="eastAsia"/>
          <w:b w:val="0"/>
          <w:bCs w:val="0"/>
          <w:sz w:val="44"/>
          <w:szCs w:val="44"/>
        </w:rPr>
      </w:pPr>
      <w:r>
        <w:rPr>
          <w:rFonts w:hint="eastAsia"/>
          <w:b w:val="0"/>
          <w:bCs w:val="0"/>
          <w:sz w:val="44"/>
          <w:szCs w:val="44"/>
        </w:rPr>
        <w:t>汕尾市综合交通运输体系“十五五”发展规划</w:t>
      </w:r>
    </w:p>
    <w:p>
      <w:pPr>
        <w:pStyle w:val="34"/>
        <w:pageBreakBefore w:val="0"/>
        <w:widowControl w:val="0"/>
        <w:kinsoku/>
        <w:wordWrap/>
        <w:overflowPunct/>
        <w:topLinePunct w:val="0"/>
        <w:autoSpaceDE/>
        <w:autoSpaceDN/>
        <w:bidi w:val="0"/>
        <w:adjustRightInd w:val="0"/>
        <w:snapToGrid w:val="0"/>
        <w:spacing w:line="640" w:lineRule="exact"/>
        <w:ind w:firstLine="0" w:firstLineChars="0"/>
        <w:jc w:val="center"/>
        <w:textAlignment w:val="auto"/>
        <w:rPr>
          <w:rFonts w:hint="eastAsia" w:ascii="黑体" w:hAnsi="黑体" w:eastAsia="方正小标宋简体" w:cs="黑体"/>
          <w:b w:val="0"/>
          <w:bCs w:val="0"/>
          <w:kern w:val="44"/>
          <w:sz w:val="44"/>
          <w:szCs w:val="44"/>
        </w:rPr>
      </w:pPr>
      <w:r>
        <w:rPr>
          <w:rFonts w:hint="eastAsia" w:ascii="黑体" w:hAnsi="黑体" w:eastAsia="方正小标宋简体" w:cs="黑体"/>
          <w:b w:val="0"/>
          <w:bCs w:val="0"/>
          <w:kern w:val="44"/>
          <w:sz w:val="44"/>
          <w:szCs w:val="44"/>
        </w:rPr>
        <w:t>（</w:t>
      </w:r>
      <w:r>
        <w:rPr>
          <w:rFonts w:hint="eastAsia" w:ascii="黑体" w:hAnsi="黑体" w:eastAsia="方正小标宋简体" w:cs="黑体"/>
          <w:b w:val="0"/>
          <w:bCs w:val="0"/>
          <w:kern w:val="44"/>
          <w:sz w:val="44"/>
          <w:szCs w:val="44"/>
          <w:lang w:val="en-US" w:eastAsia="zh-CN"/>
        </w:rPr>
        <w:t>公示</w:t>
      </w:r>
      <w:r>
        <w:rPr>
          <w:rFonts w:hint="eastAsia" w:ascii="黑体" w:hAnsi="黑体" w:eastAsia="方正小标宋简体" w:cs="黑体"/>
          <w:b w:val="0"/>
          <w:bCs w:val="0"/>
          <w:kern w:val="44"/>
          <w:sz w:val="44"/>
          <w:szCs w:val="44"/>
        </w:rPr>
        <w:t>稿）</w:t>
      </w:r>
    </w:p>
    <w:p>
      <w:pPr>
        <w:pStyle w:val="34"/>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rPr>
      </w:pPr>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交通运输是中国式现代化的开路先锋。为完善汕尾市现代化综合交通运输体系，支撑汕尾市经济实现跨越式发展，根据《广东省综合交通运输体系发展“十五五”规划》《汕尾市国民经济和社会发展第十五个五年规划纲要》等上位规划，制定本规划。</w:t>
      </w:r>
    </w:p>
    <w:p>
      <w:pPr>
        <w:pStyle w:val="38"/>
        <w:keepLines w:val="0"/>
        <w:pageBreakBefore w:val="0"/>
        <w:widowControl w:val="0"/>
        <w:kinsoku/>
        <w:wordWrap/>
        <w:overflowPunct/>
        <w:topLinePunct w:val="0"/>
        <w:autoSpaceDE/>
        <w:autoSpaceDN/>
        <w:bidi w:val="0"/>
        <w:adjustRightInd w:val="0"/>
        <w:snapToGrid w:val="0"/>
        <w:spacing w:before="0" w:beforeLines="0" w:after="0" w:line="560" w:lineRule="exact"/>
        <w:ind w:firstLine="626"/>
        <w:textAlignment w:val="auto"/>
        <w:rPr>
          <w:rFonts w:hint="eastAsia"/>
          <w:b w:val="0"/>
          <w:bCs w:val="0"/>
        </w:rPr>
      </w:pPr>
      <w:bookmarkStart w:id="0" w:name="_Toc242797168"/>
      <w:r>
        <w:rPr>
          <w:rFonts w:hint="eastAsia"/>
          <w:b w:val="0"/>
          <w:bCs w:val="0"/>
        </w:rPr>
        <w:t>一、总体要求</w:t>
      </w:r>
      <w:bookmarkEnd w:id="0"/>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以习近平新时代中国特色社会主义思想为指导，</w:t>
      </w:r>
      <w:bookmarkStart w:id="1" w:name="OLE_LINK2"/>
      <w:r>
        <w:rPr>
          <w:rFonts w:hint="eastAsia" w:ascii="仿宋_GB2312" w:hAnsi="仿宋_GB2312" w:eastAsia="仿宋_GB2312" w:cs="仿宋_GB2312"/>
        </w:rPr>
        <w:t>全面贯彻党的二十大</w:t>
      </w:r>
      <w:r>
        <w:rPr>
          <w:rFonts w:hint="eastAsia" w:ascii="仿宋_GB2312" w:hAnsi="仿宋_GB2312" w:eastAsia="仿宋_GB2312" w:cs="仿宋_GB2312"/>
          <w:lang w:val="en-US" w:eastAsia="zh-CN"/>
        </w:rPr>
        <w:t>和二十届</w:t>
      </w:r>
      <w:r>
        <w:rPr>
          <w:rFonts w:hint="eastAsia" w:ascii="仿宋_GB2312" w:hAnsi="仿宋_GB2312" w:eastAsia="仿宋_GB2312" w:cs="仿宋_GB2312"/>
        </w:rPr>
        <w:t>历次全会精神，</w:t>
      </w:r>
      <w:bookmarkEnd w:id="1"/>
      <w:r>
        <w:rPr>
          <w:rFonts w:hint="eastAsia" w:ascii="仿宋_GB2312" w:hAnsi="仿宋_GB2312" w:eastAsia="仿宋_GB2312" w:cs="仿宋_GB2312"/>
        </w:rPr>
        <w:t>深刻领会习近平总书记视察广东重要讲话、重要指示精神，全面落实省委“1310”具体部署，立足省委赋予汕尾“西承东联桥头堡，东海岸重要支点”定位，锚定“再造一个新汕尾”总体目标，深入实施汕尾市“1233”规划部署，挖掘新时期交通需求，适度超前打造外联内畅、经济高效、绿色集约、融合创新、安全可靠综合交通网络，优化运输体系结构，提升服务品质，增强系统韧性，奋力绘就汕尾交通新图卷，展现汕尾交通新风采，为推进中国式现代化的汕尾实践提供坚实的交通支撑。</w:t>
      </w:r>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十五五”期间，汕尾市要实现从通道节点向区域枢纽支点转型，“西承东联桥头堡，东海岸重要支点”的影响力更加广泛。高速公路多向通达，铁路通道纵深拓展，对外交通承载能力显著提升，融湾融深更加紧密。普惠均衡的基础网全面构建，普通国省干线品质更优，农村公路风景更美。功能完备、立体高效的综合交通枢纽引领多式联运蓬勃发展，汕尾枢纽城市地位稳步提升，引力更强，腹地更广。绿色低碳、智慧创新赋能下的综合交通运输体系更加安全可靠，</w:t>
      </w:r>
      <w:r>
        <w:rPr>
          <w:rFonts w:hint="eastAsia" w:eastAsia="仿宋_GB2312" w:cs="仿宋_GB2312"/>
          <w:lang w:val="en-US" w:eastAsia="zh-CN"/>
        </w:rPr>
        <w:t>优</w:t>
      </w:r>
      <w:r>
        <w:rPr>
          <w:rFonts w:hint="eastAsia" w:ascii="仿宋_GB2312" w:hAnsi="仿宋_GB2312" w:eastAsia="仿宋_GB2312" w:cs="仿宋_GB2312"/>
        </w:rPr>
        <w:t>质服务</w:t>
      </w:r>
      <w:r>
        <w:rPr>
          <w:rFonts w:hint="eastAsia" w:eastAsia="仿宋_GB2312" w:cs="仿宋_GB2312"/>
          <w:lang w:val="en-US" w:eastAsia="zh-CN"/>
        </w:rPr>
        <w:t>保障</w:t>
      </w:r>
      <w:r>
        <w:rPr>
          <w:rFonts w:hint="eastAsia" w:ascii="仿宋_GB2312" w:hAnsi="仿宋_GB2312" w:eastAsia="仿宋_GB2312" w:cs="仿宋_GB2312"/>
        </w:rPr>
        <w:t>民生，有力支撑产业兴旺，有效带动城市繁荣。交通持续为汕尾在全面实现现代化的新征程中实现跨越式发展保驾护航。</w:t>
      </w:r>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b/>
          <w:bCs/>
        </w:rPr>
      </w:pPr>
      <w:r>
        <w:rPr>
          <w:rFonts w:hint="eastAsia" w:ascii="仿宋_GB2312" w:hAnsi="仿宋_GB2312" w:eastAsia="仿宋_GB2312" w:cs="仿宋_GB2312"/>
          <w:b/>
          <w:bCs/>
        </w:rPr>
        <w:t>时效目标：</w:t>
      </w:r>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“4060180”出行交通圈：40分钟直达惠州、深圳及汕潮揭都市圈核心区，60分钟直达广州、东莞，180分钟通达省内其他城市；</w:t>
      </w:r>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“152060”市内出行交通圈：中心镇区15分钟内上高速公路，大型产业集聚区20分钟内到高速公路出入口，城区、县城及中心镇60分钟内上高铁；</w:t>
      </w:r>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rPr>
      </w:pPr>
      <w:r>
        <w:rPr>
          <w:rFonts w:hint="eastAsia" w:ascii="仿宋_GB2312" w:hAnsi="仿宋_GB2312" w:eastAsia="仿宋_GB2312" w:cs="仿宋_GB2312"/>
        </w:rPr>
        <w:t>“1123”快货物流圈：市内当天送达，省内1天送达，国内及东南亚主要城市2天送达，全球主要城市3天送达。</w:t>
      </w:r>
    </w:p>
    <w:p>
      <w:pPr>
        <w:pStyle w:val="55"/>
        <w:keepLines w:val="0"/>
        <w:pageBreakBefore w:val="0"/>
        <w:widowControl w:val="0"/>
        <w:kinsoku/>
        <w:wordWrap/>
        <w:overflowPunct/>
        <w:topLinePunct w:val="0"/>
        <w:autoSpaceDE/>
        <w:autoSpaceDN/>
        <w:bidi w:val="0"/>
        <w:adjustRightInd w:val="0"/>
        <w:snapToGrid w:val="0"/>
        <w:spacing w:before="0" w:beforeLines="0" w:after="0" w:afterLines="0" w:line="560" w:lineRule="exact"/>
        <w:textAlignment w:val="auto"/>
        <w:rPr>
          <w:rFonts w:hint="eastAsia" w:ascii="仿宋_GB2312" w:hAnsi="仿宋_GB2312" w:eastAsia="仿宋_GB2312" w:cs="仿宋_GB2312"/>
          <w:b/>
          <w:bCs/>
        </w:rPr>
      </w:pPr>
      <w:r>
        <w:rPr>
          <w:rFonts w:hint="eastAsia" w:ascii="仿宋_GB2312" w:hAnsi="仿宋_GB2312" w:eastAsia="仿宋_GB2312" w:cs="仿宋_GB2312"/>
          <w:b/>
          <w:bCs/>
        </w:rPr>
        <w:t xml:space="preserve">表 </w:t>
      </w:r>
      <w:r>
        <w:rPr>
          <w:rFonts w:hint="eastAsia" w:ascii="仿宋_GB2312" w:hAnsi="仿宋_GB2312" w:eastAsia="仿宋_GB2312" w:cs="仿宋_GB2312"/>
          <w:b/>
          <w:bCs/>
        </w:rPr>
        <w:fldChar w:fldCharType="begin"/>
      </w:r>
      <w:r>
        <w:rPr>
          <w:rFonts w:hint="eastAsia" w:ascii="仿宋_GB2312" w:hAnsi="仿宋_GB2312" w:eastAsia="仿宋_GB2312" w:cs="仿宋_GB2312"/>
          <w:b/>
          <w:bCs/>
        </w:rPr>
        <w:instrText xml:space="preserve"> SEQ 表 \* ARABIC </w:instrText>
      </w:r>
      <w:r>
        <w:rPr>
          <w:rFonts w:hint="eastAsia" w:ascii="仿宋_GB2312" w:hAnsi="仿宋_GB2312" w:eastAsia="仿宋_GB2312" w:cs="仿宋_GB2312"/>
          <w:b/>
          <w:bCs/>
        </w:rPr>
        <w:fldChar w:fldCharType="separate"/>
      </w:r>
      <w:r>
        <w:rPr>
          <w:rFonts w:hint="eastAsia" w:ascii="仿宋_GB2312" w:hAnsi="仿宋_GB2312" w:eastAsia="仿宋_GB2312" w:cs="仿宋_GB2312"/>
          <w:b/>
          <w:bCs/>
        </w:rPr>
        <w:t>1</w:t>
      </w:r>
      <w:r>
        <w:rPr>
          <w:rFonts w:hint="eastAsia" w:ascii="仿宋_GB2312" w:hAnsi="仿宋_GB2312" w:eastAsia="仿宋_GB2312" w:cs="仿宋_GB2312"/>
          <w:b/>
          <w:bCs/>
        </w:rPr>
        <w:fldChar w:fldCharType="end"/>
      </w:r>
      <w:r>
        <w:rPr>
          <w:rFonts w:hint="eastAsia" w:ascii="仿宋_GB2312" w:hAnsi="仿宋_GB2312" w:eastAsia="仿宋_GB2312" w:cs="仿宋_GB2312"/>
          <w:b/>
          <w:bCs/>
        </w:rPr>
        <w:t xml:space="preserve"> 汕尾市综合交通运输体系“十五五”发展规划指标表</w:t>
      </w:r>
    </w:p>
    <w:tbl>
      <w:tblPr>
        <w:tblStyle w:val="24"/>
        <w:tblW w:w="505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4"/>
        <w:gridCol w:w="819"/>
        <w:gridCol w:w="1745"/>
        <w:gridCol w:w="14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trPr>
        <w:tc>
          <w:tcPr>
            <w:tcW w:w="2757"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bCs/>
              </w:rPr>
            </w:pPr>
            <w:r>
              <w:rPr>
                <w:rFonts w:hint="eastAsia" w:ascii="仿宋_GB2312" w:hAnsi="仿宋_GB2312" w:eastAsia="仿宋_GB2312" w:cs="仿宋_GB2312"/>
                <w:b/>
                <w:bCs/>
              </w:rPr>
              <w:t>指标</w:t>
            </w:r>
          </w:p>
        </w:tc>
        <w:tc>
          <w:tcPr>
            <w:tcW w:w="452"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bCs/>
              </w:rPr>
            </w:pPr>
            <w:r>
              <w:rPr>
                <w:rFonts w:hint="eastAsia" w:ascii="仿宋_GB2312" w:hAnsi="仿宋_GB2312" w:eastAsia="仿宋_GB2312" w:cs="仿宋_GB2312"/>
                <w:b/>
                <w:bCs/>
              </w:rPr>
              <w:t>单位</w:t>
            </w:r>
          </w:p>
        </w:tc>
        <w:tc>
          <w:tcPr>
            <w:tcW w:w="963"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bCs/>
              </w:rPr>
            </w:pPr>
            <w:r>
              <w:rPr>
                <w:rFonts w:hint="eastAsia" w:ascii="仿宋_GB2312" w:hAnsi="仿宋_GB2312" w:eastAsia="仿宋_GB2312" w:cs="仿宋_GB2312"/>
                <w:b/>
                <w:bCs/>
              </w:rPr>
              <w:t>截</w:t>
            </w:r>
            <w:r>
              <w:rPr>
                <w:rFonts w:hint="eastAsia" w:ascii="仿宋_GB2312" w:hAnsi="仿宋_GB2312" w:eastAsia="仿宋_GB2312" w:cs="仿宋_GB2312"/>
                <w:b/>
                <w:bCs/>
                <w:lang w:val="en-US" w:eastAsia="zh-CN"/>
              </w:rPr>
              <w:t>至</w:t>
            </w:r>
            <w:r>
              <w:rPr>
                <w:rFonts w:hint="eastAsia" w:ascii="仿宋_GB2312" w:hAnsi="仿宋_GB2312" w:eastAsia="仿宋_GB2312" w:cs="仿宋_GB2312"/>
                <w:b/>
                <w:bCs/>
              </w:rPr>
              <w:t>2025年底</w:t>
            </w:r>
          </w:p>
        </w:tc>
        <w:tc>
          <w:tcPr>
            <w:tcW w:w="826"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bCs/>
              </w:rPr>
            </w:pPr>
            <w:r>
              <w:rPr>
                <w:rFonts w:hint="eastAsia" w:ascii="仿宋_GB2312" w:hAnsi="仿宋_GB2312" w:eastAsia="仿宋_GB2312" w:cs="仿宋_GB2312"/>
                <w:b/>
                <w:bCs/>
              </w:rPr>
              <w:t>2030年目标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757"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1.公路通车里程</w:t>
            </w:r>
          </w:p>
        </w:tc>
        <w:tc>
          <w:tcPr>
            <w:tcW w:w="452"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公里</w:t>
            </w:r>
          </w:p>
        </w:tc>
        <w:tc>
          <w:tcPr>
            <w:tcW w:w="963"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5837</w:t>
            </w:r>
          </w:p>
        </w:tc>
        <w:tc>
          <w:tcPr>
            <w:tcW w:w="826"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6100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757"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ind w:firstLine="1160" w:firstLineChars="500"/>
              <w:jc w:val="both"/>
              <w:textAlignment w:val="auto"/>
              <w:rPr>
                <w:rFonts w:hint="eastAsia" w:ascii="仿宋_GB2312" w:hAnsi="仿宋_GB2312" w:eastAsia="仿宋_GB2312" w:cs="仿宋_GB2312"/>
              </w:rPr>
            </w:pPr>
            <w:r>
              <w:rPr>
                <w:rFonts w:hint="eastAsia" w:ascii="仿宋_GB2312" w:hAnsi="仿宋_GB2312" w:eastAsia="仿宋_GB2312" w:cs="仿宋_GB2312"/>
              </w:rPr>
              <w:t>其中：高速公路通车里程</w:t>
            </w:r>
          </w:p>
        </w:tc>
        <w:tc>
          <w:tcPr>
            <w:tcW w:w="452"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公里</w:t>
            </w:r>
          </w:p>
        </w:tc>
        <w:tc>
          <w:tcPr>
            <w:tcW w:w="963"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224.7</w:t>
            </w:r>
          </w:p>
        </w:tc>
        <w:tc>
          <w:tcPr>
            <w:tcW w:w="826"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757"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default" w:ascii="仿宋_GB2312" w:hAnsi="仿宋_GB2312" w:eastAsia="仿宋_GB2312" w:cs="仿宋_GB2312"/>
                <w:lang w:val="en-US"/>
              </w:rPr>
              <w:t xml:space="preserve">          </w:t>
            </w:r>
            <w:r>
              <w:rPr>
                <w:rFonts w:hint="eastAsia" w:ascii="仿宋_GB2312" w:hAnsi="仿宋_GB2312" w:eastAsia="仿宋_GB2312" w:cs="仿宋_GB2312"/>
              </w:rPr>
              <w:t>普通国道一级公路比例</w:t>
            </w:r>
          </w:p>
        </w:tc>
        <w:tc>
          <w:tcPr>
            <w:tcW w:w="452"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w:t>
            </w:r>
          </w:p>
        </w:tc>
        <w:tc>
          <w:tcPr>
            <w:tcW w:w="963"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40.2</w:t>
            </w:r>
          </w:p>
        </w:tc>
        <w:tc>
          <w:tcPr>
            <w:tcW w:w="826"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757"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default" w:ascii="仿宋_GB2312" w:hAnsi="仿宋_GB2312" w:eastAsia="仿宋_GB2312" w:cs="仿宋_GB2312"/>
                <w:lang w:val="en-US"/>
              </w:rPr>
              <w:t xml:space="preserve">               </w:t>
            </w:r>
            <w:r>
              <w:rPr>
                <w:rFonts w:hint="eastAsia" w:ascii="仿宋_GB2312" w:hAnsi="仿宋_GB2312" w:eastAsia="仿宋_GB2312" w:cs="仿宋_GB2312"/>
              </w:rPr>
              <w:t>普通国道二级及以上公路比例</w:t>
            </w:r>
          </w:p>
        </w:tc>
        <w:tc>
          <w:tcPr>
            <w:tcW w:w="452"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w:t>
            </w:r>
          </w:p>
        </w:tc>
        <w:tc>
          <w:tcPr>
            <w:tcW w:w="963"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99.4</w:t>
            </w:r>
          </w:p>
        </w:tc>
        <w:tc>
          <w:tcPr>
            <w:tcW w:w="826"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757"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default" w:ascii="仿宋_GB2312" w:hAnsi="仿宋_GB2312" w:eastAsia="仿宋_GB2312" w:cs="仿宋_GB2312"/>
                <w:lang w:val="en-US"/>
              </w:rPr>
              <w:t xml:space="preserve">               </w:t>
            </w:r>
            <w:r>
              <w:rPr>
                <w:rFonts w:hint="eastAsia" w:ascii="仿宋_GB2312" w:hAnsi="仿宋_GB2312" w:eastAsia="仿宋_GB2312" w:cs="仿宋_GB2312"/>
              </w:rPr>
              <w:t>普通省道三级及以上公路比例</w:t>
            </w:r>
          </w:p>
        </w:tc>
        <w:tc>
          <w:tcPr>
            <w:tcW w:w="452"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w:t>
            </w:r>
          </w:p>
        </w:tc>
        <w:tc>
          <w:tcPr>
            <w:tcW w:w="963"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86.2</w:t>
            </w:r>
          </w:p>
        </w:tc>
        <w:tc>
          <w:tcPr>
            <w:tcW w:w="826"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757"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default" w:ascii="仿宋_GB2312" w:hAnsi="仿宋_GB2312" w:eastAsia="仿宋_GB2312" w:cs="仿宋_GB2312"/>
                <w:lang w:val="en-US"/>
              </w:rPr>
              <w:t xml:space="preserve">           </w:t>
            </w:r>
            <w:r>
              <w:rPr>
                <w:rFonts w:hint="eastAsia" w:ascii="仿宋_GB2312" w:hAnsi="仿宋_GB2312" w:eastAsia="仿宋_GB2312" w:cs="仿宋_GB2312"/>
              </w:rPr>
              <w:t>县道三级及以上公路比例</w:t>
            </w:r>
          </w:p>
        </w:tc>
        <w:tc>
          <w:tcPr>
            <w:tcW w:w="452"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w:t>
            </w:r>
          </w:p>
        </w:tc>
        <w:tc>
          <w:tcPr>
            <w:tcW w:w="963"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83.5</w:t>
            </w:r>
          </w:p>
        </w:tc>
        <w:tc>
          <w:tcPr>
            <w:tcW w:w="826"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757"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default" w:ascii="仿宋_GB2312" w:hAnsi="仿宋_GB2312" w:eastAsia="仿宋_GB2312" w:cs="仿宋_GB2312"/>
                <w:lang w:val="en-US"/>
              </w:rPr>
              <w:t>2</w:t>
            </w:r>
            <w:r>
              <w:rPr>
                <w:rFonts w:hint="eastAsia" w:ascii="仿宋_GB2312" w:hAnsi="仿宋_GB2312" w:eastAsia="仿宋_GB2312" w:cs="仿宋_GB2312"/>
              </w:rPr>
              <w:t>.港口生产用码头泊位数</w:t>
            </w:r>
          </w:p>
        </w:tc>
        <w:tc>
          <w:tcPr>
            <w:tcW w:w="452"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个</w:t>
            </w:r>
          </w:p>
        </w:tc>
        <w:tc>
          <w:tcPr>
            <w:tcW w:w="963"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10</w:t>
            </w:r>
          </w:p>
        </w:tc>
        <w:tc>
          <w:tcPr>
            <w:tcW w:w="826"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757"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lang w:eastAsia="zh-CN"/>
              </w:rPr>
            </w:pPr>
            <w:r>
              <w:rPr>
                <w:rFonts w:hint="default" w:ascii="仿宋_GB2312" w:hAnsi="仿宋_GB2312" w:eastAsia="仿宋_GB2312" w:cs="仿宋_GB2312"/>
                <w:lang w:val="en-US"/>
              </w:rPr>
              <w:t>3</w:t>
            </w:r>
            <w:r>
              <w:rPr>
                <w:rFonts w:hint="eastAsia" w:ascii="仿宋_GB2312" w:hAnsi="仿宋_GB2312" w:eastAsia="仿宋_GB2312" w:cs="仿宋_GB2312"/>
              </w:rPr>
              <w:t>.港口</w:t>
            </w:r>
            <w:r>
              <w:rPr>
                <w:rFonts w:hint="eastAsia" w:ascii="仿宋_GB2312" w:hAnsi="仿宋_GB2312" w:eastAsia="仿宋_GB2312" w:cs="仿宋_GB2312"/>
                <w:lang w:eastAsia="zh-CN"/>
              </w:rPr>
              <w:t>货物吞吐量</w:t>
            </w:r>
          </w:p>
        </w:tc>
        <w:tc>
          <w:tcPr>
            <w:tcW w:w="452"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万吨</w:t>
            </w:r>
          </w:p>
        </w:tc>
        <w:tc>
          <w:tcPr>
            <w:tcW w:w="963"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1971.2</w:t>
            </w:r>
          </w:p>
        </w:tc>
        <w:tc>
          <w:tcPr>
            <w:tcW w:w="826"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757"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default" w:ascii="仿宋_GB2312" w:hAnsi="仿宋_GB2312" w:eastAsia="仿宋_GB2312" w:cs="仿宋_GB2312"/>
                <w:lang w:val="en-US"/>
              </w:rPr>
              <w:t>4</w:t>
            </w:r>
            <w:r>
              <w:rPr>
                <w:rFonts w:hint="eastAsia" w:ascii="仿宋_GB2312" w:hAnsi="仿宋_GB2312" w:eastAsia="仿宋_GB2312" w:cs="仿宋_GB2312"/>
              </w:rPr>
              <w:t>.建有村级寄递物流综合服务站的建制村比例</w:t>
            </w:r>
          </w:p>
        </w:tc>
        <w:tc>
          <w:tcPr>
            <w:tcW w:w="452"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w:t>
            </w:r>
          </w:p>
        </w:tc>
        <w:tc>
          <w:tcPr>
            <w:tcW w:w="963"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w:t>
            </w:r>
          </w:p>
        </w:tc>
        <w:tc>
          <w:tcPr>
            <w:tcW w:w="826"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2757"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default" w:ascii="仿宋_GB2312" w:hAnsi="仿宋_GB2312" w:eastAsia="仿宋_GB2312" w:cs="仿宋_GB2312"/>
                <w:lang w:val="en-US"/>
              </w:rPr>
              <w:t>5</w:t>
            </w:r>
            <w:r>
              <w:rPr>
                <w:rFonts w:hint="eastAsia" w:ascii="仿宋_GB2312" w:hAnsi="仿宋_GB2312" w:eastAsia="仿宋_GB2312" w:cs="仿宋_GB2312"/>
              </w:rPr>
              <w:t>.一般公路突发事件应急装备物资到达时间</w:t>
            </w:r>
          </w:p>
        </w:tc>
        <w:tc>
          <w:tcPr>
            <w:tcW w:w="452"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小时</w:t>
            </w:r>
          </w:p>
        </w:tc>
        <w:tc>
          <w:tcPr>
            <w:tcW w:w="963"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w:t>
            </w:r>
          </w:p>
        </w:tc>
        <w:tc>
          <w:tcPr>
            <w:tcW w:w="826"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757"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default" w:ascii="仿宋_GB2312" w:hAnsi="仿宋_GB2312" w:eastAsia="仿宋_GB2312" w:cs="仿宋_GB2312"/>
                <w:lang w:val="en-US"/>
              </w:rPr>
              <w:t>6</w:t>
            </w:r>
            <w:r>
              <w:rPr>
                <w:rFonts w:hint="eastAsia" w:ascii="仿宋_GB2312" w:hAnsi="仿宋_GB2312" w:eastAsia="仿宋_GB2312" w:cs="仿宋_GB2312"/>
              </w:rPr>
              <w:t>.重点风险路段和桥梁监测预警设施覆盖率</w:t>
            </w:r>
          </w:p>
        </w:tc>
        <w:tc>
          <w:tcPr>
            <w:tcW w:w="452"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w:t>
            </w:r>
          </w:p>
        </w:tc>
        <w:tc>
          <w:tcPr>
            <w:tcW w:w="963"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w:t>
            </w:r>
          </w:p>
        </w:tc>
        <w:tc>
          <w:tcPr>
            <w:tcW w:w="826"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2757"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default" w:ascii="仿宋_GB2312" w:hAnsi="仿宋_GB2312" w:eastAsia="仿宋_GB2312" w:cs="仿宋_GB2312"/>
                <w:lang w:val="en-US"/>
              </w:rPr>
              <w:t>7</w:t>
            </w:r>
            <w:r>
              <w:rPr>
                <w:rFonts w:hint="eastAsia" w:ascii="仿宋_GB2312" w:hAnsi="仿宋_GB2312" w:eastAsia="仿宋_GB2312" w:cs="仿宋_GB2312"/>
              </w:rPr>
              <w:t>.道路运输较大及以上等级行车事故万车死亡人数下降率</w:t>
            </w:r>
          </w:p>
        </w:tc>
        <w:tc>
          <w:tcPr>
            <w:tcW w:w="452"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w:t>
            </w:r>
          </w:p>
        </w:tc>
        <w:tc>
          <w:tcPr>
            <w:tcW w:w="963"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w:t>
            </w:r>
          </w:p>
        </w:tc>
        <w:tc>
          <w:tcPr>
            <w:tcW w:w="826"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757"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default" w:ascii="仿宋_GB2312" w:hAnsi="仿宋_GB2312" w:eastAsia="仿宋_GB2312" w:cs="仿宋_GB2312"/>
                <w:lang w:val="en-US"/>
              </w:rPr>
              <w:t>8</w:t>
            </w:r>
            <w:r>
              <w:rPr>
                <w:rFonts w:hint="eastAsia" w:ascii="仿宋_GB2312" w:hAnsi="仿宋_GB2312" w:eastAsia="仿宋_GB2312" w:cs="仿宋_GB2312"/>
              </w:rPr>
              <w:t>.新能源营运交通工具保有量占比</w:t>
            </w:r>
          </w:p>
        </w:tc>
        <w:tc>
          <w:tcPr>
            <w:tcW w:w="452"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w:t>
            </w:r>
          </w:p>
        </w:tc>
        <w:tc>
          <w:tcPr>
            <w:tcW w:w="963"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w:t>
            </w:r>
          </w:p>
        </w:tc>
        <w:tc>
          <w:tcPr>
            <w:tcW w:w="826" w:type="pct"/>
            <w:vAlign w:val="center"/>
          </w:tcPr>
          <w:p>
            <w:pPr>
              <w:pStyle w:val="59"/>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32</w:t>
            </w:r>
          </w:p>
        </w:tc>
      </w:tr>
    </w:tbl>
    <w:p>
      <w:pPr>
        <w:pStyle w:val="38"/>
        <w:keepNext w:val="0"/>
        <w:keepLines w:val="0"/>
        <w:pageBreakBefore w:val="0"/>
        <w:widowControl w:val="0"/>
        <w:kinsoku/>
        <w:wordWrap/>
        <w:overflowPunct/>
        <w:topLinePunct w:val="0"/>
        <w:autoSpaceDE/>
        <w:autoSpaceDN/>
        <w:bidi w:val="0"/>
        <w:adjustRightInd w:val="0"/>
        <w:snapToGrid w:val="0"/>
        <w:spacing w:before="0" w:beforeLines="0" w:after="0" w:line="560" w:lineRule="exact"/>
        <w:ind w:firstLine="0" w:firstLineChars="0"/>
        <w:textAlignment w:val="auto"/>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注：县道三级及以上公路比例指标，由于部分县道将调整为省道，该指标以省交通</w:t>
      </w:r>
      <w:r>
        <w:rPr>
          <w:rFonts w:hint="eastAsia" w:eastAsia="仿宋_GB2312" w:cs="仿宋_GB2312"/>
          <w:b w:val="0"/>
          <w:bCs w:val="0"/>
          <w:sz w:val="24"/>
          <w:szCs w:val="24"/>
          <w:lang w:eastAsia="zh-CN"/>
        </w:rPr>
        <w:t>“</w:t>
      </w:r>
      <w:r>
        <w:rPr>
          <w:rFonts w:hint="eastAsia" w:ascii="仿宋_GB2312" w:hAnsi="仿宋_GB2312" w:eastAsia="仿宋_GB2312" w:cs="仿宋_GB2312"/>
          <w:b w:val="0"/>
          <w:bCs w:val="0"/>
          <w:sz w:val="24"/>
          <w:szCs w:val="24"/>
        </w:rPr>
        <w:t>十五五</w:t>
      </w:r>
      <w:r>
        <w:rPr>
          <w:rFonts w:hint="eastAsia" w:eastAsia="仿宋_GB2312" w:cs="仿宋_GB2312"/>
          <w:b w:val="0"/>
          <w:bCs w:val="0"/>
          <w:sz w:val="24"/>
          <w:szCs w:val="24"/>
          <w:lang w:eastAsia="zh-CN"/>
        </w:rPr>
        <w:t>”</w:t>
      </w:r>
      <w:r>
        <w:rPr>
          <w:rFonts w:hint="eastAsia" w:ascii="仿宋_GB2312" w:hAnsi="仿宋_GB2312" w:eastAsia="仿宋_GB2312" w:cs="仿宋_GB2312"/>
          <w:b w:val="0"/>
          <w:bCs w:val="0"/>
          <w:sz w:val="24"/>
          <w:szCs w:val="24"/>
        </w:rPr>
        <w:t>目标值为准。</w:t>
      </w:r>
    </w:p>
    <w:p>
      <w:pPr>
        <w:pStyle w:val="38"/>
        <w:keepLines w:val="0"/>
        <w:pageBreakBefore w:val="0"/>
        <w:widowControl w:val="0"/>
        <w:kinsoku/>
        <w:wordWrap/>
        <w:overflowPunct/>
        <w:topLinePunct w:val="0"/>
        <w:autoSpaceDE/>
        <w:autoSpaceDN/>
        <w:bidi w:val="0"/>
        <w:adjustRightInd w:val="0"/>
        <w:snapToGrid w:val="0"/>
        <w:spacing w:before="0" w:beforeLines="0" w:after="0" w:line="560" w:lineRule="exact"/>
        <w:ind w:firstLine="626"/>
        <w:textAlignment w:val="auto"/>
        <w:rPr>
          <w:rFonts w:hint="eastAsia"/>
          <w:b w:val="0"/>
          <w:bCs w:val="0"/>
        </w:rPr>
      </w:pPr>
      <w:bookmarkStart w:id="2" w:name="_Toc242797169"/>
      <w:r>
        <w:rPr>
          <w:rFonts w:hint="eastAsia"/>
          <w:b w:val="0"/>
          <w:bCs w:val="0"/>
        </w:rPr>
        <w:t>二、完善综合交通通道网络布局</w:t>
      </w:r>
      <w:bookmarkEnd w:id="2"/>
    </w:p>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3" w:name="_Toc242797170"/>
      <w:r>
        <w:rPr>
          <w:rFonts w:hint="eastAsia"/>
        </w:rPr>
        <w:t>（一）完善外联内畅的高快速路布局</w:t>
      </w:r>
      <w:bookmarkEnd w:id="3"/>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规划建设陆河至惠来高速，强化汕尾北部地区东联汕潮揭能力。规划沈海高速公路汕头濠江至汕尾陆丰段改扩建工程（汕尾段），破除汕尾西承东联主通道通行能力瓶颈。规划甬莞高速与沈海高速海丰联络线，提升横向通道间互联互通水平。谋划紫金至汕尾高速，助推海丰与粤北地区协同发展。谋划红海湾高速，分流红海湾大道客运车流，解决红海湾绿色制造产业园落成后职工、居民等群体与城区间通勤问题及旅游客流出入景区问题。优化完善高速公路互通立交设置，新增潮惠高速海城互通、沈海高速博美互通，</w:t>
      </w:r>
      <w:r>
        <w:rPr>
          <w:rFonts w:hint="eastAsia" w:ascii="仿宋_GB2312" w:hAnsi="仿宋_GB2312" w:eastAsia="仿宋_GB2312" w:cs="仿宋_GB2312"/>
          <w:lang w:val="en-US" w:eastAsia="zh-CN"/>
        </w:rPr>
        <w:t>预留尖山互通及</w:t>
      </w:r>
      <w:r>
        <w:rPr>
          <w:rFonts w:hint="eastAsia" w:ascii="仿宋_GB2312" w:hAnsi="仿宋_GB2312" w:eastAsia="仿宋_GB2312" w:cs="仿宋_GB2312"/>
        </w:rPr>
        <w:t>揭普惠高速南延线衡山互通。强化汕尾与深汕</w:t>
      </w:r>
      <w:r>
        <w:rPr>
          <w:rFonts w:hint="eastAsia" w:eastAsia="仿宋_GB2312" w:cs="仿宋_GB2312"/>
          <w:lang w:val="en-US" w:eastAsia="zh-CN"/>
        </w:rPr>
        <w:t>特别</w:t>
      </w:r>
      <w:r>
        <w:rPr>
          <w:rFonts w:hint="eastAsia" w:ascii="仿宋_GB2312" w:hAnsi="仿宋_GB2312" w:eastAsia="仿宋_GB2312" w:cs="仿宋_GB2312"/>
        </w:rPr>
        <w:t>合作区衔接，规划建设深圳汕尾产业转移合作园基础设施配套工程</w:t>
      </w:r>
      <w:r>
        <w:rPr>
          <w:rFonts w:hint="eastAsia" w:eastAsia="仿宋_GB2312" w:cs="仿宋_GB2312"/>
          <w:lang w:eastAsia="zh-CN"/>
        </w:rPr>
        <w:t>（</w:t>
      </w:r>
      <w:r>
        <w:rPr>
          <w:rFonts w:hint="eastAsia" w:ascii="仿宋_GB2312" w:hAnsi="仿宋_GB2312" w:eastAsia="仿宋_GB2312" w:cs="仿宋_GB2312"/>
        </w:rPr>
        <w:t>赤梅快线海丰段</w:t>
      </w:r>
      <w:r>
        <w:rPr>
          <w:rFonts w:hint="eastAsia" w:eastAsia="仿宋_GB2312" w:cs="仿宋_GB2312"/>
          <w:lang w:eastAsia="zh-CN"/>
        </w:rPr>
        <w:t>）</w:t>
      </w:r>
      <w:r>
        <w:rPr>
          <w:rFonts w:hint="eastAsia" w:ascii="仿宋_GB2312" w:hAnsi="仿宋_GB2312" w:eastAsia="仿宋_GB2312" w:cs="仿宋_GB2312"/>
        </w:rPr>
        <w:t>，谋划深汕第二高速延伸至汕尾市区段。</w:t>
      </w:r>
    </w:p>
    <w:tbl>
      <w:tblPr>
        <w:tblStyle w:val="25"/>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072" w:type="dxa"/>
            <w:vAlign w:val="center"/>
          </w:tcPr>
          <w:p>
            <w:pPr>
              <w:pStyle w:val="34"/>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b/>
                <w:bCs/>
              </w:rPr>
            </w:pPr>
            <w:r>
              <w:rPr>
                <w:rFonts w:hint="eastAsia" w:ascii="仿宋_GB2312" w:hAnsi="仿宋_GB2312" w:eastAsia="仿宋_GB2312" w:cs="仿宋_GB2312"/>
                <w:b/>
                <w:bCs/>
              </w:rPr>
              <w:t>专栏1：高快速路项目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2" w:type="dxa"/>
          </w:tcPr>
          <w:p>
            <w:pPr>
              <w:pStyle w:val="34"/>
              <w:keepLines w:val="0"/>
              <w:pageBreakBefore w:val="0"/>
              <w:widowControl w:val="0"/>
              <w:kinsoku/>
              <w:wordWrap/>
              <w:overflowPunct/>
              <w:topLinePunct w:val="0"/>
              <w:autoSpaceDE/>
              <w:autoSpaceDN/>
              <w:bidi w:val="0"/>
              <w:adjustRightInd w:val="0"/>
              <w:snapToGrid w:val="0"/>
              <w:spacing w:line="560" w:lineRule="exact"/>
              <w:ind w:firstLine="544"/>
              <w:textAlignment w:val="auto"/>
              <w:rPr>
                <w:rStyle w:val="127"/>
                <w:rFonts w:hint="default" w:hAnsi="宋体"/>
                <w:color w:val="auto"/>
                <w:sz w:val="28"/>
                <w:szCs w:val="28"/>
                <w:lang w:bidi="ar"/>
              </w:rPr>
            </w:pPr>
            <w:r>
              <w:rPr>
                <w:rStyle w:val="127"/>
                <w:rFonts w:hint="default" w:hAnsi="宋体"/>
                <w:color w:val="auto"/>
                <w:sz w:val="28"/>
                <w:szCs w:val="28"/>
                <w:lang w:bidi="ar"/>
              </w:rPr>
              <w:t>陆河至惠来高速公路（陆河段）、沈海高速公路汕头濠江至汕尾陆丰段改扩建工程（汕尾段）、紫金至汕尾高速、甬莞与沈海高速公路海丰联络线、红海湾高速公路项目。</w:t>
            </w:r>
          </w:p>
          <w:p>
            <w:pPr>
              <w:pStyle w:val="34"/>
              <w:keepLines w:val="0"/>
              <w:pageBreakBefore w:val="0"/>
              <w:widowControl w:val="0"/>
              <w:kinsoku/>
              <w:wordWrap/>
              <w:overflowPunct/>
              <w:topLinePunct w:val="0"/>
              <w:autoSpaceDE/>
              <w:autoSpaceDN/>
              <w:bidi w:val="0"/>
              <w:adjustRightInd w:val="0"/>
              <w:snapToGrid w:val="0"/>
              <w:spacing w:line="560" w:lineRule="exact"/>
              <w:ind w:firstLine="544"/>
              <w:textAlignment w:val="auto"/>
              <w:rPr>
                <w:rStyle w:val="127"/>
                <w:rFonts w:hint="default" w:hAnsi="宋体"/>
                <w:color w:val="auto"/>
                <w:sz w:val="28"/>
                <w:szCs w:val="28"/>
                <w:lang w:bidi="ar"/>
              </w:rPr>
            </w:pPr>
            <w:r>
              <w:rPr>
                <w:rStyle w:val="127"/>
                <w:rFonts w:hint="default" w:hAnsi="宋体"/>
                <w:color w:val="auto"/>
                <w:sz w:val="28"/>
                <w:szCs w:val="28"/>
                <w:lang w:bidi="ar"/>
              </w:rPr>
              <w:t>潮惠高速海城互通立交及服务区、沈海高速尖山互通、沈海高速博美互通、揭普惠高速南延线衡山互通。</w:t>
            </w:r>
          </w:p>
          <w:p>
            <w:pPr>
              <w:pStyle w:val="34"/>
              <w:keepLines w:val="0"/>
              <w:pageBreakBefore w:val="0"/>
              <w:widowControl w:val="0"/>
              <w:kinsoku/>
              <w:wordWrap/>
              <w:overflowPunct/>
              <w:topLinePunct w:val="0"/>
              <w:autoSpaceDE/>
              <w:autoSpaceDN/>
              <w:bidi w:val="0"/>
              <w:adjustRightInd w:val="0"/>
              <w:snapToGrid w:val="0"/>
              <w:spacing w:line="560" w:lineRule="exact"/>
              <w:ind w:firstLine="544"/>
              <w:textAlignment w:val="auto"/>
              <w:rPr>
                <w:rStyle w:val="127"/>
                <w:rFonts w:hint="default" w:hAnsi="宋体"/>
                <w:color w:val="auto"/>
                <w:sz w:val="28"/>
                <w:szCs w:val="28"/>
                <w:lang w:bidi="ar"/>
              </w:rPr>
            </w:pPr>
            <w:r>
              <w:rPr>
                <w:rStyle w:val="127"/>
                <w:rFonts w:hint="default" w:hAnsi="宋体"/>
                <w:color w:val="auto"/>
                <w:sz w:val="28"/>
                <w:szCs w:val="28"/>
                <w:lang w:bidi="ar"/>
              </w:rPr>
              <w:t>深圳汕尾产业转移合作园基础设施配套工程</w:t>
            </w:r>
            <w:r>
              <w:rPr>
                <w:rStyle w:val="127"/>
                <w:rFonts w:hint="eastAsia" w:hAnsi="宋体" w:eastAsia="仿宋_GB2312"/>
                <w:color w:val="auto"/>
                <w:sz w:val="28"/>
                <w:szCs w:val="28"/>
                <w:lang w:eastAsia="zh-CN" w:bidi="ar"/>
              </w:rPr>
              <w:t>（</w:t>
            </w:r>
            <w:r>
              <w:rPr>
                <w:rStyle w:val="127"/>
                <w:rFonts w:hint="default" w:hAnsi="宋体"/>
                <w:color w:val="auto"/>
                <w:sz w:val="28"/>
                <w:szCs w:val="28"/>
                <w:lang w:bidi="ar"/>
              </w:rPr>
              <w:t>赤梅快线海丰段</w:t>
            </w:r>
            <w:r>
              <w:rPr>
                <w:rStyle w:val="127"/>
                <w:rFonts w:hint="eastAsia" w:hAnsi="宋体" w:eastAsia="仿宋_GB2312"/>
                <w:color w:val="auto"/>
                <w:sz w:val="28"/>
                <w:szCs w:val="28"/>
                <w:lang w:eastAsia="zh-CN" w:bidi="ar"/>
              </w:rPr>
              <w:t>）</w:t>
            </w:r>
            <w:r>
              <w:rPr>
                <w:rStyle w:val="127"/>
                <w:rFonts w:hint="default" w:hAnsi="宋体"/>
                <w:color w:val="auto"/>
                <w:sz w:val="28"/>
                <w:szCs w:val="28"/>
                <w:lang w:bidi="ar"/>
              </w:rPr>
              <w:t>、深汕第二高速延伸至汕尾市区段。</w:t>
            </w:r>
          </w:p>
        </w:tc>
      </w:tr>
    </w:tbl>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4" w:name="_Toc242797171"/>
      <w:r>
        <w:rPr>
          <w:rFonts w:hint="eastAsia"/>
        </w:rPr>
        <w:t>（二）建设品质优良的普通国省干线</w:t>
      </w:r>
      <w:bookmarkEnd w:id="4"/>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完善与重要高速公路通道并行的普通国省道布局，加强与高速公路出入口衔接，增强公路交通可靠性和应急保障能力。推进普通国省道向中心镇、专业镇、交通枢纽、产业园、物流园等经济节点延伸，完善沿线服务设施建设，提升路网基本公共服务水平。重点实施联通度提升工程、穿城改线工程、等级提升工程、路面改造工程。</w:t>
      </w:r>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推动普通国道网提质优化。加快完成国道G236线汕尾城区段改建工程、国道G228线甲子至南塘段改建工程、国道G235线陆河新田圩至南坑村段改建工程、国道G235线陆河县伯公岗至教育园区段改建工程等项目建设。规划建设红海湾大道扩建及周边道路建设工程、国道G236线汕尾城区东涌至红海湾田墘段改建工程（外环路）等项目，进一步完善公路主骨架，提升道路通行品质。</w:t>
      </w:r>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做好省道低等级路段升级改造。对省道S241线海丰县安吉寮至后塘段升级改造工程等涉及基本农田等路段，依托国土空间规划中期评估进行适当调整，预留中期实施空间。把握省道网调整的窗口期，组织对海丰县省道S241线、S510线及陆丰市省道S240线、S549线等路线进行改线优化、延伸调整，提升省道网通畅水平和三级路率。提前启动省道S549线陆丰甲东段等项目前期工作；推进省道S337线陆河县南万至河田段（万全村至紫金交界段）、S241线八万至西南段、S241线海丰平东湖洋至陆丰西南段升级改造，积极争取上级对改造项目予以补助资金支持，保障加快实施，消除省道单车道路段，实现省道砂土路清零，发挥路网整体效益。</w:t>
      </w:r>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推进普通国省干线服务区建设。按照“因地制宜、统筹规划、合理布局、功能匹配、绿色环保、持续发展”的原则，同步开展普通国省干线服务区项目建设工作。进一步提升普通国省干线服务水平，满足公众出行服务需求，以此为支撑，积极推动交旅融合发展，促进乡村振兴，助力汕尾纵深推进“百千万工程”。</w:t>
      </w:r>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强化公路养护管理。注重服务品质与服务质量，科学安排大中修和预防性养护。推进一批路面改造工程建设，推进道路安全隐患整治，全面提高路况水平。</w:t>
      </w:r>
    </w:p>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5" w:name="_Toc242797172"/>
      <w:r>
        <w:rPr>
          <w:rFonts w:hint="eastAsia"/>
        </w:rPr>
        <w:t>（三）推进广覆深达的农村公路升级</w:t>
      </w:r>
      <w:bookmarkEnd w:id="5"/>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加快“四好农村路”提档升级，巩固县道三级及以上公路比例不低于80%水平。大力推进建制村单车道改双车道，对暂无条件改造的村落按“宜宽则宽、宜窄则窄”原则增设错车道，尽可能实现双车道通达。规划新改建农村公路294公里（县道提档升级15公里；乡村道升级改造108公里；路面改造工程171公里），安全生命防护工程247公里，危桥改造15座。创建精品示范路，提升农村公路服务乡村振兴能力。深化农村公路管理养护体制改革，以“路长制”为抓手，建立权责清晰、齐抓共管的管理养护机制。完善资金保障制度，将养护资金及管理机构运行经费纳入一般公共财政预算；深化开展交通领域资金到企制度改革，推动财政支出比例不低于国家和省要求，严格执行补助政策，确保养护资金专款专用。</w:t>
      </w:r>
    </w:p>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6" w:name="_Toc242797173"/>
      <w:r>
        <w:rPr>
          <w:rFonts w:hint="eastAsia"/>
        </w:rPr>
        <w:t>（四）推动稳运恒通的铁路通道落成</w:t>
      </w:r>
      <w:bookmarkEnd w:id="6"/>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谋划河源至汕尾铁路，串联河源、惠州、汕尾沿线多个产业园区和物流枢纽，形成粤北与粤东的产业协同走廊，主线北向衔接京九铁路，经江西可打通汕尾、河源直接对接长三角的货运大通道，西北向衔接规划建设的韶龙铁路，融入华中地区货运铁路网。海丰支线直通深汕特别合作区小漠国际物流港，为主线带来更加丰富的货运量支撑。谋划陆丰港区及陆河支线，激发汕尾东部沿海、北部山区发展活力。规划汕尾新港铁路专用线（汕尾新港支线铁路），对接汕尾新港出海门户，发挥海铁联运比较优势，实现河源至汕尾铁路定位升级，打造华中地区、粤北地区货通全球的出海新通道，远期考虑将汕尾新港铁路专用线（汕尾新港支线铁路）建设为多制式客货并行通道，助力打造红海湾世界级海岛度假旅游区。谋划汕尾至梅州铁路，完善汕尾与大湾区（深圳方向）、河梅赣等区域的快速联系。谋划揭惠铁路陆丰港湖东作业区专用线，加强陆丰与惠来联动发展。</w:t>
      </w:r>
    </w:p>
    <w:tbl>
      <w:tblPr>
        <w:tblStyle w:val="25"/>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072" w:type="dxa"/>
            <w:vAlign w:val="center"/>
          </w:tcPr>
          <w:p>
            <w:pPr>
              <w:pStyle w:val="34"/>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仿宋_GB2312" w:hAnsi="仿宋_GB2312" w:eastAsia="仿宋_GB2312" w:cs="仿宋_GB2312"/>
                <w:b/>
                <w:bCs/>
              </w:rPr>
            </w:pPr>
            <w:r>
              <w:rPr>
                <w:rFonts w:hint="eastAsia" w:ascii="仿宋_GB2312" w:hAnsi="仿宋_GB2312" w:eastAsia="仿宋_GB2312" w:cs="仿宋_GB2312"/>
                <w:b/>
                <w:bCs/>
              </w:rPr>
              <w:t>专栏2：铁路项目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2" w:type="dxa"/>
          </w:tcPr>
          <w:p>
            <w:pPr>
              <w:pStyle w:val="34"/>
              <w:keepLines w:val="0"/>
              <w:pageBreakBefore w:val="0"/>
              <w:widowControl w:val="0"/>
              <w:kinsoku/>
              <w:wordWrap/>
              <w:overflowPunct/>
              <w:topLinePunct w:val="0"/>
              <w:autoSpaceDE/>
              <w:autoSpaceDN/>
              <w:bidi w:val="0"/>
              <w:adjustRightInd w:val="0"/>
              <w:snapToGrid w:val="0"/>
              <w:spacing w:line="560" w:lineRule="exact"/>
              <w:ind w:firstLine="544"/>
              <w:textAlignment w:val="auto"/>
              <w:rPr>
                <w:rStyle w:val="127"/>
                <w:rFonts w:hint="eastAsia" w:ascii="仿宋_GB2312" w:hAnsi="仿宋_GB2312" w:eastAsia="仿宋_GB2312" w:cs="仿宋_GB2312"/>
                <w:color w:val="auto"/>
                <w:sz w:val="28"/>
                <w:szCs w:val="28"/>
                <w:lang w:bidi="ar"/>
              </w:rPr>
            </w:pPr>
            <w:r>
              <w:rPr>
                <w:rStyle w:val="127"/>
                <w:rFonts w:hint="eastAsia" w:ascii="仿宋_GB2312" w:hAnsi="仿宋_GB2312" w:eastAsia="仿宋_GB2312" w:cs="仿宋_GB2312"/>
                <w:color w:val="auto"/>
                <w:sz w:val="28"/>
                <w:szCs w:val="28"/>
                <w:lang w:bidi="ar"/>
              </w:rPr>
              <w:t>汕尾新港铁路专用线（汕尾新港支线铁路）、河源至汕尾铁路、汕尾至梅州铁路、揭惠铁路陆丰港湖东作业区专用线。</w:t>
            </w:r>
          </w:p>
        </w:tc>
      </w:tr>
    </w:tbl>
    <w:p>
      <w:pPr>
        <w:pStyle w:val="38"/>
        <w:keepLines w:val="0"/>
        <w:pageBreakBefore w:val="0"/>
        <w:widowControl w:val="0"/>
        <w:kinsoku/>
        <w:wordWrap/>
        <w:overflowPunct/>
        <w:topLinePunct w:val="0"/>
        <w:autoSpaceDE/>
        <w:autoSpaceDN/>
        <w:bidi w:val="0"/>
        <w:adjustRightInd w:val="0"/>
        <w:snapToGrid w:val="0"/>
        <w:spacing w:before="0" w:beforeLines="0" w:after="0" w:line="560" w:lineRule="exact"/>
        <w:ind w:firstLine="626"/>
        <w:textAlignment w:val="auto"/>
        <w:rPr>
          <w:rFonts w:hint="eastAsia"/>
          <w:b w:val="0"/>
          <w:bCs w:val="0"/>
        </w:rPr>
      </w:pPr>
      <w:bookmarkStart w:id="7" w:name="_Toc242797174"/>
      <w:r>
        <w:rPr>
          <w:rFonts w:hint="eastAsia"/>
          <w:b w:val="0"/>
          <w:bCs w:val="0"/>
        </w:rPr>
        <w:t>三、打造粤东重要区域枢纽支点</w:t>
      </w:r>
      <w:bookmarkEnd w:id="7"/>
    </w:p>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8" w:name="_Toc242797175"/>
      <w:r>
        <w:rPr>
          <w:rFonts w:hint="eastAsia"/>
        </w:rPr>
        <w:t>（五）推进现代集约的港口枢纽建设</w:t>
      </w:r>
      <w:bookmarkEnd w:id="8"/>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szCs w:val="28"/>
        </w:rPr>
      </w:pPr>
      <w:r>
        <w:rPr>
          <w:rFonts w:hint="eastAsia" w:ascii="仿宋_GB2312" w:hAnsi="仿宋_GB2312" w:eastAsia="仿宋_GB2312" w:cs="仿宋_GB2312"/>
          <w:szCs w:val="28"/>
        </w:rPr>
        <w:t>合理保护开发港口岸线。汕尾港（不计小漠港区时）共规划港口岸线22.60km，其中已利用港口岸线3.89km；计小漠港区时（按其原规划的岸线长度），汕尾港共规划港口岸线31.90km，其中已利用港口岸线4.83km。坚持“统筹规划、远近结合、深水深用、科学开发、有效保护”的原则，根据港口和城市现代化发展需要进行集约化和节约化布置，对于规划期内暂不利用的岸线予以保护，保证港口可持续发展需求。</w:t>
      </w:r>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szCs w:val="28"/>
        </w:rPr>
      </w:pPr>
      <w:r>
        <w:rPr>
          <w:rFonts w:hint="eastAsia" w:ascii="仿宋_GB2312" w:hAnsi="仿宋_GB2312" w:eastAsia="仿宋_GB2312" w:cs="仿宋_GB2312"/>
          <w:szCs w:val="28"/>
        </w:rPr>
        <w:t>完善“一港五区”总体发展格局。将汕尾港区、汕尾新港区联合成为综合性客、货运枢纽港区，将东部陆丰港区打造为临港产业主导型港区，将西部小漠港区打造为全面接轨深圳的平台性港区，将海丰港区作为远景发展港区，为今后海丰县联动区域港航布局、加快设施互联互通创造基础。</w:t>
      </w:r>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szCs w:val="28"/>
        </w:rPr>
      </w:pPr>
      <w:r>
        <w:rPr>
          <w:rFonts w:hint="eastAsia" w:ascii="仿宋_GB2312" w:hAnsi="仿宋_GB2312" w:eastAsia="仿宋_GB2312" w:cs="仿宋_GB2312"/>
          <w:szCs w:val="28"/>
        </w:rPr>
        <w:t>强化港口对产业支撑作用。为汕尾海上风电场建设提供配套，规划建设汕尾港陆丰港区海洋工程基地码头二期工程，推动完善风电产业链条及海洋牧场产业发展，带动海上风电上下游千亿级产业集群发展。服务红海湾绿色制造产业园、汕尾综合物流产业园、汕尾红海湾临港片区基础设施建设项目（汕尾综合保税区），规划建设汕尾新港区白沙湖作业区公用码头、汕尾新港区白沙湖作业区公用码头二期工程，</w:t>
      </w:r>
      <w:r>
        <w:rPr>
          <w:rFonts w:hint="eastAsia" w:ascii="仿宋_GB2312" w:hAnsi="仿宋_GB2312" w:eastAsia="仿宋_GB2312" w:cs="仿宋_GB2312"/>
          <w:szCs w:val="28"/>
          <w:lang w:val="en-US" w:eastAsia="zh-CN"/>
        </w:rPr>
        <w:t>谋划三期工程、</w:t>
      </w:r>
      <w:r>
        <w:rPr>
          <w:rFonts w:hint="eastAsia" w:ascii="仿宋_GB2312" w:hAnsi="仿宋_GB2312" w:eastAsia="仿宋_GB2312" w:cs="仿宋_GB2312"/>
          <w:szCs w:val="28"/>
        </w:rPr>
        <w:t>发展集装箱运输、集装箱内外贸支线喂给运输，煤炭、矿建材料、粮食等大宗干散货接卸和中转运输，兼顾海工装备等临港产业发展，实现港城一体、港产协同，蓬勃发展。完善汕尾绿色能源开发利用格局，规划建设广东陆丰甲湖湾电厂3、4号机组扩建工程</w:t>
      </w:r>
      <w:r>
        <w:rPr>
          <w:rFonts w:hint="eastAsia" w:eastAsia="仿宋_GB2312" w:cs="仿宋_GB2312"/>
          <w:szCs w:val="28"/>
          <w:lang w:eastAsia="zh-CN"/>
        </w:rPr>
        <w:t>（</w:t>
      </w:r>
      <w:r>
        <w:rPr>
          <w:rFonts w:hint="eastAsia" w:ascii="仿宋_GB2312" w:hAnsi="仿宋_GB2312" w:eastAsia="仿宋_GB2312" w:cs="仿宋_GB2312"/>
          <w:szCs w:val="28"/>
        </w:rPr>
        <w:t>2×1000MW</w:t>
      </w:r>
      <w:r>
        <w:rPr>
          <w:rFonts w:hint="eastAsia" w:eastAsia="仿宋_GB2312" w:cs="仿宋_GB2312"/>
          <w:szCs w:val="28"/>
          <w:lang w:eastAsia="zh-CN"/>
        </w:rPr>
        <w:t>）</w:t>
      </w:r>
      <w:r>
        <w:rPr>
          <w:rFonts w:hint="eastAsia" w:ascii="仿宋_GB2312" w:hAnsi="仿宋_GB2312" w:eastAsia="仿宋_GB2312" w:cs="仿宋_GB2312"/>
          <w:szCs w:val="28"/>
        </w:rPr>
        <w:t>配套码头工程、</w:t>
      </w:r>
      <w:r>
        <w:rPr>
          <w:rFonts w:hint="eastAsia" w:ascii="仿宋_GB2312" w:hAnsi="仿宋_GB2312" w:eastAsia="仿宋_GB2312" w:cs="仿宋_GB2312"/>
          <w:szCs w:val="28"/>
          <w:lang w:val="en-US" w:eastAsia="zh-CN"/>
        </w:rPr>
        <w:t>谋划</w:t>
      </w:r>
      <w:r>
        <w:rPr>
          <w:rFonts w:hint="eastAsia" w:ascii="仿宋_GB2312" w:hAnsi="仿宋_GB2312" w:eastAsia="仿宋_GB2312" w:cs="仿宋_GB2312"/>
          <w:szCs w:val="28"/>
        </w:rPr>
        <w:t>陆丰甲湖湾电厂7</w:t>
      </w:r>
      <w:r>
        <w:rPr>
          <w:rFonts w:hint="eastAsia" w:eastAsia="仿宋_GB2312" w:cs="仿宋_GB2312"/>
          <w:szCs w:val="28"/>
          <w:lang w:eastAsia="zh-CN"/>
        </w:rPr>
        <w:t>、</w:t>
      </w:r>
      <w:r>
        <w:rPr>
          <w:rFonts w:hint="eastAsia" w:ascii="仿宋_GB2312" w:hAnsi="仿宋_GB2312" w:eastAsia="仿宋_GB2312" w:cs="仿宋_GB2312"/>
          <w:szCs w:val="28"/>
        </w:rPr>
        <w:t>8号机组扩建工程（2×1000MW）配套码头，服务电厂生产发电。规划建设新材料产业园码头工程，助力汕尾打造特色化、高端化和绿色化的新型石化化工生产基地。</w:t>
      </w:r>
    </w:p>
    <w:tbl>
      <w:tblPr>
        <w:tblStyle w:val="25"/>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072" w:type="dxa"/>
            <w:vAlign w:val="center"/>
          </w:tcPr>
          <w:p>
            <w:pPr>
              <w:pStyle w:val="34"/>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b/>
                <w:bCs/>
              </w:rPr>
            </w:pPr>
            <w:r>
              <w:rPr>
                <w:rFonts w:hint="eastAsia" w:ascii="仿宋_GB2312" w:hAnsi="仿宋_GB2312" w:eastAsia="仿宋_GB2312" w:cs="仿宋_GB2312"/>
                <w:b/>
                <w:bCs/>
              </w:rPr>
              <w:t>专栏3：港口项目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2" w:type="dxa"/>
          </w:tcPr>
          <w:p>
            <w:pPr>
              <w:pStyle w:val="34"/>
              <w:keepLines w:val="0"/>
              <w:pageBreakBefore w:val="0"/>
              <w:widowControl w:val="0"/>
              <w:kinsoku/>
              <w:wordWrap/>
              <w:overflowPunct/>
              <w:topLinePunct w:val="0"/>
              <w:autoSpaceDE/>
              <w:autoSpaceDN/>
              <w:bidi w:val="0"/>
              <w:adjustRightInd w:val="0"/>
              <w:snapToGrid w:val="0"/>
              <w:spacing w:line="560" w:lineRule="exact"/>
              <w:ind w:firstLine="544"/>
              <w:textAlignment w:val="auto"/>
              <w:rPr>
                <w:rStyle w:val="127"/>
                <w:rFonts w:hint="default" w:hAnsi="宋体"/>
                <w:color w:val="auto"/>
                <w:sz w:val="28"/>
                <w:szCs w:val="28"/>
                <w:lang w:bidi="ar"/>
              </w:rPr>
            </w:pPr>
            <w:r>
              <w:rPr>
                <w:rStyle w:val="127"/>
                <w:rFonts w:hint="default" w:hAnsi="宋体"/>
                <w:color w:val="auto"/>
                <w:sz w:val="28"/>
                <w:szCs w:val="28"/>
                <w:lang w:bidi="ar"/>
              </w:rPr>
              <w:t>汕尾新港区白沙湖作业区公用码头建设项目、汕尾新港区白沙湖作业区公用码头3#泊位工程、广东陆丰甲湖湾电厂3、4号机组扩建工程配套码头、汕尾港陆丰港区海洋工程基地码头二期工程、汕尾港汕尾新港区白沙湖作业区公用码头二期工程、汕尾市汕尾港品清湖码头综合提升工程、新材料产业园码头、陆丰甲湖湾电厂7、8号机组扩建工程（2</w:t>
            </w:r>
            <w:r>
              <w:rPr>
                <w:rFonts w:hint="eastAsia" w:ascii="仿宋_GB2312" w:hAnsi="仿宋_GB2312" w:eastAsia="仿宋_GB2312" w:cs="仿宋_GB2312"/>
                <w:sz w:val="28"/>
                <w:szCs w:val="28"/>
              </w:rPr>
              <w:t>×</w:t>
            </w:r>
            <w:r>
              <w:rPr>
                <w:rStyle w:val="127"/>
                <w:rFonts w:hint="default" w:hAnsi="宋体"/>
                <w:color w:val="auto"/>
                <w:sz w:val="28"/>
                <w:szCs w:val="28"/>
                <w:lang w:bidi="ar"/>
              </w:rPr>
              <w:t>1000MW）配套码头、汕尾港汕尾新港区白沙湖作业区公用码头三期工程。</w:t>
            </w:r>
          </w:p>
        </w:tc>
      </w:tr>
    </w:tbl>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9" w:name="_Toc242797176"/>
      <w:r>
        <w:rPr>
          <w:rFonts w:hint="eastAsia"/>
        </w:rPr>
        <w:t>（六）谋划服务多元的机场枢纽建设</w:t>
      </w:r>
      <w:bookmarkEnd w:id="9"/>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谋划汕尾机场，以货运功能为主，兼顾客运，定位为粤东地区重要节点机场、平急两用机场。构建“干支联，支支通”航空网络，强化与珠三角核心干线机场的联系，建立起以全国主要一线、二线城市为目的地的</w:t>
      </w:r>
      <w:bookmarkStart w:id="33" w:name="_GoBack"/>
      <w:r>
        <w:rPr>
          <w:rFonts w:hint="eastAsia" w:ascii="仿宋_GB2312" w:hAnsi="仿宋_GB2312" w:eastAsia="仿宋_GB2312" w:cs="仿宋_GB2312"/>
        </w:rPr>
        <w:t>空空转运</w:t>
      </w:r>
      <w:bookmarkEnd w:id="33"/>
      <w:r>
        <w:rPr>
          <w:rFonts w:hint="eastAsia" w:ascii="仿宋_GB2312" w:hAnsi="仿宋_GB2312" w:eastAsia="仿宋_GB2312" w:cs="仿宋_GB2312"/>
        </w:rPr>
        <w:t>航线，逐步完善与省内其他支线机场的互联互通，发展短途运输航线，发挥机场在推进新型城镇化过程中的重要作用，远期根据红海湾旅游产业发展情况，开辟链接东南亚、东北亚等地区的国际航线，以机场为依托提升汕尾整体的国际知名度和对外开放程度。贯彻协同发展理念，建立海铁空联运体系，构建快捷联系港口与铁路站点的客货转运通道，实现客运“一票制”、货运“一单制”。发挥多式联运比较优势，吸引顺丰、京东等专业快递企业、物流企业进驻，增强机场物流业务能力。大力发展航空+文旅，拓展低空飞行业务，激活潜在市场需求，增加机场效益。统筹规划机场应急与国防保障功能，充分考虑在应对自然灾害、突发事件及维护国家安全方面的需求，以相应标准建设机场基础设施、配套设施。规划建设海丰通用机场，为汕尾市低空经济发展提供支撑。</w:t>
      </w:r>
    </w:p>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10" w:name="_Toc242797177"/>
      <w:r>
        <w:rPr>
          <w:rFonts w:hint="eastAsia"/>
        </w:rPr>
        <w:t>（七）健全人享其行的客运交通体系</w:t>
      </w:r>
      <w:bookmarkEnd w:id="10"/>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规划建设汕尾中央商务区交通枢纽及配套设施项目、汕尾站北站区站场建设工程，形成具有高速铁路、城际铁路、公路客运、城市公交、出租车等多种交通方式中转换乘功能的综合客运枢纽，成为汕尾市域对外以及粤东地区对外的综合客运枢纽，服务于汕尾市全市域，面向全国及珠三角，兼顾周边城市的部分客流。规划建设陆河县汽车客运站、陆丰市高铁枢纽一体化建设工程，谋划陆丰市客运站场建设项目，承担县域对外公路、铁路旅客运输，高效衔接县域内城镇间的短途公路运输以及城市交通。优化整合既有公路客运枢纽布局，适应公路客运需求特征变化，推进既有公路客运枢纽转型发展。</w:t>
      </w:r>
    </w:p>
    <w:tbl>
      <w:tblPr>
        <w:tblStyle w:val="25"/>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072" w:type="dxa"/>
            <w:vAlign w:val="center"/>
          </w:tcPr>
          <w:p>
            <w:pPr>
              <w:pStyle w:val="34"/>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b/>
                <w:bCs/>
              </w:rPr>
            </w:pPr>
            <w:r>
              <w:rPr>
                <w:rFonts w:hint="eastAsia" w:ascii="仿宋_GB2312" w:hAnsi="仿宋_GB2312" w:eastAsia="仿宋_GB2312" w:cs="仿宋_GB2312"/>
                <w:b/>
                <w:bCs/>
              </w:rPr>
              <w:t>专栏4：客运枢纽项目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2" w:type="dxa"/>
          </w:tcPr>
          <w:p>
            <w:pPr>
              <w:pStyle w:val="34"/>
              <w:keepLines w:val="0"/>
              <w:pageBreakBefore w:val="0"/>
              <w:widowControl w:val="0"/>
              <w:kinsoku/>
              <w:wordWrap/>
              <w:overflowPunct/>
              <w:topLinePunct w:val="0"/>
              <w:autoSpaceDE/>
              <w:autoSpaceDN/>
              <w:bidi w:val="0"/>
              <w:adjustRightInd w:val="0"/>
              <w:snapToGrid w:val="0"/>
              <w:spacing w:line="560" w:lineRule="exact"/>
              <w:ind w:firstLine="544"/>
              <w:textAlignment w:val="auto"/>
              <w:rPr>
                <w:rStyle w:val="127"/>
                <w:rFonts w:hint="default" w:hAnsi="宋体"/>
                <w:color w:val="auto"/>
                <w:sz w:val="28"/>
                <w:szCs w:val="28"/>
                <w:lang w:bidi="ar"/>
              </w:rPr>
            </w:pPr>
            <w:r>
              <w:rPr>
                <w:rStyle w:val="127"/>
                <w:rFonts w:hint="default" w:hAnsi="宋体"/>
                <w:color w:val="auto"/>
                <w:sz w:val="28"/>
                <w:szCs w:val="28"/>
                <w:lang w:bidi="ar"/>
              </w:rPr>
              <w:t>汕尾中央商务区交通枢纽及配套设施项目、陆丰市高铁枢纽一体化建设工程、陆河县汽车客运站、陆丰市客运站场建设项目、汕尾站北站区站场建设工程。</w:t>
            </w:r>
          </w:p>
        </w:tc>
      </w:tr>
    </w:tbl>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11" w:name="_Toc242797178"/>
      <w:r>
        <w:rPr>
          <w:rFonts w:hint="eastAsia"/>
        </w:rPr>
        <w:t>（八）打造系统高效的货运综合枢纽</w:t>
      </w:r>
      <w:bookmarkEnd w:id="11"/>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推动“交通物流+仓储”高质量发展，发展分布式仓储。引导公路货运枢纽与铁路、港口、邮政等设施集中集约布局、资源共建共用共享，完善枢纽仓储配送、中转分拨、快递集散等服务功能。</w:t>
      </w:r>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重点规划建设汕尾综合物流产业园，打造区域性大宗商品的仓储、转运、分拨中心，以“互联网+”为导向积极建设跨境电子商务交易平台和大宗商品线下交割基地。将施公寮岛打造成为汕尾临港物流枢纽岛，重点规划建设汕尾红海湾临港片区基础设施建设项目（汕尾综合保税区），通过</w:t>
      </w:r>
      <w:r>
        <w:rPr>
          <w:rFonts w:hint="eastAsia" w:eastAsia="仿宋_GB2312" w:cs="仿宋_GB2312"/>
          <w:lang w:eastAsia="zh-CN"/>
        </w:rPr>
        <w:t>“</w:t>
      </w:r>
      <w:r>
        <w:rPr>
          <w:rFonts w:hint="eastAsia" w:ascii="仿宋_GB2312" w:hAnsi="仿宋_GB2312" w:eastAsia="仿宋_GB2312" w:cs="仿宋_GB2312"/>
        </w:rPr>
        <w:t>口岸枢纽+产业基地</w:t>
      </w:r>
      <w:r>
        <w:rPr>
          <w:rFonts w:hint="eastAsia" w:eastAsia="仿宋_GB2312" w:cs="仿宋_GB2312"/>
          <w:lang w:eastAsia="zh-CN"/>
        </w:rPr>
        <w:t>”</w:t>
      </w:r>
      <w:r>
        <w:rPr>
          <w:rFonts w:hint="eastAsia" w:ascii="仿宋_GB2312" w:hAnsi="仿宋_GB2312" w:eastAsia="仿宋_GB2312" w:cs="仿宋_GB2312"/>
        </w:rPr>
        <w:t>复合，实现先进制造业生产、物流转运、进出口一体化发展模式。积极推动该项目纳入国家级或者省级重大项目并围绕项目建设开展城镇开发边界局部优化。谋划主城区物流中心，将其打造成综合服务型物流中心。</w:t>
      </w:r>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发展多式联运，充分释放高铁站闲置场站、运力衔接等资源潜力，服务地方产业流通配套，积极开展高铁站物流转型专项方案研究。重点梳理站区可利用空间、接驳通道及周边路网条件，统筹客运保障与物流作业需求，探索高铁快运、公铁联运等适配模式，联动本地特色农产品、轻工产品流通主体，逐步构建高效低成本的地方物流节点，助力县域流通体系提质升级。</w:t>
      </w:r>
    </w:p>
    <w:tbl>
      <w:tblPr>
        <w:tblStyle w:val="25"/>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072" w:type="dxa"/>
            <w:vAlign w:val="center"/>
          </w:tcPr>
          <w:p>
            <w:pPr>
              <w:pStyle w:val="34"/>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b/>
                <w:bCs/>
              </w:rPr>
            </w:pPr>
            <w:r>
              <w:rPr>
                <w:rFonts w:hint="eastAsia" w:ascii="仿宋_GB2312" w:hAnsi="仿宋_GB2312" w:eastAsia="仿宋_GB2312" w:cs="仿宋_GB2312"/>
                <w:b/>
                <w:bCs/>
              </w:rPr>
              <w:t>专栏5：货运枢纽项目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2" w:type="dxa"/>
          </w:tcPr>
          <w:p>
            <w:pPr>
              <w:pStyle w:val="34"/>
              <w:keepLines w:val="0"/>
              <w:pageBreakBefore w:val="0"/>
              <w:widowControl w:val="0"/>
              <w:kinsoku/>
              <w:wordWrap/>
              <w:overflowPunct/>
              <w:topLinePunct w:val="0"/>
              <w:autoSpaceDE/>
              <w:autoSpaceDN/>
              <w:bidi w:val="0"/>
              <w:adjustRightInd w:val="0"/>
              <w:snapToGrid w:val="0"/>
              <w:spacing w:line="560" w:lineRule="exact"/>
              <w:ind w:firstLine="544"/>
              <w:textAlignment w:val="auto"/>
              <w:rPr>
                <w:rStyle w:val="127"/>
                <w:rFonts w:hint="default" w:hAnsi="宋体"/>
                <w:color w:val="auto"/>
                <w:sz w:val="28"/>
                <w:szCs w:val="28"/>
                <w:lang w:bidi="ar"/>
              </w:rPr>
            </w:pPr>
            <w:r>
              <w:rPr>
                <w:rStyle w:val="127"/>
                <w:rFonts w:hint="default" w:hAnsi="宋体"/>
                <w:color w:val="auto"/>
                <w:sz w:val="28"/>
                <w:szCs w:val="28"/>
                <w:lang w:bidi="ar"/>
              </w:rPr>
              <w:t>汕尾综合物流产业园建设项目一期一阶段工程、汕尾红海湾临港片区基础设施建设项目、广东省沁果冷链物流园区建设项目、海丰海陆汇</w:t>
            </w:r>
            <w:r>
              <w:rPr>
                <w:rStyle w:val="127"/>
                <w:rFonts w:hint="eastAsia" w:hAnsi="宋体" w:eastAsia="仿宋_GB2312"/>
                <w:color w:val="auto"/>
                <w:sz w:val="28"/>
                <w:szCs w:val="28"/>
                <w:lang w:eastAsia="zh-CN" w:bidi="ar"/>
              </w:rPr>
              <w:t>（</w:t>
            </w:r>
            <w:r>
              <w:rPr>
                <w:rStyle w:val="127"/>
                <w:rFonts w:hint="default" w:hAnsi="宋体"/>
                <w:color w:val="auto"/>
                <w:sz w:val="28"/>
                <w:szCs w:val="28"/>
                <w:lang w:bidi="ar"/>
              </w:rPr>
              <w:t>农产品</w:t>
            </w:r>
            <w:r>
              <w:rPr>
                <w:rStyle w:val="127"/>
                <w:rFonts w:hint="eastAsia" w:hAnsi="宋体" w:eastAsia="仿宋_GB2312"/>
                <w:color w:val="auto"/>
                <w:sz w:val="28"/>
                <w:szCs w:val="28"/>
                <w:lang w:eastAsia="zh-CN" w:bidi="ar"/>
              </w:rPr>
              <w:t>）</w:t>
            </w:r>
            <w:r>
              <w:rPr>
                <w:rStyle w:val="127"/>
                <w:rFonts w:hint="default" w:hAnsi="宋体"/>
                <w:color w:val="auto"/>
                <w:sz w:val="28"/>
                <w:szCs w:val="28"/>
                <w:lang w:bidi="ar"/>
              </w:rPr>
              <w:t>批发物流园、陆河县农产品集散基地建设项目（一期）、汕尾市智慧物流园项目、海丰县广东骄阳物流园项目、汕尾市粮食储备仓库项目（二期）、广东德业农贸物流园、汕尾保税物流一体化项目、广东供销天润粤东粮食和重要农产品应急保供中心项目、海丰县东部片区冷链物流产业园项目、陆河县农产品仓储冷链物流建设项目、汕尾市华侨管理区食品产业园区建设项目、陆河物流工业园项目、汕尾陆丰“三甲”地区冷链物流产业园项目、主城区物流中心。</w:t>
            </w:r>
          </w:p>
        </w:tc>
      </w:tr>
    </w:tbl>
    <w:p>
      <w:pPr>
        <w:pStyle w:val="38"/>
        <w:keepLines w:val="0"/>
        <w:pageBreakBefore w:val="0"/>
        <w:widowControl w:val="0"/>
        <w:kinsoku/>
        <w:wordWrap/>
        <w:overflowPunct/>
        <w:topLinePunct w:val="0"/>
        <w:autoSpaceDE/>
        <w:autoSpaceDN/>
        <w:bidi w:val="0"/>
        <w:adjustRightInd w:val="0"/>
        <w:snapToGrid w:val="0"/>
        <w:spacing w:before="0" w:beforeLines="0" w:after="0" w:line="560" w:lineRule="exact"/>
        <w:ind w:firstLine="626"/>
        <w:textAlignment w:val="auto"/>
        <w:rPr>
          <w:rFonts w:hint="eastAsia"/>
          <w:b w:val="0"/>
          <w:bCs w:val="0"/>
        </w:rPr>
      </w:pPr>
      <w:bookmarkStart w:id="12" w:name="_Toc242797179"/>
      <w:r>
        <w:rPr>
          <w:rFonts w:hint="eastAsia"/>
          <w:b w:val="0"/>
          <w:bCs w:val="0"/>
        </w:rPr>
        <w:t>四、提升综合交通运输服务质效</w:t>
      </w:r>
      <w:bookmarkEnd w:id="12"/>
    </w:p>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13" w:name="_Toc242797180"/>
      <w:r>
        <w:rPr>
          <w:rFonts w:hint="eastAsia"/>
        </w:rPr>
        <w:t>（九）拓展普惠共享的末端寄递格局</w:t>
      </w:r>
      <w:bookmarkEnd w:id="13"/>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rPr>
      </w:pPr>
      <w:r>
        <w:rPr>
          <w:rFonts w:hint="eastAsia" w:ascii="仿宋_GB2312" w:hAnsi="仿宋_GB2312" w:eastAsia="仿宋_GB2312" w:cs="仿宋_GB2312"/>
        </w:rPr>
        <w:t>深化推进邮政快递末端工程建设。将末端邮政快递设施纳入公共服务设施配套，新建、改建、扩建城镇居民居住社区时，鼓励配套邮政快递末端综合服务站、智能快递箱等寄递服务基础设施，逐步替代传统信报箱。支持邮政快递企业建立无人值守驿站，通过“智能设备+标准化运营”构建24小时自助服务体系，实现网点标准化、管理规范化。推进快递企业升级提质项目10个，主要是进行场地优化及设备更新。</w:t>
      </w:r>
    </w:p>
    <w:tbl>
      <w:tblPr>
        <w:tblStyle w:val="25"/>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072" w:type="dxa"/>
            <w:vAlign w:val="center"/>
          </w:tcPr>
          <w:p>
            <w:pPr>
              <w:pStyle w:val="34"/>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b/>
                <w:bCs/>
              </w:rPr>
            </w:pPr>
            <w:r>
              <w:rPr>
                <w:rFonts w:hint="eastAsia" w:ascii="仿宋_GB2312" w:hAnsi="仿宋_GB2312" w:eastAsia="仿宋_GB2312" w:cs="仿宋_GB2312"/>
                <w:b/>
                <w:bCs/>
              </w:rPr>
              <w:t>专栏6：邮政快递企业建设升级项目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2" w:type="dxa"/>
          </w:tcPr>
          <w:p>
            <w:pPr>
              <w:pStyle w:val="34"/>
              <w:keepLines w:val="0"/>
              <w:pageBreakBefore w:val="0"/>
              <w:widowControl w:val="0"/>
              <w:kinsoku/>
              <w:wordWrap/>
              <w:overflowPunct/>
              <w:topLinePunct w:val="0"/>
              <w:autoSpaceDE/>
              <w:autoSpaceDN/>
              <w:bidi w:val="0"/>
              <w:adjustRightInd w:val="0"/>
              <w:snapToGrid w:val="0"/>
              <w:spacing w:line="560" w:lineRule="exact"/>
              <w:ind w:firstLine="544"/>
              <w:textAlignment w:val="auto"/>
              <w:rPr>
                <w:rStyle w:val="127"/>
                <w:rFonts w:hint="default" w:hAnsi="宋体"/>
                <w:color w:val="auto"/>
                <w:lang w:bidi="ar"/>
              </w:rPr>
            </w:pPr>
            <w:r>
              <w:rPr>
                <w:rFonts w:hint="eastAsia" w:eastAsia="仿宋_GB2312"/>
                <w:sz w:val="28"/>
                <w:szCs w:val="28"/>
                <w:lang w:bidi="ar"/>
              </w:rPr>
              <w:t>海丰县中通运速递有限公司、广东享通速递有限公司、汕尾市顺丰速运有限公司、广东骄阳物流园有限公司、汕尾市凯通快递有限公司、陆丰市千秋速递有限公司、汕尾市城区中通快速递服务有限公司、汕尾市城区申通快递有限公司、中国邮政集团有限公司汕尾市分公司、汕尾市颖通物流服务有限公司。</w:t>
            </w:r>
          </w:p>
        </w:tc>
      </w:tr>
    </w:tbl>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完善农村寄递体系。推进农村地区邮政服务网点升级改造，巩固建制村直接通邮成果。引导邮政快递企业与客货运、冷链仓储、供销、商贸、电信等企事业单位加强合作，整合、利用现有交通场站、供销社、村委会、村邮站等场所，推动完善“客货邮”融合发展机制，在开通客货邮融合专线5条、升级改造客货邮融合站点14个的基础上，“十五五”期间谋划新开通农村“客货邮”融合线路15条，逐步提升农村客货邮融合发展覆盖率，着力构建“一点多能、一网多用”的县乡村三级农村运输服务体系，整合客货运力，实现资源共享，推动物流降本增效。引导邮政快递企业对寄递汕尾特色农产品和名优产品提供适当优惠，利用各级财政资金支持与电商重点关联的邮政快递企业。各县（市、区）及相关职能部门要按照相关领域财政事权和支出责任划分要求，统筹合理安排商贸流通、交通事业发展、电商扶持等专项资金，将农村寄递物流体系建设与县域商业体系建设、“四好农村路”建设等一体推进，补齐农村寄递物流基础设施短板弱项，推动寄递城乡一体化建设。</w:t>
      </w:r>
    </w:p>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14" w:name="_Toc242797181"/>
      <w:r>
        <w:rPr>
          <w:rFonts w:hint="eastAsia"/>
        </w:rPr>
        <w:t>（十）加强城乡与公共交通服务建设</w:t>
      </w:r>
      <w:bookmarkEnd w:id="14"/>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持续深入推进城乡交通运输一体化，统筹市内既有的乡镇客运站和农村客运候车亭等站亭设施功能调整，充分利用已有的乡镇客运站和农村客运候车亭，集约化设计，推动市内既有道路客运场站、农村客运场站设施对城市公共交通车辆的开放共享，全方位保障公交场站供给。开展共享电动车布局规划，以共享电动车作为城市公共交通体系的补充，进一步提升公交站、客运站至目的地“最后一公里”的出行效率，为以公交难以覆盖或班次较少区域为目的地的旅客提供可替代的出行方案。促进道路客运与城区公交的换乘接驳，提升公共交通出行方式分担率。继续完善由高铁接驳线路、旅游观光线路、高频骨干线路以及普通保障线路四种不同功能定位相互结合的多层次多元化公交网络体系。</w:t>
      </w:r>
    </w:p>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15" w:name="_Toc242797182"/>
      <w:r>
        <w:rPr>
          <w:rFonts w:hint="eastAsia"/>
        </w:rPr>
        <w:t>（十一）为低空经济对标进位夯基垒台</w:t>
      </w:r>
      <w:bookmarkEnd w:id="15"/>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紧扣省委省政府关于低空经济战略部署，配合发改等部门，做好汕尾市低空经济发展谋篇布局。构建制度保障体系，加快出台支持低空经济发展政策性文件，研究制定相应管理办法，引导产业有序发展。坚持梯度推进原则，以“低空+文旅”等成熟应用场景为起点，建立低空经济试点，取得成效后，逐步扩大服务区域、服务范围。未来，进一步聚焦应用场景突破，充分学习研究国际、国内、省内先进低空经济发展示范案例，逐步探索建立起汕尾市城市管理、安防巡查、水务监测、电力巡检、道路巡检、生态治理、海洋巡检、农林植保及无人机救援等领域的低空技术应用体系。</w:t>
      </w:r>
    </w:p>
    <w:p>
      <w:pPr>
        <w:pStyle w:val="38"/>
        <w:keepLines w:val="0"/>
        <w:pageBreakBefore w:val="0"/>
        <w:widowControl w:val="0"/>
        <w:kinsoku/>
        <w:wordWrap/>
        <w:overflowPunct/>
        <w:topLinePunct w:val="0"/>
        <w:autoSpaceDE/>
        <w:autoSpaceDN/>
        <w:bidi w:val="0"/>
        <w:adjustRightInd w:val="0"/>
        <w:snapToGrid w:val="0"/>
        <w:spacing w:before="0" w:beforeLines="0" w:after="0" w:line="560" w:lineRule="exact"/>
        <w:ind w:firstLine="626"/>
        <w:textAlignment w:val="auto"/>
        <w:rPr>
          <w:rFonts w:hint="eastAsia"/>
          <w:b w:val="0"/>
          <w:bCs w:val="0"/>
        </w:rPr>
      </w:pPr>
      <w:bookmarkStart w:id="16" w:name="_Toc242797183"/>
      <w:r>
        <w:rPr>
          <w:rFonts w:hint="eastAsia"/>
          <w:b w:val="0"/>
          <w:bCs w:val="0"/>
        </w:rPr>
        <w:t>五、推动交通产业深度融合发展</w:t>
      </w:r>
      <w:bookmarkEnd w:id="16"/>
    </w:p>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17" w:name="_Toc242797184"/>
      <w:r>
        <w:rPr>
          <w:rFonts w:hint="eastAsia"/>
        </w:rPr>
        <w:t>（十二）交旅融合发展提升城市吸引力</w:t>
      </w:r>
      <w:bookmarkEnd w:id="17"/>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推进红色旅游公路建设，依托国道G228线、G235线、G236线等干线公路打造以海丰红色旅游中心为核心的红色文化线。推动交通与生态休闲旅游融合发展，依托甬莞高速骨架，畅通省道S238线、S337线、S510线等干线公路，服务支撑汕尾北部乡村及特色温泉旅游带发展。推动交通与滨海旅游融合发展，加快推动广东省滨海旅游公路红海湾经济开发区段开工建设，进一步谋划滨海旅游公路陆丰段、环马宫滨海旅游支线（保利金町湾-白鹤寺-牛尾山）等项目。有序推进绿道、碧道、古驿道等慢行系统建设及衔接，加强慢行系统与旅游集散中心的衔接。依托碣石湾和红海湾，加强“海洋－海岛－海岸”立体开发，推进城区、遮浪、乌坎等片区水上客运码头、游艇码头规划建设，推出汕尾海上精品旅游航线，推动开通</w:t>
      </w:r>
      <w:r>
        <w:rPr>
          <w:rFonts w:hint="eastAsia" w:eastAsia="仿宋_GB2312" w:cs="仿宋_GB2312"/>
          <w:lang w:eastAsia="zh-CN"/>
        </w:rPr>
        <w:t>“</w:t>
      </w:r>
      <w:r>
        <w:rPr>
          <w:rFonts w:hint="eastAsia" w:ascii="仿宋_GB2312" w:hAnsi="仿宋_GB2312" w:eastAsia="仿宋_GB2312" w:cs="仿宋_GB2312"/>
        </w:rPr>
        <w:t>深圳－惠州－汕尾</w:t>
      </w:r>
      <w:r>
        <w:rPr>
          <w:rFonts w:hint="eastAsia" w:eastAsia="仿宋_GB2312" w:cs="仿宋_GB2312"/>
          <w:lang w:eastAsia="zh-CN"/>
        </w:rPr>
        <w:t>”</w:t>
      </w:r>
      <w:r>
        <w:rPr>
          <w:rFonts w:hint="eastAsia" w:ascii="仿宋_GB2312" w:hAnsi="仿宋_GB2312" w:eastAsia="仿宋_GB2312" w:cs="仿宋_GB2312"/>
        </w:rPr>
        <w:t>海上旅游航线，加快“海上绿道”旅游发展。结合汕尾沿海资源，探索开展陆岛旅游、游艇旅游、水上旅游等特色旅游项目。</w:t>
      </w:r>
    </w:p>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18" w:name="_Toc242797185"/>
      <w:r>
        <w:rPr>
          <w:rFonts w:hint="eastAsia"/>
        </w:rPr>
        <w:t>（十三）交能融合发展发掘行业新动能</w:t>
      </w:r>
      <w:bookmarkEnd w:id="18"/>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加快推进陆丰海工基地水工工程码头，甲湖湾电厂配套码头、白沙湖作业区码头、陆丰港区湖东甲西作业区等项目建设，为海上风电、煤电改造升级提供交通运输基础设施配套。结合通道沿线清洁能源自然禀赋、用能需求、建设条件等要素，科学规划交通与能源基础设施建设布局，加大分散式风电和分布式光伏发电就近开发利用力度，聚焦省际通道、主干高速公路车流密集的服务区，科学规划布局LNG加气站，构建“布局合理、供需匹配”的LNG加注网络。因地制宜拓展清洁能源开发利用场景，在高速公路边坡、服务区等空间布局光伏，在港口部署“自发自用、余电上网”的分布式能源系统。</w:t>
      </w:r>
    </w:p>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19" w:name="_Toc242797186"/>
      <w:r>
        <w:rPr>
          <w:rFonts w:hint="eastAsia"/>
        </w:rPr>
        <w:t>（十四）站城融合发展打造城市新地标</w:t>
      </w:r>
      <w:bookmarkEnd w:id="19"/>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规划将汕尾站打造为区域性重要综合交通枢纽，汕尾站未来将接入3条高铁（广汕高铁、汕汕高铁、厦深铁路），1条普铁（河源至汕尾铁路），并研究城际轨道项目</w:t>
      </w:r>
      <w:r>
        <w:rPr>
          <w:rFonts w:hint="eastAsia" w:eastAsia="仿宋_GB2312" w:cs="仿宋_GB2312"/>
          <w:lang w:eastAsia="zh-CN"/>
        </w:rPr>
        <w:t>（</w:t>
      </w:r>
      <w:r>
        <w:rPr>
          <w:rFonts w:hint="eastAsia" w:ascii="仿宋_GB2312" w:hAnsi="仿宋_GB2312" w:eastAsia="仿宋_GB2312" w:cs="仿宋_GB2312"/>
        </w:rPr>
        <w:t>深汕城际东延线及支线、深惠城际东延线</w:t>
      </w:r>
      <w:r>
        <w:rPr>
          <w:rFonts w:hint="eastAsia" w:eastAsia="仿宋_GB2312" w:cs="仿宋_GB2312"/>
          <w:lang w:eastAsia="zh-CN"/>
        </w:rPr>
        <w:t>）</w:t>
      </w:r>
      <w:r>
        <w:rPr>
          <w:rFonts w:hint="eastAsia" w:ascii="仿宋_GB2312" w:hAnsi="仿宋_GB2312" w:eastAsia="仿宋_GB2312" w:cs="仿宋_GB2312"/>
        </w:rPr>
        <w:t>的接入条件，远期规划预留引入磁悬浮，形成“客内货外”的枢纽格局。预留扩容空间，与汕尾中央商务区客运站无缝衔接，合理组织站体内不同交通方式接驳，同时推动汕尾高铁站至各县（市、区）的直连直通。以汕尾站为依托，围绕城际和轨道交通的客流效应，搭建新型产业空间平台，集高铁枢纽、商务办公、金融服务、产业研发、现代服务为一体的高效便捷、绿色智慧的“站+产+城”一体化枢纽。结合周边控规，布局枢纽综合体，推进产城加速融合、绿色共享、慢行串联。</w:t>
      </w:r>
    </w:p>
    <w:p>
      <w:pPr>
        <w:pStyle w:val="38"/>
        <w:keepLines w:val="0"/>
        <w:pageBreakBefore w:val="0"/>
        <w:widowControl w:val="0"/>
        <w:kinsoku/>
        <w:wordWrap/>
        <w:overflowPunct/>
        <w:topLinePunct w:val="0"/>
        <w:autoSpaceDE/>
        <w:autoSpaceDN/>
        <w:bidi w:val="0"/>
        <w:adjustRightInd w:val="0"/>
        <w:snapToGrid w:val="0"/>
        <w:spacing w:before="0" w:beforeLines="0" w:after="0" w:line="560" w:lineRule="exact"/>
        <w:ind w:firstLine="626"/>
        <w:textAlignment w:val="auto"/>
        <w:rPr>
          <w:rFonts w:hint="eastAsia"/>
          <w:b w:val="0"/>
          <w:bCs w:val="0"/>
        </w:rPr>
      </w:pPr>
      <w:bookmarkStart w:id="20" w:name="_Toc242797187"/>
      <w:r>
        <w:rPr>
          <w:rFonts w:hint="eastAsia"/>
          <w:b w:val="0"/>
          <w:bCs w:val="0"/>
        </w:rPr>
        <w:t>六、夯实平安汕尾交通安全韧性</w:t>
      </w:r>
      <w:bookmarkEnd w:id="20"/>
    </w:p>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21" w:name="_Toc242797188"/>
      <w:r>
        <w:rPr>
          <w:rFonts w:hint="eastAsia"/>
        </w:rPr>
        <w:t>（十五）提高交通设施本质安全水平</w:t>
      </w:r>
      <w:bookmarkEnd w:id="21"/>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建立完善现代化工程建设和运行质量全寿命周期安全管理体系，实施全过程质量安全监管。加快先进建造设备和新技术、新材料集成应用，推进精品建造和精细管理，提升交通基础设施使用寿命和耐久性。加快现代信息技术在智能感知、智能诊断、监测评估、维修养护等方面应用，强化交通基础设施常态化预防性养护维护，加大病害治理力度，消除基础设施安全隐患，推动落实全生命周期养护。加强交通基础设施智能管控，按需在公路港口等新建项目配建监控系统。因地制宜推进安全生命通道“渡改桥”建设。结合公路网规划建设，将交通需求量大、基础设施条件差等公路渡口优先纳入“十五五”公路规划任务，有序推进符合条件的区域撤渡建桥，改善乡村民生交通条件。</w:t>
      </w:r>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聚焦汛期暴露短板，系统提升防灾抗灾韧性。全面摸排各地农村公路地质灾害隐患点，科学谋划安防提升工程项目库，明确新增安防提升工程处置里程255公里。将汛期暴露出的高危边坡、临水临崖、排水不足等隐患逐一纳入规划统筹布局，逐一制定治理方案。在新建和改造农村公路临水临崖路段时，将排水渠等防灾设施作为配套设计强制纳入新改建项目范围或相关养护工程，确保及时引导地表径流、降低土体饱和度，从源头上减少汛期塌方风险。发挥“路长制”综合管理作用，加强部门联合执法，严厉打击超限超载、违法设障、侵占公路等违法行为。</w:t>
      </w:r>
    </w:p>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22" w:name="_Toc242797189"/>
      <w:r>
        <w:rPr>
          <w:rFonts w:hint="eastAsia"/>
        </w:rPr>
        <w:t>（十六）提升行业安全运行监管能力</w:t>
      </w:r>
      <w:bookmarkEnd w:id="22"/>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rPr>
      </w:pPr>
      <w:r>
        <w:rPr>
          <w:rFonts w:hint="eastAsia" w:ascii="仿宋_GB2312" w:hAnsi="仿宋_GB2312" w:eastAsia="仿宋_GB2312" w:cs="仿宋_GB2312"/>
        </w:rPr>
        <w:t>落实企业安全管理主体责任，积极推进企业安全生产信用建设。落实行业部门监管责任，强化安全生产监督检查执法，完善联合执法、隐患排查治理等工作机制。强化道路运输“两客一危一重”、水路危险货物运输、港口危化品装卸储存、高速公路和长大桥梁营运、公路水运工程施工安全风险防控和隐患排查治理，探索“互联网+安全监管”模式。加大重型货运车辆装载源头监管力度和动态监控，专项整治超限超载、非法营运、危险货物运输等，有效遏制重特大道路安全事故。</w:t>
      </w:r>
    </w:p>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23" w:name="_Toc242797190"/>
      <w:r>
        <w:rPr>
          <w:rFonts w:hint="eastAsia"/>
        </w:rPr>
        <w:t>（十七）完善综合交通应急保障体系</w:t>
      </w:r>
      <w:bookmarkEnd w:id="23"/>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积极响应全省全市“一盘棋”应急响应机制和重大突发事件“四个一”应急处置机制，加强跨部门、跨区域的综合交通运输突发事件应急会商与联动处置。完善分层次的应急预案体系，有计划、有组织的开展各类突发事件应急处置演练，提升应急响应速度。</w:t>
      </w:r>
      <w:bookmarkStart w:id="24" w:name="OLE_LINK1"/>
      <w:r>
        <w:rPr>
          <w:rFonts w:hint="eastAsia" w:ascii="仿宋_GB2312" w:hAnsi="仿宋_GB2312" w:eastAsia="仿宋_GB2312" w:cs="仿宋_GB2312"/>
        </w:rPr>
        <w:t>按照省部署开展汕尾省级公路交通应急装备物资储备保障中心建设。</w:t>
      </w:r>
      <w:bookmarkEnd w:id="24"/>
      <w:r>
        <w:rPr>
          <w:rFonts w:hint="eastAsia" w:ascii="仿宋_GB2312" w:hAnsi="仿宋_GB2312" w:eastAsia="仿宋_GB2312" w:cs="仿宋_GB2312"/>
        </w:rPr>
        <w:t>因地制宜引入高效海上运输工具、低空运输工具等设施设备强化应急物资运输保障，积极发展“无接触配送”。提升应急运输装备现代化、专业化和智能化水平，提高基层应急救援队伍和志愿者队伍的专业化水平。</w:t>
      </w:r>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推广普通公路养护项目包模式，作为全市普通公路应急抢险和日常养护的基本制度。各地以项目包为载体，将应急储备力量前置。结合“路长制”下沉乡镇干部的日常巡查预警机制，构建“巡查预警</w:t>
      </w:r>
      <w:r>
        <w:rPr>
          <w:rFonts w:hint="eastAsia" w:eastAsia="仿宋_GB2312" w:cs="仿宋_GB2312"/>
          <w:i w:val="0"/>
          <w:iCs w:val="0"/>
          <w:caps w:val="0"/>
          <w:spacing w:val="0"/>
          <w:sz w:val="32"/>
          <w:szCs w:val="32"/>
          <w:shd w:val="clear" w:fill="FFFFFF"/>
          <w:lang w:val="en-US" w:eastAsia="zh-CN"/>
        </w:rPr>
        <w:t>——</w:t>
      </w:r>
      <w:r>
        <w:rPr>
          <w:rFonts w:hint="eastAsia" w:ascii="仿宋_GB2312" w:hAnsi="仿宋_GB2312" w:eastAsia="仿宋_GB2312" w:cs="仿宋_GB2312"/>
        </w:rPr>
        <w:t>灾毁申报——资金拨付——工程抢修”的快速响应闭环，将汛期应急的成功经验固化为“十五五”常态化制度，全面提升普通公路应急抢险效率和灾后恢复能力。</w:t>
      </w:r>
    </w:p>
    <w:p>
      <w:pPr>
        <w:pStyle w:val="38"/>
        <w:keepLines w:val="0"/>
        <w:pageBreakBefore w:val="0"/>
        <w:widowControl w:val="0"/>
        <w:kinsoku/>
        <w:wordWrap/>
        <w:overflowPunct/>
        <w:topLinePunct w:val="0"/>
        <w:autoSpaceDE/>
        <w:autoSpaceDN/>
        <w:bidi w:val="0"/>
        <w:adjustRightInd w:val="0"/>
        <w:snapToGrid w:val="0"/>
        <w:spacing w:before="0" w:beforeLines="0" w:after="0" w:line="560" w:lineRule="exact"/>
        <w:ind w:firstLine="626"/>
        <w:textAlignment w:val="auto"/>
        <w:rPr>
          <w:rFonts w:hint="eastAsia"/>
          <w:b w:val="0"/>
          <w:bCs w:val="0"/>
        </w:rPr>
      </w:pPr>
      <w:bookmarkStart w:id="25" w:name="_Toc242797191"/>
      <w:r>
        <w:rPr>
          <w:rFonts w:hint="eastAsia"/>
          <w:b w:val="0"/>
          <w:bCs w:val="0"/>
        </w:rPr>
        <w:t>七、打造绿美低碳交通汕尾样板</w:t>
      </w:r>
      <w:bookmarkEnd w:id="25"/>
    </w:p>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26" w:name="_Toc242797192"/>
      <w:r>
        <w:rPr>
          <w:rFonts w:hint="eastAsia"/>
        </w:rPr>
        <w:t>（十八）建设绿色低碳交通基础设施</w:t>
      </w:r>
      <w:bookmarkEnd w:id="26"/>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积极创建绿美公路示范路，持续做好高速公路及其服务区、干线公路及其服务区、农村公路、绿化品质提升工作，推动汕尾公路通道从“交通廊道”向“城市客厅”的转变。有序实施厦深铁路、广汕汕高铁等铁路沿线的绿化美化，打造与周边山体景观相协调的生态绿色通道。持续开展公路现代养护工作，逐步提升高速公路及普通国省干线废旧沥青路面材料循环利用率。对具备条件的交通基础设施建设项目进行生态保护修复和节能降碳改造提升，促进工程建设与生态环境保护协同发展。积极推广交通基础设施项目建设永临结合模式，减少临时用地，实现永临结合多样化。</w:t>
      </w:r>
    </w:p>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27" w:name="_Toc242797193"/>
      <w:r>
        <w:rPr>
          <w:rFonts w:hint="eastAsia"/>
        </w:rPr>
        <w:t>（十九）加快低碳运输装备推广应用</w:t>
      </w:r>
      <w:bookmarkEnd w:id="27"/>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持续推动交通营运工具装备全面升级和交通动力低碳清洁替代，推进交通用能结构深度变革，不断降低运输工具碳排放强度。推进城市物流配送、邮政快递、公交、出租车辆等电动化替代，支持老旧新能源公交车及电池更新换代。有序推广新能源营运货车，研究出台我市新能源营运货车的运营补贴、通行路权、差异化收费、配套基础设施建设等政策。有序发展LNG动力船舶。探索甲醇、氢等动力技术在运输船舶上的试点应用。鼓励新能源和清洁能源等港口作业机械、港内车辆应用，推进港作机械设备更新换代，推动实现港口大型设备的绿色化、低碳化、智慧化。深入推进船舶靠港使用岸电。</w:t>
      </w:r>
    </w:p>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28" w:name="_Toc242797194"/>
      <w:r>
        <w:rPr>
          <w:rFonts w:hint="eastAsia"/>
        </w:rPr>
        <w:t>（二十）深化交通运输污染防控治理</w:t>
      </w:r>
      <w:bookmarkEnd w:id="28"/>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深入推进道路车辆污染治理。严格执行道路运输车辆燃料消耗量限值准入标准，实施重型柴油车国六（B）排放标准。深化港口船舶污染治理。持续加强船舶大气和水污染防治，加快推进船舶水污染物港口接收设施和本地化处理设施建设。严格落实船舶水污染物监督检查制度和联单管理制度，积极推进船舶水污染物电子联单管理，强化污染物产生、接收、转运和处理环节全过程监管，推进“船-港-城”全过程协同管理。推动岸电使用常态化，加强岸电使用监管。推进干散货码头采取改进装卸工艺、干湿法结合及建设挡风抑尘墙、皮带机封闭改造、安装粉尘浓度在线监测仪等措施，有效地控制码头散货扬尘污染。完善码头生活污水收集处理设施，有效收集处理码头各类水污染物。严格交通工程建设期环保管控。在交通工程项目施工中，严格落实施工噪声监管，推广低噪声工艺和设备，在敏感区域和夜间时段实施错峰施工管理，减少施工扰民。强化施工期环境监理，确保各项环保设施与主体工程同时设计、同时施工、同时投入使用。在高速公路、普通国省道大流量路段实施低噪音路面、声屏障、绿化等综合降噪措施。加强施工过程中产生的废旧动力电池等新型固体废物的规范回收与循环利用管理。</w:t>
      </w:r>
    </w:p>
    <w:p>
      <w:pPr>
        <w:pStyle w:val="38"/>
        <w:keepLines w:val="0"/>
        <w:pageBreakBefore w:val="0"/>
        <w:widowControl w:val="0"/>
        <w:kinsoku/>
        <w:wordWrap/>
        <w:overflowPunct/>
        <w:topLinePunct w:val="0"/>
        <w:autoSpaceDE/>
        <w:autoSpaceDN/>
        <w:bidi w:val="0"/>
        <w:adjustRightInd w:val="0"/>
        <w:snapToGrid w:val="0"/>
        <w:spacing w:before="0" w:beforeLines="0" w:after="0" w:line="560" w:lineRule="exact"/>
        <w:ind w:firstLine="626"/>
        <w:textAlignment w:val="auto"/>
        <w:rPr>
          <w:rFonts w:hint="eastAsia"/>
          <w:b w:val="0"/>
          <w:bCs w:val="0"/>
        </w:rPr>
      </w:pPr>
      <w:bookmarkStart w:id="29" w:name="_Toc242797195"/>
      <w:r>
        <w:rPr>
          <w:rFonts w:hint="eastAsia"/>
          <w:b w:val="0"/>
          <w:bCs w:val="0"/>
        </w:rPr>
        <w:t>八、加快推进交通行业数智赋能</w:t>
      </w:r>
      <w:bookmarkEnd w:id="29"/>
    </w:p>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30" w:name="_Toc242797196"/>
      <w:r>
        <w:rPr>
          <w:rFonts w:hint="eastAsia"/>
        </w:rPr>
        <w:t>（二十一）构建城市智慧出行服务体系</w:t>
      </w:r>
      <w:bookmarkEnd w:id="30"/>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积极推广以人</w:t>
      </w:r>
      <w:r>
        <w:rPr>
          <w:rFonts w:hint="eastAsia" w:eastAsia="仿宋_GB2312" w:cs="仿宋_GB2312"/>
          <w:lang w:val="en-US" w:eastAsia="zh-CN"/>
        </w:rPr>
        <w:t>民</w:t>
      </w:r>
      <w:r>
        <w:rPr>
          <w:rFonts w:hint="eastAsia" w:ascii="仿宋_GB2312" w:hAnsi="仿宋_GB2312" w:eastAsia="仿宋_GB2312" w:cs="仿宋_GB2312"/>
        </w:rPr>
        <w:t>为中心、多方式融合、多主体协同、全链条出行、一体化服务的“出行即服务（Maas）”理念。鼓励平台型企业深化多源数据融合，整合线上和线下资源，打造数字化出行助手，完善信息查询、叫车约车、智能导航、在线票务、旅游规划等一站式出行服务，为旅客提供顺畅衔接的出行服务链。推动“互联网+”便捷交通发展，鼓励和规范发展定制公交、智能停车、智能公交、汽车维修、网络预约出租车、互联网租赁自行车、小微型客车分时租赁等城市出行服务新业态，满足不同群体出行多样化、个性化要求。规划建设汕尾交通服务出行平台，以数据衔接公众出行需求与服务资源，发展基于智能终端的一站式出行服务。</w:t>
      </w:r>
    </w:p>
    <w:p>
      <w:pPr>
        <w:pStyle w:val="41"/>
        <w:keepLines w:val="0"/>
        <w:pageBreakBefore w:val="0"/>
        <w:widowControl w:val="0"/>
        <w:kinsoku/>
        <w:wordWrap/>
        <w:overflowPunct/>
        <w:topLinePunct w:val="0"/>
        <w:autoSpaceDE/>
        <w:autoSpaceDN/>
        <w:bidi w:val="0"/>
        <w:adjustRightInd w:val="0"/>
        <w:snapToGrid w:val="0"/>
        <w:spacing w:before="0" w:after="0" w:line="560" w:lineRule="exact"/>
        <w:ind w:firstLine="624"/>
        <w:textAlignment w:val="auto"/>
        <w:rPr>
          <w:rFonts w:hint="eastAsia"/>
        </w:rPr>
      </w:pPr>
      <w:bookmarkStart w:id="31" w:name="_Toc242797197"/>
      <w:r>
        <w:rPr>
          <w:rFonts w:hint="eastAsia"/>
        </w:rPr>
        <w:t>（二十二）发展智慧物流实现降本增效</w:t>
      </w:r>
      <w:bookmarkEnd w:id="31"/>
    </w:p>
    <w:p>
      <w:pPr>
        <w:pStyle w:val="34"/>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rPr>
      </w:pPr>
      <w:r>
        <w:rPr>
          <w:rFonts w:hint="eastAsia" w:ascii="仿宋_GB2312" w:hAnsi="仿宋_GB2312" w:eastAsia="仿宋_GB2312" w:cs="仿宋_GB2312"/>
        </w:rPr>
        <w:t>推动物流园区、大型仓储基地智慧化改造，提升现有仓储管理的成套化、自动化、智能化水平。加快实现物流活动全过程的数字化，推进铁路、公路、水路等货运单证电子化和共享互认，提供全程可监测、可追溯的“一站式”物流服务。推进城市物流配送全链条信息共享，完善农村物流末端信息网络。探索发展无人物流，逐步推广无人配送车应用，建设无人机物流节点，研究打造安全高效可靠的低空配送体系。</w:t>
      </w:r>
    </w:p>
    <w:p>
      <w:pPr>
        <w:pStyle w:val="38"/>
        <w:keepLines w:val="0"/>
        <w:pageBreakBefore w:val="0"/>
        <w:widowControl w:val="0"/>
        <w:kinsoku/>
        <w:wordWrap/>
        <w:overflowPunct/>
        <w:topLinePunct w:val="0"/>
        <w:autoSpaceDE/>
        <w:autoSpaceDN/>
        <w:bidi w:val="0"/>
        <w:adjustRightInd w:val="0"/>
        <w:snapToGrid w:val="0"/>
        <w:spacing w:before="0" w:beforeLines="0" w:after="0" w:line="560" w:lineRule="exact"/>
        <w:ind w:firstLine="626"/>
        <w:textAlignment w:val="auto"/>
        <w:rPr>
          <w:rFonts w:hint="eastAsia"/>
          <w:b w:val="0"/>
          <w:bCs w:val="0"/>
        </w:rPr>
      </w:pPr>
      <w:bookmarkStart w:id="32" w:name="_Toc242797198"/>
      <w:r>
        <w:rPr>
          <w:rFonts w:hint="eastAsia"/>
          <w:b w:val="0"/>
          <w:bCs w:val="0"/>
        </w:rPr>
        <w:t>九、加强组织实施</w:t>
      </w:r>
      <w:bookmarkEnd w:id="32"/>
    </w:p>
    <w:p>
      <w:pPr>
        <w:pStyle w:val="23"/>
        <w:keepLines w:val="0"/>
        <w:pageBreakBefore w:val="0"/>
        <w:widowControl w:val="0"/>
        <w:kinsoku/>
        <w:wordWrap/>
        <w:overflowPunct/>
        <w:topLinePunct w:val="0"/>
        <w:autoSpaceDE/>
        <w:autoSpaceDN/>
        <w:bidi w:val="0"/>
        <w:adjustRightInd w:val="0"/>
        <w:snapToGrid w:val="0"/>
        <w:spacing w:line="560" w:lineRule="exact"/>
        <w:ind w:firstLine="624"/>
        <w:textAlignment w:val="auto"/>
        <w:rPr>
          <w:rFonts w:hint="eastAsia" w:ascii="仿宋_GB2312" w:hAnsi="仿宋_GB2312" w:eastAsia="仿宋_GB2312" w:cs="仿宋_GB2312"/>
          <w:sz w:val="32"/>
          <w:szCs w:val="32"/>
        </w:rPr>
      </w:pPr>
      <w:r>
        <w:rPr>
          <w:rStyle w:val="45"/>
          <w:rFonts w:hint="eastAsia" w:ascii="仿宋_GB2312" w:hAnsi="仿宋_GB2312" w:eastAsia="仿宋_GB2312" w:cs="仿宋_GB2312"/>
          <w:sz w:val="32"/>
          <w:szCs w:val="32"/>
        </w:rPr>
        <w:t>全面加强党的领导，坚持党建引领交通事业发展。切实加强规划实施的组织领导和统筹协调。做好与国土空间、环境保护等规划的衔接。本规划确定的重点项目纳入国土空间规划支持和保障项目在用地、生态环境、水利等资源要素需求，协同推进重点任务和重大项目落地。积极争取中央资金、专项债、政策性银行贷款等资金支持，引导社会资本参与交通基础设施建设。及时跟踪规划实施进展与项目建设情况，适时开展规划中期评估和调整，重大事项及时按程序请示</w:t>
      </w:r>
      <w:r>
        <w:rPr>
          <w:rStyle w:val="45"/>
          <w:rFonts w:hint="eastAsia" w:ascii="仿宋_GB2312" w:hAnsi="仿宋_GB2312" w:eastAsia="仿宋_GB2312" w:cs="仿宋_GB2312"/>
          <w:sz w:val="32"/>
          <w:szCs w:val="32"/>
          <w:lang w:val="en-US" w:eastAsia="zh-CN"/>
        </w:rPr>
        <w:t>报告。</w:t>
      </w:r>
    </w:p>
    <w:sectPr>
      <w:footerReference r:id="rId12" w:type="first"/>
      <w:pgSz w:w="11906" w:h="16838"/>
      <w:pgMar w:top="1701" w:right="1587" w:bottom="1701" w:left="1587" w:header="851" w:footer="992" w:gutter="0"/>
      <w:cols w:space="720" w:num="1"/>
      <w:titlePg/>
      <w:docGrid w:type="linesAndChars" w:linePitch="610" w:charSpace="-16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24"/>
      </w:pPr>
      <w:r>
        <w:separator/>
      </w:r>
    </w:p>
  </w:endnote>
  <w:endnote w:type="continuationSeparator" w:id="1">
    <w:p>
      <w:pPr>
        <w:ind w:firstLine="62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DokChampa">
    <w:altName w:val="Microsoft Sans Serif"/>
    <w:panose1 w:val="00000000000000000000"/>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newroman">
    <w:altName w:val="Times New Roman"/>
    <w:panose1 w:val="00000000000000000000"/>
    <w:charset w:val="00"/>
    <w:family w:val="roman"/>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54460370"/>
    </w:sdtPr>
    <w:sdtEndPr>
      <w:rPr>
        <w:sz w:val="24"/>
        <w:szCs w:val="28"/>
      </w:rPr>
    </w:sdtEndPr>
    <w:sdtContent>
      <w:p>
        <w:pPr>
          <w:pStyle w:val="13"/>
          <w:ind w:firstLine="360"/>
          <w:jc w:val="center"/>
          <w:rPr>
            <w:sz w:val="24"/>
            <w:szCs w:val="28"/>
          </w:rPr>
        </w:pPr>
        <w:r>
          <w:rPr>
            <w:sz w:val="24"/>
            <w:szCs w:val="28"/>
          </w:rPr>
          <w:fldChar w:fldCharType="begin"/>
        </w:r>
        <w:r>
          <w:rPr>
            <w:sz w:val="24"/>
            <w:szCs w:val="28"/>
          </w:rPr>
          <w:instrText xml:space="preserve">PAGE   \* MERGEFORMAT</w:instrText>
        </w:r>
        <w:r>
          <w:rPr>
            <w:sz w:val="24"/>
            <w:szCs w:val="28"/>
          </w:rPr>
          <w:fldChar w:fldCharType="separate"/>
        </w:r>
        <w:r>
          <w:rPr>
            <w:sz w:val="24"/>
            <w:szCs w:val="28"/>
            <w:lang w:val="zh-CN"/>
          </w:rPr>
          <w:t>2</w:t>
        </w:r>
        <w:r>
          <w:rPr>
            <w:sz w:val="24"/>
            <w:szCs w:val="28"/>
          </w:rPr>
          <w:fldChar w:fldCharType="end"/>
        </w:r>
      </w:p>
    </w:sdtContent>
  </w:sdt>
  <w:p>
    <w:pPr>
      <w:pStyle w:val="1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jc w:val="center"/>
    </w:pPr>
  </w:p>
  <w:p>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9921457"/>
    </w:sdtPr>
    <w:sdtEndPr>
      <w:rPr>
        <w:sz w:val="24"/>
        <w:szCs w:val="28"/>
      </w:rPr>
    </w:sdtEndPr>
    <w:sdtContent>
      <w:p>
        <w:pPr>
          <w:pStyle w:val="13"/>
          <w:ind w:firstLine="360"/>
          <w:jc w:val="center"/>
          <w:rPr>
            <w:sz w:val="24"/>
            <w:szCs w:val="28"/>
          </w:rPr>
        </w:pPr>
        <w:r>
          <w:rPr>
            <w:sz w:val="24"/>
            <w:szCs w:val="28"/>
          </w:rPr>
          <w:fldChar w:fldCharType="begin"/>
        </w:r>
        <w:r>
          <w:rPr>
            <w:sz w:val="24"/>
            <w:szCs w:val="28"/>
          </w:rPr>
          <w:instrText xml:space="preserve">PAGE   \* MERGEFORMAT</w:instrText>
        </w:r>
        <w:r>
          <w:rPr>
            <w:sz w:val="24"/>
            <w:szCs w:val="28"/>
          </w:rPr>
          <w:fldChar w:fldCharType="separate"/>
        </w:r>
        <w:r>
          <w:rPr>
            <w:sz w:val="24"/>
            <w:szCs w:val="28"/>
            <w:lang w:val="zh-CN"/>
          </w:rPr>
          <w:t>2</w:t>
        </w:r>
        <w:r>
          <w:rPr>
            <w:sz w:val="24"/>
            <w:szCs w:val="28"/>
          </w:rPr>
          <w:fldChar w:fldCharType="end"/>
        </w:r>
      </w:p>
    </w:sdtContent>
  </w:sdt>
  <w:p>
    <w:pPr>
      <w:pStyle w:val="13"/>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35626161"/>
    </w:sdtPr>
    <w:sdtEndPr>
      <w:rPr>
        <w:sz w:val="24"/>
        <w:szCs w:val="28"/>
      </w:rPr>
    </w:sdtEndPr>
    <w:sdtContent>
      <w:p>
        <w:pPr>
          <w:pStyle w:val="13"/>
          <w:ind w:firstLine="360"/>
          <w:jc w:val="center"/>
          <w:rPr>
            <w:sz w:val="24"/>
            <w:szCs w:val="28"/>
          </w:rPr>
        </w:pPr>
        <w:r>
          <w:rPr>
            <w:sz w:val="24"/>
            <w:szCs w:val="28"/>
          </w:rPr>
          <w:fldChar w:fldCharType="begin"/>
        </w:r>
        <w:r>
          <w:rPr>
            <w:sz w:val="24"/>
            <w:szCs w:val="28"/>
          </w:rPr>
          <w:instrText xml:space="preserve">PAGE   \* MERGEFORMAT</w:instrText>
        </w:r>
        <w:r>
          <w:rPr>
            <w:sz w:val="24"/>
            <w:szCs w:val="28"/>
          </w:rPr>
          <w:fldChar w:fldCharType="separate"/>
        </w:r>
        <w:r>
          <w:rPr>
            <w:sz w:val="24"/>
            <w:szCs w:val="28"/>
            <w:lang w:val="zh-CN"/>
          </w:rPr>
          <w:t>2</w:t>
        </w:r>
        <w:r>
          <w:rPr>
            <w:sz w:val="24"/>
            <w:szCs w:val="28"/>
          </w:rPr>
          <w:fldChar w:fldCharType="end"/>
        </w:r>
      </w:p>
    </w:sdtContent>
  </w:sdt>
  <w:p>
    <w:pPr>
      <w:pStyle w:val="1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24"/>
      </w:pPr>
      <w:r>
        <w:separator/>
      </w:r>
    </w:p>
  </w:footnote>
  <w:footnote w:type="continuationSeparator" w:id="1">
    <w:p>
      <w:pPr>
        <w:ind w:firstLine="624"/>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spacing w:before="120" w:after="120"/>
      <w:ind w:firstLine="360"/>
      <w:jc w:val="center"/>
    </w:pPr>
  </w:p>
  <w:p>
    <w:pPr>
      <w:pStyle w:val="1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HorizontalSpacing w:val="156"/>
  <w:drawingGridVerticalSpacing w:val="305"/>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5FDB87"/>
    <w:rsid w:val="00000089"/>
    <w:rsid w:val="000025ED"/>
    <w:rsid w:val="00002F7A"/>
    <w:rsid w:val="00004194"/>
    <w:rsid w:val="0000507B"/>
    <w:rsid w:val="0000736D"/>
    <w:rsid w:val="0001049D"/>
    <w:rsid w:val="000146BF"/>
    <w:rsid w:val="000149A2"/>
    <w:rsid w:val="000160B0"/>
    <w:rsid w:val="00016A98"/>
    <w:rsid w:val="00020EB0"/>
    <w:rsid w:val="000226DC"/>
    <w:rsid w:val="00022EBB"/>
    <w:rsid w:val="00023B50"/>
    <w:rsid w:val="000246FB"/>
    <w:rsid w:val="0002503C"/>
    <w:rsid w:val="00025682"/>
    <w:rsid w:val="0002600B"/>
    <w:rsid w:val="000272BB"/>
    <w:rsid w:val="000307E8"/>
    <w:rsid w:val="00032DAB"/>
    <w:rsid w:val="00033606"/>
    <w:rsid w:val="000348B5"/>
    <w:rsid w:val="00040616"/>
    <w:rsid w:val="0004168A"/>
    <w:rsid w:val="00042015"/>
    <w:rsid w:val="00042A19"/>
    <w:rsid w:val="00042B29"/>
    <w:rsid w:val="00042E5C"/>
    <w:rsid w:val="00042F61"/>
    <w:rsid w:val="00044215"/>
    <w:rsid w:val="000448D8"/>
    <w:rsid w:val="00051418"/>
    <w:rsid w:val="000539CB"/>
    <w:rsid w:val="00053B82"/>
    <w:rsid w:val="00054AEB"/>
    <w:rsid w:val="0005581F"/>
    <w:rsid w:val="000579C6"/>
    <w:rsid w:val="00057E02"/>
    <w:rsid w:val="00060C2F"/>
    <w:rsid w:val="0006373F"/>
    <w:rsid w:val="00063959"/>
    <w:rsid w:val="00066D4E"/>
    <w:rsid w:val="00070126"/>
    <w:rsid w:val="00071936"/>
    <w:rsid w:val="00072C72"/>
    <w:rsid w:val="000741FD"/>
    <w:rsid w:val="000751E7"/>
    <w:rsid w:val="00075F23"/>
    <w:rsid w:val="00077D63"/>
    <w:rsid w:val="000838A9"/>
    <w:rsid w:val="00087896"/>
    <w:rsid w:val="00092AD8"/>
    <w:rsid w:val="0009474E"/>
    <w:rsid w:val="0009620D"/>
    <w:rsid w:val="00096D4F"/>
    <w:rsid w:val="00097045"/>
    <w:rsid w:val="000A0391"/>
    <w:rsid w:val="000A13F2"/>
    <w:rsid w:val="000A2384"/>
    <w:rsid w:val="000A2E36"/>
    <w:rsid w:val="000A32F2"/>
    <w:rsid w:val="000B246C"/>
    <w:rsid w:val="000B328F"/>
    <w:rsid w:val="000B3734"/>
    <w:rsid w:val="000B4AB9"/>
    <w:rsid w:val="000B6761"/>
    <w:rsid w:val="000B7ECF"/>
    <w:rsid w:val="000C0134"/>
    <w:rsid w:val="000C0E91"/>
    <w:rsid w:val="000C5C95"/>
    <w:rsid w:val="000C7E6C"/>
    <w:rsid w:val="000D1FD8"/>
    <w:rsid w:val="000D27CF"/>
    <w:rsid w:val="000D6B57"/>
    <w:rsid w:val="000D786C"/>
    <w:rsid w:val="000D7F58"/>
    <w:rsid w:val="000E07AB"/>
    <w:rsid w:val="000E131D"/>
    <w:rsid w:val="000E1E03"/>
    <w:rsid w:val="000E29A6"/>
    <w:rsid w:val="000E4075"/>
    <w:rsid w:val="000E5494"/>
    <w:rsid w:val="000F2AD3"/>
    <w:rsid w:val="000F4B6D"/>
    <w:rsid w:val="000F5A66"/>
    <w:rsid w:val="000F7A96"/>
    <w:rsid w:val="00102AD1"/>
    <w:rsid w:val="00102E84"/>
    <w:rsid w:val="00103D47"/>
    <w:rsid w:val="00113131"/>
    <w:rsid w:val="00121F4F"/>
    <w:rsid w:val="0012437F"/>
    <w:rsid w:val="001378C1"/>
    <w:rsid w:val="0014175D"/>
    <w:rsid w:val="00144F90"/>
    <w:rsid w:val="00150F0D"/>
    <w:rsid w:val="00150F29"/>
    <w:rsid w:val="00152CD6"/>
    <w:rsid w:val="00153E4A"/>
    <w:rsid w:val="00154FCB"/>
    <w:rsid w:val="001556AD"/>
    <w:rsid w:val="00156748"/>
    <w:rsid w:val="0015720B"/>
    <w:rsid w:val="001615E1"/>
    <w:rsid w:val="001627E6"/>
    <w:rsid w:val="00162A50"/>
    <w:rsid w:val="00164725"/>
    <w:rsid w:val="0016533C"/>
    <w:rsid w:val="00165421"/>
    <w:rsid w:val="0016573D"/>
    <w:rsid w:val="00166A90"/>
    <w:rsid w:val="00171264"/>
    <w:rsid w:val="0017250F"/>
    <w:rsid w:val="0017573A"/>
    <w:rsid w:val="00175872"/>
    <w:rsid w:val="00176C5A"/>
    <w:rsid w:val="00185979"/>
    <w:rsid w:val="001868DF"/>
    <w:rsid w:val="00186968"/>
    <w:rsid w:val="001905D8"/>
    <w:rsid w:val="00190FB2"/>
    <w:rsid w:val="001928D6"/>
    <w:rsid w:val="00194779"/>
    <w:rsid w:val="0019691F"/>
    <w:rsid w:val="001A04B9"/>
    <w:rsid w:val="001A3185"/>
    <w:rsid w:val="001B06DE"/>
    <w:rsid w:val="001B073B"/>
    <w:rsid w:val="001B2ACA"/>
    <w:rsid w:val="001B5946"/>
    <w:rsid w:val="001B68D8"/>
    <w:rsid w:val="001B76CA"/>
    <w:rsid w:val="001B7D67"/>
    <w:rsid w:val="001C0146"/>
    <w:rsid w:val="001C4AFC"/>
    <w:rsid w:val="001C5037"/>
    <w:rsid w:val="001C5DA8"/>
    <w:rsid w:val="001C6E04"/>
    <w:rsid w:val="001C7F34"/>
    <w:rsid w:val="001D0667"/>
    <w:rsid w:val="001D0B6A"/>
    <w:rsid w:val="001D0BF5"/>
    <w:rsid w:val="001D198B"/>
    <w:rsid w:val="001D1B89"/>
    <w:rsid w:val="001D201C"/>
    <w:rsid w:val="001D2183"/>
    <w:rsid w:val="001D31FC"/>
    <w:rsid w:val="001D3327"/>
    <w:rsid w:val="001D4682"/>
    <w:rsid w:val="001D67E5"/>
    <w:rsid w:val="001D7228"/>
    <w:rsid w:val="001E18BE"/>
    <w:rsid w:val="001E362A"/>
    <w:rsid w:val="001F3522"/>
    <w:rsid w:val="001F491E"/>
    <w:rsid w:val="001F6364"/>
    <w:rsid w:val="00202D2A"/>
    <w:rsid w:val="002035BF"/>
    <w:rsid w:val="00204DD6"/>
    <w:rsid w:val="00206B44"/>
    <w:rsid w:val="002101C8"/>
    <w:rsid w:val="00212E52"/>
    <w:rsid w:val="00216099"/>
    <w:rsid w:val="00216FB6"/>
    <w:rsid w:val="00217B92"/>
    <w:rsid w:val="0022157C"/>
    <w:rsid w:val="0022174B"/>
    <w:rsid w:val="00223AB1"/>
    <w:rsid w:val="00225700"/>
    <w:rsid w:val="00227CBC"/>
    <w:rsid w:val="00231313"/>
    <w:rsid w:val="002322CF"/>
    <w:rsid w:val="00233408"/>
    <w:rsid w:val="002367D6"/>
    <w:rsid w:val="0023712C"/>
    <w:rsid w:val="0024267D"/>
    <w:rsid w:val="00244C85"/>
    <w:rsid w:val="0024507C"/>
    <w:rsid w:val="00256808"/>
    <w:rsid w:val="00256985"/>
    <w:rsid w:val="0026043F"/>
    <w:rsid w:val="002606B6"/>
    <w:rsid w:val="00261915"/>
    <w:rsid w:val="002619D0"/>
    <w:rsid w:val="00262C83"/>
    <w:rsid w:val="002635D5"/>
    <w:rsid w:val="00265B5C"/>
    <w:rsid w:val="002713D2"/>
    <w:rsid w:val="00271D96"/>
    <w:rsid w:val="002728F2"/>
    <w:rsid w:val="00272A10"/>
    <w:rsid w:val="00277889"/>
    <w:rsid w:val="002824D2"/>
    <w:rsid w:val="00282ECE"/>
    <w:rsid w:val="00285E5D"/>
    <w:rsid w:val="0028679E"/>
    <w:rsid w:val="0028739B"/>
    <w:rsid w:val="00290ABB"/>
    <w:rsid w:val="00290EFB"/>
    <w:rsid w:val="00293A53"/>
    <w:rsid w:val="00296B6E"/>
    <w:rsid w:val="00297CF4"/>
    <w:rsid w:val="002A0AC4"/>
    <w:rsid w:val="002A4707"/>
    <w:rsid w:val="002A515B"/>
    <w:rsid w:val="002A61CB"/>
    <w:rsid w:val="002A7433"/>
    <w:rsid w:val="002A7D42"/>
    <w:rsid w:val="002B0271"/>
    <w:rsid w:val="002B0458"/>
    <w:rsid w:val="002B093F"/>
    <w:rsid w:val="002B1DB1"/>
    <w:rsid w:val="002B4B49"/>
    <w:rsid w:val="002C011E"/>
    <w:rsid w:val="002C0A2B"/>
    <w:rsid w:val="002C14D5"/>
    <w:rsid w:val="002C2D92"/>
    <w:rsid w:val="002D04B3"/>
    <w:rsid w:val="002D0B56"/>
    <w:rsid w:val="002D7404"/>
    <w:rsid w:val="002E106A"/>
    <w:rsid w:val="002E5490"/>
    <w:rsid w:val="002F04DA"/>
    <w:rsid w:val="002F2EF2"/>
    <w:rsid w:val="002F515F"/>
    <w:rsid w:val="002F7B02"/>
    <w:rsid w:val="0030130A"/>
    <w:rsid w:val="0030255B"/>
    <w:rsid w:val="00302AFF"/>
    <w:rsid w:val="003041C5"/>
    <w:rsid w:val="00304AA5"/>
    <w:rsid w:val="00312A2A"/>
    <w:rsid w:val="0031598A"/>
    <w:rsid w:val="0031721D"/>
    <w:rsid w:val="00320FA6"/>
    <w:rsid w:val="003210F7"/>
    <w:rsid w:val="00323FED"/>
    <w:rsid w:val="00325391"/>
    <w:rsid w:val="00325731"/>
    <w:rsid w:val="0032577E"/>
    <w:rsid w:val="003312BD"/>
    <w:rsid w:val="00331436"/>
    <w:rsid w:val="0033227C"/>
    <w:rsid w:val="00332F36"/>
    <w:rsid w:val="00334A2F"/>
    <w:rsid w:val="0033556D"/>
    <w:rsid w:val="00335BBD"/>
    <w:rsid w:val="003360CF"/>
    <w:rsid w:val="00337BC0"/>
    <w:rsid w:val="00342F71"/>
    <w:rsid w:val="00344547"/>
    <w:rsid w:val="00345027"/>
    <w:rsid w:val="0034752B"/>
    <w:rsid w:val="00347E06"/>
    <w:rsid w:val="003503C4"/>
    <w:rsid w:val="00352040"/>
    <w:rsid w:val="00355E0D"/>
    <w:rsid w:val="00356BF0"/>
    <w:rsid w:val="00357D12"/>
    <w:rsid w:val="00357FA9"/>
    <w:rsid w:val="00361732"/>
    <w:rsid w:val="003628D8"/>
    <w:rsid w:val="00366C47"/>
    <w:rsid w:val="00370A56"/>
    <w:rsid w:val="0037276E"/>
    <w:rsid w:val="00372E07"/>
    <w:rsid w:val="00375EED"/>
    <w:rsid w:val="0038021A"/>
    <w:rsid w:val="003804BC"/>
    <w:rsid w:val="003818E2"/>
    <w:rsid w:val="00383F46"/>
    <w:rsid w:val="0038435E"/>
    <w:rsid w:val="00386FD4"/>
    <w:rsid w:val="00387346"/>
    <w:rsid w:val="00387F6D"/>
    <w:rsid w:val="003906C2"/>
    <w:rsid w:val="00392563"/>
    <w:rsid w:val="00394153"/>
    <w:rsid w:val="00394B3B"/>
    <w:rsid w:val="00397E7B"/>
    <w:rsid w:val="003A1134"/>
    <w:rsid w:val="003A2EFD"/>
    <w:rsid w:val="003A3C50"/>
    <w:rsid w:val="003A4928"/>
    <w:rsid w:val="003A6D1F"/>
    <w:rsid w:val="003A7C98"/>
    <w:rsid w:val="003B1B08"/>
    <w:rsid w:val="003B2753"/>
    <w:rsid w:val="003B5701"/>
    <w:rsid w:val="003B6CA4"/>
    <w:rsid w:val="003C0F77"/>
    <w:rsid w:val="003C15EA"/>
    <w:rsid w:val="003C28E4"/>
    <w:rsid w:val="003C3913"/>
    <w:rsid w:val="003C53E3"/>
    <w:rsid w:val="003C7840"/>
    <w:rsid w:val="003D2F72"/>
    <w:rsid w:val="003D5425"/>
    <w:rsid w:val="003D5E79"/>
    <w:rsid w:val="003E1AB4"/>
    <w:rsid w:val="003E22FE"/>
    <w:rsid w:val="003F22AB"/>
    <w:rsid w:val="003F5E37"/>
    <w:rsid w:val="00400062"/>
    <w:rsid w:val="0040201E"/>
    <w:rsid w:val="004028E4"/>
    <w:rsid w:val="004029D7"/>
    <w:rsid w:val="00403297"/>
    <w:rsid w:val="00405F6C"/>
    <w:rsid w:val="004060FB"/>
    <w:rsid w:val="00406544"/>
    <w:rsid w:val="00411081"/>
    <w:rsid w:val="00411F2C"/>
    <w:rsid w:val="00414525"/>
    <w:rsid w:val="00416110"/>
    <w:rsid w:val="0041649A"/>
    <w:rsid w:val="00416C90"/>
    <w:rsid w:val="0041770B"/>
    <w:rsid w:val="004204A3"/>
    <w:rsid w:val="004204D3"/>
    <w:rsid w:val="0042569B"/>
    <w:rsid w:val="0042785F"/>
    <w:rsid w:val="00432E82"/>
    <w:rsid w:val="00436341"/>
    <w:rsid w:val="004412B8"/>
    <w:rsid w:val="00443791"/>
    <w:rsid w:val="00443F6C"/>
    <w:rsid w:val="00444CC5"/>
    <w:rsid w:val="00445C40"/>
    <w:rsid w:val="0045075F"/>
    <w:rsid w:val="00451BFC"/>
    <w:rsid w:val="004527AA"/>
    <w:rsid w:val="00453124"/>
    <w:rsid w:val="0045453F"/>
    <w:rsid w:val="004549C6"/>
    <w:rsid w:val="00455702"/>
    <w:rsid w:val="0045582E"/>
    <w:rsid w:val="00457A37"/>
    <w:rsid w:val="0046297D"/>
    <w:rsid w:val="0046416C"/>
    <w:rsid w:val="00466437"/>
    <w:rsid w:val="0046798F"/>
    <w:rsid w:val="00470ECA"/>
    <w:rsid w:val="00470FB4"/>
    <w:rsid w:val="00473B2E"/>
    <w:rsid w:val="00476069"/>
    <w:rsid w:val="0047700F"/>
    <w:rsid w:val="004824DC"/>
    <w:rsid w:val="00485944"/>
    <w:rsid w:val="00486297"/>
    <w:rsid w:val="004865A8"/>
    <w:rsid w:val="00487D49"/>
    <w:rsid w:val="00491AF0"/>
    <w:rsid w:val="00492A04"/>
    <w:rsid w:val="004938F2"/>
    <w:rsid w:val="00495F25"/>
    <w:rsid w:val="0049600E"/>
    <w:rsid w:val="004A204A"/>
    <w:rsid w:val="004A46E8"/>
    <w:rsid w:val="004B0EC7"/>
    <w:rsid w:val="004B211F"/>
    <w:rsid w:val="004B23D3"/>
    <w:rsid w:val="004B2450"/>
    <w:rsid w:val="004B2C70"/>
    <w:rsid w:val="004B3282"/>
    <w:rsid w:val="004B4117"/>
    <w:rsid w:val="004B553C"/>
    <w:rsid w:val="004B5BFB"/>
    <w:rsid w:val="004C026D"/>
    <w:rsid w:val="004C0BD9"/>
    <w:rsid w:val="004C6A4F"/>
    <w:rsid w:val="004C72E0"/>
    <w:rsid w:val="004C7AEF"/>
    <w:rsid w:val="004D1389"/>
    <w:rsid w:val="004D16C4"/>
    <w:rsid w:val="004D4929"/>
    <w:rsid w:val="004D49DA"/>
    <w:rsid w:val="004D5EC7"/>
    <w:rsid w:val="004E36E5"/>
    <w:rsid w:val="004E39F2"/>
    <w:rsid w:val="004E3FCF"/>
    <w:rsid w:val="004E4FCE"/>
    <w:rsid w:val="004F12C1"/>
    <w:rsid w:val="004F5166"/>
    <w:rsid w:val="004F6B5E"/>
    <w:rsid w:val="004F6E60"/>
    <w:rsid w:val="004F73E7"/>
    <w:rsid w:val="00500393"/>
    <w:rsid w:val="00500B46"/>
    <w:rsid w:val="00502E6D"/>
    <w:rsid w:val="00504B64"/>
    <w:rsid w:val="00506570"/>
    <w:rsid w:val="00507C23"/>
    <w:rsid w:val="005100D8"/>
    <w:rsid w:val="005119F6"/>
    <w:rsid w:val="005126EF"/>
    <w:rsid w:val="0051449F"/>
    <w:rsid w:val="00516290"/>
    <w:rsid w:val="00522840"/>
    <w:rsid w:val="00526101"/>
    <w:rsid w:val="0053460B"/>
    <w:rsid w:val="00534AF5"/>
    <w:rsid w:val="00534D57"/>
    <w:rsid w:val="00534DBE"/>
    <w:rsid w:val="005354DF"/>
    <w:rsid w:val="0053568E"/>
    <w:rsid w:val="00535865"/>
    <w:rsid w:val="0053679F"/>
    <w:rsid w:val="00536EA8"/>
    <w:rsid w:val="00541526"/>
    <w:rsid w:val="005419E6"/>
    <w:rsid w:val="00544AAE"/>
    <w:rsid w:val="0054543B"/>
    <w:rsid w:val="0054588F"/>
    <w:rsid w:val="00546467"/>
    <w:rsid w:val="0055719E"/>
    <w:rsid w:val="005576DF"/>
    <w:rsid w:val="0055778B"/>
    <w:rsid w:val="00560C56"/>
    <w:rsid w:val="005612C9"/>
    <w:rsid w:val="005625B9"/>
    <w:rsid w:val="00565C9F"/>
    <w:rsid w:val="00567360"/>
    <w:rsid w:val="00570188"/>
    <w:rsid w:val="0057251B"/>
    <w:rsid w:val="0057355F"/>
    <w:rsid w:val="00581261"/>
    <w:rsid w:val="00581E5A"/>
    <w:rsid w:val="00582ACA"/>
    <w:rsid w:val="00586209"/>
    <w:rsid w:val="00592067"/>
    <w:rsid w:val="00592109"/>
    <w:rsid w:val="00597F15"/>
    <w:rsid w:val="005A012D"/>
    <w:rsid w:val="005A0594"/>
    <w:rsid w:val="005A1DDD"/>
    <w:rsid w:val="005A2358"/>
    <w:rsid w:val="005A650C"/>
    <w:rsid w:val="005A69CF"/>
    <w:rsid w:val="005A72DF"/>
    <w:rsid w:val="005A72E2"/>
    <w:rsid w:val="005A7BA0"/>
    <w:rsid w:val="005B099E"/>
    <w:rsid w:val="005B15FE"/>
    <w:rsid w:val="005C2475"/>
    <w:rsid w:val="005C7613"/>
    <w:rsid w:val="005D1F45"/>
    <w:rsid w:val="005D7C83"/>
    <w:rsid w:val="005E0C54"/>
    <w:rsid w:val="005E42AB"/>
    <w:rsid w:val="005E4EC0"/>
    <w:rsid w:val="005E65B5"/>
    <w:rsid w:val="005E73B0"/>
    <w:rsid w:val="005E7895"/>
    <w:rsid w:val="005F1302"/>
    <w:rsid w:val="005F157B"/>
    <w:rsid w:val="005F1662"/>
    <w:rsid w:val="005F33E9"/>
    <w:rsid w:val="005F4172"/>
    <w:rsid w:val="005F609E"/>
    <w:rsid w:val="005F7EE1"/>
    <w:rsid w:val="0060278E"/>
    <w:rsid w:val="00604612"/>
    <w:rsid w:val="006051A9"/>
    <w:rsid w:val="006054A3"/>
    <w:rsid w:val="00606707"/>
    <w:rsid w:val="0060761B"/>
    <w:rsid w:val="00610DA0"/>
    <w:rsid w:val="006124FF"/>
    <w:rsid w:val="00613388"/>
    <w:rsid w:val="00613B48"/>
    <w:rsid w:val="00613FAE"/>
    <w:rsid w:val="00615A3D"/>
    <w:rsid w:val="00617555"/>
    <w:rsid w:val="00617F32"/>
    <w:rsid w:val="006214D1"/>
    <w:rsid w:val="0062232B"/>
    <w:rsid w:val="00622B83"/>
    <w:rsid w:val="0062322B"/>
    <w:rsid w:val="00623401"/>
    <w:rsid w:val="0062465D"/>
    <w:rsid w:val="00625872"/>
    <w:rsid w:val="006305FC"/>
    <w:rsid w:val="0063079D"/>
    <w:rsid w:val="00632A5B"/>
    <w:rsid w:val="00632CBC"/>
    <w:rsid w:val="0063380A"/>
    <w:rsid w:val="00634000"/>
    <w:rsid w:val="00634932"/>
    <w:rsid w:val="00637D6C"/>
    <w:rsid w:val="00640DE6"/>
    <w:rsid w:val="00640ED3"/>
    <w:rsid w:val="0064119D"/>
    <w:rsid w:val="00646A26"/>
    <w:rsid w:val="00646D70"/>
    <w:rsid w:val="006472EA"/>
    <w:rsid w:val="006476AA"/>
    <w:rsid w:val="006525AA"/>
    <w:rsid w:val="00655776"/>
    <w:rsid w:val="006561DD"/>
    <w:rsid w:val="006621B8"/>
    <w:rsid w:val="00662755"/>
    <w:rsid w:val="00662901"/>
    <w:rsid w:val="0066374F"/>
    <w:rsid w:val="00664827"/>
    <w:rsid w:val="0066603A"/>
    <w:rsid w:val="00667561"/>
    <w:rsid w:val="00676728"/>
    <w:rsid w:val="0068075D"/>
    <w:rsid w:val="00683AE3"/>
    <w:rsid w:val="00684C47"/>
    <w:rsid w:val="00685A91"/>
    <w:rsid w:val="006865C9"/>
    <w:rsid w:val="00686AEB"/>
    <w:rsid w:val="00687571"/>
    <w:rsid w:val="0069098B"/>
    <w:rsid w:val="00692730"/>
    <w:rsid w:val="006941DC"/>
    <w:rsid w:val="006A10A5"/>
    <w:rsid w:val="006A1706"/>
    <w:rsid w:val="006A31B5"/>
    <w:rsid w:val="006A6B6C"/>
    <w:rsid w:val="006A6F0E"/>
    <w:rsid w:val="006A700D"/>
    <w:rsid w:val="006A7C2C"/>
    <w:rsid w:val="006B451C"/>
    <w:rsid w:val="006B4942"/>
    <w:rsid w:val="006B5878"/>
    <w:rsid w:val="006B621F"/>
    <w:rsid w:val="006B66DB"/>
    <w:rsid w:val="006C003C"/>
    <w:rsid w:val="006C135E"/>
    <w:rsid w:val="006C1E06"/>
    <w:rsid w:val="006C4E09"/>
    <w:rsid w:val="006D46D5"/>
    <w:rsid w:val="006D4B96"/>
    <w:rsid w:val="006E363F"/>
    <w:rsid w:val="006E3791"/>
    <w:rsid w:val="006E443B"/>
    <w:rsid w:val="006E7596"/>
    <w:rsid w:val="006F0446"/>
    <w:rsid w:val="006F2A3D"/>
    <w:rsid w:val="006F30DD"/>
    <w:rsid w:val="006F4F5B"/>
    <w:rsid w:val="006F68D9"/>
    <w:rsid w:val="006F6F7D"/>
    <w:rsid w:val="00702197"/>
    <w:rsid w:val="00702FB9"/>
    <w:rsid w:val="00703A8E"/>
    <w:rsid w:val="007055C6"/>
    <w:rsid w:val="00705AEF"/>
    <w:rsid w:val="00706669"/>
    <w:rsid w:val="00711A70"/>
    <w:rsid w:val="00720134"/>
    <w:rsid w:val="00721A38"/>
    <w:rsid w:val="00725538"/>
    <w:rsid w:val="0072717F"/>
    <w:rsid w:val="007309A2"/>
    <w:rsid w:val="0073119F"/>
    <w:rsid w:val="007348AF"/>
    <w:rsid w:val="00734A54"/>
    <w:rsid w:val="00735F51"/>
    <w:rsid w:val="007437DF"/>
    <w:rsid w:val="007441FA"/>
    <w:rsid w:val="00744A8A"/>
    <w:rsid w:val="00746676"/>
    <w:rsid w:val="0075078C"/>
    <w:rsid w:val="00752AB5"/>
    <w:rsid w:val="0075369D"/>
    <w:rsid w:val="00754549"/>
    <w:rsid w:val="00754575"/>
    <w:rsid w:val="007545B7"/>
    <w:rsid w:val="00756488"/>
    <w:rsid w:val="007572C2"/>
    <w:rsid w:val="0076053C"/>
    <w:rsid w:val="0076198D"/>
    <w:rsid w:val="00762975"/>
    <w:rsid w:val="007644EB"/>
    <w:rsid w:val="00765611"/>
    <w:rsid w:val="007672CD"/>
    <w:rsid w:val="00773757"/>
    <w:rsid w:val="007756C1"/>
    <w:rsid w:val="00777768"/>
    <w:rsid w:val="00783E20"/>
    <w:rsid w:val="00784E47"/>
    <w:rsid w:val="00786FB7"/>
    <w:rsid w:val="00786FC3"/>
    <w:rsid w:val="0078702F"/>
    <w:rsid w:val="007870E3"/>
    <w:rsid w:val="00787C6D"/>
    <w:rsid w:val="00792721"/>
    <w:rsid w:val="00792B44"/>
    <w:rsid w:val="00792DFA"/>
    <w:rsid w:val="007946E6"/>
    <w:rsid w:val="00794B5F"/>
    <w:rsid w:val="007A1056"/>
    <w:rsid w:val="007A3B8F"/>
    <w:rsid w:val="007A54DC"/>
    <w:rsid w:val="007A56B7"/>
    <w:rsid w:val="007A6EF9"/>
    <w:rsid w:val="007A7C7E"/>
    <w:rsid w:val="007C2A17"/>
    <w:rsid w:val="007C546D"/>
    <w:rsid w:val="007C5AF9"/>
    <w:rsid w:val="007D11D9"/>
    <w:rsid w:val="007D5D62"/>
    <w:rsid w:val="007E0A07"/>
    <w:rsid w:val="007E6BFB"/>
    <w:rsid w:val="007E7029"/>
    <w:rsid w:val="007F49DF"/>
    <w:rsid w:val="007F4A4C"/>
    <w:rsid w:val="007F6426"/>
    <w:rsid w:val="007F79C0"/>
    <w:rsid w:val="00801CBF"/>
    <w:rsid w:val="008039DA"/>
    <w:rsid w:val="00807E8A"/>
    <w:rsid w:val="00807F82"/>
    <w:rsid w:val="00811EDE"/>
    <w:rsid w:val="0081274D"/>
    <w:rsid w:val="008134E0"/>
    <w:rsid w:val="0081423F"/>
    <w:rsid w:val="008146C6"/>
    <w:rsid w:val="0081589B"/>
    <w:rsid w:val="0081660B"/>
    <w:rsid w:val="00817557"/>
    <w:rsid w:val="008225C0"/>
    <w:rsid w:val="008234C4"/>
    <w:rsid w:val="0082626A"/>
    <w:rsid w:val="00827998"/>
    <w:rsid w:val="00831786"/>
    <w:rsid w:val="00831888"/>
    <w:rsid w:val="00836503"/>
    <w:rsid w:val="00837030"/>
    <w:rsid w:val="00843C44"/>
    <w:rsid w:val="008457FB"/>
    <w:rsid w:val="00845AC9"/>
    <w:rsid w:val="00847CB1"/>
    <w:rsid w:val="00853A93"/>
    <w:rsid w:val="00864D09"/>
    <w:rsid w:val="00865D50"/>
    <w:rsid w:val="00867978"/>
    <w:rsid w:val="00874D49"/>
    <w:rsid w:val="00876447"/>
    <w:rsid w:val="0087679E"/>
    <w:rsid w:val="00881FCE"/>
    <w:rsid w:val="008821A3"/>
    <w:rsid w:val="00883CFD"/>
    <w:rsid w:val="00885680"/>
    <w:rsid w:val="0089218E"/>
    <w:rsid w:val="00893C18"/>
    <w:rsid w:val="00894756"/>
    <w:rsid w:val="00895AF5"/>
    <w:rsid w:val="00896452"/>
    <w:rsid w:val="0089766C"/>
    <w:rsid w:val="008A1429"/>
    <w:rsid w:val="008A600E"/>
    <w:rsid w:val="008A641E"/>
    <w:rsid w:val="008A70D1"/>
    <w:rsid w:val="008B066C"/>
    <w:rsid w:val="008B1692"/>
    <w:rsid w:val="008B2BA5"/>
    <w:rsid w:val="008B41A8"/>
    <w:rsid w:val="008B45EE"/>
    <w:rsid w:val="008B5332"/>
    <w:rsid w:val="008B69E2"/>
    <w:rsid w:val="008B6A8C"/>
    <w:rsid w:val="008B7ECE"/>
    <w:rsid w:val="008C16C1"/>
    <w:rsid w:val="008C3E68"/>
    <w:rsid w:val="008C528C"/>
    <w:rsid w:val="008D00C2"/>
    <w:rsid w:val="008D086A"/>
    <w:rsid w:val="008D0F62"/>
    <w:rsid w:val="008D2C9A"/>
    <w:rsid w:val="008D58F6"/>
    <w:rsid w:val="008E350F"/>
    <w:rsid w:val="008E39E9"/>
    <w:rsid w:val="008E3CFA"/>
    <w:rsid w:val="008F153D"/>
    <w:rsid w:val="008F2D7D"/>
    <w:rsid w:val="008F33AF"/>
    <w:rsid w:val="008F3D2E"/>
    <w:rsid w:val="008F3DF6"/>
    <w:rsid w:val="008F4F79"/>
    <w:rsid w:val="008F52F3"/>
    <w:rsid w:val="008F7196"/>
    <w:rsid w:val="00900B23"/>
    <w:rsid w:val="00905888"/>
    <w:rsid w:val="00905F26"/>
    <w:rsid w:val="00906247"/>
    <w:rsid w:val="009130CA"/>
    <w:rsid w:val="0091620E"/>
    <w:rsid w:val="00920657"/>
    <w:rsid w:val="009218FE"/>
    <w:rsid w:val="009222AB"/>
    <w:rsid w:val="00922EB2"/>
    <w:rsid w:val="00925134"/>
    <w:rsid w:val="00934BB2"/>
    <w:rsid w:val="00936C95"/>
    <w:rsid w:val="009370CF"/>
    <w:rsid w:val="00940379"/>
    <w:rsid w:val="009403ED"/>
    <w:rsid w:val="00940D9D"/>
    <w:rsid w:val="00943990"/>
    <w:rsid w:val="009446D5"/>
    <w:rsid w:val="00946158"/>
    <w:rsid w:val="00951427"/>
    <w:rsid w:val="00953B01"/>
    <w:rsid w:val="00953E48"/>
    <w:rsid w:val="009602AF"/>
    <w:rsid w:val="00960A9A"/>
    <w:rsid w:val="009612DA"/>
    <w:rsid w:val="00966D42"/>
    <w:rsid w:val="0096747F"/>
    <w:rsid w:val="00967E08"/>
    <w:rsid w:val="00971858"/>
    <w:rsid w:val="009733B1"/>
    <w:rsid w:val="009738E2"/>
    <w:rsid w:val="00974C19"/>
    <w:rsid w:val="00974DDC"/>
    <w:rsid w:val="009760B6"/>
    <w:rsid w:val="009763F5"/>
    <w:rsid w:val="0097654F"/>
    <w:rsid w:val="00977657"/>
    <w:rsid w:val="0097765D"/>
    <w:rsid w:val="0098192B"/>
    <w:rsid w:val="009845AA"/>
    <w:rsid w:val="00985BB2"/>
    <w:rsid w:val="00986263"/>
    <w:rsid w:val="00987D89"/>
    <w:rsid w:val="00991B46"/>
    <w:rsid w:val="00992C33"/>
    <w:rsid w:val="009931B8"/>
    <w:rsid w:val="009939D2"/>
    <w:rsid w:val="00994690"/>
    <w:rsid w:val="0099579A"/>
    <w:rsid w:val="00995B98"/>
    <w:rsid w:val="009A4EE8"/>
    <w:rsid w:val="009B060F"/>
    <w:rsid w:val="009B15D2"/>
    <w:rsid w:val="009B2420"/>
    <w:rsid w:val="009B7F52"/>
    <w:rsid w:val="009C03CD"/>
    <w:rsid w:val="009C0D76"/>
    <w:rsid w:val="009C1315"/>
    <w:rsid w:val="009C1849"/>
    <w:rsid w:val="009C30EE"/>
    <w:rsid w:val="009C697E"/>
    <w:rsid w:val="009C770D"/>
    <w:rsid w:val="009D0244"/>
    <w:rsid w:val="009D1431"/>
    <w:rsid w:val="009D2359"/>
    <w:rsid w:val="009D2D91"/>
    <w:rsid w:val="009D36B6"/>
    <w:rsid w:val="009D4D30"/>
    <w:rsid w:val="009E0C8C"/>
    <w:rsid w:val="009E13C0"/>
    <w:rsid w:val="009E3DF3"/>
    <w:rsid w:val="009E3E09"/>
    <w:rsid w:val="009F025B"/>
    <w:rsid w:val="009F3DAA"/>
    <w:rsid w:val="009F620C"/>
    <w:rsid w:val="00A026D1"/>
    <w:rsid w:val="00A042EB"/>
    <w:rsid w:val="00A04648"/>
    <w:rsid w:val="00A05337"/>
    <w:rsid w:val="00A13AD7"/>
    <w:rsid w:val="00A16636"/>
    <w:rsid w:val="00A16B22"/>
    <w:rsid w:val="00A17FBE"/>
    <w:rsid w:val="00A20EBE"/>
    <w:rsid w:val="00A25386"/>
    <w:rsid w:val="00A2689F"/>
    <w:rsid w:val="00A27C19"/>
    <w:rsid w:val="00A27DB1"/>
    <w:rsid w:val="00A32251"/>
    <w:rsid w:val="00A33979"/>
    <w:rsid w:val="00A33D5C"/>
    <w:rsid w:val="00A33D9D"/>
    <w:rsid w:val="00A3443C"/>
    <w:rsid w:val="00A3528B"/>
    <w:rsid w:val="00A35769"/>
    <w:rsid w:val="00A35B34"/>
    <w:rsid w:val="00A42008"/>
    <w:rsid w:val="00A43FBF"/>
    <w:rsid w:val="00A44071"/>
    <w:rsid w:val="00A44490"/>
    <w:rsid w:val="00A46F70"/>
    <w:rsid w:val="00A474E3"/>
    <w:rsid w:val="00A503DA"/>
    <w:rsid w:val="00A50F76"/>
    <w:rsid w:val="00A52169"/>
    <w:rsid w:val="00A52314"/>
    <w:rsid w:val="00A526A7"/>
    <w:rsid w:val="00A533F9"/>
    <w:rsid w:val="00A53992"/>
    <w:rsid w:val="00A544E3"/>
    <w:rsid w:val="00A61421"/>
    <w:rsid w:val="00A63447"/>
    <w:rsid w:val="00A67BE4"/>
    <w:rsid w:val="00A707E2"/>
    <w:rsid w:val="00A7348B"/>
    <w:rsid w:val="00A737AA"/>
    <w:rsid w:val="00A7406D"/>
    <w:rsid w:val="00A74FFC"/>
    <w:rsid w:val="00A75567"/>
    <w:rsid w:val="00A757C1"/>
    <w:rsid w:val="00A75C14"/>
    <w:rsid w:val="00A77171"/>
    <w:rsid w:val="00A80E4F"/>
    <w:rsid w:val="00A82F27"/>
    <w:rsid w:val="00A8340D"/>
    <w:rsid w:val="00A83783"/>
    <w:rsid w:val="00A850DB"/>
    <w:rsid w:val="00A8641E"/>
    <w:rsid w:val="00A8645D"/>
    <w:rsid w:val="00A866A3"/>
    <w:rsid w:val="00A87222"/>
    <w:rsid w:val="00A901A8"/>
    <w:rsid w:val="00A905FC"/>
    <w:rsid w:val="00A94B05"/>
    <w:rsid w:val="00A94E0D"/>
    <w:rsid w:val="00A95378"/>
    <w:rsid w:val="00AA0E2F"/>
    <w:rsid w:val="00AA3215"/>
    <w:rsid w:val="00AB2A85"/>
    <w:rsid w:val="00AB2B27"/>
    <w:rsid w:val="00AB4225"/>
    <w:rsid w:val="00AB7E9F"/>
    <w:rsid w:val="00AC01DA"/>
    <w:rsid w:val="00AC0543"/>
    <w:rsid w:val="00AC0F91"/>
    <w:rsid w:val="00AC185C"/>
    <w:rsid w:val="00AC19B8"/>
    <w:rsid w:val="00AC3173"/>
    <w:rsid w:val="00AC35AC"/>
    <w:rsid w:val="00AC6D61"/>
    <w:rsid w:val="00AD00ED"/>
    <w:rsid w:val="00AD2944"/>
    <w:rsid w:val="00AD6C0F"/>
    <w:rsid w:val="00AE0B46"/>
    <w:rsid w:val="00AE1E2E"/>
    <w:rsid w:val="00AE2EED"/>
    <w:rsid w:val="00AE52DF"/>
    <w:rsid w:val="00AE71CB"/>
    <w:rsid w:val="00AF03C9"/>
    <w:rsid w:val="00AF2B83"/>
    <w:rsid w:val="00AF2D02"/>
    <w:rsid w:val="00AF35FC"/>
    <w:rsid w:val="00B024E1"/>
    <w:rsid w:val="00B029EB"/>
    <w:rsid w:val="00B04509"/>
    <w:rsid w:val="00B053E8"/>
    <w:rsid w:val="00B07412"/>
    <w:rsid w:val="00B1029D"/>
    <w:rsid w:val="00B10939"/>
    <w:rsid w:val="00B11293"/>
    <w:rsid w:val="00B11701"/>
    <w:rsid w:val="00B11CF8"/>
    <w:rsid w:val="00B15383"/>
    <w:rsid w:val="00B155A2"/>
    <w:rsid w:val="00B16C6D"/>
    <w:rsid w:val="00B16F5B"/>
    <w:rsid w:val="00B2115B"/>
    <w:rsid w:val="00B26355"/>
    <w:rsid w:val="00B34DD1"/>
    <w:rsid w:val="00B35029"/>
    <w:rsid w:val="00B414F6"/>
    <w:rsid w:val="00B45C3C"/>
    <w:rsid w:val="00B464E5"/>
    <w:rsid w:val="00B52005"/>
    <w:rsid w:val="00B52637"/>
    <w:rsid w:val="00B53C1F"/>
    <w:rsid w:val="00B54010"/>
    <w:rsid w:val="00B5481F"/>
    <w:rsid w:val="00B56305"/>
    <w:rsid w:val="00B6065A"/>
    <w:rsid w:val="00B63286"/>
    <w:rsid w:val="00B635B1"/>
    <w:rsid w:val="00B644DC"/>
    <w:rsid w:val="00B64FA5"/>
    <w:rsid w:val="00B65010"/>
    <w:rsid w:val="00B65434"/>
    <w:rsid w:val="00B670CB"/>
    <w:rsid w:val="00B70E93"/>
    <w:rsid w:val="00B724CB"/>
    <w:rsid w:val="00B72641"/>
    <w:rsid w:val="00B74196"/>
    <w:rsid w:val="00B74970"/>
    <w:rsid w:val="00B81FFD"/>
    <w:rsid w:val="00B92A17"/>
    <w:rsid w:val="00B943BD"/>
    <w:rsid w:val="00B94816"/>
    <w:rsid w:val="00B964AA"/>
    <w:rsid w:val="00B96F7C"/>
    <w:rsid w:val="00B9756A"/>
    <w:rsid w:val="00BA14A1"/>
    <w:rsid w:val="00BA17E2"/>
    <w:rsid w:val="00BA1E53"/>
    <w:rsid w:val="00BA1F83"/>
    <w:rsid w:val="00BA3057"/>
    <w:rsid w:val="00BA6F8A"/>
    <w:rsid w:val="00BA766B"/>
    <w:rsid w:val="00BB1457"/>
    <w:rsid w:val="00BB3BE5"/>
    <w:rsid w:val="00BB433E"/>
    <w:rsid w:val="00BB48D5"/>
    <w:rsid w:val="00BB5639"/>
    <w:rsid w:val="00BB7441"/>
    <w:rsid w:val="00BB7533"/>
    <w:rsid w:val="00BC0727"/>
    <w:rsid w:val="00BC0A11"/>
    <w:rsid w:val="00BC0EFC"/>
    <w:rsid w:val="00BC12F0"/>
    <w:rsid w:val="00BC2022"/>
    <w:rsid w:val="00BC75F1"/>
    <w:rsid w:val="00BC79C7"/>
    <w:rsid w:val="00BD12AE"/>
    <w:rsid w:val="00BD2D43"/>
    <w:rsid w:val="00BD486D"/>
    <w:rsid w:val="00BD5100"/>
    <w:rsid w:val="00BD7D69"/>
    <w:rsid w:val="00BE0B18"/>
    <w:rsid w:val="00BE1374"/>
    <w:rsid w:val="00BE2749"/>
    <w:rsid w:val="00BE3E33"/>
    <w:rsid w:val="00BE51F3"/>
    <w:rsid w:val="00BE6013"/>
    <w:rsid w:val="00BF1F0B"/>
    <w:rsid w:val="00BF2078"/>
    <w:rsid w:val="00BF2E47"/>
    <w:rsid w:val="00BF3010"/>
    <w:rsid w:val="00BF6201"/>
    <w:rsid w:val="00C0136B"/>
    <w:rsid w:val="00C044D4"/>
    <w:rsid w:val="00C10641"/>
    <w:rsid w:val="00C10933"/>
    <w:rsid w:val="00C11A4B"/>
    <w:rsid w:val="00C11C25"/>
    <w:rsid w:val="00C1443F"/>
    <w:rsid w:val="00C14441"/>
    <w:rsid w:val="00C17126"/>
    <w:rsid w:val="00C17226"/>
    <w:rsid w:val="00C172C6"/>
    <w:rsid w:val="00C175D2"/>
    <w:rsid w:val="00C178F1"/>
    <w:rsid w:val="00C222E6"/>
    <w:rsid w:val="00C22536"/>
    <w:rsid w:val="00C24848"/>
    <w:rsid w:val="00C267D1"/>
    <w:rsid w:val="00C268BE"/>
    <w:rsid w:val="00C26B88"/>
    <w:rsid w:val="00C270F5"/>
    <w:rsid w:val="00C27AD4"/>
    <w:rsid w:val="00C3477D"/>
    <w:rsid w:val="00C420D3"/>
    <w:rsid w:val="00C50812"/>
    <w:rsid w:val="00C51A07"/>
    <w:rsid w:val="00C547C0"/>
    <w:rsid w:val="00C558B5"/>
    <w:rsid w:val="00C6207C"/>
    <w:rsid w:val="00C646E1"/>
    <w:rsid w:val="00C72F49"/>
    <w:rsid w:val="00C74D58"/>
    <w:rsid w:val="00C75C9C"/>
    <w:rsid w:val="00C7676A"/>
    <w:rsid w:val="00C76E35"/>
    <w:rsid w:val="00C80FCE"/>
    <w:rsid w:val="00C846E9"/>
    <w:rsid w:val="00C86B81"/>
    <w:rsid w:val="00C900A1"/>
    <w:rsid w:val="00C9291A"/>
    <w:rsid w:val="00C92D00"/>
    <w:rsid w:val="00C943D7"/>
    <w:rsid w:val="00C954F5"/>
    <w:rsid w:val="00C96131"/>
    <w:rsid w:val="00C976A5"/>
    <w:rsid w:val="00CA02ED"/>
    <w:rsid w:val="00CA0F09"/>
    <w:rsid w:val="00CA43A2"/>
    <w:rsid w:val="00CB06B8"/>
    <w:rsid w:val="00CB1D36"/>
    <w:rsid w:val="00CB6E4F"/>
    <w:rsid w:val="00CB74D2"/>
    <w:rsid w:val="00CB7EC9"/>
    <w:rsid w:val="00CC128E"/>
    <w:rsid w:val="00CC2775"/>
    <w:rsid w:val="00CC6409"/>
    <w:rsid w:val="00CC6589"/>
    <w:rsid w:val="00CD2BBF"/>
    <w:rsid w:val="00CD3B94"/>
    <w:rsid w:val="00CD5284"/>
    <w:rsid w:val="00CD65FE"/>
    <w:rsid w:val="00CD6BB8"/>
    <w:rsid w:val="00CD7DB6"/>
    <w:rsid w:val="00CE0064"/>
    <w:rsid w:val="00CE1A24"/>
    <w:rsid w:val="00CE3012"/>
    <w:rsid w:val="00CE3582"/>
    <w:rsid w:val="00CE6BFA"/>
    <w:rsid w:val="00CF13E1"/>
    <w:rsid w:val="00CF2A6E"/>
    <w:rsid w:val="00CF3129"/>
    <w:rsid w:val="00CF3AD6"/>
    <w:rsid w:val="00CF469A"/>
    <w:rsid w:val="00CF4F79"/>
    <w:rsid w:val="00CF5A1A"/>
    <w:rsid w:val="00D0361A"/>
    <w:rsid w:val="00D053C1"/>
    <w:rsid w:val="00D0784C"/>
    <w:rsid w:val="00D10960"/>
    <w:rsid w:val="00D1145F"/>
    <w:rsid w:val="00D1147F"/>
    <w:rsid w:val="00D12005"/>
    <w:rsid w:val="00D126C0"/>
    <w:rsid w:val="00D15DE6"/>
    <w:rsid w:val="00D20DA0"/>
    <w:rsid w:val="00D21B56"/>
    <w:rsid w:val="00D22348"/>
    <w:rsid w:val="00D23603"/>
    <w:rsid w:val="00D242F8"/>
    <w:rsid w:val="00D24FB3"/>
    <w:rsid w:val="00D254E7"/>
    <w:rsid w:val="00D27AED"/>
    <w:rsid w:val="00D3074B"/>
    <w:rsid w:val="00D32602"/>
    <w:rsid w:val="00D3693E"/>
    <w:rsid w:val="00D37975"/>
    <w:rsid w:val="00D40260"/>
    <w:rsid w:val="00D40C15"/>
    <w:rsid w:val="00D40E3B"/>
    <w:rsid w:val="00D4217C"/>
    <w:rsid w:val="00D4260B"/>
    <w:rsid w:val="00D42A46"/>
    <w:rsid w:val="00D44B49"/>
    <w:rsid w:val="00D44D14"/>
    <w:rsid w:val="00D44F3D"/>
    <w:rsid w:val="00D455A7"/>
    <w:rsid w:val="00D461C4"/>
    <w:rsid w:val="00D47851"/>
    <w:rsid w:val="00D508D3"/>
    <w:rsid w:val="00D51B0E"/>
    <w:rsid w:val="00D53E14"/>
    <w:rsid w:val="00D55F05"/>
    <w:rsid w:val="00D5662D"/>
    <w:rsid w:val="00D579F0"/>
    <w:rsid w:val="00D62779"/>
    <w:rsid w:val="00D63C92"/>
    <w:rsid w:val="00D64F23"/>
    <w:rsid w:val="00D67E17"/>
    <w:rsid w:val="00D715A9"/>
    <w:rsid w:val="00D76878"/>
    <w:rsid w:val="00D8287D"/>
    <w:rsid w:val="00D87B39"/>
    <w:rsid w:val="00D9381E"/>
    <w:rsid w:val="00D95105"/>
    <w:rsid w:val="00D97C71"/>
    <w:rsid w:val="00DA38FC"/>
    <w:rsid w:val="00DB0A0D"/>
    <w:rsid w:val="00DB4AC9"/>
    <w:rsid w:val="00DB6045"/>
    <w:rsid w:val="00DB68B3"/>
    <w:rsid w:val="00DC1938"/>
    <w:rsid w:val="00DC2639"/>
    <w:rsid w:val="00DC2C5D"/>
    <w:rsid w:val="00DC4C2E"/>
    <w:rsid w:val="00DC760F"/>
    <w:rsid w:val="00DD2A16"/>
    <w:rsid w:val="00DD359E"/>
    <w:rsid w:val="00DD3CA8"/>
    <w:rsid w:val="00DD46BD"/>
    <w:rsid w:val="00DD54B9"/>
    <w:rsid w:val="00DE049C"/>
    <w:rsid w:val="00DE09E2"/>
    <w:rsid w:val="00DE4C51"/>
    <w:rsid w:val="00DE6DE6"/>
    <w:rsid w:val="00DE7E51"/>
    <w:rsid w:val="00DF0681"/>
    <w:rsid w:val="00DF1E75"/>
    <w:rsid w:val="00DF207A"/>
    <w:rsid w:val="00DF38A3"/>
    <w:rsid w:val="00DF472E"/>
    <w:rsid w:val="00DF7470"/>
    <w:rsid w:val="00E037BB"/>
    <w:rsid w:val="00E06C15"/>
    <w:rsid w:val="00E16711"/>
    <w:rsid w:val="00E177A7"/>
    <w:rsid w:val="00E2357D"/>
    <w:rsid w:val="00E242E6"/>
    <w:rsid w:val="00E2488E"/>
    <w:rsid w:val="00E25073"/>
    <w:rsid w:val="00E27AE9"/>
    <w:rsid w:val="00E31EF0"/>
    <w:rsid w:val="00E3607A"/>
    <w:rsid w:val="00E41523"/>
    <w:rsid w:val="00E4378E"/>
    <w:rsid w:val="00E45A3D"/>
    <w:rsid w:val="00E45DED"/>
    <w:rsid w:val="00E4711B"/>
    <w:rsid w:val="00E475D6"/>
    <w:rsid w:val="00E47783"/>
    <w:rsid w:val="00E47E5F"/>
    <w:rsid w:val="00E53989"/>
    <w:rsid w:val="00E53D6F"/>
    <w:rsid w:val="00E54A70"/>
    <w:rsid w:val="00E5548E"/>
    <w:rsid w:val="00E57B2C"/>
    <w:rsid w:val="00E60B1B"/>
    <w:rsid w:val="00E61CEE"/>
    <w:rsid w:val="00E62C04"/>
    <w:rsid w:val="00E6361C"/>
    <w:rsid w:val="00E643CA"/>
    <w:rsid w:val="00E67A7A"/>
    <w:rsid w:val="00E71381"/>
    <w:rsid w:val="00E7413B"/>
    <w:rsid w:val="00E80C05"/>
    <w:rsid w:val="00E80C77"/>
    <w:rsid w:val="00E81EC9"/>
    <w:rsid w:val="00E83992"/>
    <w:rsid w:val="00E85006"/>
    <w:rsid w:val="00E856BD"/>
    <w:rsid w:val="00E93A19"/>
    <w:rsid w:val="00E948F9"/>
    <w:rsid w:val="00E962E6"/>
    <w:rsid w:val="00E96386"/>
    <w:rsid w:val="00E97B47"/>
    <w:rsid w:val="00EA0C5D"/>
    <w:rsid w:val="00EA3DE4"/>
    <w:rsid w:val="00EA3F4A"/>
    <w:rsid w:val="00EA5006"/>
    <w:rsid w:val="00EA6D49"/>
    <w:rsid w:val="00EB0A80"/>
    <w:rsid w:val="00EB19C3"/>
    <w:rsid w:val="00EB3355"/>
    <w:rsid w:val="00EB53A2"/>
    <w:rsid w:val="00EB6DA2"/>
    <w:rsid w:val="00EB7CEB"/>
    <w:rsid w:val="00EC1E42"/>
    <w:rsid w:val="00EC2874"/>
    <w:rsid w:val="00EC3793"/>
    <w:rsid w:val="00EC46B8"/>
    <w:rsid w:val="00EC673F"/>
    <w:rsid w:val="00ED15B9"/>
    <w:rsid w:val="00ED32A3"/>
    <w:rsid w:val="00ED4461"/>
    <w:rsid w:val="00ED7B23"/>
    <w:rsid w:val="00EE2ED4"/>
    <w:rsid w:val="00EE34DD"/>
    <w:rsid w:val="00EE39FB"/>
    <w:rsid w:val="00EE4216"/>
    <w:rsid w:val="00EE50D4"/>
    <w:rsid w:val="00EE5E9D"/>
    <w:rsid w:val="00EF10B2"/>
    <w:rsid w:val="00EF1FAC"/>
    <w:rsid w:val="00EF2171"/>
    <w:rsid w:val="00EF2481"/>
    <w:rsid w:val="00EF4968"/>
    <w:rsid w:val="00F02300"/>
    <w:rsid w:val="00F038AD"/>
    <w:rsid w:val="00F04ED2"/>
    <w:rsid w:val="00F06F99"/>
    <w:rsid w:val="00F13C0A"/>
    <w:rsid w:val="00F14E4C"/>
    <w:rsid w:val="00F15C7B"/>
    <w:rsid w:val="00F1628F"/>
    <w:rsid w:val="00F178C5"/>
    <w:rsid w:val="00F25683"/>
    <w:rsid w:val="00F30345"/>
    <w:rsid w:val="00F30CD2"/>
    <w:rsid w:val="00F31774"/>
    <w:rsid w:val="00F3406E"/>
    <w:rsid w:val="00F34285"/>
    <w:rsid w:val="00F36195"/>
    <w:rsid w:val="00F37E78"/>
    <w:rsid w:val="00F40F7D"/>
    <w:rsid w:val="00F410A2"/>
    <w:rsid w:val="00F41491"/>
    <w:rsid w:val="00F4177A"/>
    <w:rsid w:val="00F44F84"/>
    <w:rsid w:val="00F452E8"/>
    <w:rsid w:val="00F50703"/>
    <w:rsid w:val="00F5084E"/>
    <w:rsid w:val="00F53A68"/>
    <w:rsid w:val="00F53C25"/>
    <w:rsid w:val="00F53F75"/>
    <w:rsid w:val="00F5427E"/>
    <w:rsid w:val="00F5593A"/>
    <w:rsid w:val="00F55F19"/>
    <w:rsid w:val="00F56277"/>
    <w:rsid w:val="00F5738B"/>
    <w:rsid w:val="00F616FB"/>
    <w:rsid w:val="00F628A7"/>
    <w:rsid w:val="00F62993"/>
    <w:rsid w:val="00F63305"/>
    <w:rsid w:val="00F635F9"/>
    <w:rsid w:val="00F642C9"/>
    <w:rsid w:val="00F668C3"/>
    <w:rsid w:val="00F6717A"/>
    <w:rsid w:val="00F71491"/>
    <w:rsid w:val="00F720CF"/>
    <w:rsid w:val="00F725D2"/>
    <w:rsid w:val="00F74CF0"/>
    <w:rsid w:val="00F7594C"/>
    <w:rsid w:val="00F76BBF"/>
    <w:rsid w:val="00F77B42"/>
    <w:rsid w:val="00F81723"/>
    <w:rsid w:val="00F865F5"/>
    <w:rsid w:val="00F92472"/>
    <w:rsid w:val="00F97E2F"/>
    <w:rsid w:val="00FA36CE"/>
    <w:rsid w:val="00FA4467"/>
    <w:rsid w:val="00FA4A97"/>
    <w:rsid w:val="00FA537E"/>
    <w:rsid w:val="00FA69B2"/>
    <w:rsid w:val="00FA732D"/>
    <w:rsid w:val="00FB07C1"/>
    <w:rsid w:val="00FB3406"/>
    <w:rsid w:val="00FB4D52"/>
    <w:rsid w:val="00FB5E8F"/>
    <w:rsid w:val="00FB68DB"/>
    <w:rsid w:val="00FC00ED"/>
    <w:rsid w:val="00FC22D1"/>
    <w:rsid w:val="00FC3223"/>
    <w:rsid w:val="00FC36D2"/>
    <w:rsid w:val="00FC5773"/>
    <w:rsid w:val="00FC5B64"/>
    <w:rsid w:val="00FC6BF5"/>
    <w:rsid w:val="00FD0AD3"/>
    <w:rsid w:val="00FD0C5B"/>
    <w:rsid w:val="00FD31CE"/>
    <w:rsid w:val="00FD335C"/>
    <w:rsid w:val="00FD4847"/>
    <w:rsid w:val="00FD6746"/>
    <w:rsid w:val="00FD70D4"/>
    <w:rsid w:val="00FE1258"/>
    <w:rsid w:val="00FE61B5"/>
    <w:rsid w:val="00FF09CA"/>
    <w:rsid w:val="00FF0D47"/>
    <w:rsid w:val="00FF1086"/>
    <w:rsid w:val="00FF198A"/>
    <w:rsid w:val="00FF3088"/>
    <w:rsid w:val="00FF4D2A"/>
    <w:rsid w:val="00FF4D6D"/>
    <w:rsid w:val="00FF5131"/>
    <w:rsid w:val="00FF666C"/>
    <w:rsid w:val="019A73AB"/>
    <w:rsid w:val="01EF6EBA"/>
    <w:rsid w:val="07A17FDC"/>
    <w:rsid w:val="11C301B6"/>
    <w:rsid w:val="1A752B0D"/>
    <w:rsid w:val="267177E4"/>
    <w:rsid w:val="26EC4EE1"/>
    <w:rsid w:val="2BDFDBC3"/>
    <w:rsid w:val="2C0E40B5"/>
    <w:rsid w:val="2CA51C48"/>
    <w:rsid w:val="2EAD2436"/>
    <w:rsid w:val="315A3C56"/>
    <w:rsid w:val="324F28CA"/>
    <w:rsid w:val="33623BDB"/>
    <w:rsid w:val="37D5651D"/>
    <w:rsid w:val="37ED15DE"/>
    <w:rsid w:val="3AFF6348"/>
    <w:rsid w:val="3B8EB538"/>
    <w:rsid w:val="3F2151B0"/>
    <w:rsid w:val="43085159"/>
    <w:rsid w:val="458D19A7"/>
    <w:rsid w:val="475FDB87"/>
    <w:rsid w:val="48835CA5"/>
    <w:rsid w:val="49464517"/>
    <w:rsid w:val="4BBE5AE6"/>
    <w:rsid w:val="4DD6392E"/>
    <w:rsid w:val="4EED5CA4"/>
    <w:rsid w:val="57D55DFF"/>
    <w:rsid w:val="57DF04C9"/>
    <w:rsid w:val="5AA54FDD"/>
    <w:rsid w:val="5DA0786E"/>
    <w:rsid w:val="5DDF837D"/>
    <w:rsid w:val="5DF51AD5"/>
    <w:rsid w:val="5EAC0D35"/>
    <w:rsid w:val="61E74E8E"/>
    <w:rsid w:val="623F2D88"/>
    <w:rsid w:val="62B67FF9"/>
    <w:rsid w:val="63D845A1"/>
    <w:rsid w:val="66754553"/>
    <w:rsid w:val="6A4F923A"/>
    <w:rsid w:val="6AFE34EB"/>
    <w:rsid w:val="6B8129F8"/>
    <w:rsid w:val="6F5578B8"/>
    <w:rsid w:val="6F5CEB74"/>
    <w:rsid w:val="72690FB9"/>
    <w:rsid w:val="738F39A4"/>
    <w:rsid w:val="73F91D6C"/>
    <w:rsid w:val="74FD3E11"/>
    <w:rsid w:val="7695774B"/>
    <w:rsid w:val="788B70A5"/>
    <w:rsid w:val="7A341ACA"/>
    <w:rsid w:val="7ABC8BEB"/>
    <w:rsid w:val="7D7B4249"/>
    <w:rsid w:val="7D9F70C7"/>
    <w:rsid w:val="7DF625A8"/>
    <w:rsid w:val="7F195C4C"/>
    <w:rsid w:val="7F7694FF"/>
    <w:rsid w:val="7FF7EDA4"/>
    <w:rsid w:val="7FFF7D34"/>
    <w:rsid w:val="AB55BB74"/>
    <w:rsid w:val="AEDF531A"/>
    <w:rsid w:val="AF4D3F8F"/>
    <w:rsid w:val="B24F3F56"/>
    <w:rsid w:val="B7FB4097"/>
    <w:rsid w:val="BAFF3DD4"/>
    <w:rsid w:val="BB7D1ED2"/>
    <w:rsid w:val="D7DF9F44"/>
    <w:rsid w:val="DC339E25"/>
    <w:rsid w:val="E6FF1933"/>
    <w:rsid w:val="EDBB6BCB"/>
    <w:rsid w:val="EF7F2475"/>
    <w:rsid w:val="EFE30322"/>
    <w:rsid w:val="F1FCFF99"/>
    <w:rsid w:val="F39FD093"/>
    <w:rsid w:val="F3AF3C64"/>
    <w:rsid w:val="F67FED93"/>
    <w:rsid w:val="F6A65D50"/>
    <w:rsid w:val="F7BFC262"/>
    <w:rsid w:val="F7EB9135"/>
    <w:rsid w:val="F7EDD31C"/>
    <w:rsid w:val="F7F53BB3"/>
    <w:rsid w:val="F87EB70B"/>
    <w:rsid w:val="F9B358D6"/>
    <w:rsid w:val="F9FFC8F4"/>
    <w:rsid w:val="FBC7DF6D"/>
    <w:rsid w:val="FC5B67F3"/>
    <w:rsid w:val="FDD728F7"/>
    <w:rsid w:val="FDDF3913"/>
    <w:rsid w:val="FED28912"/>
    <w:rsid w:val="FF1FD2B4"/>
    <w:rsid w:val="FFDF6C34"/>
    <w:rsid w:val="FFFF51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880" w:firstLineChars="200"/>
      <w:jc w:val="both"/>
    </w:pPr>
    <w:rPr>
      <w:rFonts w:ascii="Times New Roman" w:hAnsi="Times New Roman" w:eastAsia="仿宋_GB2312" w:cstheme="minorBidi"/>
      <w:kern w:val="2"/>
      <w:sz w:val="32"/>
      <w:lang w:val="en-US" w:eastAsia="zh-CN" w:bidi="ar-SA"/>
    </w:rPr>
  </w:style>
  <w:style w:type="paragraph" w:styleId="3">
    <w:name w:val="heading 1"/>
    <w:basedOn w:val="1"/>
    <w:next w:val="1"/>
    <w:link w:val="32"/>
    <w:qFormat/>
    <w:uiPriority w:val="9"/>
    <w:pPr>
      <w:keepNext/>
      <w:keepLines/>
      <w:spacing w:before="340" w:after="330" w:line="578" w:lineRule="auto"/>
      <w:ind w:firstLine="163" w:firstLineChars="45"/>
      <w:jc w:val="left"/>
      <w:outlineLvl w:val="0"/>
    </w:pPr>
    <w:rPr>
      <w:rFonts w:ascii="宋体" w:hAnsi="宋体" w:eastAsia="宋体" w:cs="Calibri"/>
      <w:b/>
      <w:bCs/>
      <w:kern w:val="44"/>
      <w:sz w:val="36"/>
      <w:szCs w:val="36"/>
    </w:rPr>
  </w:style>
  <w:style w:type="paragraph" w:styleId="4">
    <w:name w:val="heading 2"/>
    <w:basedOn w:val="1"/>
    <w:next w:val="1"/>
    <w:link w:val="76"/>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71"/>
    <w:qFormat/>
    <w:uiPriority w:val="99"/>
    <w:pPr>
      <w:spacing w:after="120"/>
    </w:pPr>
  </w:style>
  <w:style w:type="paragraph" w:styleId="5">
    <w:name w:val="toc 7"/>
    <w:basedOn w:val="1"/>
    <w:next w:val="1"/>
    <w:unhideWhenUsed/>
    <w:qFormat/>
    <w:uiPriority w:val="39"/>
    <w:pPr>
      <w:spacing w:after="160" w:line="278" w:lineRule="auto"/>
      <w:ind w:left="2520" w:leftChars="1200" w:firstLine="0" w:firstLineChars="0"/>
      <w:jc w:val="left"/>
    </w:pPr>
    <w:rPr>
      <w:rFonts w:asciiTheme="minorHAnsi" w:hAnsiTheme="minorHAnsi" w:eastAsiaTheme="minorEastAsia"/>
      <w:sz w:val="22"/>
      <w:szCs w:val="24"/>
      <w14:ligatures w14:val="standardContextual"/>
    </w:rPr>
  </w:style>
  <w:style w:type="paragraph" w:styleId="6">
    <w:name w:val="caption"/>
    <w:basedOn w:val="1"/>
    <w:next w:val="1"/>
    <w:link w:val="51"/>
    <w:unhideWhenUsed/>
    <w:qFormat/>
    <w:uiPriority w:val="0"/>
    <w:rPr>
      <w:rFonts w:eastAsia="黑体" w:asciiTheme="majorHAnsi" w:hAnsiTheme="majorHAnsi" w:cstheme="majorBidi"/>
      <w:sz w:val="20"/>
    </w:rPr>
  </w:style>
  <w:style w:type="paragraph" w:styleId="7">
    <w:name w:val="Body Text Indent"/>
    <w:basedOn w:val="1"/>
    <w:link w:val="85"/>
    <w:qFormat/>
    <w:uiPriority w:val="99"/>
    <w:pPr>
      <w:spacing w:line="150" w:lineRule="atLeast"/>
      <w:ind w:firstLine="420"/>
    </w:pPr>
    <w:rPr>
      <w:rFonts w:eastAsia="宋体"/>
    </w:rPr>
  </w:style>
  <w:style w:type="paragraph" w:styleId="8">
    <w:name w:val="toc 5"/>
    <w:basedOn w:val="1"/>
    <w:next w:val="1"/>
    <w:unhideWhenUsed/>
    <w:qFormat/>
    <w:uiPriority w:val="39"/>
    <w:pPr>
      <w:spacing w:after="160" w:line="278" w:lineRule="auto"/>
      <w:ind w:left="1680" w:leftChars="800" w:firstLine="0" w:firstLineChars="0"/>
      <w:jc w:val="left"/>
    </w:pPr>
    <w:rPr>
      <w:rFonts w:asciiTheme="minorHAnsi" w:hAnsiTheme="minorHAnsi" w:eastAsiaTheme="minorEastAsia"/>
      <w:sz w:val="22"/>
      <w:szCs w:val="24"/>
      <w14:ligatures w14:val="standardContextual"/>
    </w:rPr>
  </w:style>
  <w:style w:type="paragraph" w:styleId="9">
    <w:name w:val="toc 3"/>
    <w:basedOn w:val="1"/>
    <w:next w:val="1"/>
    <w:qFormat/>
    <w:uiPriority w:val="39"/>
    <w:pPr>
      <w:adjustRightInd w:val="0"/>
      <w:snapToGrid w:val="0"/>
      <w:spacing w:line="360" w:lineRule="auto"/>
      <w:ind w:firstLine="200"/>
    </w:pPr>
    <w:rPr>
      <w:rFonts w:eastAsiaTheme="majorEastAsia"/>
      <w:sz w:val="28"/>
    </w:rPr>
  </w:style>
  <w:style w:type="paragraph" w:styleId="10">
    <w:name w:val="toc 8"/>
    <w:basedOn w:val="1"/>
    <w:next w:val="1"/>
    <w:unhideWhenUsed/>
    <w:qFormat/>
    <w:uiPriority w:val="39"/>
    <w:pPr>
      <w:spacing w:after="160" w:line="278" w:lineRule="auto"/>
      <w:ind w:left="2940" w:leftChars="1400" w:firstLine="0" w:firstLineChars="0"/>
      <w:jc w:val="left"/>
    </w:pPr>
    <w:rPr>
      <w:rFonts w:asciiTheme="minorHAnsi" w:hAnsiTheme="minorHAnsi" w:eastAsiaTheme="minorEastAsia"/>
      <w:sz w:val="22"/>
      <w:szCs w:val="24"/>
      <w14:ligatures w14:val="standardContextual"/>
    </w:rPr>
  </w:style>
  <w:style w:type="paragraph" w:styleId="11">
    <w:name w:val="Date"/>
    <w:basedOn w:val="1"/>
    <w:next w:val="1"/>
    <w:link w:val="119"/>
    <w:qFormat/>
    <w:uiPriority w:val="0"/>
    <w:pPr>
      <w:ind w:left="100" w:leftChars="2500"/>
    </w:pPr>
  </w:style>
  <w:style w:type="paragraph" w:styleId="12">
    <w:name w:val="endnote text"/>
    <w:basedOn w:val="1"/>
    <w:link w:val="78"/>
    <w:qFormat/>
    <w:uiPriority w:val="0"/>
    <w:pPr>
      <w:snapToGrid w:val="0"/>
      <w:jc w:val="left"/>
    </w:pPr>
  </w:style>
  <w:style w:type="paragraph" w:styleId="13">
    <w:name w:val="footer"/>
    <w:basedOn w:val="1"/>
    <w:link w:val="48"/>
    <w:qFormat/>
    <w:uiPriority w:val="99"/>
    <w:pPr>
      <w:tabs>
        <w:tab w:val="center" w:pos="4153"/>
        <w:tab w:val="right" w:pos="8306"/>
      </w:tabs>
      <w:snapToGrid w:val="0"/>
      <w:jc w:val="left"/>
    </w:pPr>
    <w:rPr>
      <w:sz w:val="18"/>
    </w:rPr>
  </w:style>
  <w:style w:type="paragraph" w:styleId="14">
    <w:name w:val="header"/>
    <w:basedOn w:val="1"/>
    <w:link w:val="49"/>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toc 1"/>
    <w:basedOn w:val="1"/>
    <w:next w:val="1"/>
    <w:qFormat/>
    <w:uiPriority w:val="39"/>
    <w:pPr>
      <w:adjustRightInd w:val="0"/>
      <w:snapToGrid w:val="0"/>
      <w:spacing w:line="360" w:lineRule="auto"/>
      <w:ind w:firstLine="0" w:firstLineChars="0"/>
    </w:pPr>
    <w:rPr>
      <w:rFonts w:eastAsia="黑体"/>
      <w:sz w:val="30"/>
    </w:rPr>
  </w:style>
  <w:style w:type="paragraph" w:styleId="16">
    <w:name w:val="toc 4"/>
    <w:basedOn w:val="1"/>
    <w:next w:val="1"/>
    <w:unhideWhenUsed/>
    <w:qFormat/>
    <w:uiPriority w:val="39"/>
    <w:pPr>
      <w:adjustRightInd w:val="0"/>
      <w:snapToGrid w:val="0"/>
      <w:spacing w:line="360" w:lineRule="auto"/>
      <w:ind w:firstLine="300" w:firstLineChars="300"/>
      <w:jc w:val="left"/>
    </w:pPr>
    <w:rPr>
      <w:rFonts w:asciiTheme="minorHAnsi" w:hAnsiTheme="minorHAnsi" w:eastAsiaTheme="majorEastAsia"/>
      <w:sz w:val="30"/>
      <w:szCs w:val="24"/>
      <w14:ligatures w14:val="standardContextual"/>
    </w:rPr>
  </w:style>
  <w:style w:type="paragraph" w:styleId="17">
    <w:name w:val="Subtitle"/>
    <w:basedOn w:val="1"/>
    <w:next w:val="1"/>
    <w:link w:val="74"/>
    <w:qFormat/>
    <w:uiPriority w:val="0"/>
    <w:pPr>
      <w:spacing w:before="240" w:after="60" w:line="312" w:lineRule="auto"/>
      <w:jc w:val="center"/>
      <w:outlineLvl w:val="1"/>
    </w:pPr>
    <w:rPr>
      <w:rFonts w:asciiTheme="minorHAnsi" w:hAnsiTheme="minorHAnsi" w:eastAsiaTheme="minorEastAsia"/>
      <w:b/>
      <w:bCs/>
      <w:kern w:val="28"/>
      <w:szCs w:val="32"/>
    </w:rPr>
  </w:style>
  <w:style w:type="paragraph" w:styleId="18">
    <w:name w:val="toc 6"/>
    <w:basedOn w:val="1"/>
    <w:next w:val="1"/>
    <w:unhideWhenUsed/>
    <w:qFormat/>
    <w:uiPriority w:val="39"/>
    <w:pPr>
      <w:spacing w:after="160" w:line="278" w:lineRule="auto"/>
      <w:ind w:left="2100" w:leftChars="1000" w:firstLine="0" w:firstLineChars="0"/>
      <w:jc w:val="left"/>
    </w:pPr>
    <w:rPr>
      <w:rFonts w:asciiTheme="minorHAnsi" w:hAnsiTheme="minorHAnsi" w:eastAsiaTheme="minorEastAsia"/>
      <w:sz w:val="22"/>
      <w:szCs w:val="24"/>
      <w14:ligatures w14:val="standardContextual"/>
    </w:rPr>
  </w:style>
  <w:style w:type="paragraph" w:styleId="19">
    <w:name w:val="table of figures"/>
    <w:basedOn w:val="1"/>
    <w:next w:val="1"/>
    <w:qFormat/>
    <w:uiPriority w:val="0"/>
    <w:pPr>
      <w:ind w:left="200" w:leftChars="200" w:hanging="200" w:hangingChars="200"/>
    </w:pPr>
  </w:style>
  <w:style w:type="paragraph" w:styleId="20">
    <w:name w:val="toc 2"/>
    <w:basedOn w:val="1"/>
    <w:next w:val="1"/>
    <w:qFormat/>
    <w:uiPriority w:val="39"/>
    <w:pPr>
      <w:adjustRightInd w:val="0"/>
      <w:snapToGrid w:val="0"/>
      <w:spacing w:line="360" w:lineRule="auto"/>
      <w:ind w:firstLine="100" w:firstLineChars="100"/>
    </w:pPr>
    <w:rPr>
      <w:rFonts w:eastAsia="楷体"/>
      <w:sz w:val="30"/>
    </w:rPr>
  </w:style>
  <w:style w:type="paragraph" w:styleId="21">
    <w:name w:val="toc 9"/>
    <w:basedOn w:val="1"/>
    <w:next w:val="1"/>
    <w:unhideWhenUsed/>
    <w:qFormat/>
    <w:uiPriority w:val="39"/>
    <w:pPr>
      <w:spacing w:after="160" w:line="278" w:lineRule="auto"/>
      <w:ind w:left="3360" w:leftChars="1600" w:firstLine="0" w:firstLineChars="0"/>
      <w:jc w:val="left"/>
    </w:pPr>
    <w:rPr>
      <w:rFonts w:asciiTheme="minorHAnsi" w:hAnsiTheme="minorHAnsi" w:eastAsiaTheme="minorEastAsia"/>
      <w:sz w:val="22"/>
      <w:szCs w:val="24"/>
      <w14:ligatures w14:val="standardContextual"/>
    </w:rPr>
  </w:style>
  <w:style w:type="paragraph" w:styleId="22">
    <w:name w:val="Normal (Web)"/>
    <w:basedOn w:val="1"/>
    <w:link w:val="39"/>
    <w:qFormat/>
    <w:uiPriority w:val="0"/>
    <w:pPr>
      <w:spacing w:before="100" w:beforeAutospacing="1" w:after="100" w:afterAutospacing="1"/>
      <w:jc w:val="left"/>
    </w:pPr>
    <w:rPr>
      <w:rFonts w:cs="Times New Roman"/>
      <w:kern w:val="0"/>
      <w:sz w:val="24"/>
    </w:rPr>
  </w:style>
  <w:style w:type="paragraph" w:styleId="23">
    <w:name w:val="Body Text First Indent 2"/>
    <w:basedOn w:val="7"/>
    <w:link w:val="86"/>
    <w:qFormat/>
    <w:uiPriority w:val="99"/>
    <w:pPr>
      <w:spacing w:line="360" w:lineRule="auto"/>
    </w:pPr>
    <w:rPr>
      <w:sz w:val="24"/>
    </w:rPr>
  </w:style>
  <w:style w:type="table" w:styleId="25">
    <w:name w:val="Table Grid"/>
    <w:basedOn w:val="24"/>
    <w:qFormat/>
    <w:uiPriority w:val="39"/>
    <w:rPr>
      <w:rFonts w:ascii="Calibri" w:hAnsi="Calibri" w:cs="DokChamp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endnote reference"/>
    <w:basedOn w:val="26"/>
    <w:qFormat/>
    <w:uiPriority w:val="0"/>
    <w:rPr>
      <w:vertAlign w:val="superscript"/>
    </w:rPr>
  </w:style>
  <w:style w:type="character" w:styleId="28">
    <w:name w:val="FollowedHyperlink"/>
    <w:basedOn w:val="26"/>
    <w:unhideWhenUsed/>
    <w:qFormat/>
    <w:uiPriority w:val="99"/>
    <w:rPr>
      <w:color w:val="954F72"/>
      <w:u w:val="single"/>
    </w:rPr>
  </w:style>
  <w:style w:type="character" w:styleId="29">
    <w:name w:val="Hyperlink"/>
    <w:basedOn w:val="26"/>
    <w:unhideWhenUsed/>
    <w:qFormat/>
    <w:uiPriority w:val="99"/>
    <w:rPr>
      <w:color w:val="0000FF" w:themeColor="hyperlink"/>
      <w:u w:val="single"/>
      <w14:textFill>
        <w14:solidFill>
          <w14:schemeClr w14:val="hlink"/>
        </w14:solidFill>
      </w14:textFill>
    </w:rPr>
  </w:style>
  <w:style w:type="paragraph" w:customStyle="1" w:styleId="30">
    <w:name w:val="正文2"/>
    <w:basedOn w:val="1"/>
    <w:link w:val="31"/>
    <w:qFormat/>
    <w:uiPriority w:val="0"/>
    <w:pPr>
      <w:adjustRightInd w:val="0"/>
      <w:snapToGrid w:val="0"/>
      <w:spacing w:line="360" w:lineRule="auto"/>
      <w:ind w:firstLine="200"/>
    </w:pPr>
    <w:rPr>
      <w:rFonts w:ascii="仿宋_GB2312" w:hAnsiTheme="minorHAnsi"/>
      <w:szCs w:val="22"/>
    </w:rPr>
  </w:style>
  <w:style w:type="character" w:customStyle="1" w:styleId="31">
    <w:name w:val="正文2 字符"/>
    <w:basedOn w:val="26"/>
    <w:link w:val="30"/>
    <w:qFormat/>
    <w:uiPriority w:val="0"/>
    <w:rPr>
      <w:rFonts w:ascii="仿宋_GB2312" w:eastAsia="仿宋_GB2312" w:hAnsiTheme="minorHAnsi"/>
      <w:kern w:val="2"/>
      <w:sz w:val="32"/>
      <w:szCs w:val="22"/>
    </w:rPr>
  </w:style>
  <w:style w:type="character" w:customStyle="1" w:styleId="32">
    <w:name w:val="标题 1 字符"/>
    <w:basedOn w:val="26"/>
    <w:link w:val="3"/>
    <w:qFormat/>
    <w:uiPriority w:val="9"/>
    <w:rPr>
      <w:rFonts w:ascii="宋体" w:hAnsi="宋体" w:cs="Calibri"/>
      <w:b/>
      <w:bCs/>
      <w:kern w:val="44"/>
      <w:sz w:val="36"/>
      <w:szCs w:val="36"/>
    </w:rPr>
  </w:style>
  <w:style w:type="paragraph" w:customStyle="1" w:styleId="33">
    <w:name w:val="枢纽一级"/>
    <w:basedOn w:val="3"/>
    <w:next w:val="34"/>
    <w:link w:val="35"/>
    <w:qFormat/>
    <w:uiPriority w:val="0"/>
    <w:pPr>
      <w:spacing w:line="240" w:lineRule="atLeast"/>
      <w:ind w:firstLine="159"/>
      <w:jc w:val="center"/>
    </w:pPr>
    <w:rPr>
      <w:rFonts w:ascii="黑体" w:hAnsi="黑体" w:eastAsia="方正小标宋简体" w:cs="黑体"/>
      <w:sz w:val="44"/>
    </w:rPr>
  </w:style>
  <w:style w:type="paragraph" w:customStyle="1" w:styleId="34">
    <w:name w:val="枢纽正文"/>
    <w:basedOn w:val="1"/>
    <w:link w:val="45"/>
    <w:qFormat/>
    <w:uiPriority w:val="0"/>
    <w:pPr>
      <w:adjustRightInd w:val="0"/>
      <w:snapToGrid w:val="0"/>
      <w:spacing w:line="560" w:lineRule="exact"/>
      <w:ind w:firstLine="200"/>
    </w:pPr>
    <w:rPr>
      <w:rFonts w:ascii="仿宋_GB2312" w:hAnsi="仿宋_GB2312" w:cs="仿宋_GB2312" w:eastAsiaTheme="minorEastAsia"/>
    </w:rPr>
  </w:style>
  <w:style w:type="character" w:customStyle="1" w:styleId="35">
    <w:name w:val="枢纽一级 字符"/>
    <w:basedOn w:val="32"/>
    <w:link w:val="33"/>
    <w:qFormat/>
    <w:uiPriority w:val="0"/>
    <w:rPr>
      <w:rFonts w:ascii="黑体" w:hAnsi="黑体" w:eastAsia="方正小标宋简体" w:cs="黑体"/>
      <w:kern w:val="44"/>
      <w:sz w:val="44"/>
      <w:szCs w:val="36"/>
    </w:rPr>
  </w:style>
  <w:style w:type="paragraph" w:customStyle="1" w:styleId="36">
    <w:name w:val="枢纽二级"/>
    <w:basedOn w:val="33"/>
    <w:next w:val="34"/>
    <w:link w:val="37"/>
    <w:qFormat/>
    <w:uiPriority w:val="0"/>
    <w:pPr>
      <w:adjustRightInd w:val="0"/>
      <w:snapToGrid w:val="0"/>
      <w:ind w:firstLine="0" w:firstLineChars="0"/>
      <w:outlineLvl w:val="1"/>
    </w:pPr>
    <w:rPr>
      <w:rFonts w:eastAsia="黑体"/>
      <w:sz w:val="36"/>
    </w:rPr>
  </w:style>
  <w:style w:type="character" w:customStyle="1" w:styleId="37">
    <w:name w:val="枢纽二级 字符"/>
    <w:basedOn w:val="35"/>
    <w:link w:val="36"/>
    <w:qFormat/>
    <w:uiPriority w:val="0"/>
    <w:rPr>
      <w:rFonts w:ascii="黑体" w:hAnsi="黑体" w:eastAsia="黑体" w:cs="黑体"/>
      <w:kern w:val="44"/>
      <w:sz w:val="36"/>
      <w:szCs w:val="36"/>
    </w:rPr>
  </w:style>
  <w:style w:type="paragraph" w:customStyle="1" w:styleId="38">
    <w:name w:val="枢纽三级"/>
    <w:basedOn w:val="22"/>
    <w:next w:val="34"/>
    <w:link w:val="40"/>
    <w:qFormat/>
    <w:uiPriority w:val="0"/>
    <w:pPr>
      <w:widowControl/>
      <w:adjustRightInd w:val="0"/>
      <w:snapToGrid w:val="0"/>
      <w:spacing w:before="50" w:beforeLines="50" w:beforeAutospacing="0" w:after="0" w:afterAutospacing="0" w:line="560" w:lineRule="exact"/>
      <w:ind w:firstLine="200"/>
      <w:jc w:val="both"/>
      <w:outlineLvl w:val="0"/>
    </w:pPr>
    <w:rPr>
      <w:rFonts w:ascii="仿宋_GB2312" w:hAnsi="仿宋_GB2312" w:eastAsia="黑体" w:cs="仿宋_GB2312"/>
      <w:b/>
      <w:bCs/>
      <w:sz w:val="32"/>
      <w:szCs w:val="32"/>
    </w:rPr>
  </w:style>
  <w:style w:type="character" w:customStyle="1" w:styleId="39">
    <w:name w:val="普通(网站) 字符"/>
    <w:basedOn w:val="26"/>
    <w:link w:val="22"/>
    <w:qFormat/>
    <w:uiPriority w:val="0"/>
    <w:rPr>
      <w:rFonts w:eastAsia="仿宋_GB2312" w:cs="Times New Roman"/>
      <w:sz w:val="24"/>
    </w:rPr>
  </w:style>
  <w:style w:type="character" w:customStyle="1" w:styleId="40">
    <w:name w:val="枢纽三级 字符"/>
    <w:basedOn w:val="39"/>
    <w:link w:val="38"/>
    <w:qFormat/>
    <w:uiPriority w:val="0"/>
    <w:rPr>
      <w:rFonts w:ascii="仿宋_GB2312" w:hAnsi="仿宋_GB2312" w:eastAsia="黑体" w:cs="仿宋_GB2312"/>
      <w:b/>
      <w:bCs/>
      <w:sz w:val="32"/>
      <w:szCs w:val="32"/>
    </w:rPr>
  </w:style>
  <w:style w:type="paragraph" w:customStyle="1" w:styleId="41">
    <w:name w:val="枢纽四级"/>
    <w:basedOn w:val="22"/>
    <w:next w:val="34"/>
    <w:link w:val="42"/>
    <w:qFormat/>
    <w:uiPriority w:val="0"/>
    <w:pPr>
      <w:widowControl/>
      <w:adjustRightInd w:val="0"/>
      <w:snapToGrid w:val="0"/>
      <w:spacing w:before="0" w:beforeAutospacing="0" w:after="0" w:afterAutospacing="0" w:line="560" w:lineRule="exact"/>
      <w:ind w:firstLine="200"/>
      <w:jc w:val="both"/>
      <w:outlineLvl w:val="1"/>
    </w:pPr>
    <w:rPr>
      <w:rFonts w:ascii="楷体" w:hAnsi="楷体" w:eastAsia="楷体" w:cs="仿宋_GB2312"/>
      <w:sz w:val="32"/>
      <w:szCs w:val="32"/>
    </w:rPr>
  </w:style>
  <w:style w:type="character" w:customStyle="1" w:styleId="42">
    <w:name w:val="枢纽四级 字符"/>
    <w:basedOn w:val="39"/>
    <w:link w:val="41"/>
    <w:qFormat/>
    <w:uiPriority w:val="0"/>
    <w:rPr>
      <w:rFonts w:ascii="楷体" w:hAnsi="楷体" w:eastAsia="楷体" w:cs="仿宋_GB2312"/>
      <w:sz w:val="32"/>
      <w:szCs w:val="32"/>
    </w:rPr>
  </w:style>
  <w:style w:type="paragraph" w:customStyle="1" w:styleId="43">
    <w:name w:val="枢纽五级"/>
    <w:basedOn w:val="22"/>
    <w:next w:val="34"/>
    <w:link w:val="44"/>
    <w:qFormat/>
    <w:uiPriority w:val="0"/>
    <w:pPr>
      <w:widowControl/>
      <w:adjustRightInd w:val="0"/>
      <w:snapToGrid w:val="0"/>
      <w:spacing w:before="0" w:beforeAutospacing="0" w:after="0" w:afterAutospacing="0" w:line="360" w:lineRule="auto"/>
      <w:ind w:firstLine="200"/>
      <w:jc w:val="both"/>
      <w:outlineLvl w:val="4"/>
    </w:pPr>
    <w:rPr>
      <w:rFonts w:ascii="楷体" w:hAnsi="楷体" w:eastAsia="楷体" w:cs="仿宋_GB2312"/>
      <w:sz w:val="32"/>
      <w:szCs w:val="32"/>
    </w:rPr>
  </w:style>
  <w:style w:type="character" w:customStyle="1" w:styleId="44">
    <w:name w:val="枢纽五级 字符"/>
    <w:basedOn w:val="39"/>
    <w:link w:val="43"/>
    <w:qFormat/>
    <w:uiPriority w:val="0"/>
    <w:rPr>
      <w:rFonts w:ascii="楷体" w:hAnsi="楷体" w:eastAsia="楷体" w:cs="仿宋_GB2312"/>
      <w:sz w:val="32"/>
      <w:szCs w:val="32"/>
    </w:rPr>
  </w:style>
  <w:style w:type="character" w:customStyle="1" w:styleId="45">
    <w:name w:val="枢纽正文 字符"/>
    <w:basedOn w:val="26"/>
    <w:link w:val="34"/>
    <w:qFormat/>
    <w:uiPriority w:val="0"/>
    <w:rPr>
      <w:rFonts w:ascii="仿宋_GB2312" w:hAnsi="仿宋_GB2312" w:cs="仿宋_GB2312" w:eastAsiaTheme="minorEastAsia"/>
      <w:kern w:val="2"/>
      <w:sz w:val="32"/>
    </w:rPr>
  </w:style>
  <w:style w:type="paragraph" w:customStyle="1" w:styleId="46">
    <w:name w:val="三级标题"/>
    <w:basedOn w:val="1"/>
    <w:next w:val="1"/>
    <w:link w:val="47"/>
    <w:qFormat/>
    <w:uiPriority w:val="0"/>
    <w:pPr>
      <w:spacing w:before="50" w:beforeLines="50" w:after="50" w:afterLines="50"/>
      <w:ind w:firstLine="420"/>
      <w:outlineLvl w:val="2"/>
    </w:pPr>
    <w:rPr>
      <w:rFonts w:ascii="Calibri" w:hAnsi="Calibri" w:eastAsia="仿宋" w:cs="Calibri"/>
      <w:b/>
      <w:sz w:val="28"/>
      <w:szCs w:val="28"/>
    </w:rPr>
  </w:style>
  <w:style w:type="character" w:customStyle="1" w:styleId="47">
    <w:name w:val="三级标题 字符"/>
    <w:link w:val="46"/>
    <w:qFormat/>
    <w:uiPriority w:val="0"/>
    <w:rPr>
      <w:rFonts w:ascii="Calibri" w:hAnsi="Calibri" w:eastAsia="仿宋" w:cs="Calibri"/>
      <w:b/>
      <w:kern w:val="2"/>
      <w:sz w:val="28"/>
      <w:szCs w:val="28"/>
    </w:rPr>
  </w:style>
  <w:style w:type="character" w:customStyle="1" w:styleId="48">
    <w:name w:val="页脚 字符"/>
    <w:basedOn w:val="26"/>
    <w:link w:val="13"/>
    <w:qFormat/>
    <w:uiPriority w:val="99"/>
    <w:rPr>
      <w:rFonts w:eastAsia="仿宋_GB2312"/>
      <w:kern w:val="2"/>
      <w:sz w:val="18"/>
    </w:rPr>
  </w:style>
  <w:style w:type="character" w:customStyle="1" w:styleId="49">
    <w:name w:val="页眉 字符"/>
    <w:basedOn w:val="26"/>
    <w:link w:val="14"/>
    <w:qFormat/>
    <w:uiPriority w:val="99"/>
    <w:rPr>
      <w:rFonts w:eastAsia="仿宋_GB2312"/>
      <w:kern w:val="2"/>
      <w:sz w:val="18"/>
    </w:rPr>
  </w:style>
  <w:style w:type="paragraph" w:customStyle="1" w:styleId="50">
    <w:name w:val="枢纽图注"/>
    <w:basedOn w:val="6"/>
    <w:next w:val="34"/>
    <w:link w:val="52"/>
    <w:qFormat/>
    <w:uiPriority w:val="0"/>
    <w:pPr>
      <w:keepLines/>
      <w:adjustRightInd w:val="0"/>
      <w:snapToGrid w:val="0"/>
      <w:spacing w:before="30" w:beforeLines="30" w:after="50" w:afterLines="50"/>
      <w:ind w:firstLine="0" w:firstLineChars="0"/>
      <w:jc w:val="center"/>
    </w:pPr>
    <w:rPr>
      <w:sz w:val="24"/>
      <w:szCs w:val="24"/>
    </w:rPr>
  </w:style>
  <w:style w:type="character" w:customStyle="1" w:styleId="51">
    <w:name w:val="题注 字符"/>
    <w:basedOn w:val="26"/>
    <w:link w:val="6"/>
    <w:qFormat/>
    <w:uiPriority w:val="0"/>
    <w:rPr>
      <w:rFonts w:eastAsia="黑体" w:asciiTheme="majorHAnsi" w:hAnsiTheme="majorHAnsi" w:cstheme="majorBidi"/>
      <w:kern w:val="2"/>
    </w:rPr>
  </w:style>
  <w:style w:type="character" w:customStyle="1" w:styleId="52">
    <w:name w:val="枢纽图注 字符"/>
    <w:basedOn w:val="51"/>
    <w:link w:val="50"/>
    <w:qFormat/>
    <w:uiPriority w:val="0"/>
    <w:rPr>
      <w:rFonts w:eastAsia="黑体" w:asciiTheme="majorHAnsi" w:hAnsiTheme="majorHAnsi" w:cstheme="majorBidi"/>
      <w:kern w:val="2"/>
      <w:sz w:val="24"/>
      <w:szCs w:val="24"/>
    </w:rPr>
  </w:style>
  <w:style w:type="paragraph" w:customStyle="1" w:styleId="53">
    <w:name w:val="表名"/>
    <w:basedOn w:val="19"/>
    <w:link w:val="54"/>
    <w:qFormat/>
    <w:uiPriority w:val="0"/>
    <w:pPr>
      <w:widowControl/>
      <w:shd w:val="clear" w:color="auto" w:fill="FFFFFF"/>
      <w:spacing w:before="50" w:beforeLines="50"/>
      <w:ind w:firstLine="200"/>
      <w:jc w:val="center"/>
    </w:pPr>
    <w:rPr>
      <w:rFonts w:ascii="黑体" w:hAnsi="黑体" w:eastAsia="黑体" w:cs="黑体"/>
      <w:sz w:val="21"/>
    </w:rPr>
  </w:style>
  <w:style w:type="character" w:customStyle="1" w:styleId="54">
    <w:name w:val="表名 字符"/>
    <w:link w:val="53"/>
    <w:qFormat/>
    <w:uiPriority w:val="0"/>
    <w:rPr>
      <w:rFonts w:ascii="黑体" w:hAnsi="黑体" w:eastAsia="黑体" w:cs="黑体"/>
      <w:kern w:val="2"/>
      <w:sz w:val="21"/>
      <w:shd w:val="clear" w:color="auto" w:fill="FFFFFF"/>
    </w:rPr>
  </w:style>
  <w:style w:type="paragraph" w:customStyle="1" w:styleId="55">
    <w:name w:val="枢纽表注"/>
    <w:basedOn w:val="50"/>
    <w:link w:val="56"/>
    <w:qFormat/>
    <w:uiPriority w:val="0"/>
    <w:pPr>
      <w:keepNext/>
      <w:keepLines w:val="0"/>
      <w:spacing w:before="50" w:beforeLines="50" w:after="30" w:afterLines="30"/>
    </w:pPr>
  </w:style>
  <w:style w:type="character" w:customStyle="1" w:styleId="56">
    <w:name w:val="枢纽表注 字符"/>
    <w:basedOn w:val="52"/>
    <w:link w:val="55"/>
    <w:qFormat/>
    <w:uiPriority w:val="0"/>
    <w:rPr>
      <w:rFonts w:eastAsia="黑体" w:asciiTheme="majorHAnsi" w:hAnsiTheme="majorHAnsi" w:cstheme="majorBidi"/>
      <w:kern w:val="2"/>
      <w:sz w:val="24"/>
      <w:szCs w:val="24"/>
    </w:rPr>
  </w:style>
  <w:style w:type="paragraph" w:customStyle="1" w:styleId="57">
    <w:name w:val="表内"/>
    <w:basedOn w:val="1"/>
    <w:next w:val="30"/>
    <w:link w:val="58"/>
    <w:qFormat/>
    <w:uiPriority w:val="0"/>
    <w:pPr>
      <w:adjustRightInd w:val="0"/>
      <w:snapToGrid w:val="0"/>
      <w:ind w:firstLine="0" w:firstLineChars="0"/>
      <w:jc w:val="center"/>
    </w:pPr>
    <w:rPr>
      <w:rFonts w:ascii="Calibri" w:hAnsi="Calibri" w:eastAsia="仿宋" w:cs="Calibri"/>
      <w:sz w:val="21"/>
      <w:szCs w:val="22"/>
    </w:rPr>
  </w:style>
  <w:style w:type="character" w:customStyle="1" w:styleId="58">
    <w:name w:val="表内 字符"/>
    <w:basedOn w:val="47"/>
    <w:link w:val="57"/>
    <w:qFormat/>
    <w:uiPriority w:val="0"/>
    <w:rPr>
      <w:rFonts w:ascii="Calibri" w:hAnsi="Calibri" w:eastAsia="仿宋" w:cs="Calibri"/>
      <w:b w:val="0"/>
      <w:kern w:val="2"/>
      <w:sz w:val="21"/>
      <w:szCs w:val="22"/>
    </w:rPr>
  </w:style>
  <w:style w:type="paragraph" w:customStyle="1" w:styleId="59">
    <w:name w:val="表内文字"/>
    <w:basedOn w:val="57"/>
    <w:link w:val="60"/>
    <w:qFormat/>
    <w:uiPriority w:val="0"/>
    <w:rPr>
      <w:rFonts w:ascii="timesnewroman" w:hAnsi="timesnewroman" w:eastAsiaTheme="minorEastAsia"/>
      <w:sz w:val="24"/>
    </w:rPr>
  </w:style>
  <w:style w:type="character" w:customStyle="1" w:styleId="60">
    <w:name w:val="表内文字 字符"/>
    <w:basedOn w:val="58"/>
    <w:link w:val="59"/>
    <w:qFormat/>
    <w:uiPriority w:val="0"/>
    <w:rPr>
      <w:rFonts w:ascii="timesnewroman" w:hAnsi="timesnewroman" w:cs="Calibri" w:eastAsiaTheme="minorEastAsia"/>
      <w:kern w:val="2"/>
      <w:sz w:val="24"/>
      <w:szCs w:val="22"/>
    </w:rPr>
  </w:style>
  <w:style w:type="paragraph" w:customStyle="1" w:styleId="61">
    <w:name w:val="居中不缩进"/>
    <w:basedOn w:val="34"/>
    <w:link w:val="62"/>
    <w:qFormat/>
    <w:uiPriority w:val="0"/>
    <w:pPr>
      <w:spacing w:before="50" w:beforeLines="50"/>
      <w:ind w:firstLine="0" w:firstLineChars="0"/>
      <w:jc w:val="center"/>
    </w:pPr>
  </w:style>
  <w:style w:type="character" w:customStyle="1" w:styleId="62">
    <w:name w:val="居中不缩进 字符"/>
    <w:basedOn w:val="45"/>
    <w:link w:val="61"/>
    <w:qFormat/>
    <w:uiPriority w:val="0"/>
    <w:rPr>
      <w:rFonts w:ascii="仿宋_GB2312" w:hAnsi="仿宋_GB2312" w:eastAsia="仿宋_GB2312" w:cs="仿宋_GB2312"/>
      <w:kern w:val="2"/>
      <w:sz w:val="32"/>
    </w:rPr>
  </w:style>
  <w:style w:type="table" w:customStyle="1" w:styleId="63">
    <w:name w:val="研究报告表格"/>
    <w:basedOn w:val="24"/>
    <w:qFormat/>
    <w:uiPriority w:val="99"/>
    <w:pPr>
      <w:jc w:val="center"/>
    </w:pPr>
    <w:rPr>
      <w:kern w:val="2"/>
      <w:sz w:val="21"/>
      <w:szCs w:val="22"/>
    </w:rPr>
    <w:tblP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
    <w:tcPr>
      <w:vAlign w:val="center"/>
    </w:tcPr>
  </w:style>
  <w:style w:type="table" w:customStyle="1" w:styleId="64">
    <w:name w:val="Table Normal"/>
    <w:unhideWhenUsed/>
    <w:qFormat/>
    <w:uiPriority w:val="0"/>
    <w:pPr>
      <w:spacing w:after="160" w:line="278" w:lineRule="auto"/>
    </w:pPr>
    <w:rPr>
      <w:rFonts w:ascii="Arial" w:hAnsi="Arial" w:cs="Arial" w:eastAsiaTheme="minorEastAsia"/>
      <w:snapToGrid w:val="0"/>
      <w:color w:val="000000"/>
      <w:sz w:val="21"/>
      <w:szCs w:val="21"/>
      <w:lang w:eastAsia="en-US"/>
    </w:rPr>
    <w:tblPr>
      <w:tblCellMar>
        <w:top w:w="0" w:type="dxa"/>
        <w:left w:w="0" w:type="dxa"/>
        <w:bottom w:w="0" w:type="dxa"/>
        <w:right w:w="0" w:type="dxa"/>
      </w:tblCellMar>
    </w:tblPr>
  </w:style>
  <w:style w:type="paragraph" w:customStyle="1" w:styleId="65">
    <w:name w:val="枢纽六级"/>
    <w:basedOn w:val="34"/>
    <w:next w:val="34"/>
    <w:link w:val="66"/>
    <w:qFormat/>
    <w:uiPriority w:val="0"/>
    <w:pPr>
      <w:keepNext/>
      <w:outlineLvl w:val="5"/>
    </w:pPr>
  </w:style>
  <w:style w:type="character" w:customStyle="1" w:styleId="66">
    <w:name w:val="枢纽六级 字符"/>
    <w:basedOn w:val="45"/>
    <w:link w:val="65"/>
    <w:qFormat/>
    <w:uiPriority w:val="0"/>
    <w:rPr>
      <w:rFonts w:ascii="仿宋_GB2312" w:hAnsi="仿宋_GB2312" w:eastAsia="仿宋_GB2312" w:cs="仿宋_GB2312"/>
      <w:kern w:val="2"/>
      <w:sz w:val="32"/>
    </w:rPr>
  </w:style>
  <w:style w:type="paragraph" w:customStyle="1" w:styleId="67">
    <w:name w:val="Table Text"/>
    <w:basedOn w:val="1"/>
    <w:qFormat/>
    <w:uiPriority w:val="0"/>
    <w:pPr>
      <w:widowControl/>
      <w:kinsoku w:val="0"/>
      <w:autoSpaceDE w:val="0"/>
      <w:autoSpaceDN w:val="0"/>
      <w:adjustRightInd w:val="0"/>
      <w:snapToGrid w:val="0"/>
      <w:spacing w:after="160"/>
      <w:ind w:firstLine="0" w:firstLineChars="0"/>
      <w:jc w:val="left"/>
      <w:textAlignment w:val="baseline"/>
    </w:pPr>
    <w:rPr>
      <w:rFonts w:ascii="宋体" w:hAnsi="宋体" w:eastAsia="宋体" w:cs="宋体"/>
      <w:snapToGrid w:val="0"/>
      <w:color w:val="000000"/>
      <w:kern w:val="0"/>
      <w:sz w:val="21"/>
      <w:szCs w:val="21"/>
      <w:lang w:eastAsia="en-US"/>
    </w:rPr>
  </w:style>
  <w:style w:type="character" w:customStyle="1" w:styleId="68">
    <w:name w:val="font41"/>
    <w:basedOn w:val="26"/>
    <w:qFormat/>
    <w:uiPriority w:val="0"/>
    <w:rPr>
      <w:rFonts w:hint="default" w:ascii="Times New Roman" w:hAnsi="Times New Roman" w:cs="Times New Roman"/>
      <w:color w:val="000000"/>
      <w:sz w:val="14"/>
      <w:szCs w:val="14"/>
      <w:u w:val="none"/>
    </w:rPr>
  </w:style>
  <w:style w:type="character" w:customStyle="1" w:styleId="69">
    <w:name w:val="font11"/>
    <w:basedOn w:val="26"/>
    <w:qFormat/>
    <w:uiPriority w:val="0"/>
    <w:rPr>
      <w:rFonts w:hint="eastAsia" w:ascii="宋体" w:hAnsi="宋体" w:eastAsia="宋体"/>
      <w:color w:val="000000"/>
      <w:sz w:val="21"/>
      <w:szCs w:val="21"/>
      <w:u w:val="none"/>
    </w:rPr>
  </w:style>
  <w:style w:type="character" w:customStyle="1" w:styleId="70">
    <w:name w:val="font21"/>
    <w:basedOn w:val="26"/>
    <w:qFormat/>
    <w:uiPriority w:val="0"/>
    <w:rPr>
      <w:rFonts w:hint="default" w:ascii="Times New Roman" w:hAnsi="Times New Roman" w:cs="Times New Roman"/>
      <w:color w:val="000000"/>
      <w:sz w:val="21"/>
      <w:szCs w:val="21"/>
      <w:u w:val="none"/>
    </w:rPr>
  </w:style>
  <w:style w:type="character" w:customStyle="1" w:styleId="71">
    <w:name w:val="正文文本 字符"/>
    <w:basedOn w:val="26"/>
    <w:link w:val="2"/>
    <w:qFormat/>
    <w:uiPriority w:val="99"/>
    <w:rPr>
      <w:rFonts w:eastAsia="仿宋_GB2312"/>
      <w:kern w:val="2"/>
      <w:sz w:val="32"/>
    </w:rPr>
  </w:style>
  <w:style w:type="character" w:customStyle="1" w:styleId="72">
    <w:name w:val="表内容 Char"/>
    <w:link w:val="73"/>
    <w:qFormat/>
    <w:uiPriority w:val="0"/>
    <w:rPr>
      <w:rFonts w:ascii="宋体"/>
      <w:szCs w:val="21"/>
    </w:rPr>
  </w:style>
  <w:style w:type="paragraph" w:customStyle="1" w:styleId="73">
    <w:name w:val="表内容"/>
    <w:basedOn w:val="1"/>
    <w:link w:val="72"/>
    <w:qFormat/>
    <w:uiPriority w:val="0"/>
    <w:pPr>
      <w:widowControl/>
      <w:spacing w:line="320" w:lineRule="exact"/>
      <w:ind w:firstLine="200"/>
    </w:pPr>
    <w:rPr>
      <w:rFonts w:ascii="宋体" w:eastAsia="宋体"/>
      <w:kern w:val="0"/>
      <w:sz w:val="20"/>
      <w:szCs w:val="21"/>
    </w:rPr>
  </w:style>
  <w:style w:type="character" w:customStyle="1" w:styleId="74">
    <w:name w:val="副标题 字符"/>
    <w:basedOn w:val="26"/>
    <w:link w:val="17"/>
    <w:qFormat/>
    <w:uiPriority w:val="0"/>
    <w:rPr>
      <w:rFonts w:asciiTheme="minorHAnsi" w:hAnsiTheme="minorHAnsi" w:eastAsiaTheme="minorEastAsia"/>
      <w:b/>
      <w:bCs/>
      <w:kern w:val="28"/>
      <w:sz w:val="32"/>
      <w:szCs w:val="32"/>
    </w:rPr>
  </w:style>
  <w:style w:type="character" w:customStyle="1" w:styleId="75">
    <w:name w:val="未处理的提及1"/>
    <w:basedOn w:val="26"/>
    <w:semiHidden/>
    <w:unhideWhenUsed/>
    <w:qFormat/>
    <w:uiPriority w:val="99"/>
    <w:rPr>
      <w:color w:val="605E5C"/>
      <w:shd w:val="clear" w:color="auto" w:fill="E1DFDD"/>
    </w:rPr>
  </w:style>
  <w:style w:type="character" w:customStyle="1" w:styleId="76">
    <w:name w:val="标题 2 字符"/>
    <w:basedOn w:val="26"/>
    <w:link w:val="4"/>
    <w:qFormat/>
    <w:uiPriority w:val="9"/>
    <w:rPr>
      <w:rFonts w:asciiTheme="majorHAnsi" w:hAnsiTheme="majorHAnsi" w:eastAsiaTheme="majorEastAsia" w:cstheme="majorBidi"/>
      <w:b/>
      <w:bCs/>
      <w:kern w:val="2"/>
      <w:sz w:val="32"/>
      <w:szCs w:val="32"/>
    </w:rPr>
  </w:style>
  <w:style w:type="paragraph" w:styleId="77">
    <w:name w:val="List Paragraph"/>
    <w:basedOn w:val="1"/>
    <w:unhideWhenUsed/>
    <w:qFormat/>
    <w:uiPriority w:val="99"/>
    <w:pPr>
      <w:ind w:firstLine="420"/>
    </w:pPr>
  </w:style>
  <w:style w:type="character" w:customStyle="1" w:styleId="78">
    <w:name w:val="尾注文本 字符"/>
    <w:basedOn w:val="26"/>
    <w:link w:val="12"/>
    <w:qFormat/>
    <w:uiPriority w:val="0"/>
    <w:rPr>
      <w:rFonts w:eastAsia="仿宋_GB2312"/>
      <w:kern w:val="2"/>
      <w:sz w:val="32"/>
    </w:rPr>
  </w:style>
  <w:style w:type="paragraph" w:customStyle="1" w:styleId="79">
    <w:name w:val="二级标题"/>
    <w:basedOn w:val="30"/>
    <w:next w:val="30"/>
    <w:link w:val="80"/>
    <w:qFormat/>
    <w:uiPriority w:val="0"/>
    <w:pPr>
      <w:keepNext/>
      <w:outlineLvl w:val="1"/>
    </w:pPr>
    <w:rPr>
      <w:rFonts w:ascii="楷体_GB2312" w:eastAsia="楷体_GB2312"/>
    </w:rPr>
  </w:style>
  <w:style w:type="character" w:customStyle="1" w:styleId="80">
    <w:name w:val="二级标题 字符"/>
    <w:basedOn w:val="31"/>
    <w:link w:val="79"/>
    <w:qFormat/>
    <w:uiPriority w:val="0"/>
    <w:rPr>
      <w:rFonts w:ascii="楷体_GB2312" w:eastAsia="楷体_GB2312" w:hAnsiTheme="minorHAnsi"/>
      <w:kern w:val="2"/>
      <w:sz w:val="32"/>
      <w:szCs w:val="22"/>
    </w:rPr>
  </w:style>
  <w:style w:type="paragraph" w:customStyle="1" w:styleId="81">
    <w:name w:val="图标标题"/>
    <w:basedOn w:val="6"/>
    <w:link w:val="82"/>
    <w:qFormat/>
    <w:uiPriority w:val="0"/>
    <w:pPr>
      <w:keepNext/>
      <w:adjustRightInd w:val="0"/>
      <w:snapToGrid w:val="0"/>
      <w:spacing w:before="50" w:beforeLines="50"/>
      <w:ind w:firstLine="0" w:firstLineChars="0"/>
      <w:jc w:val="center"/>
    </w:pPr>
    <w:rPr>
      <w:sz w:val="24"/>
    </w:rPr>
  </w:style>
  <w:style w:type="character" w:customStyle="1" w:styleId="82">
    <w:name w:val="图标标题 字符"/>
    <w:basedOn w:val="51"/>
    <w:link w:val="81"/>
    <w:qFormat/>
    <w:uiPriority w:val="0"/>
    <w:rPr>
      <w:rFonts w:eastAsia="黑体" w:asciiTheme="majorHAnsi" w:hAnsiTheme="majorHAnsi" w:cstheme="majorBidi"/>
      <w:kern w:val="2"/>
      <w:sz w:val="24"/>
    </w:rPr>
  </w:style>
  <w:style w:type="paragraph" w:customStyle="1" w:styleId="83">
    <w:name w:val="专栏标题"/>
    <w:basedOn w:val="34"/>
    <w:link w:val="84"/>
    <w:qFormat/>
    <w:uiPriority w:val="0"/>
    <w:pPr>
      <w:spacing w:before="152" w:beforeLines="25" w:after="152" w:afterLines="25" w:line="240" w:lineRule="auto"/>
      <w:ind w:firstLine="0" w:firstLineChars="0"/>
      <w:jc w:val="center"/>
    </w:pPr>
    <w:rPr>
      <w:b/>
      <w:bCs/>
    </w:rPr>
  </w:style>
  <w:style w:type="character" w:customStyle="1" w:styleId="84">
    <w:name w:val="专栏标题 字符"/>
    <w:basedOn w:val="45"/>
    <w:link w:val="83"/>
    <w:qFormat/>
    <w:uiPriority w:val="0"/>
    <w:rPr>
      <w:rFonts w:ascii="仿宋_GB2312" w:hAnsi="仿宋_GB2312" w:cs="仿宋_GB2312" w:eastAsiaTheme="minorEastAsia"/>
      <w:b/>
      <w:bCs/>
      <w:kern w:val="2"/>
      <w:sz w:val="28"/>
    </w:rPr>
  </w:style>
  <w:style w:type="character" w:customStyle="1" w:styleId="85">
    <w:name w:val="正文文本缩进 字符"/>
    <w:basedOn w:val="26"/>
    <w:link w:val="7"/>
    <w:qFormat/>
    <w:uiPriority w:val="99"/>
    <w:rPr>
      <w:kern w:val="2"/>
      <w:sz w:val="32"/>
    </w:rPr>
  </w:style>
  <w:style w:type="character" w:customStyle="1" w:styleId="86">
    <w:name w:val="正文文本首行缩进 2 字符"/>
    <w:basedOn w:val="85"/>
    <w:link w:val="23"/>
    <w:qFormat/>
    <w:uiPriority w:val="99"/>
    <w:rPr>
      <w:kern w:val="2"/>
      <w:sz w:val="24"/>
    </w:rPr>
  </w:style>
  <w:style w:type="paragraph" w:customStyle="1" w:styleId="87">
    <w:name w:val="msonormal"/>
    <w:basedOn w:val="1"/>
    <w:qFormat/>
    <w:uiPriority w:val="0"/>
    <w:pPr>
      <w:widowControl/>
      <w:spacing w:before="100" w:beforeAutospacing="1" w:after="100" w:afterAutospacing="1"/>
      <w:ind w:firstLine="0" w:firstLineChars="0"/>
      <w:jc w:val="left"/>
    </w:pPr>
    <w:rPr>
      <w:rFonts w:ascii="宋体" w:hAnsi="宋体" w:eastAsia="宋体" w:cs="宋体"/>
      <w:kern w:val="0"/>
      <w:sz w:val="24"/>
      <w:szCs w:val="24"/>
    </w:rPr>
  </w:style>
  <w:style w:type="paragraph" w:customStyle="1" w:styleId="88">
    <w:name w:val="font5"/>
    <w:basedOn w:val="1"/>
    <w:qFormat/>
    <w:uiPriority w:val="0"/>
    <w:pPr>
      <w:widowControl/>
      <w:spacing w:before="100" w:beforeAutospacing="1" w:after="100" w:afterAutospacing="1"/>
      <w:ind w:firstLine="0" w:firstLineChars="0"/>
      <w:jc w:val="left"/>
    </w:pPr>
    <w:rPr>
      <w:rFonts w:ascii="等线" w:hAnsi="等线" w:eastAsia="等线" w:cs="宋体"/>
      <w:kern w:val="0"/>
      <w:sz w:val="18"/>
      <w:szCs w:val="18"/>
    </w:rPr>
  </w:style>
  <w:style w:type="paragraph" w:customStyle="1" w:styleId="89">
    <w:name w:val="xl65"/>
    <w:basedOn w:val="1"/>
    <w:qFormat/>
    <w:uiPriority w:val="0"/>
    <w:pPr>
      <w:widowControl/>
      <w:spacing w:before="100" w:beforeAutospacing="1" w:after="100" w:afterAutospacing="1"/>
      <w:ind w:firstLine="0" w:firstLineChars="0"/>
      <w:jc w:val="left"/>
    </w:pPr>
    <w:rPr>
      <w:rFonts w:ascii="宋体" w:hAnsi="宋体" w:eastAsia="宋体" w:cs="宋体"/>
      <w:kern w:val="0"/>
      <w:sz w:val="24"/>
      <w:szCs w:val="24"/>
    </w:rPr>
  </w:style>
  <w:style w:type="paragraph" w:customStyle="1" w:styleId="90">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ascii="宋体" w:hAnsi="宋体" w:eastAsia="宋体" w:cs="宋体"/>
      <w:b/>
      <w:bCs/>
      <w:kern w:val="0"/>
      <w:sz w:val="24"/>
      <w:szCs w:val="24"/>
    </w:rPr>
  </w:style>
  <w:style w:type="paragraph" w:customStyle="1" w:styleId="91">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ascii="宋体" w:hAnsi="宋体" w:eastAsia="宋体" w:cs="宋体"/>
      <w:b/>
      <w:bCs/>
      <w:kern w:val="0"/>
      <w:sz w:val="24"/>
      <w:szCs w:val="24"/>
    </w:rPr>
  </w:style>
  <w:style w:type="paragraph" w:customStyle="1" w:styleId="92">
    <w:name w:val="xl68"/>
    <w:basedOn w:val="1"/>
    <w:qFormat/>
    <w:uiPriority w:val="0"/>
    <w:pPr>
      <w:widowControl/>
      <w:pBdr>
        <w:top w:val="single" w:color="auto" w:sz="4" w:space="0"/>
        <w:left w:val="single" w:color="auto" w:sz="4" w:space="0"/>
        <w:bottom w:val="single" w:color="auto" w:sz="4" w:space="0"/>
      </w:pBdr>
      <w:spacing w:before="100" w:beforeAutospacing="1" w:after="100" w:afterAutospacing="1"/>
      <w:ind w:firstLine="0" w:firstLineChars="0"/>
      <w:jc w:val="center"/>
      <w:textAlignment w:val="center"/>
    </w:pPr>
    <w:rPr>
      <w:rFonts w:ascii="宋体" w:hAnsi="宋体" w:eastAsia="宋体" w:cs="宋体"/>
      <w:b/>
      <w:bCs/>
      <w:kern w:val="0"/>
      <w:sz w:val="24"/>
      <w:szCs w:val="24"/>
    </w:rPr>
  </w:style>
  <w:style w:type="paragraph" w:customStyle="1" w:styleId="93">
    <w:name w:val="xl69"/>
    <w:basedOn w:val="1"/>
    <w:qFormat/>
    <w:uiPriority w:val="0"/>
    <w:pPr>
      <w:widowControl/>
      <w:pBdr>
        <w:top w:val="single" w:color="auto" w:sz="4" w:space="0"/>
        <w:bottom w:val="single" w:color="auto" w:sz="4" w:space="0"/>
      </w:pBdr>
      <w:spacing w:before="100" w:beforeAutospacing="1" w:after="100" w:afterAutospacing="1"/>
      <w:ind w:firstLine="0" w:firstLineChars="0"/>
      <w:jc w:val="center"/>
      <w:textAlignment w:val="center"/>
    </w:pPr>
    <w:rPr>
      <w:rFonts w:ascii="宋体" w:hAnsi="宋体" w:eastAsia="宋体" w:cs="宋体"/>
      <w:b/>
      <w:bCs/>
      <w:kern w:val="0"/>
      <w:sz w:val="24"/>
      <w:szCs w:val="24"/>
    </w:rPr>
  </w:style>
  <w:style w:type="paragraph" w:customStyle="1" w:styleId="94">
    <w:name w:val="xl70"/>
    <w:basedOn w:val="1"/>
    <w:qFormat/>
    <w:uiPriority w:val="0"/>
    <w:pPr>
      <w:widowControl/>
      <w:pBdr>
        <w:top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ascii="宋体" w:hAnsi="宋体" w:eastAsia="宋体" w:cs="宋体"/>
      <w:b/>
      <w:bCs/>
      <w:kern w:val="0"/>
      <w:sz w:val="24"/>
      <w:szCs w:val="24"/>
    </w:rPr>
  </w:style>
  <w:style w:type="paragraph" w:customStyle="1" w:styleId="95">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ascii="宋体" w:hAnsi="宋体" w:eastAsia="宋体" w:cs="宋体"/>
      <w:b/>
      <w:bCs/>
      <w:kern w:val="0"/>
      <w:sz w:val="20"/>
    </w:rPr>
  </w:style>
  <w:style w:type="paragraph" w:customStyle="1" w:styleId="96">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ascii="宋体" w:hAnsi="宋体" w:eastAsia="宋体" w:cs="宋体"/>
      <w:kern w:val="0"/>
      <w:sz w:val="20"/>
    </w:rPr>
  </w:style>
  <w:style w:type="paragraph" w:customStyle="1" w:styleId="97">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ascii="宋体" w:hAnsi="宋体" w:eastAsia="宋体" w:cs="宋体"/>
      <w:kern w:val="0"/>
      <w:sz w:val="20"/>
    </w:rPr>
  </w:style>
  <w:style w:type="paragraph" w:customStyle="1" w:styleId="98">
    <w:name w:val="xl74"/>
    <w:basedOn w:val="1"/>
    <w:qFormat/>
    <w:uiPriority w:val="0"/>
    <w:pPr>
      <w:widowControl/>
      <w:pBdr>
        <w:top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ascii="宋体" w:hAnsi="宋体" w:eastAsia="宋体" w:cs="宋体"/>
      <w:kern w:val="0"/>
      <w:sz w:val="20"/>
    </w:rPr>
  </w:style>
  <w:style w:type="paragraph" w:customStyle="1" w:styleId="99">
    <w:name w:val="xl75"/>
    <w:basedOn w:val="1"/>
    <w:qFormat/>
    <w:uiPriority w:val="0"/>
    <w:pPr>
      <w:widowControl/>
      <w:pBdr>
        <w:top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ascii="宋体" w:hAnsi="宋体" w:eastAsia="宋体" w:cs="宋体"/>
      <w:kern w:val="0"/>
      <w:sz w:val="20"/>
    </w:rPr>
  </w:style>
  <w:style w:type="paragraph" w:customStyle="1" w:styleId="100">
    <w:name w:val="xl76"/>
    <w:basedOn w:val="1"/>
    <w:qFormat/>
    <w:uiPriority w:val="0"/>
    <w:pPr>
      <w:widowControl/>
      <w:pBdr>
        <w:top w:val="single" w:color="auto" w:sz="4" w:space="0"/>
        <w:left w:val="single" w:color="auto" w:sz="4" w:space="0"/>
        <w:bottom w:val="single" w:color="auto" w:sz="4" w:space="0"/>
      </w:pBdr>
      <w:spacing w:before="100" w:beforeAutospacing="1" w:after="100" w:afterAutospacing="1"/>
      <w:ind w:firstLine="0" w:firstLineChars="0"/>
      <w:jc w:val="center"/>
      <w:textAlignment w:val="center"/>
    </w:pPr>
    <w:rPr>
      <w:rFonts w:ascii="宋体" w:hAnsi="宋体" w:eastAsia="宋体" w:cs="宋体"/>
      <w:b/>
      <w:bCs/>
      <w:kern w:val="0"/>
      <w:sz w:val="24"/>
      <w:szCs w:val="24"/>
    </w:rPr>
  </w:style>
  <w:style w:type="paragraph" w:customStyle="1" w:styleId="101">
    <w:name w:val="xl77"/>
    <w:basedOn w:val="1"/>
    <w:qFormat/>
    <w:uiPriority w:val="0"/>
    <w:pPr>
      <w:widowControl/>
      <w:pBdr>
        <w:top w:val="single" w:color="auto" w:sz="4" w:space="0"/>
        <w:bottom w:val="single" w:color="auto" w:sz="4" w:space="0"/>
      </w:pBdr>
      <w:spacing w:before="100" w:beforeAutospacing="1" w:after="100" w:afterAutospacing="1"/>
      <w:ind w:firstLine="0" w:firstLineChars="0"/>
      <w:jc w:val="center"/>
      <w:textAlignment w:val="center"/>
    </w:pPr>
    <w:rPr>
      <w:rFonts w:ascii="宋体" w:hAnsi="宋体" w:eastAsia="宋体" w:cs="宋体"/>
      <w:b/>
      <w:bCs/>
      <w:kern w:val="0"/>
      <w:sz w:val="24"/>
      <w:szCs w:val="24"/>
    </w:rPr>
  </w:style>
  <w:style w:type="paragraph" w:customStyle="1" w:styleId="102">
    <w:name w:val="xl78"/>
    <w:basedOn w:val="1"/>
    <w:qFormat/>
    <w:uiPriority w:val="0"/>
    <w:pPr>
      <w:widowControl/>
      <w:pBdr>
        <w:top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ascii="宋体" w:hAnsi="宋体" w:eastAsia="宋体" w:cs="宋体"/>
      <w:b/>
      <w:bCs/>
      <w:kern w:val="0"/>
      <w:sz w:val="24"/>
      <w:szCs w:val="24"/>
    </w:rPr>
  </w:style>
  <w:style w:type="paragraph" w:customStyle="1" w:styleId="103">
    <w:name w:val="xl79"/>
    <w:basedOn w:val="1"/>
    <w:qFormat/>
    <w:uiPriority w:val="0"/>
    <w:pPr>
      <w:widowControl/>
      <w:pBdr>
        <w:top w:val="single" w:color="auto" w:sz="4" w:space="0"/>
        <w:left w:val="single" w:color="auto" w:sz="4" w:space="0"/>
        <w:bottom w:val="single" w:color="auto" w:sz="4" w:space="0"/>
      </w:pBdr>
      <w:spacing w:before="100" w:beforeAutospacing="1" w:after="100" w:afterAutospacing="1"/>
      <w:ind w:firstLine="0" w:firstLineChars="0"/>
      <w:jc w:val="center"/>
      <w:textAlignment w:val="center"/>
    </w:pPr>
    <w:rPr>
      <w:rFonts w:ascii="宋体" w:hAnsi="宋体" w:eastAsia="宋体" w:cs="宋体"/>
      <w:kern w:val="0"/>
      <w:sz w:val="20"/>
    </w:rPr>
  </w:style>
  <w:style w:type="paragraph" w:customStyle="1" w:styleId="104">
    <w:name w:val="xl80"/>
    <w:basedOn w:val="1"/>
    <w:qFormat/>
    <w:uiPriority w:val="0"/>
    <w:pPr>
      <w:widowControl/>
      <w:pBdr>
        <w:top w:val="single" w:color="auto" w:sz="4" w:space="0"/>
        <w:bottom w:val="single" w:color="auto" w:sz="4" w:space="0"/>
      </w:pBdr>
      <w:spacing w:before="100" w:beforeAutospacing="1" w:after="100" w:afterAutospacing="1"/>
      <w:ind w:firstLine="0" w:firstLineChars="0"/>
      <w:jc w:val="center"/>
      <w:textAlignment w:val="center"/>
    </w:pPr>
    <w:rPr>
      <w:rFonts w:ascii="宋体" w:hAnsi="宋体" w:eastAsia="宋体" w:cs="宋体"/>
      <w:kern w:val="0"/>
      <w:sz w:val="20"/>
    </w:rPr>
  </w:style>
  <w:style w:type="paragraph" w:customStyle="1" w:styleId="105">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ascii="宋体" w:hAnsi="宋体" w:eastAsia="宋体" w:cs="宋体"/>
      <w:kern w:val="0"/>
      <w:sz w:val="20"/>
    </w:rPr>
  </w:style>
  <w:style w:type="paragraph" w:customStyle="1" w:styleId="106">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ascii="宋体" w:hAnsi="宋体" w:eastAsia="宋体" w:cs="宋体"/>
      <w:b/>
      <w:bCs/>
      <w:kern w:val="0"/>
      <w:sz w:val="20"/>
    </w:rPr>
  </w:style>
  <w:style w:type="paragraph" w:customStyle="1" w:styleId="107">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ascii="宋体" w:hAnsi="宋体" w:eastAsia="宋体" w:cs="宋体"/>
      <w:b/>
      <w:bCs/>
      <w:kern w:val="0"/>
      <w:sz w:val="24"/>
      <w:szCs w:val="24"/>
    </w:rPr>
  </w:style>
  <w:style w:type="paragraph" w:customStyle="1" w:styleId="108">
    <w:name w:val="xl63"/>
    <w:basedOn w:val="1"/>
    <w:qFormat/>
    <w:uiPriority w:val="0"/>
    <w:pPr>
      <w:widowControl/>
      <w:spacing w:before="100" w:beforeAutospacing="1" w:after="100" w:afterAutospacing="1"/>
      <w:ind w:firstLine="0" w:firstLineChars="0"/>
      <w:jc w:val="left"/>
    </w:pPr>
    <w:rPr>
      <w:rFonts w:ascii="宋体" w:hAnsi="宋体" w:eastAsia="宋体" w:cs="宋体"/>
      <w:kern w:val="0"/>
      <w:sz w:val="24"/>
      <w:szCs w:val="24"/>
    </w:rPr>
  </w:style>
  <w:style w:type="paragraph" w:customStyle="1" w:styleId="109">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ascii="宋体" w:hAnsi="宋体" w:eastAsia="宋体" w:cs="宋体"/>
      <w:b/>
      <w:bCs/>
      <w:kern w:val="0"/>
      <w:sz w:val="24"/>
      <w:szCs w:val="24"/>
    </w:rPr>
  </w:style>
  <w:style w:type="paragraph" w:customStyle="1" w:styleId="110">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ascii="宋体" w:hAnsi="宋体" w:eastAsia="宋体" w:cs="宋体"/>
      <w:b/>
      <w:bCs/>
      <w:kern w:val="0"/>
      <w:sz w:val="20"/>
    </w:rPr>
  </w:style>
  <w:style w:type="paragraph" w:customStyle="1" w:styleId="111">
    <w:name w:val="xl85"/>
    <w:basedOn w:val="1"/>
    <w:qFormat/>
    <w:uiPriority w:val="0"/>
    <w:pPr>
      <w:widowControl/>
      <w:pBdr>
        <w:top w:val="single" w:color="auto" w:sz="4" w:space="0"/>
        <w:left w:val="single" w:color="auto" w:sz="4" w:space="0"/>
        <w:bottom w:val="single" w:color="auto" w:sz="4" w:space="0"/>
      </w:pBdr>
      <w:spacing w:before="100" w:beforeAutospacing="1" w:after="100" w:afterAutospacing="1"/>
      <w:ind w:firstLine="0" w:firstLineChars="0"/>
      <w:jc w:val="center"/>
      <w:textAlignment w:val="center"/>
    </w:pPr>
    <w:rPr>
      <w:rFonts w:ascii="宋体" w:hAnsi="宋体" w:eastAsia="宋体" w:cs="宋体"/>
      <w:kern w:val="0"/>
      <w:sz w:val="20"/>
    </w:rPr>
  </w:style>
  <w:style w:type="paragraph" w:customStyle="1" w:styleId="112">
    <w:name w:val="xl86"/>
    <w:basedOn w:val="1"/>
    <w:qFormat/>
    <w:uiPriority w:val="0"/>
    <w:pPr>
      <w:widowControl/>
      <w:pBdr>
        <w:top w:val="single" w:color="auto" w:sz="4" w:space="0"/>
        <w:bottom w:val="single" w:color="auto" w:sz="4" w:space="0"/>
      </w:pBdr>
      <w:spacing w:before="100" w:beforeAutospacing="1" w:after="100" w:afterAutospacing="1"/>
      <w:ind w:firstLine="0" w:firstLineChars="0"/>
      <w:jc w:val="center"/>
      <w:textAlignment w:val="center"/>
    </w:pPr>
    <w:rPr>
      <w:rFonts w:ascii="宋体" w:hAnsi="宋体" w:eastAsia="宋体" w:cs="宋体"/>
      <w:kern w:val="0"/>
      <w:sz w:val="20"/>
    </w:rPr>
  </w:style>
  <w:style w:type="paragraph" w:customStyle="1" w:styleId="113">
    <w:name w:val="xl87"/>
    <w:basedOn w:val="1"/>
    <w:qFormat/>
    <w:uiPriority w:val="0"/>
    <w:pPr>
      <w:widowControl/>
      <w:pBdr>
        <w:top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ascii="宋体" w:hAnsi="宋体" w:eastAsia="宋体" w:cs="宋体"/>
      <w:kern w:val="0"/>
      <w:sz w:val="20"/>
    </w:rPr>
  </w:style>
  <w:style w:type="paragraph" w:customStyle="1" w:styleId="114">
    <w:name w:val="xl88"/>
    <w:basedOn w:val="1"/>
    <w:qFormat/>
    <w:uiPriority w:val="0"/>
    <w:pPr>
      <w:widowControl/>
      <w:pBdr>
        <w:top w:val="single" w:color="auto" w:sz="4" w:space="0"/>
        <w:left w:val="single" w:color="auto" w:sz="4" w:space="0"/>
        <w:bottom w:val="single" w:color="auto" w:sz="4" w:space="0"/>
      </w:pBdr>
      <w:spacing w:before="100" w:beforeAutospacing="1" w:after="100" w:afterAutospacing="1"/>
      <w:ind w:firstLine="0" w:firstLineChars="0"/>
      <w:jc w:val="center"/>
      <w:textAlignment w:val="center"/>
    </w:pPr>
    <w:rPr>
      <w:rFonts w:ascii="宋体" w:hAnsi="宋体" w:eastAsia="宋体" w:cs="宋体"/>
      <w:kern w:val="0"/>
      <w:sz w:val="20"/>
    </w:rPr>
  </w:style>
  <w:style w:type="paragraph" w:customStyle="1" w:styleId="115">
    <w:name w:val="xl89"/>
    <w:basedOn w:val="1"/>
    <w:qFormat/>
    <w:uiPriority w:val="0"/>
    <w:pPr>
      <w:widowControl/>
      <w:pBdr>
        <w:top w:val="single" w:color="auto" w:sz="4" w:space="0"/>
        <w:bottom w:val="single" w:color="auto" w:sz="4" w:space="0"/>
      </w:pBdr>
      <w:spacing w:before="100" w:beforeAutospacing="1" w:after="100" w:afterAutospacing="1"/>
      <w:ind w:firstLine="0" w:firstLineChars="0"/>
      <w:jc w:val="center"/>
      <w:textAlignment w:val="center"/>
    </w:pPr>
    <w:rPr>
      <w:rFonts w:ascii="宋体" w:hAnsi="宋体" w:eastAsia="宋体" w:cs="宋体"/>
      <w:kern w:val="0"/>
      <w:sz w:val="20"/>
    </w:rPr>
  </w:style>
  <w:style w:type="paragraph" w:customStyle="1" w:styleId="116">
    <w:name w:val="xl90"/>
    <w:basedOn w:val="1"/>
    <w:qFormat/>
    <w:uiPriority w:val="0"/>
    <w:pPr>
      <w:widowControl/>
      <w:pBdr>
        <w:top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ascii="宋体" w:hAnsi="宋体" w:eastAsia="宋体" w:cs="宋体"/>
      <w:kern w:val="0"/>
      <w:sz w:val="20"/>
    </w:rPr>
  </w:style>
  <w:style w:type="paragraph" w:customStyle="1" w:styleId="117">
    <w:name w:val="xl91"/>
    <w:basedOn w:val="1"/>
    <w:qFormat/>
    <w:uiPriority w:val="0"/>
    <w:pPr>
      <w:widowControl/>
      <w:pBdr>
        <w:top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ascii="宋体" w:hAnsi="宋体" w:eastAsia="宋体" w:cs="宋体"/>
      <w:b/>
      <w:bCs/>
      <w:kern w:val="0"/>
      <w:sz w:val="24"/>
      <w:szCs w:val="24"/>
    </w:rPr>
  </w:style>
  <w:style w:type="paragraph" w:customStyle="1" w:styleId="118">
    <w:name w:val="修订1"/>
    <w:hidden/>
    <w:unhideWhenUsed/>
    <w:qFormat/>
    <w:uiPriority w:val="99"/>
    <w:rPr>
      <w:rFonts w:ascii="Times New Roman" w:hAnsi="Times New Roman" w:eastAsia="仿宋_GB2312" w:cstheme="minorBidi"/>
      <w:kern w:val="2"/>
      <w:sz w:val="32"/>
      <w:lang w:val="en-US" w:eastAsia="zh-CN" w:bidi="ar-SA"/>
    </w:rPr>
  </w:style>
  <w:style w:type="character" w:customStyle="1" w:styleId="119">
    <w:name w:val="日期 字符"/>
    <w:basedOn w:val="26"/>
    <w:link w:val="11"/>
    <w:qFormat/>
    <w:uiPriority w:val="0"/>
    <w:rPr>
      <w:rFonts w:eastAsia="仿宋_GB2312"/>
      <w:kern w:val="2"/>
      <w:sz w:val="32"/>
    </w:rPr>
  </w:style>
  <w:style w:type="paragraph" w:customStyle="1" w:styleId="120">
    <w:name w:val="font6"/>
    <w:basedOn w:val="1"/>
    <w:qFormat/>
    <w:uiPriority w:val="0"/>
    <w:pPr>
      <w:widowControl/>
      <w:spacing w:before="100" w:beforeAutospacing="1" w:after="100" w:afterAutospacing="1"/>
      <w:ind w:firstLine="0" w:firstLineChars="0"/>
      <w:jc w:val="left"/>
    </w:pPr>
    <w:rPr>
      <w:rFonts w:eastAsia="宋体" w:cs="Times New Roman"/>
      <w:b/>
      <w:bCs/>
      <w:color w:val="000000"/>
      <w:kern w:val="0"/>
      <w:sz w:val="24"/>
      <w:szCs w:val="24"/>
    </w:rPr>
  </w:style>
  <w:style w:type="paragraph" w:customStyle="1" w:styleId="121">
    <w:name w:val="font7"/>
    <w:basedOn w:val="1"/>
    <w:qFormat/>
    <w:uiPriority w:val="0"/>
    <w:pPr>
      <w:widowControl/>
      <w:spacing w:before="100" w:beforeAutospacing="1" w:after="100" w:afterAutospacing="1"/>
      <w:ind w:firstLine="0" w:firstLineChars="0"/>
      <w:jc w:val="left"/>
    </w:pPr>
    <w:rPr>
      <w:rFonts w:ascii="宋体" w:hAnsi="宋体" w:eastAsia="宋体" w:cs="宋体"/>
      <w:b/>
      <w:bCs/>
      <w:color w:val="000000"/>
      <w:kern w:val="0"/>
      <w:sz w:val="24"/>
      <w:szCs w:val="24"/>
    </w:rPr>
  </w:style>
  <w:style w:type="paragraph" w:customStyle="1" w:styleId="122">
    <w:name w:val="font8"/>
    <w:basedOn w:val="1"/>
    <w:qFormat/>
    <w:uiPriority w:val="0"/>
    <w:pPr>
      <w:widowControl/>
      <w:spacing w:before="100" w:beforeAutospacing="1" w:after="100" w:afterAutospacing="1"/>
      <w:ind w:firstLine="0" w:firstLineChars="0"/>
      <w:jc w:val="left"/>
    </w:pPr>
    <w:rPr>
      <w:rFonts w:ascii="宋体" w:hAnsi="宋体" w:eastAsia="宋体" w:cs="宋体"/>
      <w:color w:val="000000"/>
      <w:kern w:val="0"/>
      <w:sz w:val="20"/>
    </w:rPr>
  </w:style>
  <w:style w:type="paragraph" w:customStyle="1" w:styleId="123">
    <w:name w:val="xl92"/>
    <w:basedOn w:val="1"/>
    <w:qFormat/>
    <w:uiPriority w:val="0"/>
    <w:pPr>
      <w:widowControl/>
      <w:pBdr>
        <w:bottom w:val="single" w:color="auto" w:sz="8" w:space="0"/>
        <w:right w:val="single" w:color="auto" w:sz="8" w:space="0"/>
      </w:pBdr>
      <w:spacing w:before="100" w:beforeAutospacing="1" w:after="100" w:afterAutospacing="1"/>
      <w:ind w:firstLine="0" w:firstLineChars="0"/>
      <w:jc w:val="center"/>
      <w:textAlignment w:val="center"/>
    </w:pPr>
    <w:rPr>
      <w:rFonts w:eastAsia="宋体" w:cs="Times New Roman"/>
      <w:b/>
      <w:bCs/>
      <w:kern w:val="0"/>
      <w:sz w:val="24"/>
      <w:szCs w:val="24"/>
    </w:rPr>
  </w:style>
  <w:style w:type="character" w:customStyle="1" w:styleId="124">
    <w:name w:val="未处理的提及2"/>
    <w:basedOn w:val="26"/>
    <w:semiHidden/>
    <w:unhideWhenUsed/>
    <w:qFormat/>
    <w:uiPriority w:val="99"/>
    <w:rPr>
      <w:color w:val="605E5C"/>
      <w:shd w:val="clear" w:color="auto" w:fill="E1DFDD"/>
    </w:rPr>
  </w:style>
  <w:style w:type="paragraph" w:customStyle="1" w:styleId="125">
    <w:name w:val="font9"/>
    <w:basedOn w:val="1"/>
    <w:qFormat/>
    <w:uiPriority w:val="0"/>
    <w:pPr>
      <w:widowControl/>
      <w:spacing w:before="100" w:beforeAutospacing="1" w:after="100" w:afterAutospacing="1"/>
      <w:ind w:firstLine="0" w:firstLineChars="0"/>
      <w:jc w:val="left"/>
    </w:pPr>
    <w:rPr>
      <w:rFonts w:ascii="宋体" w:hAnsi="宋体" w:eastAsia="宋体" w:cs="宋体"/>
      <w:color w:val="000000"/>
      <w:kern w:val="0"/>
      <w:sz w:val="20"/>
    </w:rPr>
  </w:style>
  <w:style w:type="paragraph" w:customStyle="1" w:styleId="126">
    <w:name w:val="font10"/>
    <w:basedOn w:val="1"/>
    <w:qFormat/>
    <w:uiPriority w:val="0"/>
    <w:pPr>
      <w:widowControl/>
      <w:spacing w:before="100" w:beforeAutospacing="1" w:after="100" w:afterAutospacing="1"/>
      <w:ind w:firstLine="0" w:firstLineChars="0"/>
      <w:jc w:val="left"/>
    </w:pPr>
    <w:rPr>
      <w:rFonts w:ascii="宋体" w:hAnsi="宋体" w:eastAsia="宋体" w:cs="宋体"/>
      <w:b/>
      <w:bCs/>
      <w:color w:val="000000"/>
      <w:kern w:val="0"/>
      <w:sz w:val="24"/>
      <w:szCs w:val="24"/>
    </w:rPr>
  </w:style>
  <w:style w:type="character" w:customStyle="1" w:styleId="127">
    <w:name w:val="font71"/>
    <w:basedOn w:val="26"/>
    <w:qFormat/>
    <w:uiPriority w:val="0"/>
    <w:rPr>
      <w:rFonts w:hint="eastAsia" w:ascii="仿宋_GB2312" w:eastAsia="仿宋_GB2312" w:cs="仿宋_GB2312"/>
      <w:color w:val="FF0000"/>
      <w:sz w:val="24"/>
      <w:szCs w:val="24"/>
      <w:u w:val="none"/>
    </w:rPr>
  </w:style>
  <w:style w:type="paragraph" w:customStyle="1" w:styleId="128">
    <w:name w:val="修订2"/>
    <w:hidden/>
    <w:unhideWhenUsed/>
    <w:qFormat/>
    <w:uiPriority w:val="99"/>
    <w:rPr>
      <w:rFonts w:ascii="Times New Roman" w:hAnsi="Times New Roman" w:eastAsia="仿宋_GB2312" w:cstheme="minorBidi"/>
      <w:kern w:val="2"/>
      <w:sz w:val="32"/>
      <w:lang w:val="en-US" w:eastAsia="zh-CN" w:bidi="ar-SA"/>
    </w:rPr>
  </w:style>
  <w:style w:type="paragraph" w:customStyle="1" w:styleId="129">
    <w:name w:val="xl93"/>
    <w:basedOn w:val="1"/>
    <w:qFormat/>
    <w:uiPriority w:val="0"/>
    <w:pPr>
      <w:widowControl/>
      <w:pBdr>
        <w:right w:val="single" w:color="auto" w:sz="8" w:space="0"/>
      </w:pBdr>
      <w:spacing w:before="100" w:beforeAutospacing="1" w:after="100" w:afterAutospacing="1"/>
      <w:ind w:firstLine="0" w:firstLineChars="0"/>
      <w:jc w:val="center"/>
      <w:textAlignment w:val="center"/>
    </w:pPr>
    <w:rPr>
      <w:rFonts w:eastAsia="宋体" w:cs="Times New Roman"/>
      <w:kern w:val="0"/>
      <w:sz w:val="20"/>
    </w:rPr>
  </w:style>
  <w:style w:type="paragraph" w:customStyle="1" w:styleId="130">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eastAsia="宋体" w:cs="Times New Roman"/>
      <w:kern w:val="0"/>
      <w:sz w:val="20"/>
    </w:rPr>
  </w:style>
  <w:style w:type="paragraph" w:customStyle="1" w:styleId="131">
    <w:name w:val="xl95"/>
    <w:basedOn w:val="1"/>
    <w:qFormat/>
    <w:uiPriority w:val="0"/>
    <w:pPr>
      <w:widowControl/>
      <w:pBdr>
        <w:right w:val="single" w:color="auto" w:sz="8" w:space="0"/>
      </w:pBdr>
      <w:spacing w:before="100" w:beforeAutospacing="1" w:after="100" w:afterAutospacing="1"/>
      <w:ind w:firstLine="0" w:firstLineChars="0"/>
      <w:jc w:val="center"/>
      <w:textAlignment w:val="center"/>
    </w:pPr>
    <w:rPr>
      <w:rFonts w:eastAsia="宋体" w:cs="Times New Roman"/>
      <w:kern w:val="0"/>
      <w:sz w:val="20"/>
    </w:rPr>
  </w:style>
  <w:style w:type="paragraph" w:customStyle="1" w:styleId="132">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eastAsia="宋体" w:cs="Times New Roman"/>
      <w:kern w:val="0"/>
      <w:sz w:val="20"/>
    </w:rPr>
  </w:style>
  <w:style w:type="paragraph" w:customStyle="1" w:styleId="133">
    <w:name w:val="Revision"/>
    <w:hidden/>
    <w:unhideWhenUsed/>
    <w:qFormat/>
    <w:uiPriority w:val="99"/>
    <w:rPr>
      <w:rFonts w:ascii="Times New Roman" w:hAnsi="Times New Roman" w:eastAsia="仿宋_GB2312" w:cstheme="minorBidi"/>
      <w:kern w:val="2"/>
      <w:sz w:val="32"/>
      <w:lang w:val="en-US" w:eastAsia="zh-CN" w:bidi="ar-SA"/>
    </w:rPr>
  </w:style>
  <w:style w:type="character" w:customStyle="1" w:styleId="134">
    <w:name w:val="Unresolved Mention"/>
    <w:basedOn w:val="2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data\home\admin\&#24037;&#20316;&#25991;&#20214;\&#28251;&#27743;&#24066;&#20132;&#36890;&#36816;&#36755;&#23616;&#21457;&#25991;&#27169;&#26495;.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57BA7B-2388-4A24-A9CD-945990E2EE31}">
  <ds:schemaRefs/>
</ds:datastoreItem>
</file>

<file path=docProps/app.xml><?xml version="1.0" encoding="utf-8"?>
<Properties xmlns="http://schemas.openxmlformats.org/officeDocument/2006/extended-properties" xmlns:vt="http://schemas.openxmlformats.org/officeDocument/2006/docPropsVTypes">
  <Template>湛江市交通运输局发文模板</Template>
  <Pages>39</Pages>
  <Words>4965</Words>
  <Characters>28307</Characters>
  <Lines>235</Lines>
  <Paragraphs>66</Paragraphs>
  <TotalTime>6</TotalTime>
  <ScaleCrop>false</ScaleCrop>
  <LinksUpToDate>false</LinksUpToDate>
  <CharactersWithSpaces>33206</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2026-09-18T07:05:00Z</dcterms:created>
  <dc:creator>黄葵林</dc:creator>
  <cp:lastModifiedBy>☀️秋</cp:lastModifiedBy>
  <cp:lastPrinted>2025-10-30T11:17:00Z</cp:lastPrinted>
  <dcterms:modified xsi:type="dcterms:W3CDTF">2026-10-29T02:36:04Z</dcterms:modified>
  <dc:title>湛江市交通运输局公文模板</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2390AA4389AD448D84069325250EDE3C</vt:lpwstr>
  </property>
</Properties>
</file>