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textAlignment w:val="auto"/>
        <w:rPr>
          <w:rFonts w:hint="default" w:ascii="宋体" w:eastAsia="仿宋_GB2312"/>
          <w:b/>
          <w:color w:val="auto"/>
          <w:sz w:val="20"/>
          <w:lang w:val="en-US" w:eastAsia="zh-CN"/>
        </w:rPr>
      </w:pPr>
      <w:r>
        <w:rPr>
          <w:rFonts w:hint="eastAsia" w:ascii="黑体" w:hAnsi="黑体" w:eastAsia="黑体" w:cs="黑体"/>
          <w:b w:val="0"/>
          <w:bCs/>
          <w:color w:val="auto"/>
          <w:sz w:val="32"/>
          <w:szCs w:val="32"/>
          <w:lang w:val="en-US" w:eastAsia="zh-CN"/>
        </w:rPr>
        <w:t>附件3</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0"/>
        <w:jc w:val="both"/>
        <w:textAlignment w:val="auto"/>
        <w:rPr>
          <w:rFonts w:hint="eastAsia" w:ascii="方正小标宋简体" w:hAnsi="方正小标宋简体" w:eastAsia="方正小标宋简体" w:cs="方正小标宋简体"/>
          <w:color w:val="auto"/>
          <w:sz w:val="44"/>
          <w:lang w:eastAsia="zh-CN"/>
        </w:rPr>
      </w:pPr>
    </w:p>
    <w:p>
      <w:pPr>
        <w:spacing w:before="56"/>
        <w:ind w:left="1392" w:right="1552"/>
        <w:jc w:val="center"/>
        <w:rPr>
          <w:rFonts w:hint="eastAsia" w:ascii="方正小标宋简体" w:hAnsi="方正小标宋简体" w:eastAsia="方正小标宋简体" w:cs="方正小标宋简体"/>
          <w:color w:val="auto"/>
          <w:sz w:val="44"/>
        </w:rPr>
      </w:pPr>
      <w:r>
        <w:rPr>
          <w:rFonts w:hint="eastAsia" w:ascii="方正小标宋简体" w:hAnsi="方正小标宋简体" w:eastAsia="方正小标宋简体" w:cs="方正小标宋简体"/>
          <w:color w:val="auto"/>
          <w:sz w:val="44"/>
          <w:lang w:eastAsia="zh-CN"/>
        </w:rPr>
        <w:t>汕尾</w:t>
      </w:r>
      <w:r>
        <w:rPr>
          <w:rFonts w:hint="eastAsia" w:ascii="方正小标宋简体" w:hAnsi="方正小标宋简体" w:eastAsia="方正小标宋简体" w:cs="方正小标宋简体"/>
          <w:color w:val="auto"/>
          <w:sz w:val="44"/>
        </w:rPr>
        <w:t>市非常规水资源管理办法</w:t>
      </w:r>
      <w:r>
        <w:rPr>
          <w:rFonts w:hint="eastAsia" w:ascii="方正小标宋简体" w:hAnsi="方正小标宋简体" w:eastAsia="方正小标宋简体" w:cs="方正小标宋简体"/>
          <w:sz w:val="44"/>
          <w:szCs w:val="44"/>
          <w:lang w:eastAsia="zh-CN"/>
        </w:rPr>
        <w:t>（征求意见稿）</w:t>
      </w:r>
    </w:p>
    <w:p>
      <w:pPr>
        <w:rPr>
          <w:sz w:val="44"/>
          <w:szCs w:val="44"/>
        </w:rPr>
      </w:pP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jc w:val="both"/>
        <w:textAlignment w:val="auto"/>
        <w:rPr>
          <w:color w:val="auto"/>
          <w:spacing w:val="0"/>
          <w:w w:val="100"/>
        </w:rPr>
      </w:pPr>
      <w:r>
        <w:rPr>
          <w:rFonts w:hint="eastAsia" w:ascii="黑体" w:eastAsia="黑体"/>
          <w:color w:val="auto"/>
          <w:spacing w:val="0"/>
          <w:w w:val="100"/>
        </w:rPr>
        <w:t xml:space="preserve">第一条 </w:t>
      </w:r>
      <w:r>
        <w:rPr>
          <w:rFonts w:hint="eastAsia" w:ascii="黑体" w:eastAsia="黑体"/>
          <w:color w:val="auto"/>
          <w:spacing w:val="0"/>
          <w:w w:val="100"/>
          <w:lang w:val="en-US" w:eastAsia="zh-CN"/>
        </w:rPr>
        <w:t xml:space="preserve"> </w:t>
      </w:r>
      <w:r>
        <w:rPr>
          <w:color w:val="auto"/>
          <w:spacing w:val="0"/>
          <w:w w:val="100"/>
        </w:rPr>
        <w:t>为贯彻落实最严格水资源管理制度，促进非常规水资源有效利用，提高水资源利用效率，促进经济社会可持续发展，根据《中华人民共和国水法》《广东省节约用水办法》等法律法规，结合本市实际，制定本办法。</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jc w:val="both"/>
        <w:textAlignment w:val="auto"/>
        <w:rPr>
          <w:color w:val="auto"/>
          <w:spacing w:val="0"/>
          <w:w w:val="100"/>
        </w:rPr>
      </w:pPr>
      <w:r>
        <w:rPr>
          <w:rFonts w:hint="eastAsia" w:ascii="黑体" w:eastAsia="黑体"/>
          <w:color w:val="auto"/>
          <w:spacing w:val="0"/>
          <w:w w:val="100"/>
        </w:rPr>
        <w:t xml:space="preserve">第二条 </w:t>
      </w:r>
      <w:r>
        <w:rPr>
          <w:rFonts w:hint="eastAsia" w:ascii="黑体" w:eastAsia="黑体"/>
          <w:color w:val="auto"/>
          <w:spacing w:val="0"/>
          <w:w w:val="100"/>
          <w:lang w:val="en-US" w:eastAsia="zh-CN"/>
        </w:rPr>
        <w:t xml:space="preserve"> </w:t>
      </w:r>
      <w:r>
        <w:rPr>
          <w:color w:val="auto"/>
          <w:spacing w:val="0"/>
          <w:w w:val="100"/>
        </w:rPr>
        <w:t>本办法适用于本市行政区域内非常规水资源的利用以及相关设施的规划、建设、运行、管理和维护。</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jc w:val="both"/>
        <w:textAlignment w:val="auto"/>
        <w:rPr>
          <w:color w:val="auto"/>
          <w:spacing w:val="0"/>
          <w:w w:val="100"/>
        </w:rPr>
      </w:pPr>
      <w:r>
        <w:rPr>
          <w:rFonts w:hint="eastAsia" w:ascii="黑体" w:eastAsia="黑体"/>
          <w:color w:val="auto"/>
          <w:spacing w:val="0"/>
          <w:w w:val="100"/>
        </w:rPr>
        <w:t xml:space="preserve">第三条 </w:t>
      </w:r>
      <w:r>
        <w:rPr>
          <w:rFonts w:hint="eastAsia" w:ascii="黑体" w:eastAsia="黑体"/>
          <w:color w:val="auto"/>
          <w:spacing w:val="0"/>
          <w:w w:val="100"/>
          <w:lang w:val="en-US" w:eastAsia="zh-CN"/>
        </w:rPr>
        <w:t xml:space="preserve"> </w:t>
      </w:r>
      <w:r>
        <w:rPr>
          <w:color w:val="auto"/>
          <w:spacing w:val="0"/>
          <w:w w:val="100"/>
        </w:rPr>
        <w:t>本办法所称非常规水资源，是指区别于常规意义上的地表水、地下水资源，主要包括雨水、再生水、苦咸水等经过处理后，达到规定水质标准，可在一定范围内重复使用的非饮用水。</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jc w:val="both"/>
        <w:textAlignment w:val="auto"/>
        <w:rPr>
          <w:color w:val="auto"/>
          <w:spacing w:val="0"/>
          <w:w w:val="100"/>
        </w:rPr>
      </w:pPr>
      <w:r>
        <w:rPr>
          <w:color w:val="auto"/>
          <w:spacing w:val="0"/>
          <w:w w:val="100"/>
        </w:rPr>
        <w:t>本办法所称再生水(包括中水)，是指对污水处理厂出水、工业排水、生活污水等非常规水资源进行回收，经过适当处理后达到一定水质标准，并在一定范围内重复利用的水资源。</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jc w:val="both"/>
        <w:textAlignment w:val="auto"/>
        <w:rPr>
          <w:color w:val="auto"/>
          <w:spacing w:val="0"/>
          <w:w w:val="100"/>
        </w:rPr>
      </w:pPr>
      <w:r>
        <w:rPr>
          <w:color w:val="auto"/>
          <w:spacing w:val="0"/>
          <w:w w:val="100"/>
        </w:rPr>
        <w:t>本办法所称非常规水资源利用设施，是指非常规水资源的集水、供水、计量、检测设施、净化处理以及其他附属设施，包括雨水收集利用设施和再生水利用设施。</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jc w:val="both"/>
        <w:textAlignment w:val="auto"/>
        <w:rPr>
          <w:color w:val="auto"/>
          <w:spacing w:val="0"/>
          <w:w w:val="100"/>
        </w:rPr>
      </w:pPr>
      <w:r>
        <w:rPr>
          <w:rFonts w:hint="eastAsia" w:ascii="黑体" w:eastAsia="黑体"/>
          <w:color w:val="auto"/>
          <w:spacing w:val="0"/>
          <w:w w:val="100"/>
        </w:rPr>
        <w:t xml:space="preserve">第四条 </w:t>
      </w:r>
      <w:r>
        <w:rPr>
          <w:rFonts w:hint="eastAsia" w:ascii="黑体" w:eastAsia="黑体"/>
          <w:color w:val="auto"/>
          <w:spacing w:val="0"/>
          <w:w w:val="100"/>
          <w:lang w:val="en-US" w:eastAsia="zh-CN"/>
        </w:rPr>
        <w:t xml:space="preserve"> </w:t>
      </w:r>
      <w:r>
        <w:rPr>
          <w:color w:val="auto"/>
          <w:spacing w:val="0"/>
          <w:w w:val="100"/>
        </w:rPr>
        <w:t>县</w:t>
      </w:r>
      <w:r>
        <w:rPr>
          <w:rFonts w:hint="eastAsia"/>
          <w:color w:val="auto"/>
          <w:spacing w:val="0"/>
          <w:w w:val="100"/>
          <w:lang w:eastAsia="zh-CN"/>
        </w:rPr>
        <w:t>（</w:t>
      </w:r>
      <w:r>
        <w:rPr>
          <w:rFonts w:hint="eastAsia"/>
          <w:color w:val="auto"/>
          <w:spacing w:val="0"/>
          <w:w w:val="100"/>
          <w:lang w:val="en-US" w:eastAsia="zh-CN"/>
        </w:rPr>
        <w:t>市、区</w:t>
      </w:r>
      <w:r>
        <w:rPr>
          <w:rFonts w:hint="eastAsia"/>
          <w:color w:val="auto"/>
          <w:spacing w:val="0"/>
          <w:w w:val="100"/>
          <w:lang w:eastAsia="zh-CN"/>
        </w:rPr>
        <w:t>）</w:t>
      </w:r>
      <w:r>
        <w:rPr>
          <w:color w:val="auto"/>
          <w:spacing w:val="0"/>
          <w:w w:val="100"/>
        </w:rPr>
        <w:t>人民政府节水行政主管部门依照职能负责本县</w:t>
      </w:r>
      <w:r>
        <w:rPr>
          <w:rFonts w:hint="eastAsia"/>
          <w:color w:val="auto"/>
          <w:spacing w:val="0"/>
          <w:w w:val="100"/>
          <w:lang w:eastAsia="zh-CN"/>
        </w:rPr>
        <w:t>（</w:t>
      </w:r>
      <w:r>
        <w:rPr>
          <w:rFonts w:hint="eastAsia"/>
          <w:color w:val="auto"/>
          <w:spacing w:val="0"/>
          <w:w w:val="100"/>
          <w:lang w:val="en-US" w:eastAsia="zh-CN"/>
        </w:rPr>
        <w:t>市、区</w:t>
      </w:r>
      <w:r>
        <w:rPr>
          <w:rFonts w:hint="eastAsia"/>
          <w:color w:val="auto"/>
          <w:spacing w:val="0"/>
          <w:w w:val="100"/>
          <w:lang w:eastAsia="zh-CN"/>
        </w:rPr>
        <w:t>）</w:t>
      </w:r>
      <w:r>
        <w:rPr>
          <w:color w:val="auto"/>
          <w:spacing w:val="0"/>
          <w:w w:val="100"/>
        </w:rPr>
        <w:t>行政区域内的非常规水资源的监督、指导工作，各相关职能部门根据职责，做好非常规水源管理工作。</w:t>
      </w:r>
    </w:p>
    <w:p>
      <w:pPr>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textAlignment w:val="auto"/>
        <w:rPr>
          <w:rFonts w:hint="eastAsia" w:ascii="仿宋" w:hAnsi="仿宋" w:eastAsia="仿宋" w:cs="仿宋"/>
          <w:spacing w:val="0"/>
          <w:w w:val="100"/>
          <w:sz w:val="32"/>
          <w:szCs w:val="32"/>
        </w:rPr>
      </w:pPr>
      <w:r>
        <w:rPr>
          <w:rFonts w:hint="eastAsia" w:ascii="黑体" w:hAnsi="黑体" w:eastAsia="黑体" w:cs="黑体"/>
          <w:spacing w:val="0"/>
          <w:w w:val="100"/>
          <w:sz w:val="32"/>
          <w:szCs w:val="32"/>
        </w:rPr>
        <w:t>第五条</w:t>
      </w:r>
      <w:r>
        <w:rPr>
          <w:rFonts w:hint="eastAsia" w:ascii="仿宋" w:hAnsi="仿宋" w:eastAsia="仿宋" w:cs="仿宋"/>
          <w:spacing w:val="0"/>
          <w:w w:val="100"/>
          <w:sz w:val="32"/>
          <w:szCs w:val="32"/>
        </w:rPr>
        <w:t xml:space="preserve"> </w:t>
      </w:r>
      <w:r>
        <w:rPr>
          <w:rFonts w:hint="eastAsia" w:ascii="仿宋" w:hAnsi="仿宋" w:eastAsia="仿宋" w:cs="仿宋"/>
          <w:spacing w:val="0"/>
          <w:w w:val="100"/>
          <w:sz w:val="32"/>
          <w:szCs w:val="32"/>
          <w:lang w:val="en-US" w:eastAsia="zh-CN"/>
        </w:rPr>
        <w:t xml:space="preserve"> </w:t>
      </w:r>
      <w:r>
        <w:rPr>
          <w:rFonts w:hint="eastAsia" w:ascii="仿宋" w:hAnsi="仿宋" w:eastAsia="仿宋" w:cs="仿宋"/>
          <w:spacing w:val="0"/>
          <w:w w:val="100"/>
          <w:sz w:val="32"/>
          <w:szCs w:val="32"/>
        </w:rPr>
        <w:t>下列用水领域应当优先使用非常规水资源:</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textAlignment w:val="auto"/>
        <w:rPr>
          <w:color w:val="auto"/>
          <w:spacing w:val="0"/>
        </w:rPr>
      </w:pPr>
      <w:r>
        <w:rPr>
          <w:rFonts w:hint="eastAsia" w:ascii="仿宋" w:hAnsi="仿宋" w:eastAsia="仿宋" w:cs="仿宋"/>
          <w:spacing w:val="0"/>
          <w:w w:val="100"/>
          <w:sz w:val="32"/>
          <w:szCs w:val="32"/>
        </w:rPr>
        <w:t>（一）钢铁、火电、化工、制浆造纸、印染、电镀等高耗</w:t>
      </w:r>
      <w:r>
        <w:rPr>
          <w:color w:val="auto"/>
          <w:spacing w:val="0"/>
        </w:rPr>
        <w:t>水企业用水;</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textAlignment w:val="auto"/>
        <w:rPr>
          <w:color w:val="auto"/>
          <w:spacing w:val="0"/>
        </w:rPr>
      </w:pPr>
      <w:r>
        <w:rPr>
          <w:color w:val="auto"/>
          <w:spacing w:val="0"/>
        </w:rPr>
        <w:t>（二）城市绿化、冲厕、道路清洗、车辆冲洗、建筑施工、消防等城市杂用水;</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textAlignment w:val="auto"/>
        <w:rPr>
          <w:color w:val="auto"/>
          <w:spacing w:val="0"/>
        </w:rPr>
      </w:pPr>
      <w:r>
        <w:rPr>
          <w:color w:val="auto"/>
          <w:spacing w:val="0"/>
        </w:rPr>
        <w:t>（三）娱乐性、观赏性、湿地等环境用水;</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textAlignment w:val="auto"/>
        <w:rPr>
          <w:color w:val="auto"/>
          <w:spacing w:val="0"/>
        </w:rPr>
      </w:pPr>
      <w:r>
        <w:rPr>
          <w:color w:val="auto"/>
          <w:spacing w:val="0"/>
        </w:rPr>
        <w:t>（四）冷却水、初级洗涤、锅炉、工艺等工业用水;</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textAlignment w:val="auto"/>
        <w:rPr>
          <w:color w:val="auto"/>
          <w:spacing w:val="0"/>
        </w:rPr>
      </w:pPr>
      <w:r>
        <w:rPr>
          <w:color w:val="auto"/>
          <w:spacing w:val="0"/>
        </w:rPr>
        <w:t>（五）农田灌溉、植树造林等农、林业用水;</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textAlignment w:val="auto"/>
        <w:rPr>
          <w:color w:val="auto"/>
          <w:spacing w:val="0"/>
        </w:rPr>
      </w:pPr>
      <w:r>
        <w:rPr>
          <w:color w:val="auto"/>
          <w:spacing w:val="0"/>
        </w:rPr>
        <w:t>（六）地表水等补充水源水。</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jc w:val="both"/>
        <w:textAlignment w:val="auto"/>
        <w:rPr>
          <w:rFonts w:hint="eastAsia" w:ascii="仿宋" w:hAnsi="仿宋" w:eastAsia="仿宋" w:cs="仿宋"/>
          <w:color w:val="auto"/>
          <w:spacing w:val="0"/>
          <w:sz w:val="32"/>
          <w:szCs w:val="32"/>
        </w:rPr>
      </w:pPr>
      <w:r>
        <w:rPr>
          <w:rFonts w:hint="eastAsia" w:ascii="黑体" w:hAnsi="黑体" w:eastAsia="黑体" w:cs="黑体"/>
          <w:color w:val="auto"/>
          <w:spacing w:val="0"/>
          <w:sz w:val="32"/>
          <w:szCs w:val="32"/>
        </w:rPr>
        <w:t>第六条</w:t>
      </w:r>
      <w:r>
        <w:rPr>
          <w:rFonts w:hint="eastAsia" w:ascii="仿宋" w:hAnsi="仿宋" w:eastAsia="仿宋" w:cs="仿宋"/>
          <w:color w:val="auto"/>
          <w:spacing w:val="0"/>
          <w:sz w:val="32"/>
          <w:szCs w:val="32"/>
        </w:rPr>
        <w:t xml:space="preserve"> </w:t>
      </w:r>
      <w:r>
        <w:rPr>
          <w:rFonts w:hint="eastAsia" w:ascii="仿宋" w:hAnsi="仿宋" w:eastAsia="仿宋" w:cs="仿宋"/>
          <w:color w:val="auto"/>
          <w:spacing w:val="0"/>
          <w:sz w:val="32"/>
          <w:szCs w:val="32"/>
          <w:lang w:val="en-US" w:eastAsia="zh-CN"/>
        </w:rPr>
        <w:t xml:space="preserve"> </w:t>
      </w:r>
      <w:r>
        <w:rPr>
          <w:rFonts w:hint="eastAsia" w:ascii="仿宋" w:hAnsi="仿宋" w:eastAsia="仿宋" w:cs="仿宋"/>
          <w:color w:val="auto"/>
          <w:spacing w:val="0"/>
          <w:sz w:val="32"/>
          <w:szCs w:val="32"/>
        </w:rPr>
        <w:t>新建、改建、扩建项目配套建设非常规水资源利用设施的，其建设资金应当列入建设项目总投资，由建设单位按照规划要求组织建设，并与主体工程同时设计、同时施工、同时投入使用。</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jc w:val="both"/>
        <w:textAlignment w:val="auto"/>
        <w:rPr>
          <w:rFonts w:hint="eastAsia" w:ascii="仿宋" w:hAnsi="仿宋" w:eastAsia="仿宋" w:cs="仿宋"/>
          <w:color w:val="auto"/>
          <w:spacing w:val="0"/>
          <w:sz w:val="32"/>
          <w:szCs w:val="32"/>
        </w:rPr>
      </w:pPr>
      <w:r>
        <w:rPr>
          <w:rFonts w:hint="eastAsia" w:ascii="黑体" w:hAnsi="黑体" w:eastAsia="黑体" w:cs="黑体"/>
          <w:color w:val="auto"/>
          <w:spacing w:val="0"/>
          <w:sz w:val="32"/>
          <w:szCs w:val="32"/>
        </w:rPr>
        <w:t>第七条</w:t>
      </w:r>
      <w:r>
        <w:rPr>
          <w:rFonts w:hint="eastAsia" w:ascii="仿宋" w:hAnsi="仿宋" w:eastAsia="仿宋" w:cs="仿宋"/>
          <w:color w:val="auto"/>
          <w:spacing w:val="0"/>
          <w:sz w:val="32"/>
          <w:szCs w:val="32"/>
        </w:rPr>
        <w:t xml:space="preserve"> </w:t>
      </w:r>
      <w:r>
        <w:rPr>
          <w:rFonts w:hint="eastAsia" w:ascii="仿宋" w:hAnsi="仿宋" w:eastAsia="仿宋" w:cs="仿宋"/>
          <w:color w:val="auto"/>
          <w:spacing w:val="0"/>
          <w:sz w:val="32"/>
          <w:szCs w:val="32"/>
          <w:lang w:val="en-US" w:eastAsia="zh-CN"/>
        </w:rPr>
        <w:t xml:space="preserve"> </w:t>
      </w:r>
      <w:r>
        <w:rPr>
          <w:rFonts w:hint="eastAsia" w:ascii="仿宋" w:hAnsi="仿宋" w:eastAsia="仿宋" w:cs="仿宋"/>
          <w:color w:val="auto"/>
          <w:spacing w:val="0"/>
          <w:sz w:val="32"/>
          <w:szCs w:val="32"/>
        </w:rPr>
        <w:t>非常规水资源利用设施实行“谁投资谁受益”的原则，鼓励单位和个人以独资、合资合作方式建设使用非常规水资源利用设施。</w:t>
      </w:r>
    </w:p>
    <w:p>
      <w:pPr>
        <w:pStyle w:val="2"/>
        <w:keepNext w:val="0"/>
        <w:keepLines w:val="0"/>
        <w:pageBreakBefore w:val="0"/>
        <w:widowControl w:val="0"/>
        <w:tabs>
          <w:tab w:val="left" w:pos="2028"/>
        </w:tabs>
        <w:kinsoku/>
        <w:wordWrap/>
        <w:overflowPunct/>
        <w:topLinePunct w:val="0"/>
        <w:autoSpaceDE w:val="0"/>
        <w:autoSpaceDN w:val="0"/>
        <w:bidi w:val="0"/>
        <w:adjustRightInd/>
        <w:snapToGrid/>
        <w:spacing w:before="0" w:line="240" w:lineRule="auto"/>
        <w:ind w:left="0" w:right="0" w:firstLine="640" w:firstLineChars="200"/>
        <w:textAlignment w:val="auto"/>
        <w:rPr>
          <w:rFonts w:hint="eastAsia" w:ascii="仿宋" w:hAnsi="仿宋" w:eastAsia="仿宋" w:cs="仿宋"/>
          <w:color w:val="auto"/>
          <w:spacing w:val="0"/>
          <w:sz w:val="32"/>
          <w:szCs w:val="32"/>
        </w:rPr>
      </w:pPr>
      <w:r>
        <w:rPr>
          <w:rFonts w:hint="eastAsia" w:ascii="黑体" w:hAnsi="黑体" w:eastAsia="黑体" w:cs="黑体"/>
          <w:color w:val="auto"/>
          <w:spacing w:val="0"/>
          <w:sz w:val="32"/>
          <w:szCs w:val="32"/>
        </w:rPr>
        <w:t>第八条</w:t>
      </w:r>
      <w:r>
        <w:rPr>
          <w:rFonts w:hint="eastAsia" w:ascii="仿宋" w:hAnsi="仿宋" w:eastAsia="仿宋" w:cs="仿宋"/>
          <w:color w:val="auto"/>
          <w:spacing w:val="0"/>
          <w:sz w:val="32"/>
          <w:szCs w:val="32"/>
          <w:lang w:val="en-US" w:eastAsia="zh-CN"/>
        </w:rPr>
        <w:t xml:space="preserve">  </w:t>
      </w:r>
      <w:r>
        <w:rPr>
          <w:rFonts w:hint="eastAsia" w:ascii="仿宋" w:hAnsi="仿宋" w:eastAsia="仿宋" w:cs="仿宋"/>
          <w:color w:val="auto"/>
          <w:spacing w:val="0"/>
          <w:sz w:val="32"/>
          <w:szCs w:val="32"/>
        </w:rPr>
        <w:t>有条件使用再生水的单位，应当优先使用再生水。城市绿化、环境卫生等市政用水以及生态景观用水应当优先使用再生水、雨水等非常规水源。</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jc w:val="both"/>
        <w:textAlignment w:val="auto"/>
        <w:rPr>
          <w:rFonts w:hint="eastAsia" w:ascii="仿宋" w:hAnsi="仿宋" w:eastAsia="仿宋" w:cs="仿宋"/>
          <w:color w:val="auto"/>
          <w:spacing w:val="0"/>
          <w:sz w:val="32"/>
          <w:szCs w:val="32"/>
        </w:rPr>
      </w:pPr>
      <w:r>
        <w:rPr>
          <w:rFonts w:hint="eastAsia" w:ascii="黑体" w:hAnsi="黑体" w:eastAsia="黑体" w:cs="黑体"/>
          <w:color w:val="auto"/>
          <w:spacing w:val="0"/>
          <w:sz w:val="32"/>
          <w:szCs w:val="32"/>
        </w:rPr>
        <w:t>第九条</w:t>
      </w:r>
      <w:r>
        <w:rPr>
          <w:rFonts w:hint="eastAsia" w:ascii="仿宋" w:hAnsi="仿宋" w:eastAsia="仿宋" w:cs="仿宋"/>
          <w:color w:val="auto"/>
          <w:spacing w:val="0"/>
          <w:sz w:val="32"/>
          <w:szCs w:val="32"/>
        </w:rPr>
        <w:t xml:space="preserve"> </w:t>
      </w:r>
      <w:r>
        <w:rPr>
          <w:rFonts w:hint="eastAsia" w:ascii="仿宋" w:hAnsi="仿宋" w:eastAsia="仿宋" w:cs="仿宋"/>
          <w:color w:val="auto"/>
          <w:spacing w:val="0"/>
          <w:sz w:val="32"/>
          <w:szCs w:val="32"/>
          <w:lang w:val="en-US" w:eastAsia="zh-CN"/>
        </w:rPr>
        <w:t xml:space="preserve"> </w:t>
      </w:r>
      <w:r>
        <w:rPr>
          <w:rFonts w:hint="eastAsia" w:ascii="仿宋" w:hAnsi="仿宋" w:eastAsia="仿宋" w:cs="仿宋"/>
          <w:color w:val="auto"/>
          <w:spacing w:val="0"/>
          <w:sz w:val="32"/>
          <w:szCs w:val="32"/>
        </w:rPr>
        <w:t>单体建筑面积超过2万平方米以及其他符合国家规定条件的新建公共建筑，应当在国家和省规定的期限内安装建设雨水净化、渗透、收集系统或者再生水利用设施。</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textAlignment w:val="auto"/>
        <w:rPr>
          <w:color w:val="auto"/>
        </w:rPr>
      </w:pPr>
      <w:r>
        <w:rPr>
          <w:rFonts w:hint="eastAsia" w:ascii="黑体" w:hAnsi="黑体" w:eastAsia="黑体" w:cs="黑体"/>
          <w:color w:val="auto"/>
          <w:spacing w:val="0"/>
          <w:sz w:val="32"/>
          <w:szCs w:val="32"/>
        </w:rPr>
        <w:t>第十条</w:t>
      </w:r>
      <w:r>
        <w:rPr>
          <w:rFonts w:hint="eastAsia" w:ascii="仿宋" w:hAnsi="仿宋" w:eastAsia="仿宋" w:cs="仿宋"/>
          <w:color w:val="auto"/>
          <w:spacing w:val="0"/>
          <w:sz w:val="32"/>
          <w:szCs w:val="32"/>
        </w:rPr>
        <w:t xml:space="preserve"> </w:t>
      </w:r>
      <w:r>
        <w:rPr>
          <w:rFonts w:hint="eastAsia" w:ascii="仿宋" w:hAnsi="仿宋" w:eastAsia="仿宋" w:cs="仿宋"/>
          <w:color w:val="auto"/>
          <w:spacing w:val="0"/>
          <w:sz w:val="32"/>
          <w:szCs w:val="32"/>
          <w:lang w:val="en-US" w:eastAsia="zh-CN"/>
        </w:rPr>
        <w:t xml:space="preserve"> </w:t>
      </w:r>
      <w:r>
        <w:rPr>
          <w:rFonts w:hint="eastAsia" w:ascii="仿宋" w:hAnsi="仿宋" w:eastAsia="仿宋" w:cs="仿宋"/>
          <w:color w:val="auto"/>
          <w:spacing w:val="0"/>
          <w:sz w:val="32"/>
          <w:szCs w:val="32"/>
        </w:rPr>
        <w:t>雨水收集利用设施的设计、施工，应结合低影响开发模式，严格按照《建筑与小区雨水控制及利用工程技术规范》(GB 50400-2016)和国家及地方相关标准、规范的规定，建</w:t>
      </w:r>
      <w:r>
        <w:rPr>
          <w:color w:val="auto"/>
        </w:rPr>
        <w:t>设滞、渗、蓄、用、排相结合的雨水收集利用设施，在建设工程地面硬化后不增加建设区域内雨水径流量和外排总量。</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黑体" w:hAnsi="黑体" w:eastAsia="黑体" w:cs="黑体"/>
          <w:color w:val="auto"/>
          <w:spacing w:val="0"/>
          <w:w w:val="100"/>
          <w:sz w:val="32"/>
          <w:szCs w:val="32"/>
        </w:rPr>
        <w:t>第十一条</w:t>
      </w:r>
      <w:r>
        <w:rPr>
          <w:rFonts w:hint="eastAsia" w:ascii="仿宋" w:hAnsi="仿宋" w:eastAsia="仿宋" w:cs="仿宋"/>
          <w:color w:val="auto"/>
          <w:spacing w:val="0"/>
          <w:w w:val="100"/>
          <w:sz w:val="32"/>
          <w:szCs w:val="32"/>
        </w:rPr>
        <w:t xml:space="preserve"> </w:t>
      </w:r>
      <w:r>
        <w:rPr>
          <w:rFonts w:hint="eastAsia" w:ascii="仿宋" w:hAnsi="仿宋" w:eastAsia="仿宋" w:cs="仿宋"/>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雨水收集利用应当因地制宜，要结合雨水集蓄利用（直接利用）、入渗回补（间接利用）和调蓄排放等方式综合利用。</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（一）利用类型为建筑物屋顶，其雨水应当集中引入蓄水设施处理后利用，或引入地面透水区域如绿地、透水路面进行入渗回补;</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（二）利用类型为庭院、广场、公园、人行道等，应当按 照建设标准选用透水材料或建设低影响模式设施，将雨水引入透水区域入渗回补，或引入蓄水设施处理利用;</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（三）利用类型为城市道路及高架桥梁等市政基础设施，其路面雨水应当结合沿线的绿化灌溉设计建设雨水收集利用设施，并充分利用道路雨水管网，统筹规划建设雨水收集利用系统。</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 w:hAnsi="仿宋" w:eastAsia="仿宋" w:cs="仿宋"/>
          <w:color w:val="auto"/>
          <w:spacing w:val="0"/>
          <w:w w:val="100"/>
          <w:sz w:val="32"/>
          <w:szCs w:val="32"/>
        </w:rPr>
      </w:pPr>
      <w:r>
        <w:rPr>
          <w:rFonts w:hint="eastAsia" w:ascii="黑体" w:hAnsi="黑体" w:eastAsia="黑体" w:cs="黑体"/>
          <w:sz w:val="32"/>
          <w:szCs w:val="32"/>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雨水主要用于农业灌溉、工业用水、生活杂用水、城市景观生态用水。</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雨水水质应当根据用途决定，除达到《建筑与小区雨水控制及利用工程技术规范》（GB50400-2016）规定水质标准外，还应当符合国家现行相关标准。</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有多用途的，其水质标准应当按最高水质标准确定。</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黑体" w:hAnsi="黑体" w:eastAsia="黑体" w:cs="黑体"/>
          <w:color w:val="auto"/>
          <w:spacing w:val="0"/>
          <w:w w:val="100"/>
          <w:sz w:val="32"/>
          <w:szCs w:val="32"/>
        </w:rPr>
        <w:t>第十三条</w:t>
      </w:r>
      <w:r>
        <w:rPr>
          <w:rFonts w:hint="eastAsia" w:ascii="仿宋" w:hAnsi="仿宋" w:eastAsia="仿宋" w:cs="仿宋"/>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雨水收集利用设施的建设单位、管理单位或者物业管理企业，应按照《建筑与小区雨水控制及利用工程技术规范》（GB50400-2016）规定，加强对设施、设备的维护和管理，确保其正常运行。</w:t>
      </w:r>
    </w:p>
    <w:p>
      <w:pPr>
        <w:pStyle w:val="2"/>
        <w:keepNext w:val="0"/>
        <w:keepLines w:val="0"/>
        <w:pageBreakBefore w:val="0"/>
        <w:widowControl w:val="0"/>
        <w:tabs>
          <w:tab w:val="left" w:pos="2347"/>
        </w:tabs>
        <w:kinsoku/>
        <w:wordWrap/>
        <w:overflowPunct/>
        <w:topLinePunct w:val="0"/>
        <w:autoSpaceDE w:val="0"/>
        <w:autoSpaceDN w:val="0"/>
        <w:bidi w:val="0"/>
        <w:adjustRightInd/>
        <w:snapToGrid/>
        <w:spacing w:before="0"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黑体" w:hAnsi="黑体" w:eastAsia="黑体" w:cs="黑体"/>
          <w:color w:val="auto"/>
          <w:spacing w:val="0"/>
          <w:w w:val="100"/>
          <w:sz w:val="32"/>
          <w:szCs w:val="32"/>
        </w:rPr>
        <w:t>第十四条</w:t>
      </w:r>
      <w:r>
        <w:rPr>
          <w:rFonts w:hint="eastAsia" w:ascii="仿宋" w:hAnsi="仿宋" w:eastAsia="仿宋" w:cs="仿宋"/>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再生水水源主要有:</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（一）生活污水;</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（二）城市污水处理厂出水;</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（三）符合再生水标准、安全、相对洁净的工业排水。电镀、化工、印染等有毒有害的工业废水、医疗机构废水</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和放射性废水等严禁作为再生水水源。</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黑体" w:hAnsi="黑体" w:eastAsia="黑体" w:cs="黑体"/>
          <w:color w:val="auto"/>
          <w:spacing w:val="0"/>
          <w:w w:val="100"/>
          <w:sz w:val="32"/>
          <w:szCs w:val="32"/>
        </w:rPr>
        <w:t>第十五条</w:t>
      </w:r>
      <w:r>
        <w:rPr>
          <w:rFonts w:hint="eastAsia" w:ascii="仿宋" w:hAnsi="仿宋" w:eastAsia="仿宋" w:cs="仿宋"/>
          <w:color w:val="auto"/>
          <w:spacing w:val="0"/>
          <w:w w:val="100"/>
          <w:sz w:val="32"/>
          <w:szCs w:val="32"/>
        </w:rPr>
        <w:t xml:space="preserve"> </w:t>
      </w:r>
      <w:r>
        <w:rPr>
          <w:rFonts w:hint="eastAsia" w:ascii="仿宋" w:hAnsi="仿宋" w:eastAsia="仿宋" w:cs="仿宋"/>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本市将再生水纳入水资源统一配置。实行地表水、地下水、再生水等联合调度、总量控制。</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黑体" w:hAnsi="黑体" w:eastAsia="黑体" w:cs="黑体"/>
          <w:color w:val="auto"/>
          <w:spacing w:val="0"/>
          <w:w w:val="100"/>
          <w:sz w:val="32"/>
          <w:szCs w:val="32"/>
        </w:rPr>
        <w:t>第十六条</w:t>
      </w:r>
      <w:r>
        <w:rPr>
          <w:rFonts w:hint="eastAsia" w:ascii="仿宋" w:hAnsi="仿宋" w:eastAsia="仿宋" w:cs="仿宋"/>
          <w:color w:val="auto"/>
          <w:spacing w:val="0"/>
          <w:w w:val="100"/>
          <w:sz w:val="32"/>
          <w:szCs w:val="32"/>
        </w:rPr>
        <w:t xml:space="preserve"> </w:t>
      </w:r>
      <w:r>
        <w:rPr>
          <w:rFonts w:hint="eastAsia" w:ascii="仿宋" w:hAnsi="仿宋" w:eastAsia="仿宋" w:cs="仿宋"/>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再生水利用设施的建设要按照因地制宜、以集中建设为主、集中与分散建设相结合的原则。</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编制城市规划或者进行城市建设，应为再生水利用设施预留建设用地，新建、改建、扩建城市道路，应当按照再生水利用规划的要求，铺设再生水利用管线。</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鼓励新建城市污水处理厂配套建设再生水利用和输配设施。</w:t>
      </w:r>
    </w:p>
    <w:p>
      <w:pPr>
        <w:pStyle w:val="2"/>
        <w:keepNext w:val="0"/>
        <w:keepLines w:val="0"/>
        <w:pageBreakBefore w:val="0"/>
        <w:widowControl w:val="0"/>
        <w:tabs>
          <w:tab w:val="left" w:pos="2369"/>
        </w:tabs>
        <w:kinsoku/>
        <w:wordWrap/>
        <w:overflowPunct/>
        <w:topLinePunct w:val="0"/>
        <w:autoSpaceDE w:val="0"/>
        <w:autoSpaceDN w:val="0"/>
        <w:bidi w:val="0"/>
        <w:adjustRightInd/>
        <w:snapToGrid/>
        <w:spacing w:before="0"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黑体" w:hAnsi="黑体" w:eastAsia="黑体" w:cs="黑体"/>
          <w:color w:val="auto"/>
          <w:spacing w:val="0"/>
          <w:w w:val="100"/>
          <w:sz w:val="32"/>
          <w:szCs w:val="32"/>
        </w:rPr>
        <w:t>第十七条</w:t>
      </w:r>
      <w:r>
        <w:rPr>
          <w:rFonts w:hint="eastAsia" w:ascii="仿宋" w:hAnsi="仿宋" w:eastAsia="仿宋" w:cs="仿宋"/>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鼓励日用水量超过 250 立方米的工业企业单位</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建设项目及政府投资的公益性项目、大型公共建筑（指单体建筑面积2万平方米以上的公共建筑）、建筑面积10万平方米以上的住宅小区、财政性投资的保障性住房等“四类建筑”配套建设再生水利用设施。</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黑体" w:hAnsi="黑体" w:eastAsia="黑体" w:cs="黑体"/>
          <w:color w:val="auto"/>
          <w:spacing w:val="0"/>
          <w:w w:val="100"/>
          <w:sz w:val="32"/>
          <w:szCs w:val="32"/>
        </w:rPr>
        <w:t>第十八条</w:t>
      </w:r>
      <w:r>
        <w:rPr>
          <w:rFonts w:hint="eastAsia" w:ascii="仿宋" w:hAnsi="仿宋" w:eastAsia="仿宋" w:cs="仿宋"/>
          <w:color w:val="auto"/>
          <w:spacing w:val="0"/>
          <w:w w:val="100"/>
          <w:sz w:val="32"/>
          <w:szCs w:val="32"/>
        </w:rPr>
        <w:t xml:space="preserve"> </w:t>
      </w:r>
      <w:r>
        <w:rPr>
          <w:rFonts w:hint="eastAsia" w:ascii="仿宋" w:hAnsi="仿宋" w:eastAsia="仿宋" w:cs="仿宋"/>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各级要加大财政资金投入力度，大力实施再生水资源利用规划和再生水资源利用设施建设发展规划。加快再生水利用设施建设进度，完善再生水利用设施系统，做到管网配套。</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黑体" w:hAnsi="黑体" w:eastAsia="黑体" w:cs="黑体"/>
          <w:color w:val="auto"/>
          <w:spacing w:val="0"/>
          <w:w w:val="100"/>
          <w:sz w:val="32"/>
          <w:szCs w:val="32"/>
        </w:rPr>
        <w:t>第十九条</w:t>
      </w:r>
      <w:r>
        <w:rPr>
          <w:rFonts w:hint="eastAsia" w:ascii="仿宋" w:hAnsi="仿宋" w:eastAsia="仿宋" w:cs="仿宋"/>
          <w:color w:val="auto"/>
          <w:spacing w:val="0"/>
          <w:w w:val="100"/>
          <w:sz w:val="32"/>
          <w:szCs w:val="32"/>
        </w:rPr>
        <w:t xml:space="preserve"> </w:t>
      </w:r>
      <w:r>
        <w:rPr>
          <w:rFonts w:hint="eastAsia" w:ascii="仿宋" w:hAnsi="仿宋" w:eastAsia="仿宋" w:cs="仿宋"/>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再生水水质应达到下列标准:</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（一）用作道路清洁、消防、城市绿化、建筑施工、车辆清洗、厕所冲洗等城市杂用水的应达到《城市污水再生水利用城市杂用水水质》（GB/T 18920-2002）规定，其中城市绿化中的绿地用水应达到《城市污水再生利用绿地灌溉水质》（GBIT25499 一 2010）的规定；</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jc w:val="both"/>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（二）用作娱乐性、观赏性景观环境用水的应当达到《城市污水再生利用景观环境用水水质》（GB/T 18921-2002）的规定;</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textAlignment w:val="auto"/>
        <w:rPr>
          <w:rFonts w:hint="eastAsia" w:ascii="仿宋" w:hAnsi="仿宋" w:eastAsia="仿宋" w:cs="仿宋"/>
          <w:color w:val="auto"/>
          <w:spacing w:val="0"/>
          <w:w w:val="100"/>
          <w:sz w:val="32"/>
          <w:szCs w:val="32"/>
          <w:lang w:val="en-US" w:eastAsia="zh-CN"/>
        </w:rPr>
      </w:pPr>
      <w:r>
        <w:rPr>
          <w:rFonts w:hint="eastAsia" w:ascii="仿宋" w:hAnsi="仿宋" w:eastAsia="仿宋" w:cs="仿宋"/>
          <w:color w:val="auto"/>
          <w:spacing w:val="0"/>
          <w:w w:val="100"/>
          <w:sz w:val="32"/>
          <w:szCs w:val="32"/>
        </w:rPr>
        <w:t>（三）用于农业灌溉用水的应达到《农业灌溉水质标准》（GB 5084-2005）、《城市污水再生利用农田灌溉用水水质》（GB</w:t>
      </w:r>
      <w:r>
        <w:rPr>
          <w:rFonts w:hint="eastAsia" w:ascii="仿宋" w:hAnsi="仿宋" w:eastAsia="仿宋" w:cs="仿宋"/>
          <w:color w:val="auto"/>
          <w:spacing w:val="0"/>
          <w:w w:val="100"/>
          <w:sz w:val="32"/>
          <w:szCs w:val="32"/>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right="0"/>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20922-2007）标准的规定;</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（四）用于工业领域的冷却洗涤、锅炉工业用水的应达到《再生水水质标准》（SL 368-2006）、《城市污水再生利用工业用水水质》（GB/T 19923-2005）的规定。</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textAlignment w:val="auto"/>
        <w:rPr>
          <w:rFonts w:hint="eastAsia" w:ascii="仿宋" w:hAnsi="仿宋" w:eastAsia="仿宋" w:cs="仿宋"/>
          <w:color w:val="auto"/>
          <w:spacing w:val="0"/>
          <w:w w:val="100"/>
          <w:sz w:val="32"/>
          <w:szCs w:val="32"/>
        </w:rPr>
      </w:pPr>
      <w:r>
        <w:rPr>
          <w:rFonts w:hint="eastAsia" w:ascii="仿宋" w:hAnsi="仿宋" w:eastAsia="仿宋" w:cs="仿宋"/>
          <w:color w:val="auto"/>
          <w:spacing w:val="0"/>
          <w:w w:val="100"/>
          <w:sz w:val="32"/>
          <w:szCs w:val="32"/>
        </w:rPr>
        <w:t>再生水利用系统有各种用途时，再生水水质标准应当按最高使用标准确定。</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再生水销售价格实行市场调节价，由经营者依法自主制定。</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textAlignment w:val="auto"/>
        <w:rPr>
          <w:color w:val="auto"/>
          <w:spacing w:val="0"/>
          <w:w w:val="100"/>
        </w:rPr>
      </w:pPr>
      <w:r>
        <w:rPr>
          <w:rFonts w:hint="eastAsia" w:ascii="黑体" w:hAnsi="黑体" w:eastAsia="黑体" w:cs="黑体"/>
          <w:color w:val="auto"/>
          <w:spacing w:val="0"/>
          <w:w w:val="100"/>
          <w:sz w:val="32"/>
          <w:szCs w:val="32"/>
        </w:rPr>
        <w:t>第二十一条</w:t>
      </w:r>
      <w:r>
        <w:rPr>
          <w:rFonts w:hint="eastAsia" w:ascii="仿宋" w:hAnsi="仿宋" w:eastAsia="仿宋" w:cs="仿宋"/>
          <w:color w:val="auto"/>
          <w:spacing w:val="0"/>
          <w:w w:val="100"/>
          <w:sz w:val="32"/>
          <w:szCs w:val="32"/>
          <w:lang w:val="en-US" w:eastAsia="zh-CN"/>
        </w:rPr>
        <w:t xml:space="preserve">  </w:t>
      </w:r>
      <w:r>
        <w:rPr>
          <w:rFonts w:hint="eastAsia" w:ascii="仿宋" w:hAnsi="仿宋" w:eastAsia="仿宋" w:cs="仿宋"/>
          <w:color w:val="auto"/>
          <w:spacing w:val="0"/>
          <w:w w:val="100"/>
          <w:sz w:val="32"/>
          <w:szCs w:val="32"/>
        </w:rPr>
        <w:t>非常规水资源利用设施的日常运行、管理和</w:t>
      </w:r>
      <w:r>
        <w:rPr>
          <w:color w:val="auto"/>
          <w:spacing w:val="0"/>
          <w:w w:val="100"/>
        </w:rPr>
        <w:t>维护，由非常规水资源利用设施运行单位负责。</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textAlignment w:val="auto"/>
        <w:rPr>
          <w:color w:val="auto"/>
          <w:spacing w:val="0"/>
          <w:w w:val="100"/>
        </w:rPr>
      </w:pPr>
      <w:r>
        <w:rPr>
          <w:color w:val="auto"/>
          <w:spacing w:val="0"/>
          <w:w w:val="100"/>
        </w:rPr>
        <w:t>自建非常规水资源利用设施日常运行、管理和维护由所有权人或管理人负责。</w:t>
      </w:r>
    </w:p>
    <w:p>
      <w:pPr>
        <w:pStyle w:val="2"/>
        <w:keepNext w:val="0"/>
        <w:keepLines w:val="0"/>
        <w:pageBreakBefore w:val="0"/>
        <w:widowControl w:val="0"/>
        <w:tabs>
          <w:tab w:val="left" w:pos="2693"/>
        </w:tabs>
        <w:kinsoku/>
        <w:wordWrap/>
        <w:overflowPunct/>
        <w:topLinePunct w:val="0"/>
        <w:autoSpaceDE w:val="0"/>
        <w:autoSpaceDN w:val="0"/>
        <w:bidi w:val="0"/>
        <w:adjustRightInd/>
        <w:snapToGrid/>
        <w:spacing w:before="0" w:line="240" w:lineRule="auto"/>
        <w:ind w:left="0" w:right="0" w:firstLine="640" w:firstLineChars="200"/>
        <w:textAlignment w:val="auto"/>
        <w:rPr>
          <w:color w:val="auto"/>
          <w:spacing w:val="0"/>
          <w:w w:val="100"/>
        </w:rPr>
      </w:pPr>
      <w:r>
        <w:rPr>
          <w:rFonts w:hint="eastAsia" w:ascii="黑体" w:eastAsia="黑体"/>
          <w:color w:val="auto"/>
          <w:spacing w:val="0"/>
          <w:w w:val="100"/>
        </w:rPr>
        <w:t>第二十二条</w:t>
      </w:r>
      <w:r>
        <w:rPr>
          <w:rFonts w:hint="eastAsia" w:ascii="黑体" w:eastAsia="黑体"/>
          <w:color w:val="auto"/>
          <w:spacing w:val="0"/>
          <w:w w:val="100"/>
          <w:lang w:val="en-US" w:eastAsia="zh-CN"/>
        </w:rPr>
        <w:t xml:space="preserve">  </w:t>
      </w:r>
      <w:r>
        <w:rPr>
          <w:color w:val="auto"/>
          <w:spacing w:val="0"/>
          <w:w w:val="100"/>
        </w:rPr>
        <w:t>非常规水资源利用运行管理单位应建立非常规水资源运行、维护管理制度和工作规程，保证设施正常运行，不得擅自停止运行或停止供水。</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textAlignment w:val="auto"/>
        <w:rPr>
          <w:color w:val="auto"/>
          <w:spacing w:val="0"/>
          <w:w w:val="100"/>
        </w:rPr>
      </w:pPr>
      <w:r>
        <w:rPr>
          <w:color w:val="auto"/>
          <w:spacing w:val="0"/>
          <w:w w:val="100"/>
        </w:rPr>
        <w:t>因设施维护等原因需要停止运行或者供水的，应提前 24 小时通知用户，并向非常规水利用管理部门报告。</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jc w:val="both"/>
        <w:textAlignment w:val="auto"/>
        <w:rPr>
          <w:color w:val="auto"/>
          <w:spacing w:val="0"/>
          <w:w w:val="100"/>
        </w:rPr>
      </w:pPr>
      <w:r>
        <w:rPr>
          <w:rFonts w:hint="eastAsia" w:ascii="黑体" w:hAnsi="黑体" w:eastAsia="黑体"/>
          <w:color w:val="auto"/>
          <w:spacing w:val="0"/>
          <w:w w:val="100"/>
        </w:rPr>
        <w:t xml:space="preserve">第二十三条 </w:t>
      </w:r>
      <w:r>
        <w:rPr>
          <w:rFonts w:hint="eastAsia" w:ascii="黑体" w:hAnsi="黑体" w:eastAsia="黑体"/>
          <w:color w:val="auto"/>
          <w:spacing w:val="0"/>
          <w:w w:val="100"/>
          <w:lang w:val="en-US" w:eastAsia="zh-CN"/>
        </w:rPr>
        <w:t xml:space="preserve"> </w:t>
      </w:r>
      <w:r>
        <w:rPr>
          <w:color w:val="auto"/>
          <w:spacing w:val="0"/>
          <w:w w:val="100"/>
        </w:rPr>
        <w:t>非常规水资源供水系统和自来水供水系统应当相互独立，非常规水资源利用设施和管线应当有明显标识， 在出水口标出“非饮用水”标识。</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jc w:val="both"/>
        <w:textAlignment w:val="auto"/>
        <w:rPr>
          <w:color w:val="auto"/>
          <w:spacing w:val="0"/>
          <w:w w:val="100"/>
        </w:rPr>
      </w:pPr>
      <w:r>
        <w:rPr>
          <w:rFonts w:hint="eastAsia" w:ascii="黑体" w:eastAsia="黑体"/>
          <w:color w:val="auto"/>
          <w:spacing w:val="0"/>
          <w:w w:val="100"/>
        </w:rPr>
        <w:t xml:space="preserve">第二十四条 </w:t>
      </w:r>
      <w:r>
        <w:rPr>
          <w:rFonts w:hint="eastAsia" w:ascii="黑体" w:eastAsia="黑体"/>
          <w:color w:val="auto"/>
          <w:spacing w:val="0"/>
          <w:w w:val="100"/>
          <w:lang w:val="en-US" w:eastAsia="zh-CN"/>
        </w:rPr>
        <w:t xml:space="preserve"> </w:t>
      </w:r>
      <w:r>
        <w:rPr>
          <w:color w:val="auto"/>
          <w:spacing w:val="0"/>
          <w:w w:val="100"/>
        </w:rPr>
        <w:t>非常规水资源利用运行管理单位应当按照国家规定的水质检测规范，委托具有相应资质的检测机构，定期对水质进行检测，保证水质符合国家标准。</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firstLine="640" w:firstLineChars="200"/>
        <w:jc w:val="both"/>
        <w:textAlignment w:val="auto"/>
        <w:rPr>
          <w:color w:val="auto"/>
          <w:spacing w:val="0"/>
          <w:w w:val="100"/>
        </w:rPr>
      </w:pPr>
      <w:r>
        <w:rPr>
          <w:rFonts w:hint="eastAsia" w:ascii="黑体" w:eastAsia="黑体"/>
          <w:color w:val="auto"/>
          <w:spacing w:val="0"/>
          <w:w w:val="100"/>
        </w:rPr>
        <w:t xml:space="preserve">第二十五条 </w:t>
      </w:r>
      <w:r>
        <w:rPr>
          <w:rFonts w:hint="eastAsia" w:ascii="黑体" w:eastAsia="黑体"/>
          <w:color w:val="auto"/>
          <w:spacing w:val="0"/>
          <w:w w:val="100"/>
          <w:lang w:val="en-US" w:eastAsia="zh-CN"/>
        </w:rPr>
        <w:t xml:space="preserve"> </w:t>
      </w:r>
      <w:r>
        <w:rPr>
          <w:color w:val="auto"/>
          <w:spacing w:val="0"/>
          <w:w w:val="100"/>
        </w:rPr>
        <w:t>本办法自2020年</w:t>
      </w:r>
      <w:r>
        <w:rPr>
          <w:rFonts w:hint="eastAsia"/>
          <w:color w:val="auto"/>
          <w:spacing w:val="0"/>
          <w:w w:val="100"/>
          <w:lang w:val="en-US" w:eastAsia="zh-CN"/>
        </w:rPr>
        <w:t xml:space="preserve"> </w:t>
      </w:r>
      <w:r>
        <w:rPr>
          <w:color w:val="auto"/>
          <w:spacing w:val="0"/>
          <w:w w:val="100"/>
        </w:rPr>
        <w:t>月</w:t>
      </w:r>
      <w:r>
        <w:rPr>
          <w:rFonts w:hint="eastAsia"/>
          <w:color w:val="auto"/>
          <w:spacing w:val="0"/>
          <w:w w:val="100"/>
          <w:lang w:val="en-US" w:eastAsia="zh-CN"/>
        </w:rPr>
        <w:t xml:space="preserve"> </w:t>
      </w:r>
      <w:r>
        <w:rPr>
          <w:color w:val="auto"/>
          <w:spacing w:val="0"/>
          <w:w w:val="100"/>
        </w:rPr>
        <w:t>日起施行，有效期至202</w:t>
      </w:r>
      <w:r>
        <w:rPr>
          <w:rFonts w:hint="eastAsia"/>
          <w:color w:val="auto"/>
          <w:spacing w:val="0"/>
          <w:w w:val="100"/>
          <w:lang w:val="en-US" w:eastAsia="zh-CN"/>
        </w:rPr>
        <w:t>3</w:t>
      </w:r>
      <w:r>
        <w:rPr>
          <w:color w:val="auto"/>
          <w:spacing w:val="0"/>
          <w:w w:val="100"/>
        </w:rPr>
        <w:t>年</w:t>
      </w:r>
      <w:r>
        <w:rPr>
          <w:rFonts w:hint="eastAsia"/>
          <w:color w:val="auto"/>
          <w:spacing w:val="0"/>
          <w:w w:val="100"/>
          <w:lang w:val="en-US" w:eastAsia="zh-CN"/>
        </w:rPr>
        <w:t xml:space="preserve"> </w:t>
      </w:r>
      <w:r>
        <w:rPr>
          <w:color w:val="auto"/>
          <w:spacing w:val="0"/>
          <w:w w:val="100"/>
        </w:rPr>
        <w:t>月</w:t>
      </w:r>
      <w:r>
        <w:rPr>
          <w:rFonts w:hint="eastAsia"/>
          <w:color w:val="auto"/>
          <w:spacing w:val="0"/>
          <w:w w:val="100"/>
          <w:lang w:val="en-US" w:eastAsia="zh-CN"/>
        </w:rPr>
        <w:t xml:space="preserve"> </w:t>
      </w:r>
      <w:bookmarkStart w:id="0" w:name="_GoBack"/>
      <w:bookmarkEnd w:id="0"/>
      <w:r>
        <w:rPr>
          <w:color w:val="auto"/>
          <w:spacing w:val="0"/>
          <w:w w:val="100"/>
        </w:rPr>
        <w:t>日。</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textAlignment w:val="auto"/>
        <w:rPr>
          <w:rFonts w:hint="eastAsia" w:ascii="仿宋" w:hAnsi="仿宋" w:eastAsia="仿宋" w:cs="仿宋"/>
          <w:spacing w:val="0"/>
          <w:w w:val="100"/>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E2B1B"/>
    <w:rsid w:val="03BE2B1B"/>
    <w:rsid w:val="03E23E2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2020-10-19T08:23:00Z</dcterms:created>
  <dc:creator>陈绮萱</dc:creator>
  <cp:lastModifiedBy>bgs06</cp:lastModifiedBy>
  <cp:lastPrinted>2020-11-09T07:02:57Z</cp:lastPrinted>
  <dcterms:modified xsi:type="dcterms:W3CDTF">2020-11-09T07:20:15Z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