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rPr>
          <w:rFonts w:hint="eastAsia" w:ascii="方正小标宋简体" w:hAnsi="方正小标宋简体" w:eastAsia="方正小标宋简体" w:cs="方正小标宋简体"/>
          <w:color w:val="auto"/>
          <w:sz w:val="44"/>
          <w:lang w:eastAsia="zh-CN"/>
        </w:rPr>
      </w:pPr>
    </w:p>
    <w:p>
      <w:pPr>
        <w:spacing w:before="56"/>
        <w:ind w:left="1392" w:right="1552"/>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auto"/>
          <w:sz w:val="44"/>
          <w:lang w:eastAsia="zh-CN"/>
        </w:rPr>
        <w:t>汕尾</w:t>
      </w:r>
      <w:r>
        <w:rPr>
          <w:rFonts w:hint="eastAsia" w:ascii="方正小标宋简体" w:hAnsi="方正小标宋简体" w:eastAsia="方正小标宋简体" w:cs="方正小标宋简体"/>
          <w:color w:val="auto"/>
          <w:sz w:val="44"/>
        </w:rPr>
        <w:t>市城市供用水管理办法</w:t>
      </w: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rPr>
          <w:rFonts w:hint="eastAsia" w:ascii="方正小标宋简体" w:hAnsi="方正小标宋简体" w:eastAsia="方正小标宋简体" w:cs="方正小标宋简体"/>
          <w:color w:val="auto"/>
          <w:sz w:val="44"/>
        </w:rPr>
      </w:pPr>
    </w:p>
    <w:p>
      <w:pPr>
        <w:pStyle w:val="2"/>
        <w:tabs>
          <w:tab w:val="left" w:pos="1281"/>
        </w:tabs>
        <w:ind w:left="0" w:right="160"/>
        <w:jc w:val="center"/>
        <w:rPr>
          <w:rFonts w:hint="eastAsia" w:ascii="黑体" w:eastAsia="黑体"/>
          <w:color w:val="auto"/>
        </w:rPr>
      </w:pPr>
      <w:r>
        <w:rPr>
          <w:rFonts w:hint="eastAsia" w:ascii="黑体" w:eastAsia="黑体"/>
          <w:color w:val="auto"/>
        </w:rPr>
        <w:t>第一章</w:t>
      </w:r>
      <w:r>
        <w:rPr>
          <w:rFonts w:hint="eastAsia" w:ascii="黑体" w:eastAsia="黑体"/>
          <w:color w:val="auto"/>
        </w:rPr>
        <w:tab/>
      </w:r>
      <w:r>
        <w:rPr>
          <w:rFonts w:hint="eastAsia" w:ascii="黑体" w:eastAsia="黑体"/>
          <w:color w:val="auto"/>
        </w:rPr>
        <w:t>总则</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auto"/>
          <w:spacing w:val="0"/>
          <w:w w:val="100"/>
        </w:rPr>
      </w:pPr>
      <w:r>
        <w:rPr>
          <w:rFonts w:hint="eastAsia" w:ascii="黑体" w:hAnsi="黑体" w:eastAsia="黑体" w:cs="黑体"/>
          <w:b w:val="0"/>
          <w:bCs/>
          <w:color w:val="auto"/>
          <w:spacing w:val="0"/>
          <w:w w:val="100"/>
        </w:rPr>
        <w:t>第一条</w:t>
      </w:r>
      <w:r>
        <w:rPr>
          <w:rFonts w:hint="eastAsia" w:ascii="仿宋" w:hAnsi="仿宋" w:eastAsia="仿宋" w:cs="仿宋"/>
          <w:b/>
          <w:color w:val="auto"/>
          <w:spacing w:val="0"/>
          <w:w w:val="100"/>
          <w:lang w:val="en-US" w:eastAsia="zh-CN"/>
        </w:rPr>
        <w:t xml:space="preserve">  </w:t>
      </w:r>
      <w:r>
        <w:rPr>
          <w:rFonts w:hint="eastAsia" w:ascii="仿宋" w:hAnsi="仿宋" w:eastAsia="仿宋" w:cs="仿宋"/>
          <w:color w:val="auto"/>
          <w:spacing w:val="0"/>
          <w:w w:val="100"/>
        </w:rPr>
        <w:t>为加强城市供用水管理工作，保障生活、生产及其他用水安全，维护供水和用水双方合法权益，根据国务院《城市供水条例》和《广东省城市供水管理规定》《广东省节约用水办法》等有关规定，结合本市实际，制定本办法。</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auto"/>
          <w:spacing w:val="0"/>
          <w:w w:val="100"/>
        </w:rPr>
      </w:pPr>
      <w:r>
        <w:rPr>
          <w:rFonts w:hint="eastAsia" w:ascii="黑体" w:hAnsi="黑体" w:eastAsia="黑体" w:cs="黑体"/>
          <w:b w:val="0"/>
          <w:bCs/>
          <w:color w:val="auto"/>
          <w:spacing w:val="0"/>
          <w:w w:val="100"/>
        </w:rPr>
        <w:t>第二条</w:t>
      </w:r>
      <w:r>
        <w:rPr>
          <w:rFonts w:hint="eastAsia" w:ascii="仿宋" w:hAnsi="仿宋" w:eastAsia="仿宋" w:cs="仿宋"/>
          <w:b/>
          <w:color w:val="auto"/>
          <w:spacing w:val="0"/>
          <w:w w:val="100"/>
        </w:rPr>
        <w:t xml:space="preserve"> </w:t>
      </w:r>
      <w:r>
        <w:rPr>
          <w:rFonts w:hint="eastAsia" w:ascii="仿宋" w:hAnsi="仿宋" w:eastAsia="仿宋" w:cs="仿宋"/>
          <w:b/>
          <w:color w:val="auto"/>
          <w:spacing w:val="0"/>
          <w:w w:val="100"/>
          <w:lang w:val="en-US" w:eastAsia="zh-CN"/>
        </w:rPr>
        <w:t xml:space="preserve"> </w:t>
      </w:r>
      <w:r>
        <w:rPr>
          <w:rFonts w:hint="eastAsia" w:ascii="仿宋" w:hAnsi="仿宋" w:eastAsia="仿宋" w:cs="仿宋"/>
          <w:color w:val="auto"/>
          <w:spacing w:val="0"/>
          <w:w w:val="100"/>
        </w:rPr>
        <w:t>本办法适用于</w:t>
      </w:r>
      <w:r>
        <w:rPr>
          <w:rFonts w:hint="eastAsia" w:ascii="仿宋" w:hAnsi="仿宋" w:eastAsia="仿宋" w:cs="仿宋"/>
          <w:color w:val="auto"/>
          <w:spacing w:val="0"/>
          <w:w w:val="100"/>
          <w:lang w:eastAsia="zh-CN"/>
        </w:rPr>
        <w:t>汕尾</w:t>
      </w:r>
      <w:r>
        <w:rPr>
          <w:rFonts w:hint="eastAsia" w:ascii="仿宋" w:hAnsi="仿宋" w:eastAsia="仿宋" w:cs="仿宋"/>
          <w:color w:val="auto"/>
          <w:spacing w:val="0"/>
          <w:w w:val="100"/>
        </w:rPr>
        <w:t>市城市</w:t>
      </w:r>
      <w:r>
        <w:rPr>
          <w:rFonts w:hint="eastAsia" w:ascii="仿宋" w:hAnsi="仿宋" w:eastAsia="仿宋" w:cs="仿宋"/>
          <w:color w:val="auto"/>
          <w:spacing w:val="0"/>
          <w:w w:val="100"/>
          <w:lang w:val="en-US" w:eastAsia="zh-CN"/>
        </w:rPr>
        <w:t>规划区域内</w:t>
      </w:r>
      <w:r>
        <w:rPr>
          <w:rFonts w:hint="eastAsia" w:ascii="仿宋" w:hAnsi="仿宋" w:eastAsia="仿宋" w:cs="仿宋"/>
          <w:color w:val="auto"/>
          <w:spacing w:val="0"/>
          <w:w w:val="100"/>
        </w:rPr>
        <w:t>供水、用水及相关管理活动。</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auto"/>
          <w:spacing w:val="0"/>
          <w:w w:val="100"/>
        </w:rPr>
      </w:pPr>
      <w:r>
        <w:rPr>
          <w:rFonts w:hint="eastAsia" w:ascii="黑体" w:hAnsi="黑体" w:eastAsia="黑体" w:cs="黑体"/>
          <w:b w:val="0"/>
          <w:bCs/>
          <w:color w:val="auto"/>
          <w:spacing w:val="0"/>
          <w:w w:val="100"/>
        </w:rPr>
        <w:t>第三条</w:t>
      </w:r>
      <w:r>
        <w:rPr>
          <w:rFonts w:hint="eastAsia" w:ascii="仿宋" w:hAnsi="仿宋" w:eastAsia="仿宋" w:cs="仿宋"/>
          <w:b/>
          <w:color w:val="auto"/>
          <w:spacing w:val="0"/>
          <w:w w:val="100"/>
        </w:rPr>
        <w:t xml:space="preserve"> </w:t>
      </w:r>
      <w:r>
        <w:rPr>
          <w:rFonts w:hint="eastAsia" w:ascii="仿宋" w:hAnsi="仿宋" w:eastAsia="仿宋" w:cs="仿宋"/>
          <w:b/>
          <w:color w:val="auto"/>
          <w:spacing w:val="0"/>
          <w:w w:val="100"/>
          <w:lang w:val="en-US" w:eastAsia="zh-CN"/>
        </w:rPr>
        <w:t xml:space="preserve"> </w:t>
      </w:r>
      <w:r>
        <w:rPr>
          <w:rFonts w:hint="eastAsia" w:ascii="仿宋" w:hAnsi="仿宋" w:eastAsia="仿宋" w:cs="仿宋"/>
          <w:color w:val="auto"/>
          <w:spacing w:val="0"/>
          <w:w w:val="100"/>
        </w:rPr>
        <w:t>本办法所称城市供水，是指城市公共供水和自建设施供水（包括二次供水）。</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本办法所称城市公共供水是指城市供水企业以公共供水管道及其附属设施向单位和居民的生活、生产和其他各项建设提供用水。</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本办法所称自建设施供水，是指城市的用水单位以其自选建设的供水管道及其附属设施主要向本单位的生活、生产和其他各项建设提供用水。</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本办法所称二次供水，是指单位或个人使用储存、加压等设施，将城市公共供水经储存、加压后再供用户的形式。</w:t>
      </w:r>
    </w:p>
    <w:p>
      <w:pPr>
        <w:pStyle w:val="2"/>
        <w:keepNext w:val="0"/>
        <w:keepLines w:val="0"/>
        <w:pageBreakBefore w:val="0"/>
        <w:widowControl w:val="0"/>
        <w:tabs>
          <w:tab w:val="left" w:pos="2050"/>
        </w:tabs>
        <w:kinsoku/>
        <w:wordWrap/>
        <w:overflowPunct/>
        <w:topLinePunct w:val="0"/>
        <w:autoSpaceDE/>
        <w:autoSpaceDN/>
        <w:bidi w:val="0"/>
        <w:adjustRightInd/>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黑体" w:hAnsi="黑体" w:eastAsia="黑体" w:cs="黑体"/>
          <w:b w:val="0"/>
          <w:bCs/>
          <w:color w:val="auto"/>
          <w:spacing w:val="0"/>
          <w:w w:val="100"/>
        </w:rPr>
        <w:t>第四条</w:t>
      </w:r>
      <w:r>
        <w:rPr>
          <w:rFonts w:hint="eastAsia" w:ascii="黑体" w:hAnsi="黑体" w:eastAsia="黑体" w:cs="黑体"/>
          <w:b w:val="0"/>
          <w:bCs/>
          <w:color w:val="auto"/>
          <w:spacing w:val="0"/>
          <w:w w:val="100"/>
          <w:lang w:val="en-US" w:eastAsia="zh-CN"/>
        </w:rPr>
        <w:t xml:space="preserve">  </w:t>
      </w:r>
      <w:r>
        <w:rPr>
          <w:rFonts w:hint="eastAsia" w:ascii="仿宋" w:hAnsi="仿宋" w:eastAsia="仿宋" w:cs="仿宋"/>
          <w:color w:val="auto"/>
          <w:spacing w:val="0"/>
          <w:w w:val="100"/>
        </w:rPr>
        <w:t>城市供水应当坚持开源与节流并重的原则，合理开发和利用水资源，实行计划用水、节约用水。</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 w:hAnsi="仿宋" w:eastAsia="仿宋" w:cs="仿宋"/>
          <w:color w:val="auto"/>
          <w:spacing w:val="0"/>
          <w:sz w:val="32"/>
          <w:szCs w:val="32"/>
          <w:lang w:eastAsia="zh-CN"/>
        </w:rPr>
      </w:pPr>
      <w:r>
        <w:rPr>
          <w:rFonts w:hint="eastAsia" w:ascii="黑体" w:hAnsi="黑体" w:eastAsia="黑体" w:cs="黑体"/>
          <w:b w:val="0"/>
          <w:bCs/>
          <w:color w:val="auto"/>
          <w:spacing w:val="0"/>
          <w:sz w:val="32"/>
          <w:szCs w:val="32"/>
        </w:rPr>
        <w:t>第五条</w:t>
      </w:r>
      <w:r>
        <w:rPr>
          <w:rFonts w:hint="eastAsia" w:ascii="仿宋" w:hAnsi="仿宋" w:eastAsia="仿宋" w:cs="仿宋"/>
          <w:b/>
          <w:color w:val="auto"/>
          <w:spacing w:val="0"/>
          <w:sz w:val="32"/>
          <w:szCs w:val="32"/>
          <w:lang w:val="en-US" w:eastAsia="zh-CN"/>
        </w:rPr>
        <w:t xml:space="preserve">  </w:t>
      </w:r>
      <w:r>
        <w:rPr>
          <w:rFonts w:hint="eastAsia" w:ascii="仿宋" w:hAnsi="仿宋" w:eastAsia="仿宋" w:cs="仿宋"/>
          <w:color w:val="auto"/>
          <w:spacing w:val="0"/>
          <w:sz w:val="32"/>
          <w:szCs w:val="32"/>
        </w:rPr>
        <w:t>市供水行政主管部门负责我市行政区域内的城市供水、用水监督管理工作，并组织实施本办法</w:t>
      </w:r>
      <w:r>
        <w:rPr>
          <w:rFonts w:hint="eastAsia" w:ascii="仿宋" w:hAnsi="仿宋" w:eastAsia="仿宋" w:cs="仿宋"/>
          <w:color w:val="auto"/>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08" w:firstLineChars="200"/>
        <w:textAlignment w:val="auto"/>
        <w:rPr>
          <w:color w:val="auto"/>
        </w:rPr>
      </w:pPr>
      <w:r>
        <w:rPr>
          <w:rFonts w:hint="eastAsia"/>
          <w:color w:val="auto"/>
          <w:w w:val="95"/>
          <w:lang w:val="en-US" w:eastAsia="zh-CN"/>
        </w:rPr>
        <w:t>各</w:t>
      </w:r>
      <w:r>
        <w:rPr>
          <w:color w:val="auto"/>
          <w:w w:val="95"/>
        </w:rPr>
        <w:t>县</w:t>
      </w:r>
      <w:r>
        <w:rPr>
          <w:rFonts w:hint="eastAsia"/>
          <w:color w:val="auto"/>
          <w:w w:val="95"/>
          <w:lang w:eastAsia="zh-CN"/>
        </w:rPr>
        <w:t>（</w:t>
      </w:r>
      <w:r>
        <w:rPr>
          <w:rFonts w:hint="eastAsia"/>
          <w:color w:val="auto"/>
          <w:w w:val="95"/>
          <w:lang w:val="en-US" w:eastAsia="zh-CN"/>
        </w:rPr>
        <w:t>市</w:t>
      </w:r>
      <w:r>
        <w:rPr>
          <w:rFonts w:hint="eastAsia"/>
          <w:color w:val="auto"/>
          <w:spacing w:val="-5"/>
          <w:w w:val="95"/>
          <w:lang w:val="en-US" w:eastAsia="zh-CN"/>
        </w:rPr>
        <w:t>、区</w:t>
      </w:r>
      <w:r>
        <w:rPr>
          <w:rFonts w:hint="eastAsia"/>
          <w:color w:val="auto"/>
          <w:spacing w:val="-5"/>
          <w:w w:val="95"/>
          <w:lang w:eastAsia="zh-CN"/>
        </w:rPr>
        <w:t>）</w:t>
      </w:r>
      <w:r>
        <w:rPr>
          <w:color w:val="auto"/>
          <w:w w:val="95"/>
        </w:rPr>
        <w:t>供水行政主管部门负责各自辖区内的城市供水、</w:t>
      </w:r>
      <w:r>
        <w:rPr>
          <w:color w:val="auto"/>
        </w:rPr>
        <w:t>用水监督管理工作。</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08" w:firstLineChars="200"/>
        <w:jc w:val="both"/>
        <w:textAlignment w:val="auto"/>
        <w:rPr>
          <w:color w:val="auto"/>
        </w:rPr>
      </w:pPr>
      <w:r>
        <w:rPr>
          <w:color w:val="auto"/>
          <w:w w:val="95"/>
        </w:rPr>
        <w:t>卫生健康、住房和城乡建设、生态环境、发展和改革、公</w:t>
      </w:r>
      <w:r>
        <w:rPr>
          <w:color w:val="auto"/>
        </w:rPr>
        <w:t>安、市场监督管理、自然资源、水务、应急管理、消防等有关部门按照各自职责协同实施本办法。</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auto"/>
          <w:spacing w:val="0"/>
          <w:w w:val="100"/>
        </w:rPr>
      </w:pPr>
      <w:r>
        <w:rPr>
          <w:rFonts w:hint="eastAsia" w:ascii="黑体" w:hAnsi="黑体" w:eastAsia="黑体" w:cs="黑体"/>
          <w:b w:val="0"/>
          <w:bCs/>
          <w:color w:val="auto"/>
          <w:spacing w:val="0"/>
          <w:w w:val="100"/>
        </w:rPr>
        <w:t>第六条</w:t>
      </w:r>
      <w:r>
        <w:rPr>
          <w:rFonts w:hint="eastAsia" w:ascii="仿宋" w:hAnsi="仿宋" w:eastAsia="仿宋" w:cs="仿宋"/>
          <w:b/>
          <w:color w:val="auto"/>
          <w:spacing w:val="0"/>
          <w:w w:val="100"/>
        </w:rPr>
        <w:t xml:space="preserve"> </w:t>
      </w:r>
      <w:r>
        <w:rPr>
          <w:rFonts w:hint="eastAsia" w:ascii="仿宋" w:hAnsi="仿宋" w:eastAsia="仿宋" w:cs="仿宋"/>
          <w:b/>
          <w:color w:val="auto"/>
          <w:spacing w:val="0"/>
          <w:w w:val="100"/>
          <w:lang w:val="en-US" w:eastAsia="zh-CN"/>
        </w:rPr>
        <w:t xml:space="preserve"> </w:t>
      </w:r>
      <w:r>
        <w:rPr>
          <w:rFonts w:hint="eastAsia" w:ascii="仿宋" w:hAnsi="仿宋" w:eastAsia="仿宋" w:cs="仿宋"/>
          <w:color w:val="auto"/>
          <w:spacing w:val="0"/>
          <w:w w:val="100"/>
        </w:rPr>
        <w:t>鼓励城市供水、用水先进技术的开发、研究、使用和推广，提高水资源重复利用率；加强对节水型社会示范区和节水型城市、企业、单位等载体建设，促进节约用水。</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任何单位和个人都有节约用水的义务。</w:t>
      </w:r>
    </w:p>
    <w:p>
      <w:pPr>
        <w:pStyle w:val="2"/>
        <w:keepNext w:val="0"/>
        <w:keepLines w:val="0"/>
        <w:pageBreakBefore w:val="0"/>
        <w:widowControl w:val="0"/>
        <w:tabs>
          <w:tab w:val="left" w:pos="1279"/>
        </w:tabs>
        <w:kinsoku/>
        <w:wordWrap/>
        <w:overflowPunct/>
        <w:topLinePunct w:val="0"/>
        <w:autoSpaceDE/>
        <w:autoSpaceDN/>
        <w:bidi w:val="0"/>
        <w:adjustRightInd/>
        <w:snapToGrid/>
        <w:spacing w:line="240" w:lineRule="auto"/>
        <w:ind w:left="0" w:right="0" w:firstLine="640" w:firstLineChars="200"/>
        <w:jc w:val="center"/>
        <w:textAlignment w:val="auto"/>
        <w:rPr>
          <w:rFonts w:hint="eastAsia" w:ascii="黑体" w:eastAsia="黑体"/>
          <w:color w:val="auto"/>
          <w:spacing w:val="0"/>
          <w:w w:val="100"/>
        </w:rPr>
      </w:pPr>
      <w:r>
        <w:rPr>
          <w:rFonts w:hint="eastAsia" w:ascii="黑体" w:eastAsia="黑体"/>
          <w:color w:val="auto"/>
          <w:spacing w:val="0"/>
          <w:w w:val="100"/>
        </w:rPr>
        <w:t>第二章</w:t>
      </w:r>
      <w:r>
        <w:rPr>
          <w:rFonts w:hint="eastAsia" w:ascii="黑体" w:eastAsia="黑体"/>
          <w:color w:val="auto"/>
          <w:spacing w:val="0"/>
          <w:w w:val="100"/>
        </w:rPr>
        <w:tab/>
      </w:r>
      <w:r>
        <w:rPr>
          <w:rFonts w:hint="eastAsia" w:ascii="黑体" w:eastAsia="黑体"/>
          <w:color w:val="auto"/>
          <w:spacing w:val="0"/>
          <w:w w:val="100"/>
        </w:rPr>
        <w:t>供水设施建设与管理</w:t>
      </w:r>
    </w:p>
    <w:p>
      <w:pPr>
        <w:pStyle w:val="2"/>
        <w:keepNext w:val="0"/>
        <w:keepLines w:val="0"/>
        <w:pageBreakBefore w:val="0"/>
        <w:widowControl w:val="0"/>
        <w:tabs>
          <w:tab w:val="left" w:pos="2047"/>
        </w:tabs>
        <w:kinsoku/>
        <w:wordWrap/>
        <w:overflowPunct/>
        <w:topLinePunct w:val="0"/>
        <w:autoSpaceDE/>
        <w:autoSpaceDN/>
        <w:bidi w:val="0"/>
        <w:adjustRightInd/>
        <w:snapToGrid/>
        <w:spacing w:line="240" w:lineRule="auto"/>
        <w:ind w:left="0" w:right="0" w:firstLine="640" w:firstLineChars="200"/>
        <w:textAlignment w:val="auto"/>
        <w:rPr>
          <w:color w:val="auto"/>
          <w:spacing w:val="0"/>
          <w:w w:val="100"/>
        </w:rPr>
      </w:pPr>
      <w:r>
        <w:rPr>
          <w:rFonts w:hint="eastAsia" w:ascii="黑体" w:hAnsi="黑体" w:eastAsia="黑体" w:cs="黑体"/>
          <w:b w:val="0"/>
          <w:bCs/>
          <w:color w:val="auto"/>
          <w:spacing w:val="0"/>
          <w:w w:val="100"/>
        </w:rPr>
        <w:t>第七条</w:t>
      </w:r>
      <w:r>
        <w:rPr>
          <w:rFonts w:hint="eastAsia"/>
          <w:b/>
          <w:color w:val="auto"/>
          <w:spacing w:val="0"/>
          <w:w w:val="100"/>
          <w:lang w:val="en-US" w:eastAsia="zh-CN"/>
        </w:rPr>
        <w:t xml:space="preserve">  </w:t>
      </w:r>
      <w:r>
        <w:rPr>
          <w:color w:val="auto"/>
          <w:spacing w:val="0"/>
          <w:w w:val="100"/>
        </w:rPr>
        <w:t>城市供水设施包括城市公共供水设施及用户供水设施。</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color w:val="auto"/>
          <w:spacing w:val="0"/>
          <w:w w:val="100"/>
        </w:rPr>
      </w:pPr>
      <w:r>
        <w:rPr>
          <w:color w:val="auto"/>
          <w:spacing w:val="0"/>
          <w:w w:val="100"/>
        </w:rPr>
        <w:t>城市公共供水设施是指水厂、加压泵站及取水设施、公共供水管道及其附属设施等。</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color w:val="auto"/>
          <w:spacing w:val="0"/>
          <w:w w:val="100"/>
        </w:rPr>
      </w:pPr>
      <w:r>
        <w:rPr>
          <w:color w:val="auto"/>
          <w:spacing w:val="0"/>
          <w:w w:val="100"/>
        </w:rPr>
        <w:t>用户供水设施是指与公共供水管道连接的供水管道及其附属设施。</w:t>
      </w:r>
    </w:p>
    <w:p>
      <w:pPr>
        <w:keepNext w:val="0"/>
        <w:keepLines w:val="0"/>
        <w:pageBreakBefore w:val="0"/>
        <w:widowControl w:val="0"/>
        <w:tabs>
          <w:tab w:val="left" w:pos="2031"/>
        </w:tabs>
        <w:kinsoku/>
        <w:wordWrap/>
        <w:overflowPunct/>
        <w:topLinePunct w:val="0"/>
        <w:autoSpaceDE/>
        <w:autoSpaceDN/>
        <w:bidi w:val="0"/>
        <w:adjustRightInd/>
        <w:snapToGrid/>
        <w:spacing w:line="240" w:lineRule="auto"/>
        <w:ind w:left="0" w:right="0" w:firstLine="640" w:firstLineChars="200"/>
        <w:jc w:val="left"/>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第八条</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城市供水设施管理责任划分。</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（一）注册结算水表之前的供水设施（含注册结算水表）， 由供水企业负责管理维护。</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（二）注册结算水表之后的供水设施，由产权人或其委托 的管理机构负责管理维护。</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 w:hAnsi="仿宋" w:eastAsia="仿宋" w:cs="仿宋"/>
          <w:color w:val="auto"/>
          <w:spacing w:val="0"/>
          <w:w w:val="100"/>
          <w:sz w:val="32"/>
          <w:szCs w:val="32"/>
          <w:lang w:eastAsia="zh-CN"/>
        </w:rPr>
      </w:pPr>
      <w:r>
        <w:rPr>
          <w:rFonts w:hint="eastAsia" w:ascii="仿宋" w:hAnsi="仿宋" w:eastAsia="仿宋" w:cs="仿宋"/>
          <w:color w:val="auto"/>
          <w:spacing w:val="0"/>
          <w:w w:val="100"/>
          <w:sz w:val="32"/>
          <w:szCs w:val="32"/>
        </w:rPr>
        <w:t>本办法所称注册结算水表指由供水企业安装，符合国家相关标准，作量度用水量的器具</w:t>
      </w:r>
      <w:r>
        <w:rPr>
          <w:rFonts w:hint="eastAsia" w:ascii="仿宋" w:hAnsi="仿宋" w:eastAsia="仿宋" w:cs="仿宋"/>
          <w:color w:val="auto"/>
          <w:spacing w:val="0"/>
          <w:w w:val="100"/>
          <w:sz w:val="32"/>
          <w:szCs w:val="32"/>
          <w:lang w:eastAsia="zh-CN"/>
        </w:rPr>
        <w:t>。</w:t>
      </w:r>
    </w:p>
    <w:p>
      <w:pPr>
        <w:pStyle w:val="2"/>
        <w:keepNext w:val="0"/>
        <w:keepLines w:val="0"/>
        <w:pageBreakBefore w:val="0"/>
        <w:widowControl w:val="0"/>
        <w:tabs>
          <w:tab w:val="left" w:pos="2047"/>
        </w:tabs>
        <w:kinsoku/>
        <w:wordWrap/>
        <w:overflowPunct/>
        <w:topLinePunct w:val="0"/>
        <w:autoSpaceDE/>
        <w:autoSpaceDN/>
        <w:bidi w:val="0"/>
        <w:adjustRightInd w:val="0"/>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第九条</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城市公共供水设施的建设，应当符合城市供水工程专项规划的要求。</w:t>
      </w:r>
    </w:p>
    <w:p>
      <w:pPr>
        <w:pStyle w:val="2"/>
        <w:keepNext w:val="0"/>
        <w:keepLines w:val="0"/>
        <w:pageBreakBefore w:val="0"/>
        <w:widowControl w:val="0"/>
        <w:tabs>
          <w:tab w:val="left" w:pos="2115"/>
        </w:tabs>
        <w:kinsoku/>
        <w:wordWrap/>
        <w:overflowPunct/>
        <w:topLinePunct w:val="0"/>
        <w:autoSpaceDE/>
        <w:autoSpaceDN/>
        <w:bidi w:val="0"/>
        <w:adjustRightInd w:val="0"/>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第十条</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城市供水设施由政府或者供水企业组织投资建设。</w:t>
      </w:r>
    </w:p>
    <w:p>
      <w:pPr>
        <w:pStyle w:val="2"/>
        <w:keepNext w:val="0"/>
        <w:keepLines w:val="0"/>
        <w:pageBreakBefore w:val="0"/>
        <w:widowControl w:val="0"/>
        <w:kinsoku/>
        <w:wordWrap/>
        <w:overflowPunct/>
        <w:topLinePunct w:val="0"/>
        <w:autoSpaceDE/>
        <w:autoSpaceDN/>
        <w:bidi w:val="0"/>
        <w:adjustRightInd w:val="0"/>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用户供水设施由用户或开发建设单位进行投资建设。</w:t>
      </w:r>
    </w:p>
    <w:p>
      <w:pPr>
        <w:pStyle w:val="2"/>
        <w:keepNext w:val="0"/>
        <w:keepLines w:val="0"/>
        <w:pageBreakBefore w:val="0"/>
        <w:widowControl w:val="0"/>
        <w:tabs>
          <w:tab w:val="left" w:pos="2371"/>
        </w:tabs>
        <w:kinsoku/>
        <w:wordWrap/>
        <w:overflowPunct/>
        <w:topLinePunct w:val="0"/>
        <w:autoSpaceDE/>
        <w:autoSpaceDN/>
        <w:bidi w:val="0"/>
        <w:adjustRightInd w:val="0"/>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第十一条</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新建、改建、扩建工程项目需增加用水的，其工程项目总概算应当包括供水设施建设投资。</w:t>
      </w:r>
    </w:p>
    <w:p>
      <w:pPr>
        <w:pStyle w:val="2"/>
        <w:keepNext w:val="0"/>
        <w:keepLines w:val="0"/>
        <w:pageBreakBefore w:val="0"/>
        <w:widowControl w:val="0"/>
        <w:kinsoku/>
        <w:wordWrap/>
        <w:overflowPunct/>
        <w:topLinePunct w:val="0"/>
        <w:autoSpaceDE/>
        <w:autoSpaceDN/>
        <w:bidi w:val="0"/>
        <w:adjustRightInd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第十二条</w:t>
      </w:r>
      <w:r>
        <w:rPr>
          <w:rFonts w:hint="eastAsia" w:ascii="仿宋" w:hAnsi="仿宋" w:eastAsia="仿宋" w:cs="仿宋"/>
          <w:b/>
          <w:color w:val="auto"/>
          <w:spacing w:val="0"/>
          <w:w w:val="100"/>
          <w:sz w:val="32"/>
          <w:szCs w:val="32"/>
        </w:rPr>
        <w:t xml:space="preserve"> </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城市供水设施建设的设计、施工、监理，应当由具有相应资质的设计、施工、监理单位承担，并按照国家、行业及地方相关技术标准和规范进行。</w:t>
      </w:r>
    </w:p>
    <w:p>
      <w:pPr>
        <w:pStyle w:val="2"/>
        <w:keepNext w:val="0"/>
        <w:keepLines w:val="0"/>
        <w:pageBreakBefore w:val="0"/>
        <w:widowControl w:val="0"/>
        <w:kinsoku/>
        <w:wordWrap/>
        <w:overflowPunct/>
        <w:topLinePunct w:val="0"/>
        <w:autoSpaceDE/>
        <w:autoSpaceDN/>
        <w:bidi w:val="0"/>
        <w:adjustRightInd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第十三条</w:t>
      </w:r>
      <w:r>
        <w:rPr>
          <w:rFonts w:hint="eastAsia" w:ascii="仿宋" w:hAnsi="仿宋" w:eastAsia="仿宋" w:cs="仿宋"/>
          <w:b/>
          <w:color w:val="auto"/>
          <w:spacing w:val="0"/>
          <w:w w:val="100"/>
          <w:sz w:val="32"/>
          <w:szCs w:val="32"/>
        </w:rPr>
        <w:t xml:space="preserve"> </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城市供水设施建设使用的供水管道、材料、设备和器具的质量应当符合国家、行业及地方标准。</w:t>
      </w:r>
    </w:p>
    <w:p>
      <w:pPr>
        <w:pStyle w:val="2"/>
        <w:keepNext w:val="0"/>
        <w:keepLines w:val="0"/>
        <w:pageBreakBefore w:val="0"/>
        <w:widowControl w:val="0"/>
        <w:kinsoku/>
        <w:wordWrap/>
        <w:overflowPunct/>
        <w:topLinePunct w:val="0"/>
        <w:autoSpaceDE/>
        <w:autoSpaceDN/>
        <w:bidi w:val="0"/>
        <w:adjustRightInd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第十四条</w:t>
      </w:r>
      <w:r>
        <w:rPr>
          <w:rFonts w:hint="eastAsia" w:ascii="仿宋" w:hAnsi="仿宋" w:eastAsia="仿宋" w:cs="仿宋"/>
          <w:b/>
          <w:color w:val="auto"/>
          <w:spacing w:val="0"/>
          <w:w w:val="100"/>
          <w:sz w:val="32"/>
          <w:szCs w:val="32"/>
        </w:rPr>
        <w:t xml:space="preserve"> </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城市供水设施竣工时，建设单位应向住房和城乡建设行政主管部门申报验收，住房和城乡建设行政主管部门应当组织有关部门和供水企业进行验收；供水设施未经验收或验收不合格的，不得投入使用或移交供水企业。</w:t>
      </w:r>
    </w:p>
    <w:p>
      <w:pPr>
        <w:pStyle w:val="2"/>
        <w:keepNext w:val="0"/>
        <w:keepLines w:val="0"/>
        <w:pageBreakBefore w:val="0"/>
        <w:widowControl w:val="0"/>
        <w:tabs>
          <w:tab w:val="left" w:pos="2371"/>
        </w:tabs>
        <w:kinsoku/>
        <w:wordWrap/>
        <w:overflowPunct/>
        <w:topLinePunct w:val="0"/>
        <w:autoSpaceDE/>
        <w:autoSpaceDN/>
        <w:bidi w:val="0"/>
        <w:adjustRightInd w:val="0"/>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第十五条</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供水企业对城市公共供水专用取水口、泵站、水厂、管道、注册结算水表等设施，应当进行定期检查和维修，保证安全供水。</w:t>
      </w:r>
    </w:p>
    <w:p>
      <w:pPr>
        <w:pStyle w:val="2"/>
        <w:keepNext w:val="0"/>
        <w:keepLines w:val="0"/>
        <w:pageBreakBefore w:val="0"/>
        <w:widowControl w:val="0"/>
        <w:kinsoku/>
        <w:wordWrap/>
        <w:overflowPunct/>
        <w:topLinePunct w:val="0"/>
        <w:autoSpaceDE/>
        <w:autoSpaceDN/>
        <w:bidi w:val="0"/>
        <w:adjustRightInd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第十六条</w:t>
      </w:r>
      <w:r>
        <w:rPr>
          <w:rFonts w:hint="eastAsia" w:ascii="仿宋" w:hAnsi="仿宋" w:eastAsia="仿宋" w:cs="仿宋"/>
          <w:b/>
          <w:color w:val="auto"/>
          <w:spacing w:val="0"/>
          <w:w w:val="100"/>
          <w:sz w:val="32"/>
          <w:szCs w:val="32"/>
        </w:rPr>
        <w:t xml:space="preserve"> </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供水企业抢修公共供水设施时，应当采取必要的安全保障措施。对影响抢修工作的其他设施，可以采取合理的应急措施；造成损坏的，应当及时修复。</w:t>
      </w:r>
    </w:p>
    <w:p>
      <w:pPr>
        <w:pStyle w:val="2"/>
        <w:keepNext w:val="0"/>
        <w:keepLines w:val="0"/>
        <w:pageBreakBefore w:val="0"/>
        <w:widowControl w:val="0"/>
        <w:kinsoku/>
        <w:wordWrap/>
        <w:overflowPunct/>
        <w:topLinePunct w:val="0"/>
        <w:autoSpaceDE/>
        <w:autoSpaceDN/>
        <w:bidi w:val="0"/>
        <w:adjustRightInd/>
        <w:snapToGrid/>
        <w:ind w:left="0" w:firstLine="640" w:firstLineChars="200"/>
        <w:textAlignment w:val="auto"/>
        <w:rPr>
          <w:color w:val="auto"/>
        </w:rPr>
      </w:pPr>
      <w:r>
        <w:rPr>
          <w:rFonts w:hint="eastAsia" w:ascii="仿宋" w:hAnsi="仿宋" w:eastAsia="仿宋" w:cs="仿宋"/>
          <w:color w:val="auto"/>
          <w:spacing w:val="0"/>
          <w:w w:val="100"/>
          <w:sz w:val="32"/>
          <w:szCs w:val="32"/>
        </w:rPr>
        <w:t>供水企业抢修公共供水设施时，有关单位和个人应当支持</w:t>
      </w:r>
      <w:r>
        <w:rPr>
          <w:color w:val="auto"/>
        </w:rPr>
        <w:t>配合，不得阻碍或者干扰。</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auto"/>
          <w:spacing w:val="0"/>
          <w:w w:val="100"/>
        </w:rPr>
      </w:pPr>
      <w:r>
        <w:rPr>
          <w:rFonts w:hint="eastAsia" w:ascii="黑体" w:hAnsi="黑体" w:eastAsia="黑体" w:cs="黑体"/>
          <w:b w:val="0"/>
          <w:bCs/>
          <w:color w:val="auto"/>
          <w:spacing w:val="0"/>
          <w:w w:val="100"/>
        </w:rPr>
        <w:t>第十七条</w:t>
      </w:r>
      <w:r>
        <w:rPr>
          <w:rFonts w:hint="eastAsia" w:ascii="仿宋" w:hAnsi="仿宋" w:eastAsia="仿宋" w:cs="仿宋"/>
          <w:b/>
          <w:color w:val="auto"/>
          <w:spacing w:val="0"/>
          <w:w w:val="100"/>
        </w:rPr>
        <w:t xml:space="preserve"> </w:t>
      </w:r>
      <w:r>
        <w:rPr>
          <w:rFonts w:hint="eastAsia" w:ascii="仿宋" w:hAnsi="仿宋" w:eastAsia="仿宋" w:cs="仿宋"/>
          <w:b/>
          <w:color w:val="auto"/>
          <w:spacing w:val="0"/>
          <w:w w:val="100"/>
          <w:lang w:val="en-US" w:eastAsia="zh-CN"/>
        </w:rPr>
        <w:t xml:space="preserve"> </w:t>
      </w:r>
      <w:r>
        <w:rPr>
          <w:rFonts w:hint="eastAsia" w:ascii="仿宋" w:hAnsi="仿宋" w:eastAsia="仿宋" w:cs="仿宋"/>
          <w:color w:val="auto"/>
          <w:spacing w:val="0"/>
          <w:w w:val="100"/>
        </w:rPr>
        <w:t>在城市供水管道及其附属设施的地表和地下规定的安全保护距离范围内，不得修建建（构）筑物、堆放物料或进行其他危害供水设施的活动。</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auto"/>
          <w:spacing w:val="0"/>
          <w:w w:val="100"/>
        </w:rPr>
      </w:pPr>
      <w:r>
        <w:rPr>
          <w:rFonts w:hint="eastAsia" w:ascii="黑体" w:hAnsi="黑体" w:eastAsia="黑体" w:cs="黑体"/>
          <w:b w:val="0"/>
          <w:bCs/>
          <w:color w:val="auto"/>
          <w:spacing w:val="0"/>
          <w:w w:val="100"/>
        </w:rPr>
        <w:t>第十八条</w:t>
      </w:r>
      <w:r>
        <w:rPr>
          <w:rFonts w:hint="eastAsia" w:ascii="仿宋" w:hAnsi="仿宋" w:eastAsia="仿宋" w:cs="仿宋"/>
          <w:b/>
          <w:color w:val="auto"/>
          <w:spacing w:val="0"/>
          <w:w w:val="100"/>
          <w:lang w:val="en-US" w:eastAsia="zh-CN"/>
        </w:rPr>
        <w:t xml:space="preserve"> </w:t>
      </w:r>
      <w:r>
        <w:rPr>
          <w:rFonts w:hint="eastAsia" w:ascii="仿宋" w:hAnsi="仿宋" w:eastAsia="仿宋" w:cs="仿宋"/>
          <w:b/>
          <w:color w:val="auto"/>
          <w:spacing w:val="0"/>
          <w:w w:val="100"/>
        </w:rPr>
        <w:t xml:space="preserve"> </w:t>
      </w:r>
      <w:r>
        <w:rPr>
          <w:rFonts w:hint="eastAsia" w:ascii="仿宋" w:hAnsi="仿宋" w:eastAsia="仿宋" w:cs="仿宋"/>
          <w:color w:val="auto"/>
          <w:spacing w:val="0"/>
          <w:w w:val="100"/>
        </w:rPr>
        <w:t>涉及城市公共供水设施的建设工程开工前，建设单位或施工单位应当向供水企业查明地下公共供水管网情 况，影响城市公共供水设施安全的，应与供水企业商定相应的保护措施，并由施工单位负责实施。</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建设单位或施工单位在施工中造成公共供水设施损坏的， 应当立即通知供水企业修复，并承担修复费用和赔偿损失；造成水量流失的，由建设单位或施工单位按照实际损失赔付水费。</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auto"/>
          <w:spacing w:val="0"/>
          <w:w w:val="100"/>
        </w:rPr>
      </w:pPr>
      <w:r>
        <w:rPr>
          <w:rFonts w:hint="eastAsia" w:ascii="黑体" w:hAnsi="黑体" w:eastAsia="黑体" w:cs="黑体"/>
          <w:b w:val="0"/>
          <w:bCs/>
          <w:color w:val="auto"/>
          <w:spacing w:val="0"/>
          <w:w w:val="100"/>
        </w:rPr>
        <w:t>第十九条</w:t>
      </w:r>
      <w:r>
        <w:rPr>
          <w:rFonts w:hint="eastAsia" w:ascii="仿宋" w:hAnsi="仿宋" w:eastAsia="仿宋" w:cs="仿宋"/>
          <w:b/>
          <w:color w:val="auto"/>
          <w:spacing w:val="0"/>
          <w:w w:val="100"/>
        </w:rPr>
        <w:t xml:space="preserve"> </w:t>
      </w:r>
      <w:r>
        <w:rPr>
          <w:rFonts w:hint="eastAsia" w:ascii="仿宋" w:hAnsi="仿宋" w:eastAsia="仿宋" w:cs="仿宋"/>
          <w:b/>
          <w:color w:val="auto"/>
          <w:spacing w:val="0"/>
          <w:w w:val="100"/>
          <w:lang w:val="en-US" w:eastAsia="zh-CN"/>
        </w:rPr>
        <w:t xml:space="preserve"> </w:t>
      </w:r>
      <w:r>
        <w:rPr>
          <w:rFonts w:hint="eastAsia" w:ascii="仿宋" w:hAnsi="仿宋" w:eastAsia="仿宋" w:cs="仿宋"/>
          <w:color w:val="auto"/>
          <w:spacing w:val="0"/>
          <w:w w:val="100"/>
        </w:rPr>
        <w:t>严禁擅自迁移、更改、转接、损坏、盗窃城市公共供水设施。</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因工程建设确需改装、拆除或者迁移城市公共供水设施的， 建设单位必须经供水企业同意，报供水行政主管部门批准，并采取相应的补救措施，所需费用由建设单位负责。</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涉及变更区域供水规划的，应报自然资源行政主管部门审查后报供水行政主管部门批准。</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auto"/>
          <w:spacing w:val="0"/>
          <w:w w:val="100"/>
        </w:rPr>
      </w:pPr>
      <w:r>
        <w:rPr>
          <w:rFonts w:hint="eastAsia" w:ascii="黑体" w:hAnsi="黑体" w:eastAsia="黑体" w:cs="黑体"/>
          <w:b w:val="0"/>
          <w:bCs/>
          <w:color w:val="auto"/>
          <w:spacing w:val="0"/>
          <w:w w:val="100"/>
        </w:rPr>
        <w:t>第二十条</w:t>
      </w:r>
      <w:r>
        <w:rPr>
          <w:rFonts w:hint="eastAsia" w:ascii="仿宋" w:hAnsi="仿宋" w:eastAsia="仿宋" w:cs="仿宋"/>
          <w:b/>
          <w:color w:val="auto"/>
          <w:spacing w:val="0"/>
          <w:w w:val="100"/>
        </w:rPr>
        <w:t xml:space="preserve"> </w:t>
      </w:r>
      <w:r>
        <w:rPr>
          <w:rFonts w:hint="eastAsia" w:ascii="仿宋" w:hAnsi="仿宋" w:eastAsia="仿宋" w:cs="仿宋"/>
          <w:b/>
          <w:color w:val="auto"/>
          <w:spacing w:val="0"/>
          <w:w w:val="100"/>
          <w:lang w:val="en-US" w:eastAsia="zh-CN"/>
        </w:rPr>
        <w:t xml:space="preserve"> </w:t>
      </w:r>
      <w:r>
        <w:rPr>
          <w:rFonts w:hint="eastAsia" w:ascii="仿宋" w:hAnsi="仿宋" w:eastAsia="仿宋" w:cs="仿宋"/>
          <w:color w:val="auto"/>
          <w:spacing w:val="0"/>
          <w:w w:val="100"/>
        </w:rPr>
        <w:t>禁止擅自将自建的设施供水管网系统与城市公共供水管网系统连接；因特殊情况确需连接的，必须经供水企业审查同意，并在管道连接处采取必要的防护措施。</w:t>
      </w:r>
    </w:p>
    <w:p>
      <w:pPr>
        <w:pStyle w:val="2"/>
        <w:keepNext w:val="0"/>
        <w:keepLines w:val="0"/>
        <w:pageBreakBefore w:val="0"/>
        <w:widowControl w:val="0"/>
        <w:kinsoku/>
        <w:wordWrap/>
        <w:overflowPunct/>
        <w:topLinePunct w:val="0"/>
        <w:autoSpaceDE/>
        <w:autoSpaceDN/>
        <w:bidi w:val="0"/>
        <w:adjustRightInd/>
        <w:snapToGrid/>
        <w:ind w:left="0" w:firstLine="616" w:firstLineChars="200"/>
        <w:textAlignment w:val="auto"/>
        <w:rPr>
          <w:color w:val="auto"/>
        </w:rPr>
      </w:pPr>
      <w:r>
        <w:rPr>
          <w:color w:val="auto"/>
          <w:spacing w:val="2"/>
          <w:w w:val="95"/>
        </w:rPr>
        <w:t>严禁产生或者使用有毒有害物质的单位将其生产用水管网</w:t>
      </w:r>
      <w:r>
        <w:rPr>
          <w:color w:val="auto"/>
        </w:rPr>
        <w:t>系统与城市公共供水管网系统直接连接。</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rPr>
      </w:pPr>
      <w:r>
        <w:rPr>
          <w:rFonts w:hint="eastAsia" w:ascii="黑体" w:hAnsi="黑体" w:eastAsia="黑体" w:cs="黑体"/>
          <w:b w:val="0"/>
          <w:bCs/>
          <w:color w:val="auto"/>
          <w:spacing w:val="0"/>
          <w:w w:val="100"/>
        </w:rPr>
        <w:t>第二十一条</w:t>
      </w:r>
      <w:r>
        <w:rPr>
          <w:rFonts w:hint="eastAsia" w:ascii="仿宋" w:hAnsi="仿宋" w:eastAsia="仿宋" w:cs="仿宋"/>
          <w:b/>
          <w:color w:val="auto"/>
          <w:spacing w:val="0"/>
          <w:w w:val="100"/>
        </w:rPr>
        <w:t xml:space="preserve"> </w:t>
      </w:r>
      <w:r>
        <w:rPr>
          <w:rFonts w:hint="eastAsia" w:ascii="仿宋" w:hAnsi="仿宋" w:eastAsia="仿宋" w:cs="仿宋"/>
          <w:b/>
          <w:color w:val="auto"/>
          <w:spacing w:val="0"/>
          <w:w w:val="100"/>
          <w:lang w:val="en-US" w:eastAsia="zh-CN"/>
        </w:rPr>
        <w:t xml:space="preserve"> </w:t>
      </w:r>
      <w:r>
        <w:rPr>
          <w:rFonts w:hint="eastAsia" w:ascii="仿宋" w:hAnsi="仿宋" w:eastAsia="仿宋" w:cs="仿宋"/>
          <w:color w:val="auto"/>
          <w:spacing w:val="0"/>
          <w:w w:val="100"/>
        </w:rPr>
        <w:t>新建、改建、扩建的建设工程对水压要求超过国家规定的城市供水服务水压标准的，建设单位应按照相关技术标准和规范配套建设二次供水设施。</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居民用水二次供水设施应当独立设置，不得与消防等设施混用；不得将二次供水管网与非生活饮用水管网相连接。</w:t>
      </w:r>
    </w:p>
    <w:p>
      <w:pPr>
        <w:pStyle w:val="2"/>
        <w:keepNext w:val="0"/>
        <w:keepLines w:val="0"/>
        <w:pageBreakBefore w:val="0"/>
        <w:widowControl w:val="0"/>
        <w:tabs>
          <w:tab w:val="left" w:pos="2698"/>
        </w:tabs>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黑体" w:hAnsi="黑体" w:eastAsia="黑体" w:cs="黑体"/>
          <w:b w:val="0"/>
          <w:bCs/>
          <w:color w:val="auto"/>
          <w:spacing w:val="0"/>
          <w:w w:val="100"/>
        </w:rPr>
        <w:t>第二十二条</w:t>
      </w:r>
      <w:r>
        <w:rPr>
          <w:rFonts w:hint="eastAsia" w:ascii="仿宋" w:hAnsi="仿宋" w:eastAsia="仿宋" w:cs="仿宋"/>
          <w:b/>
          <w:color w:val="auto"/>
          <w:spacing w:val="0"/>
          <w:w w:val="100"/>
          <w:lang w:val="en-US" w:eastAsia="zh-CN"/>
        </w:rPr>
        <w:t xml:space="preserve">  </w:t>
      </w:r>
      <w:r>
        <w:rPr>
          <w:rFonts w:hint="eastAsia" w:ascii="仿宋" w:hAnsi="仿宋" w:eastAsia="仿宋" w:cs="仿宋"/>
          <w:color w:val="auto"/>
          <w:spacing w:val="0"/>
          <w:w w:val="100"/>
        </w:rPr>
        <w:t>县</w:t>
      </w:r>
      <w:r>
        <w:rPr>
          <w:rFonts w:hint="eastAsia" w:ascii="仿宋" w:hAnsi="仿宋" w:eastAsia="仿宋" w:cs="仿宋"/>
          <w:color w:val="auto"/>
          <w:spacing w:val="0"/>
          <w:w w:val="100"/>
          <w:lang w:eastAsia="zh-CN"/>
        </w:rPr>
        <w:t>（</w:t>
      </w:r>
      <w:r>
        <w:rPr>
          <w:rFonts w:hint="eastAsia" w:ascii="仿宋" w:hAnsi="仿宋" w:eastAsia="仿宋" w:cs="仿宋"/>
          <w:color w:val="auto"/>
          <w:spacing w:val="0"/>
          <w:w w:val="100"/>
          <w:lang w:val="en-US" w:eastAsia="zh-CN"/>
        </w:rPr>
        <w:t>市、区</w:t>
      </w:r>
      <w:r>
        <w:rPr>
          <w:rFonts w:hint="eastAsia" w:ascii="仿宋" w:hAnsi="仿宋" w:eastAsia="仿宋" w:cs="仿宋"/>
          <w:color w:val="auto"/>
          <w:spacing w:val="0"/>
          <w:w w:val="100"/>
          <w:lang w:eastAsia="zh-CN"/>
        </w:rPr>
        <w:t>）</w:t>
      </w:r>
      <w:r>
        <w:rPr>
          <w:rFonts w:hint="eastAsia" w:ascii="仿宋" w:hAnsi="仿宋" w:eastAsia="仿宋" w:cs="仿宋"/>
          <w:color w:val="auto"/>
          <w:spacing w:val="0"/>
          <w:w w:val="100"/>
        </w:rPr>
        <w:t>供水行政主管部门负责本行政区域内二次供水管理工作。</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县</w:t>
      </w:r>
      <w:r>
        <w:rPr>
          <w:rFonts w:hint="eastAsia" w:ascii="仿宋" w:hAnsi="仿宋" w:eastAsia="仿宋" w:cs="仿宋"/>
          <w:color w:val="auto"/>
          <w:spacing w:val="0"/>
          <w:w w:val="100"/>
          <w:lang w:eastAsia="zh-CN"/>
        </w:rPr>
        <w:t>（</w:t>
      </w:r>
      <w:r>
        <w:rPr>
          <w:rFonts w:hint="eastAsia" w:ascii="仿宋" w:hAnsi="仿宋" w:eastAsia="仿宋" w:cs="仿宋"/>
          <w:color w:val="auto"/>
          <w:spacing w:val="0"/>
          <w:w w:val="100"/>
          <w:lang w:val="en-US" w:eastAsia="zh-CN"/>
        </w:rPr>
        <w:t>市、区</w:t>
      </w:r>
      <w:r>
        <w:rPr>
          <w:rFonts w:hint="eastAsia" w:ascii="仿宋" w:hAnsi="仿宋" w:eastAsia="仿宋" w:cs="仿宋"/>
          <w:color w:val="auto"/>
          <w:spacing w:val="0"/>
          <w:w w:val="100"/>
          <w:lang w:eastAsia="zh-CN"/>
        </w:rPr>
        <w:t>）</w:t>
      </w:r>
      <w:r>
        <w:rPr>
          <w:rFonts w:hint="eastAsia" w:ascii="仿宋" w:hAnsi="仿宋" w:eastAsia="仿宋" w:cs="仿宋"/>
          <w:color w:val="auto"/>
          <w:spacing w:val="0"/>
          <w:w w:val="100"/>
        </w:rPr>
        <w:t>卫生健康行政主管部门负责二次供水卫生监督监测工作。</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住房和城乡建设、公安、发展和改革、市场监督管理等有关部门按照各自职责，做好二次供水设施的监督管理工作。</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供水企业应当配合各部门开展对二次供水的监督管理工作。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pacing w:val="0"/>
          <w:w w:val="100"/>
        </w:rPr>
      </w:pPr>
      <w:r>
        <w:rPr>
          <w:rFonts w:hint="eastAsia" w:ascii="黑体" w:hAnsi="黑体" w:eastAsia="黑体" w:cs="黑体"/>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二次供水的产权单位或其依法委托的管理单位应当做好以下工作，并建立档案备查：</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（一）配备专职或兼职供管水人员，每年进行至少一次健康检查和卫生知识培训，合格上岗。</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（二）至少每半年对蓄水池、水箱等二次供水设施进行一 次清洗消毒和维护，委托有资质的水质检测机构检测水质，检测项目应不少于最新版《二次供水设施卫生规范》规定的必测项目。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（三）建立二次供水设施卫生管理制度及设施维护、清洗消毒、水质检测、持证上岗、档案管理等制度，保证二次供水设施完好，水质、水压合格，并保障二十四小时连续供水，不得擅自停止供水。</w:t>
      </w:r>
    </w:p>
    <w:p>
      <w:pPr>
        <w:pStyle w:val="2"/>
        <w:keepNext w:val="0"/>
        <w:keepLines w:val="0"/>
        <w:pageBreakBefore w:val="0"/>
        <w:widowControl w:val="0"/>
        <w:kinsoku/>
        <w:wordWrap/>
        <w:overflowPunct/>
        <w:topLinePunct w:val="0"/>
        <w:autoSpaceDE/>
        <w:autoSpaceDN/>
        <w:bidi w:val="0"/>
        <w:snapToGrid/>
        <w:spacing w:line="240" w:lineRule="auto"/>
        <w:ind w:left="0" w:right="0" w:firstLine="638"/>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（四）保持二次供水设施周围环境整洁，有良好排水条件，储水设施周围10米范围内不得有渗水坑和垃圾等污染源，2 米范围内不得有污水管线及其他污染物。</w:t>
      </w:r>
    </w:p>
    <w:p>
      <w:pPr>
        <w:pStyle w:val="2"/>
        <w:keepNext w:val="0"/>
        <w:keepLines w:val="0"/>
        <w:pageBreakBefore w:val="0"/>
        <w:widowControl w:val="0"/>
        <w:kinsoku/>
        <w:wordWrap/>
        <w:overflowPunct/>
        <w:topLinePunct w:val="0"/>
        <w:autoSpaceDE/>
        <w:autoSpaceDN/>
        <w:bidi w:val="0"/>
        <w:snapToGrid/>
        <w:spacing w:line="240" w:lineRule="auto"/>
        <w:ind w:left="0" w:right="0" w:firstLine="638"/>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（五）二次供水设施实行封闭管理，并安排专人定期巡查或安排专人管理安防监控系统。</w:t>
      </w:r>
    </w:p>
    <w:p>
      <w:pPr>
        <w:pStyle w:val="2"/>
        <w:keepNext w:val="0"/>
        <w:keepLines w:val="0"/>
        <w:pageBreakBefore w:val="0"/>
        <w:widowControl w:val="0"/>
        <w:kinsoku/>
        <w:wordWrap/>
        <w:overflowPunct/>
        <w:topLinePunct w:val="0"/>
        <w:autoSpaceDE/>
        <w:autoSpaceDN/>
        <w:bidi w:val="0"/>
        <w:snapToGrid/>
        <w:spacing w:line="240" w:lineRule="auto"/>
        <w:ind w:left="0" w:right="0" w:firstLine="638"/>
        <w:jc w:val="both"/>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六）当水质受到污染或者出现异常，可能危及人体健康时，应当立即采取控制措施，及时向供水企业和卫生健康、供水行政主管部门报告，并协助调查处理；经采取应急控制措施消除污染或者异常，并经有资质的水质检测机构检测合格后， 方能恢复正常供水。</w:t>
      </w:r>
    </w:p>
    <w:p>
      <w:pPr>
        <w:pStyle w:val="2"/>
        <w:keepNext w:val="0"/>
        <w:keepLines w:val="0"/>
        <w:pageBreakBefore w:val="0"/>
        <w:widowControl w:val="0"/>
        <w:kinsoku/>
        <w:wordWrap/>
        <w:overflowPunct/>
        <w:topLinePunct w:val="0"/>
        <w:autoSpaceDE/>
        <w:autoSpaceDN/>
        <w:bidi w:val="0"/>
        <w:snapToGrid/>
        <w:spacing w:line="240" w:lineRule="auto"/>
        <w:ind w:left="0" w:right="0" w:firstLine="638"/>
        <w:jc w:val="both"/>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第二十四条</w:t>
      </w:r>
      <w:r>
        <w:rPr>
          <w:rFonts w:hint="eastAsia" w:ascii="仿宋" w:hAnsi="仿宋" w:eastAsia="仿宋" w:cs="仿宋"/>
          <w:b/>
          <w:color w:val="auto"/>
          <w:spacing w:val="0"/>
          <w:w w:val="100"/>
          <w:sz w:val="32"/>
          <w:szCs w:val="32"/>
        </w:rPr>
        <w:t xml:space="preserve"> </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城市市政消火栓，由供水企业建设、维修、管理，消防部门负责监督检查，市政消火栓建设和养护经费纳入年度财政预算。</w:t>
      </w:r>
    </w:p>
    <w:p>
      <w:pPr>
        <w:pStyle w:val="2"/>
        <w:keepNext w:val="0"/>
        <w:keepLines w:val="0"/>
        <w:pageBreakBefore w:val="0"/>
        <w:widowControl w:val="0"/>
        <w:kinsoku/>
        <w:wordWrap/>
        <w:overflowPunct/>
        <w:topLinePunct w:val="0"/>
        <w:autoSpaceDE/>
        <w:autoSpaceDN/>
        <w:bidi w:val="0"/>
        <w:snapToGrid/>
        <w:spacing w:line="240" w:lineRule="auto"/>
        <w:ind w:left="0" w:right="0" w:firstLine="638"/>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市政消火栓应当与市政道路等市政基础设施同步设计、同步施工、同步验收。</w:t>
      </w:r>
    </w:p>
    <w:p>
      <w:pPr>
        <w:pStyle w:val="2"/>
        <w:keepNext w:val="0"/>
        <w:keepLines w:val="0"/>
        <w:pageBreakBefore w:val="0"/>
        <w:widowControl w:val="0"/>
        <w:kinsoku/>
        <w:wordWrap/>
        <w:overflowPunct/>
        <w:topLinePunct w:val="0"/>
        <w:autoSpaceDE/>
        <w:autoSpaceDN/>
        <w:bidi w:val="0"/>
        <w:snapToGrid/>
        <w:spacing w:line="240" w:lineRule="auto"/>
        <w:ind w:left="0" w:right="0" w:firstLine="638"/>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市政消火栓具体管理办法按照《</w:t>
      </w:r>
      <w:r>
        <w:rPr>
          <w:rFonts w:hint="eastAsia" w:ascii="仿宋" w:hAnsi="仿宋" w:eastAsia="仿宋" w:cs="仿宋"/>
          <w:color w:val="auto"/>
          <w:spacing w:val="0"/>
          <w:w w:val="100"/>
          <w:sz w:val="32"/>
          <w:szCs w:val="32"/>
          <w:lang w:eastAsia="zh-CN"/>
        </w:rPr>
        <w:t>汕尾</w:t>
      </w:r>
      <w:r>
        <w:rPr>
          <w:rFonts w:hint="eastAsia" w:ascii="仿宋" w:hAnsi="仿宋" w:eastAsia="仿宋" w:cs="仿宋"/>
          <w:color w:val="auto"/>
          <w:spacing w:val="0"/>
          <w:w w:val="100"/>
          <w:sz w:val="32"/>
          <w:szCs w:val="32"/>
        </w:rPr>
        <w:t>市市政消火栓管理办法》执行。</w:t>
      </w:r>
    </w:p>
    <w:p>
      <w:pPr>
        <w:keepNext w:val="0"/>
        <w:keepLines w:val="0"/>
        <w:pageBreakBefore w:val="0"/>
        <w:widowControl w:val="0"/>
        <w:kinsoku/>
        <w:wordWrap/>
        <w:overflowPunct/>
        <w:topLinePunct w:val="0"/>
        <w:autoSpaceDE/>
        <w:autoSpaceDN/>
        <w:bidi w:val="0"/>
        <w:adjustRightInd w:val="0"/>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第二十五条</w:t>
      </w:r>
      <w:r>
        <w:rPr>
          <w:rFonts w:hint="eastAsia" w:ascii="仿宋" w:hAnsi="仿宋" w:eastAsia="仿宋" w:cs="仿宋"/>
          <w:b/>
          <w:color w:val="auto"/>
          <w:spacing w:val="0"/>
          <w:w w:val="100"/>
          <w:sz w:val="32"/>
          <w:szCs w:val="32"/>
        </w:rPr>
        <w:t xml:space="preserve"> </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除消防需要外，禁止任何单位和个人擅自使用市政消火栓。园林绿化、市容环卫、市政管网疏浚等公共事业用水确需临时使用市政消火栓的，使用单位应当向供水企业办理临时使用手续，按照要求有偿使用，并报消防部门备案。</w:t>
      </w:r>
    </w:p>
    <w:p>
      <w:pPr>
        <w:pStyle w:val="2"/>
        <w:spacing w:before="54" w:line="316" w:lineRule="auto"/>
        <w:ind w:right="269" w:firstLine="638"/>
        <w:rPr>
          <w:color w:val="auto"/>
        </w:rPr>
      </w:pPr>
      <w:r>
        <w:rPr>
          <w:color w:val="auto"/>
          <w:spacing w:val="1"/>
          <w:w w:val="95"/>
        </w:rPr>
        <w:t>供水企业向消防部门查询火灾事故的失火地点、时间以及</w:t>
      </w:r>
      <w:r>
        <w:rPr>
          <w:color w:val="auto"/>
        </w:rPr>
        <w:t>消防用水量等情况，消防部门应当配合。</w:t>
      </w:r>
    </w:p>
    <w:p>
      <w:pPr>
        <w:pStyle w:val="2"/>
        <w:keepNext w:val="0"/>
        <w:keepLines w:val="0"/>
        <w:pageBreakBefore w:val="0"/>
        <w:widowControl w:val="0"/>
        <w:tabs>
          <w:tab w:val="left" w:pos="1279"/>
        </w:tabs>
        <w:kinsoku/>
        <w:wordWrap/>
        <w:overflowPunct/>
        <w:topLinePunct w:val="0"/>
        <w:autoSpaceDE/>
        <w:autoSpaceDN/>
        <w:bidi w:val="0"/>
        <w:snapToGrid/>
        <w:spacing w:line="240" w:lineRule="auto"/>
        <w:ind w:left="0" w:right="160"/>
        <w:jc w:val="center"/>
        <w:textAlignment w:val="auto"/>
        <w:rPr>
          <w:rFonts w:hint="eastAsia" w:ascii="黑体" w:hAnsi="黑体" w:eastAsia="黑体" w:cs="黑体"/>
          <w:color w:val="auto"/>
          <w:spacing w:val="0"/>
          <w:w w:val="100"/>
          <w:sz w:val="32"/>
          <w:szCs w:val="32"/>
        </w:rPr>
      </w:pPr>
      <w:r>
        <w:rPr>
          <w:rFonts w:hint="eastAsia" w:ascii="黑体" w:hAnsi="黑体" w:eastAsia="黑体" w:cs="黑体"/>
          <w:color w:val="auto"/>
          <w:spacing w:val="0"/>
          <w:w w:val="100"/>
          <w:sz w:val="32"/>
          <w:szCs w:val="32"/>
        </w:rPr>
        <w:t>第三章</w:t>
      </w:r>
      <w:r>
        <w:rPr>
          <w:rFonts w:hint="eastAsia" w:ascii="黑体" w:hAnsi="黑体" w:eastAsia="黑体" w:cs="黑体"/>
          <w:color w:val="auto"/>
          <w:spacing w:val="0"/>
          <w:w w:val="100"/>
          <w:sz w:val="32"/>
          <w:szCs w:val="32"/>
        </w:rPr>
        <w:tab/>
      </w:r>
      <w:r>
        <w:rPr>
          <w:rFonts w:hint="eastAsia" w:ascii="黑体" w:hAnsi="黑体" w:eastAsia="黑体" w:cs="黑体"/>
          <w:color w:val="auto"/>
          <w:spacing w:val="0"/>
          <w:w w:val="100"/>
          <w:sz w:val="32"/>
          <w:szCs w:val="32"/>
        </w:rPr>
        <w:t>供水管理</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b w:val="0"/>
          <w:bCs w:val="0"/>
          <w:color w:val="auto"/>
          <w:spacing w:val="0"/>
          <w:w w:val="100"/>
          <w:sz w:val="32"/>
          <w:szCs w:val="32"/>
        </w:rPr>
        <w:t>第二十六条</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b/>
          <w:color w:val="auto"/>
          <w:spacing w:val="0"/>
          <w:w w:val="100"/>
          <w:sz w:val="32"/>
          <w:szCs w:val="32"/>
        </w:rPr>
        <w:t xml:space="preserve"> </w:t>
      </w:r>
      <w:r>
        <w:rPr>
          <w:rFonts w:hint="eastAsia" w:ascii="仿宋" w:hAnsi="仿宋" w:eastAsia="仿宋" w:cs="仿宋"/>
          <w:color w:val="auto"/>
          <w:spacing w:val="0"/>
          <w:w w:val="100"/>
          <w:sz w:val="32"/>
          <w:szCs w:val="32"/>
        </w:rPr>
        <w:t>卫生健康、供水行政主管部门按规定对城市供水水质进行检测、监督和管理，生态环境行政主管部门按规定对饮用水水源进行监督。各有关部门的监督检测情况应当定期向社会公布。</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b w:val="0"/>
          <w:bCs w:val="0"/>
          <w:color w:val="auto"/>
          <w:spacing w:val="0"/>
          <w:w w:val="100"/>
          <w:sz w:val="32"/>
          <w:szCs w:val="32"/>
        </w:rPr>
        <w:t>第二十七条</w:t>
      </w:r>
      <w:r>
        <w:rPr>
          <w:rFonts w:hint="eastAsia" w:ascii="仿宋" w:hAnsi="仿宋" w:eastAsia="仿宋" w:cs="仿宋"/>
          <w:b/>
          <w:color w:val="auto"/>
          <w:spacing w:val="0"/>
          <w:w w:val="100"/>
          <w:sz w:val="32"/>
          <w:szCs w:val="32"/>
        </w:rPr>
        <w:t xml:space="preserve"> </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供水企业应当建立健全水质检测制度，保证供水设施运行安全和水质符合国家生活饮用水卫生标准；应当建立健全管理制度，设置水质检测部门，按规定对水源地、水厂和供水管网的水质进行检测，定期向供水行政主管部门报告供水、水质检测的情况及其他有关资料，并定期将水质检测结果向社会公布。</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供水企业发现供水水质不符合相关标准时，应当立即通知受影响用户并报告供水、生态环境和卫生健康行政主管部门，同时积极采取措施使水质恢复到相关标准。</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b w:val="0"/>
          <w:bCs w:val="0"/>
          <w:color w:val="auto"/>
          <w:spacing w:val="0"/>
          <w:w w:val="100"/>
          <w:sz w:val="32"/>
          <w:szCs w:val="32"/>
        </w:rPr>
        <w:t>第二十八条</w:t>
      </w:r>
      <w:r>
        <w:rPr>
          <w:rFonts w:hint="eastAsia" w:ascii="仿宋" w:hAnsi="仿宋" w:eastAsia="仿宋" w:cs="仿宋"/>
          <w:b/>
          <w:color w:val="auto"/>
          <w:spacing w:val="0"/>
          <w:w w:val="100"/>
          <w:sz w:val="32"/>
          <w:szCs w:val="32"/>
        </w:rPr>
        <w:t xml:space="preserve"> </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供水企业应当按照国家有关规定设置管网测压点，做好水压监测工作，确保公共供水主管网的压力不低于国家规定的最低服务水压。</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b w:val="0"/>
          <w:bCs w:val="0"/>
        </w:rPr>
        <w:t>第二十九条</w:t>
      </w:r>
      <w:r>
        <w:rPr>
          <w:rFonts w:hint="eastAsia"/>
          <w:lang w:val="en-US" w:eastAsia="zh-CN"/>
        </w:rPr>
        <w:t xml:space="preserve"> </w:t>
      </w:r>
      <w:r>
        <w:rPr>
          <w:rFonts w:hint="eastAsia"/>
        </w:rPr>
        <w:t xml:space="preserve"> 供水企业应当为直接从事供水工作的人员建立健全健康档案，并定期组织体检。</w:t>
      </w:r>
    </w:p>
    <w:p>
      <w:pPr>
        <w:keepNext w:val="0"/>
        <w:keepLines w:val="0"/>
        <w:pageBreakBefore w:val="0"/>
        <w:widowControl w:val="0"/>
        <w:kinsoku/>
        <w:wordWrap/>
        <w:overflowPunct/>
        <w:topLinePunct w:val="0"/>
        <w:autoSpaceDE/>
        <w:autoSpaceDN/>
        <w:bidi w:val="0"/>
        <w:adjustRightInd w:val="0"/>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凡患有可能影响饮用水卫生的传染性疾病患者和病原体携 带者，不得直接从事供水、管水工作。</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第三十条</w:t>
      </w:r>
      <w:r>
        <w:rPr>
          <w:rFonts w:hint="eastAsia" w:ascii="仿宋" w:hAnsi="仿宋" w:eastAsia="仿宋" w:cs="仿宋"/>
          <w:b/>
          <w:color w:val="auto"/>
          <w:spacing w:val="0"/>
          <w:w w:val="100"/>
          <w:sz w:val="32"/>
          <w:szCs w:val="32"/>
        </w:rPr>
        <w:t xml:space="preserve"> </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供水企业应当为用户安装符合国家相关标准的注册结算水表，并负责或委托管理单位负责管理维护和不定期 检查。</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供水企业应当按照规定的更换周期更换注册结算水表，保 证注册结算水表的正常运作。</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第三十一条</w:t>
      </w:r>
      <w:r>
        <w:rPr>
          <w:rFonts w:hint="eastAsia" w:ascii="仿宋" w:hAnsi="仿宋" w:eastAsia="仿宋" w:cs="仿宋"/>
          <w:b/>
          <w:color w:val="auto"/>
          <w:spacing w:val="0"/>
          <w:w w:val="100"/>
          <w:sz w:val="32"/>
          <w:szCs w:val="32"/>
        </w:rPr>
        <w:t xml:space="preserve"> </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供水企业应当保证不间断供水和正常供水水压，但有下列情形之一的，可以暂停供水或降低水压，并报告供水行政主管部门：</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（一）工程施工。</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（二）设备维修。</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（三）其他确需停水或者降低水压的情形。</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第三十二条</w:t>
      </w:r>
      <w:r>
        <w:rPr>
          <w:rFonts w:hint="eastAsia" w:ascii="仿宋" w:hAnsi="仿宋" w:eastAsia="仿宋" w:cs="仿宋"/>
          <w:b/>
          <w:color w:val="auto"/>
          <w:spacing w:val="0"/>
          <w:w w:val="100"/>
          <w:sz w:val="32"/>
          <w:szCs w:val="32"/>
        </w:rPr>
        <w:t xml:space="preserve"> </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供水企业因工程施工、设备维修等原因需暂停供水或者在较大区域降低水压的，应当将停水或者降低水压的原因、持续时间及影响范围通过公共传播媒介或其他方式在停水或降低水压前24小时通知用户。</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因发生自然灾害或者紧急事故等特殊情况不能提前通知 的，供水企业应当在施工或抢修的同时通知用户并报告供水行政主管部门；停水超过24小时的，供水企业应当采取应急供水措施，为居民生活提供基本用水。</w:t>
      </w:r>
    </w:p>
    <w:p>
      <w:pPr>
        <w:keepNext w:val="0"/>
        <w:keepLines w:val="0"/>
        <w:pageBreakBefore w:val="0"/>
        <w:widowControl w:val="0"/>
        <w:kinsoku/>
        <w:wordWrap/>
        <w:overflowPunct/>
        <w:topLinePunct w:val="0"/>
        <w:autoSpaceDE/>
        <w:autoSpaceDN/>
        <w:bidi w:val="0"/>
        <w:adjustRightInd w:val="0"/>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第三十三条</w:t>
      </w:r>
      <w:r>
        <w:rPr>
          <w:rFonts w:hint="eastAsia" w:ascii="仿宋" w:hAnsi="仿宋" w:eastAsia="仿宋" w:cs="仿宋"/>
          <w:b/>
          <w:color w:val="auto"/>
          <w:spacing w:val="0"/>
          <w:w w:val="100"/>
          <w:sz w:val="32"/>
          <w:szCs w:val="32"/>
        </w:rPr>
        <w:t xml:space="preserve"> </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供水企业应当配备用水安全检查人员，并报供水行政主管部门备案。用水安全检查人员执行用水安全检查任务时，不得少于两人，并应当出示有效工作证件，向用户说明目的、所需时间等情况，用户应当予以配合。</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因用户不配合检查工作而导致供水企业不能正常供水或者造成供水企业损失的，用户应当承担相应责任。</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第三十四条</w:t>
      </w:r>
      <w:r>
        <w:rPr>
          <w:rFonts w:hint="eastAsia" w:ascii="仿宋" w:hAnsi="仿宋" w:eastAsia="仿宋" w:cs="仿宋"/>
          <w:b/>
          <w:color w:val="auto"/>
          <w:spacing w:val="0"/>
          <w:w w:val="100"/>
          <w:sz w:val="32"/>
          <w:szCs w:val="32"/>
        </w:rPr>
        <w:t xml:space="preserve"> </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供水价格按照居民生活用水、非居民生活用水和特种用水等用水类别分别定价，实行政府定价管理，具体收费标准由价格行政主管部门依照规定权限和程序核定，报本级人民政府批准并向社会公布。</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逐步实行居民生活用水阶梯式水价和差别水价制度，建立健全非居民用水超定额累进加价制度。</w:t>
      </w:r>
    </w:p>
    <w:p>
      <w:pPr>
        <w:pStyle w:val="2"/>
        <w:keepNext w:val="0"/>
        <w:keepLines w:val="0"/>
        <w:pageBreakBefore w:val="0"/>
        <w:widowControl w:val="0"/>
        <w:tabs>
          <w:tab w:val="left" w:pos="2698"/>
        </w:tabs>
        <w:kinsoku/>
        <w:wordWrap/>
        <w:overflowPunct/>
        <w:topLinePunct w:val="0"/>
        <w:autoSpaceDE/>
        <w:autoSpaceDN/>
        <w:bidi w:val="0"/>
        <w:adjustRightInd/>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第三十五条</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供水企业按用户用水性质、计量结果和定额标准向用户收取水费。</w:t>
      </w:r>
    </w:p>
    <w:p>
      <w:pPr>
        <w:pStyle w:val="2"/>
        <w:keepNext w:val="0"/>
        <w:keepLines w:val="0"/>
        <w:pageBreakBefore w:val="0"/>
        <w:widowControl w:val="0"/>
        <w:tabs>
          <w:tab w:val="left" w:pos="2698"/>
        </w:tabs>
        <w:kinsoku/>
        <w:wordWrap/>
        <w:overflowPunct/>
        <w:topLinePunct w:val="0"/>
        <w:autoSpaceDE/>
        <w:autoSpaceDN/>
        <w:bidi w:val="0"/>
        <w:adjustRightInd/>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第三十六条</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供水企业可以委托物业服务企业或其他单位代为抄录注册结算水表读数、收取水费、转交水费发票。</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受委托收取水费的单位应当严格执行政府定价，不得擅自调整价格或向用户收取额外费用。</w:t>
      </w:r>
    </w:p>
    <w:p>
      <w:pPr>
        <w:pStyle w:val="2"/>
        <w:keepNext w:val="0"/>
        <w:keepLines w:val="0"/>
        <w:pageBreakBefore w:val="0"/>
        <w:widowControl w:val="0"/>
        <w:tabs>
          <w:tab w:val="left" w:pos="1279"/>
        </w:tabs>
        <w:kinsoku/>
        <w:wordWrap/>
        <w:overflowPunct/>
        <w:topLinePunct w:val="0"/>
        <w:autoSpaceDE/>
        <w:autoSpaceDN/>
        <w:bidi w:val="0"/>
        <w:snapToGrid/>
        <w:spacing w:line="240" w:lineRule="auto"/>
        <w:ind w:left="0" w:right="0" w:firstLine="0" w:firstLineChars="0"/>
        <w:jc w:val="center"/>
        <w:textAlignment w:val="auto"/>
        <w:rPr>
          <w:rFonts w:hint="eastAsia" w:ascii="黑体" w:hAnsi="黑体" w:eastAsia="黑体" w:cs="黑体"/>
          <w:color w:val="auto"/>
          <w:spacing w:val="0"/>
          <w:w w:val="100"/>
          <w:sz w:val="32"/>
          <w:szCs w:val="32"/>
        </w:rPr>
      </w:pPr>
      <w:r>
        <w:rPr>
          <w:rFonts w:hint="eastAsia" w:ascii="黑体" w:hAnsi="黑体" w:eastAsia="黑体" w:cs="黑体"/>
          <w:color w:val="auto"/>
          <w:spacing w:val="0"/>
          <w:w w:val="100"/>
          <w:sz w:val="32"/>
          <w:szCs w:val="32"/>
        </w:rPr>
        <w:t>第四章</w:t>
      </w:r>
      <w:r>
        <w:rPr>
          <w:rFonts w:hint="eastAsia" w:ascii="黑体" w:hAnsi="黑体" w:eastAsia="黑体" w:cs="黑体"/>
          <w:color w:val="auto"/>
          <w:spacing w:val="0"/>
          <w:w w:val="100"/>
          <w:sz w:val="32"/>
          <w:szCs w:val="32"/>
        </w:rPr>
        <w:tab/>
      </w:r>
      <w:r>
        <w:rPr>
          <w:rFonts w:hint="eastAsia" w:ascii="黑体" w:hAnsi="黑体" w:eastAsia="黑体" w:cs="黑体"/>
          <w:color w:val="auto"/>
          <w:spacing w:val="0"/>
          <w:w w:val="100"/>
          <w:sz w:val="32"/>
          <w:szCs w:val="32"/>
        </w:rPr>
        <w:t>用水管理与节水</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第三十七条</w:t>
      </w:r>
      <w:r>
        <w:rPr>
          <w:rFonts w:hint="eastAsia" w:ascii="仿宋" w:hAnsi="仿宋" w:eastAsia="仿宋" w:cs="仿宋"/>
          <w:b/>
          <w:color w:val="auto"/>
          <w:spacing w:val="0"/>
          <w:w w:val="100"/>
          <w:sz w:val="32"/>
          <w:szCs w:val="32"/>
        </w:rPr>
        <w:t xml:space="preserve"> </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使用城市公共供水应当向供水企业提出申请，按供水企业的规定办理有关手续并签订供用水合同书，明确双方权利义务，由供水企业统一供水。</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第三十八条</w:t>
      </w:r>
      <w:r>
        <w:rPr>
          <w:rFonts w:hint="eastAsia" w:ascii="仿宋" w:hAnsi="仿宋" w:eastAsia="仿宋" w:cs="仿宋"/>
          <w:b/>
          <w:color w:val="auto"/>
          <w:spacing w:val="0"/>
          <w:w w:val="100"/>
          <w:sz w:val="32"/>
          <w:szCs w:val="32"/>
        </w:rPr>
        <w:t xml:space="preserve"> </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用户更改用水性质、更改户名或者暂停、终止、恢复用水等事项，应当及时到供水企业办理相关手续。</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禁止任何单位和个人擅自改变用水性质。</w:t>
      </w:r>
    </w:p>
    <w:p>
      <w:pPr>
        <w:keepNext w:val="0"/>
        <w:keepLines w:val="0"/>
        <w:pageBreakBefore w:val="0"/>
        <w:widowControl w:val="0"/>
        <w:kinsoku/>
        <w:wordWrap/>
        <w:overflowPunct/>
        <w:topLinePunct w:val="0"/>
        <w:autoSpaceDE/>
        <w:autoSpaceDN/>
        <w:bidi w:val="0"/>
        <w:adjustRightInd w:val="0"/>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第三十九条</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用水单位和个人应当按照计量结果、水价标准和定额标准按时缴纳水费。</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第四十条</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b/>
          <w:color w:val="auto"/>
          <w:spacing w:val="0"/>
          <w:w w:val="100"/>
          <w:sz w:val="32"/>
          <w:szCs w:val="32"/>
        </w:rPr>
        <w:t xml:space="preserve"> </w:t>
      </w:r>
      <w:r>
        <w:rPr>
          <w:rFonts w:hint="eastAsia" w:ascii="仿宋" w:hAnsi="仿宋" w:eastAsia="仿宋" w:cs="仿宋"/>
          <w:color w:val="auto"/>
          <w:spacing w:val="0"/>
          <w:w w:val="100"/>
          <w:sz w:val="32"/>
          <w:szCs w:val="32"/>
        </w:rPr>
        <w:t>因注册结算水表发生故障或者因用户原因导致无法抄表时，供水企业可与用户协商选择下列方式之一计收水费：</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（一）注册结算水表失准的，按照法定计量检定机构认定的误差幅度计算。</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（二）按照上一次抄表计费日起至本次抄表日或注册结算水表更换日止的用水天数乘以该用户前六个月的日平均用水量计算水费。</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（三）按去年同期用水量计算。</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第四十一条</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b/>
          <w:color w:val="auto"/>
          <w:spacing w:val="0"/>
          <w:w w:val="100"/>
          <w:sz w:val="32"/>
          <w:szCs w:val="32"/>
        </w:rPr>
        <w:t xml:space="preserve"> </w:t>
      </w:r>
      <w:r>
        <w:rPr>
          <w:rFonts w:hint="eastAsia" w:ascii="仿宋" w:hAnsi="仿宋" w:eastAsia="仿宋" w:cs="仿宋"/>
          <w:color w:val="auto"/>
          <w:spacing w:val="0"/>
          <w:w w:val="100"/>
          <w:sz w:val="32"/>
          <w:szCs w:val="32"/>
        </w:rPr>
        <w:t>用户发现注册结算水表损坏或遗失的，应当及时告知供水企业，供水企业应当在四十八小时内派员到现场处理并重新安装注册结算水表。</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因用户责任造成注册结算水表损坏或遗失的，重新安装注册结算水表的费用由用户承担，但注册结算水表发生故障用户及时报修后，供水企业未按时维修或者更换注册结算水表的， 由供水企业承担相应费用。</w:t>
      </w:r>
    </w:p>
    <w:p>
      <w:pPr>
        <w:keepNext w:val="0"/>
        <w:keepLines w:val="0"/>
        <w:pageBreakBefore w:val="0"/>
        <w:widowControl w:val="0"/>
        <w:kinsoku/>
        <w:wordWrap/>
        <w:overflowPunct/>
        <w:topLinePunct w:val="0"/>
        <w:autoSpaceDE/>
        <w:autoSpaceDN/>
        <w:bidi w:val="0"/>
        <w:adjustRightInd w:val="0"/>
        <w:snapToGrid/>
        <w:spacing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黑体" w:hAnsi="黑体" w:eastAsia="黑体" w:cs="黑体"/>
          <w:b w:val="0"/>
          <w:bCs/>
          <w:color w:val="auto"/>
          <w:spacing w:val="0"/>
          <w:w w:val="100"/>
          <w:sz w:val="32"/>
          <w:szCs w:val="32"/>
        </w:rPr>
        <w:t>第四十二条</w:t>
      </w:r>
      <w:r>
        <w:rPr>
          <w:rFonts w:hint="eastAsia" w:ascii="仿宋" w:hAnsi="仿宋" w:eastAsia="仿宋" w:cs="仿宋"/>
          <w:b/>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用户对注册结算水表准确度有异议的，可以向供水企业提出校表要求，供水企业应当自接到校表要求之日起五个工作日内与用户共同委托有资质的计量检定机构进行检定。校验合格的，用户应当承担校验费；校验不合格的，供水企业应当承担校验费，供水企业按注册结算水表计量的用水量，按检测结果以“多退少补”的原则结算，但只以发生争议前最近一个月抄表周期为限。</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rPr>
      </w:pPr>
      <w:r>
        <w:rPr>
          <w:rFonts w:hint="eastAsia" w:ascii="黑体" w:hAnsi="黑体" w:eastAsia="黑体" w:cs="黑体"/>
          <w:b w:val="0"/>
          <w:bCs/>
          <w:color w:val="auto"/>
          <w:spacing w:val="0"/>
          <w:w w:val="100"/>
        </w:rPr>
        <w:t>第四十三条</w:t>
      </w:r>
      <w:r>
        <w:rPr>
          <w:rFonts w:hint="eastAsia" w:ascii="仿宋" w:hAnsi="仿宋" w:eastAsia="仿宋" w:cs="仿宋"/>
          <w:b/>
          <w:color w:val="auto"/>
          <w:spacing w:val="0"/>
          <w:w w:val="100"/>
        </w:rPr>
        <w:t xml:space="preserve"> </w:t>
      </w:r>
      <w:r>
        <w:rPr>
          <w:rFonts w:hint="eastAsia" w:ascii="仿宋" w:hAnsi="仿宋" w:eastAsia="仿宋" w:cs="仿宋"/>
          <w:b/>
          <w:color w:val="auto"/>
          <w:spacing w:val="0"/>
          <w:w w:val="100"/>
          <w:lang w:val="en-US" w:eastAsia="zh-CN"/>
        </w:rPr>
        <w:t xml:space="preserve"> </w:t>
      </w:r>
      <w:r>
        <w:rPr>
          <w:rFonts w:hint="eastAsia" w:ascii="仿宋" w:hAnsi="仿宋" w:eastAsia="仿宋" w:cs="仿宋"/>
          <w:color w:val="auto"/>
          <w:spacing w:val="0"/>
          <w:w w:val="100"/>
        </w:rPr>
        <w:t>用水单位及个人有保护城市公共供水设施和注册结算水表的义务，自觉配合供水企业抄表、验表工作人员做好注册结算水表等设施的更换、维修工作，禁止下列行为：</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（一）私自拆动、改装、移装、毁坏、封闭注册结算水表 或者干扰注册结算水表正常运行。</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（二）在注册结算水表周边加锁、堆放障碍物等影响抄表、换表工作。</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（三）拒绝、阻碍供水企业工作人员因工作需要的拆换注册结算水表和抄表工作。</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（四）擅自操作公共供水管道阀门或违反规定开启市政消火栓取水。</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（五）在公共供水设施上私接管线取水。</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（六）法律、法规规定的其他危害供水安全和盗用供水的行为。</w:t>
      </w:r>
    </w:p>
    <w:p>
      <w:pPr>
        <w:keepNext w:val="0"/>
        <w:keepLines w:val="0"/>
        <w:pageBreakBefore w:val="0"/>
        <w:widowControl w:val="0"/>
        <w:tabs>
          <w:tab w:val="left" w:pos="2674"/>
        </w:tabs>
        <w:kinsoku/>
        <w:wordWrap/>
        <w:overflowPunct/>
        <w:topLinePunct w:val="0"/>
        <w:autoSpaceDE/>
        <w:autoSpaceDN/>
        <w:bidi w:val="0"/>
        <w:snapToGrid/>
        <w:spacing w:line="240" w:lineRule="auto"/>
        <w:ind w:left="0" w:right="0" w:firstLine="640" w:firstLineChars="200"/>
        <w:jc w:val="left"/>
        <w:textAlignment w:val="auto"/>
        <w:rPr>
          <w:rFonts w:hint="eastAsia" w:ascii="仿宋" w:hAnsi="仿宋" w:eastAsia="仿宋" w:cs="仿宋"/>
          <w:color w:val="auto"/>
          <w:spacing w:val="0"/>
          <w:w w:val="100"/>
          <w:sz w:val="32"/>
        </w:rPr>
      </w:pPr>
      <w:r>
        <w:rPr>
          <w:rFonts w:hint="eastAsia" w:ascii="黑体" w:hAnsi="黑体" w:eastAsia="黑体" w:cs="黑体"/>
          <w:b w:val="0"/>
          <w:bCs/>
          <w:color w:val="auto"/>
          <w:spacing w:val="0"/>
          <w:w w:val="100"/>
          <w:sz w:val="32"/>
        </w:rPr>
        <w:t>第四十四条</w:t>
      </w:r>
      <w:r>
        <w:rPr>
          <w:rFonts w:hint="eastAsia" w:ascii="黑体" w:hAnsi="黑体" w:eastAsia="黑体" w:cs="黑体"/>
          <w:b w:val="0"/>
          <w:bCs/>
          <w:color w:val="auto"/>
          <w:spacing w:val="0"/>
          <w:w w:val="100"/>
          <w:sz w:val="32"/>
          <w:lang w:val="en-US" w:eastAsia="zh-CN"/>
        </w:rPr>
        <w:t xml:space="preserve">  </w:t>
      </w:r>
      <w:r>
        <w:rPr>
          <w:rFonts w:hint="eastAsia" w:ascii="仿宋" w:hAnsi="仿宋" w:eastAsia="仿宋" w:cs="仿宋"/>
          <w:color w:val="auto"/>
          <w:spacing w:val="0"/>
          <w:w w:val="100"/>
          <w:sz w:val="32"/>
        </w:rPr>
        <w:t>禁止盗用或者转供城市公共供水。</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经查实存在盗用或者非法转供城市公共供水的，应当按照有关法律法规和供用水合同约定补缴水费。</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rPr>
      </w:pPr>
      <w:r>
        <w:rPr>
          <w:rFonts w:hint="eastAsia" w:ascii="黑体" w:hAnsi="黑体" w:eastAsia="黑体" w:cs="黑体"/>
          <w:b w:val="0"/>
          <w:bCs/>
          <w:color w:val="auto"/>
          <w:spacing w:val="0"/>
          <w:w w:val="100"/>
        </w:rPr>
        <w:t>第四十五条</w:t>
      </w:r>
      <w:r>
        <w:rPr>
          <w:rFonts w:hint="eastAsia" w:ascii="仿宋" w:hAnsi="仿宋" w:eastAsia="仿宋" w:cs="仿宋"/>
          <w:b/>
          <w:color w:val="auto"/>
          <w:spacing w:val="0"/>
          <w:w w:val="100"/>
        </w:rPr>
        <w:t xml:space="preserve"> </w:t>
      </w:r>
      <w:r>
        <w:rPr>
          <w:rFonts w:hint="eastAsia" w:ascii="仿宋" w:hAnsi="仿宋" w:eastAsia="仿宋" w:cs="仿宋"/>
          <w:b/>
          <w:color w:val="auto"/>
          <w:spacing w:val="0"/>
          <w:w w:val="100"/>
          <w:lang w:val="en-US" w:eastAsia="zh-CN"/>
        </w:rPr>
        <w:t xml:space="preserve"> </w:t>
      </w:r>
      <w:r>
        <w:rPr>
          <w:rFonts w:hint="eastAsia" w:ascii="仿宋" w:hAnsi="仿宋" w:eastAsia="仿宋" w:cs="仿宋"/>
          <w:color w:val="auto"/>
          <w:spacing w:val="0"/>
          <w:w w:val="100"/>
        </w:rPr>
        <w:t>对发现偷盗城市公共供水和城市公共供水管网漏损现象，并及时报告供水企业，经现场核查属实的，由供水企业给予奖励。</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rFonts w:hint="eastAsia" w:ascii="仿宋" w:hAnsi="仿宋" w:eastAsia="仿宋" w:cs="仿宋"/>
          <w:color w:val="auto"/>
          <w:spacing w:val="0"/>
          <w:w w:val="100"/>
        </w:rPr>
      </w:pPr>
      <w:r>
        <w:rPr>
          <w:rFonts w:hint="eastAsia" w:ascii="黑体" w:hAnsi="黑体" w:eastAsia="黑体" w:cs="黑体"/>
          <w:b w:val="0"/>
          <w:bCs/>
          <w:color w:val="auto"/>
          <w:spacing w:val="0"/>
          <w:w w:val="100"/>
        </w:rPr>
        <w:t>第四十六条</w:t>
      </w:r>
      <w:r>
        <w:rPr>
          <w:rFonts w:hint="eastAsia" w:ascii="仿宋" w:hAnsi="仿宋" w:eastAsia="仿宋" w:cs="仿宋"/>
          <w:b/>
          <w:color w:val="auto"/>
          <w:spacing w:val="0"/>
          <w:w w:val="100"/>
        </w:rPr>
        <w:t xml:space="preserve"> </w:t>
      </w:r>
      <w:r>
        <w:rPr>
          <w:rFonts w:hint="eastAsia" w:ascii="仿宋" w:hAnsi="仿宋" w:eastAsia="仿宋" w:cs="仿宋"/>
          <w:b/>
          <w:color w:val="auto"/>
          <w:spacing w:val="0"/>
          <w:w w:val="100"/>
          <w:lang w:val="en-US" w:eastAsia="zh-CN"/>
        </w:rPr>
        <w:t xml:space="preserve"> </w:t>
      </w:r>
      <w:r>
        <w:rPr>
          <w:rFonts w:hint="eastAsia" w:ascii="仿宋" w:hAnsi="仿宋" w:eastAsia="仿宋" w:cs="仿宋"/>
          <w:color w:val="auto"/>
          <w:spacing w:val="0"/>
          <w:w w:val="100"/>
        </w:rPr>
        <w:t>餐饮、宾馆、水上娱乐等服务业单位，应当采用节水技术、设备和设施。</w:t>
      </w:r>
    </w:p>
    <w:p>
      <w:pPr>
        <w:keepNext w:val="0"/>
        <w:keepLines w:val="0"/>
        <w:pageBreakBefore w:val="0"/>
        <w:widowControl w:val="0"/>
        <w:kinsoku/>
        <w:wordWrap/>
        <w:overflowPunct/>
        <w:topLinePunct w:val="0"/>
        <w:autoSpaceDE/>
        <w:autoSpaceDN/>
        <w:bidi w:val="0"/>
        <w:adjustRightInd w:val="0"/>
        <w:snapToGrid/>
        <w:spacing w:line="240" w:lineRule="auto"/>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游泳、洗浴、洗车、洗衣等特殊行业用水，应当采用低耗水、循环净化用水等节水技术、设备和设施。</w:t>
      </w:r>
    </w:p>
    <w:p>
      <w:pPr>
        <w:pStyle w:val="2"/>
        <w:keepNext w:val="0"/>
        <w:keepLines w:val="0"/>
        <w:pageBreakBefore w:val="0"/>
        <w:widowControl w:val="0"/>
        <w:tabs>
          <w:tab w:val="left" w:pos="2059"/>
          <w:tab w:val="left" w:pos="2698"/>
        </w:tabs>
        <w:kinsoku/>
        <w:wordWrap/>
        <w:overflowPunct/>
        <w:topLinePunct w:val="0"/>
        <w:autoSpaceDE/>
        <w:autoSpaceDN/>
        <w:bidi w:val="0"/>
        <w:snapToGrid/>
        <w:spacing w:line="240" w:lineRule="auto"/>
        <w:ind w:left="0" w:right="0" w:firstLine="640" w:firstLineChars="200"/>
        <w:jc w:val="left"/>
        <w:textAlignment w:val="auto"/>
        <w:rPr>
          <w:color w:val="auto"/>
          <w:spacing w:val="0"/>
          <w:w w:val="100"/>
        </w:rPr>
      </w:pPr>
      <w:r>
        <w:rPr>
          <w:rFonts w:hint="eastAsia" w:ascii="黑体" w:hAnsi="黑体" w:eastAsia="黑体" w:cs="黑体"/>
          <w:b w:val="0"/>
          <w:bCs/>
          <w:color w:val="auto"/>
          <w:spacing w:val="0"/>
          <w:w w:val="100"/>
          <w:sz w:val="32"/>
          <w:szCs w:val="32"/>
        </w:rPr>
        <w:t>第四十七条</w:t>
      </w:r>
      <w:r>
        <w:rPr>
          <w:rFonts w:hint="eastAsia"/>
          <w:b/>
          <w:color w:val="auto"/>
          <w:spacing w:val="0"/>
          <w:w w:val="100"/>
          <w:lang w:val="en-US" w:eastAsia="zh-CN"/>
        </w:rPr>
        <w:t xml:space="preserve">  </w:t>
      </w:r>
      <w:r>
        <w:rPr>
          <w:color w:val="auto"/>
          <w:spacing w:val="0"/>
          <w:w w:val="100"/>
        </w:rPr>
        <w:t xml:space="preserve">机关、事业单位等公共机构以及城乡新建居民小区，应当采用节水型工艺，使用节水型设备和器具并保障其正常运行。尚未安装节水型设备和器具的，应当逐步更换。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auto"/>
          <w:spacing w:val="0"/>
          <w:w w:val="100"/>
        </w:rPr>
      </w:pPr>
      <w:r>
        <w:rPr>
          <w:rFonts w:hint="eastAsia" w:ascii="仿宋" w:hAnsi="仿宋" w:eastAsia="仿宋" w:cs="仿宋"/>
          <w:sz w:val="32"/>
          <w:szCs w:val="32"/>
        </w:rPr>
        <w:t>第四十八条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鼓励城乡居民使用节水型设备和器具，循环利用水资源，提高用水效率。</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textAlignment w:val="auto"/>
        <w:rPr>
          <w:color w:val="auto"/>
          <w:spacing w:val="0"/>
          <w:w w:val="100"/>
        </w:rPr>
      </w:pPr>
      <w:r>
        <w:rPr>
          <w:color w:val="auto"/>
          <w:spacing w:val="0"/>
          <w:w w:val="100"/>
        </w:rPr>
        <w:t>鼓励园林绿化、景观环境等公共用水单位使用雨水和再生水，采用节水灌溉方式，提高用水效率。</w:t>
      </w:r>
    </w:p>
    <w:p>
      <w:pPr>
        <w:pStyle w:val="2"/>
        <w:keepNext w:val="0"/>
        <w:keepLines w:val="0"/>
        <w:pageBreakBefore w:val="0"/>
        <w:widowControl w:val="0"/>
        <w:tabs>
          <w:tab w:val="left" w:pos="1279"/>
        </w:tabs>
        <w:kinsoku/>
        <w:wordWrap/>
        <w:overflowPunct/>
        <w:topLinePunct w:val="0"/>
        <w:autoSpaceDE/>
        <w:autoSpaceDN/>
        <w:bidi w:val="0"/>
        <w:snapToGrid/>
        <w:spacing w:line="240" w:lineRule="auto"/>
        <w:ind w:left="0" w:right="0" w:firstLine="640" w:firstLineChars="200"/>
        <w:jc w:val="center"/>
        <w:textAlignment w:val="auto"/>
        <w:rPr>
          <w:rFonts w:hint="eastAsia" w:ascii="黑体" w:eastAsia="黑体"/>
          <w:color w:val="auto"/>
          <w:spacing w:val="0"/>
          <w:w w:val="100"/>
        </w:rPr>
      </w:pPr>
      <w:r>
        <w:rPr>
          <w:rFonts w:hint="eastAsia" w:ascii="黑体" w:eastAsia="黑体"/>
          <w:color w:val="auto"/>
          <w:spacing w:val="0"/>
          <w:w w:val="100"/>
        </w:rPr>
        <w:t>第五章</w:t>
      </w:r>
      <w:r>
        <w:rPr>
          <w:rFonts w:hint="eastAsia" w:ascii="黑体" w:eastAsia="黑体"/>
          <w:color w:val="auto"/>
          <w:spacing w:val="0"/>
          <w:w w:val="100"/>
        </w:rPr>
        <w:tab/>
      </w:r>
      <w:r>
        <w:rPr>
          <w:rFonts w:hint="eastAsia" w:ascii="黑体" w:eastAsia="黑体"/>
          <w:color w:val="auto"/>
          <w:spacing w:val="0"/>
          <w:w w:val="100"/>
        </w:rPr>
        <w:t>法律责任</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color w:val="auto"/>
          <w:spacing w:val="0"/>
          <w:w w:val="100"/>
        </w:rPr>
      </w:pPr>
      <w:r>
        <w:rPr>
          <w:rFonts w:hint="eastAsia" w:ascii="黑体" w:hAnsi="黑体" w:eastAsia="黑体" w:cs="黑体"/>
          <w:b w:val="0"/>
          <w:bCs/>
          <w:color w:val="auto"/>
          <w:spacing w:val="0"/>
          <w:w w:val="100"/>
          <w:sz w:val="32"/>
          <w:szCs w:val="32"/>
        </w:rPr>
        <w:t>第四十九条</w:t>
      </w:r>
      <w:r>
        <w:rPr>
          <w:b/>
          <w:color w:val="auto"/>
          <w:spacing w:val="0"/>
          <w:w w:val="100"/>
        </w:rPr>
        <w:t xml:space="preserve"> </w:t>
      </w:r>
      <w:r>
        <w:rPr>
          <w:rFonts w:hint="eastAsia"/>
          <w:b/>
          <w:color w:val="auto"/>
          <w:spacing w:val="0"/>
          <w:w w:val="100"/>
          <w:lang w:val="en-US" w:eastAsia="zh-CN"/>
        </w:rPr>
        <w:t xml:space="preserve"> </w:t>
      </w:r>
      <w:r>
        <w:rPr>
          <w:color w:val="auto"/>
          <w:spacing w:val="0"/>
          <w:w w:val="100"/>
        </w:rPr>
        <w:t>有关行政主管部门及其工作人员在城市供用水管理工作中滥用职权、玩忽职守、徇私舞弊的，依法给予处分；构成违法犯罪的，依法追究法律责任。</w:t>
      </w:r>
    </w:p>
    <w:p>
      <w:pPr>
        <w:pStyle w:val="2"/>
        <w:keepNext w:val="0"/>
        <w:keepLines w:val="0"/>
        <w:pageBreakBefore w:val="0"/>
        <w:widowControl w:val="0"/>
        <w:kinsoku/>
        <w:wordWrap/>
        <w:overflowPunct/>
        <w:topLinePunct w:val="0"/>
        <w:autoSpaceDE/>
        <w:autoSpaceDN/>
        <w:bidi w:val="0"/>
        <w:snapToGrid/>
        <w:spacing w:line="240" w:lineRule="auto"/>
        <w:ind w:left="0" w:right="0" w:firstLine="640" w:firstLineChars="200"/>
        <w:jc w:val="both"/>
        <w:textAlignment w:val="auto"/>
        <w:rPr>
          <w:color w:val="auto"/>
          <w:spacing w:val="0"/>
          <w:w w:val="100"/>
        </w:rPr>
      </w:pPr>
      <w:r>
        <w:rPr>
          <w:rFonts w:hint="eastAsia" w:ascii="黑体" w:hAnsi="黑体" w:eastAsia="黑体" w:cs="黑体"/>
          <w:b w:val="0"/>
          <w:bCs/>
          <w:color w:val="auto"/>
          <w:spacing w:val="0"/>
          <w:w w:val="100"/>
          <w:sz w:val="32"/>
          <w:szCs w:val="32"/>
        </w:rPr>
        <w:t>第五十条</w:t>
      </w:r>
      <w:r>
        <w:rPr>
          <w:b/>
          <w:color w:val="auto"/>
          <w:spacing w:val="0"/>
          <w:w w:val="100"/>
        </w:rPr>
        <w:t xml:space="preserve"> </w:t>
      </w:r>
      <w:r>
        <w:rPr>
          <w:rFonts w:hint="eastAsia"/>
          <w:b/>
          <w:color w:val="auto"/>
          <w:spacing w:val="0"/>
          <w:w w:val="100"/>
          <w:lang w:val="en-US" w:eastAsia="zh-CN"/>
        </w:rPr>
        <w:t xml:space="preserve"> </w:t>
      </w:r>
      <w:r>
        <w:rPr>
          <w:color w:val="auto"/>
          <w:spacing w:val="0"/>
          <w:w w:val="100"/>
        </w:rPr>
        <w:t>违反城市供用水管理规定的，依照《城市供水条例》《广东省城市供水管理规定》等有关法律法规规定处理。</w:t>
      </w:r>
    </w:p>
    <w:p>
      <w:pPr>
        <w:pStyle w:val="2"/>
        <w:keepNext w:val="0"/>
        <w:keepLines w:val="0"/>
        <w:pageBreakBefore w:val="0"/>
        <w:widowControl w:val="0"/>
        <w:tabs>
          <w:tab w:val="left" w:pos="1281"/>
        </w:tabs>
        <w:kinsoku/>
        <w:wordWrap/>
        <w:overflowPunct/>
        <w:topLinePunct w:val="0"/>
        <w:autoSpaceDE/>
        <w:autoSpaceDN/>
        <w:bidi w:val="0"/>
        <w:snapToGrid/>
        <w:spacing w:line="240" w:lineRule="auto"/>
        <w:ind w:right="0"/>
        <w:jc w:val="center"/>
        <w:textAlignment w:val="auto"/>
        <w:rPr>
          <w:rFonts w:hint="eastAsia" w:ascii="黑体" w:eastAsia="黑体"/>
          <w:color w:val="auto"/>
          <w:spacing w:val="0"/>
          <w:w w:val="100"/>
        </w:rPr>
      </w:pPr>
      <w:r>
        <w:rPr>
          <w:rFonts w:hint="eastAsia" w:ascii="黑体" w:eastAsia="黑体"/>
          <w:color w:val="auto"/>
          <w:spacing w:val="0"/>
          <w:w w:val="100"/>
        </w:rPr>
        <w:t>第六章</w:t>
      </w:r>
      <w:r>
        <w:rPr>
          <w:rFonts w:hint="eastAsia" w:ascii="黑体" w:eastAsia="黑体"/>
          <w:color w:val="auto"/>
          <w:spacing w:val="0"/>
          <w:w w:val="100"/>
        </w:rPr>
        <w:tab/>
      </w:r>
      <w:r>
        <w:rPr>
          <w:rFonts w:hint="eastAsia" w:ascii="黑体" w:eastAsia="黑体"/>
          <w:color w:val="auto"/>
          <w:spacing w:val="0"/>
          <w:w w:val="100"/>
        </w:rPr>
        <w:t>附则</w:t>
      </w:r>
    </w:p>
    <w:p>
      <w:pPr>
        <w:pStyle w:val="2"/>
        <w:keepNext w:val="0"/>
        <w:keepLines w:val="0"/>
        <w:pageBreakBefore w:val="0"/>
        <w:widowControl w:val="0"/>
        <w:tabs>
          <w:tab w:val="left" w:pos="2698"/>
        </w:tabs>
        <w:kinsoku/>
        <w:wordWrap/>
        <w:overflowPunct/>
        <w:topLinePunct w:val="0"/>
        <w:autoSpaceDE/>
        <w:autoSpaceDN/>
        <w:bidi w:val="0"/>
        <w:snapToGrid/>
        <w:spacing w:line="240" w:lineRule="auto"/>
        <w:ind w:left="0" w:right="0" w:firstLine="640" w:firstLineChars="200"/>
        <w:textAlignment w:val="auto"/>
        <w:rPr>
          <w:color w:val="auto"/>
          <w:spacing w:val="0"/>
          <w:w w:val="100"/>
        </w:rPr>
      </w:pPr>
      <w:r>
        <w:rPr>
          <w:rFonts w:hint="eastAsia" w:ascii="黑体" w:hAnsi="黑体" w:eastAsia="黑体" w:cs="黑体"/>
          <w:b w:val="0"/>
          <w:bCs/>
          <w:color w:val="auto"/>
          <w:spacing w:val="0"/>
          <w:w w:val="100"/>
          <w:sz w:val="32"/>
          <w:szCs w:val="32"/>
        </w:rPr>
        <w:t>第五十一条</w:t>
      </w:r>
      <w:r>
        <w:rPr>
          <w:rFonts w:hint="eastAsia"/>
          <w:b/>
          <w:color w:val="auto"/>
          <w:spacing w:val="0"/>
          <w:w w:val="100"/>
          <w:lang w:val="en-US" w:eastAsia="zh-CN"/>
        </w:rPr>
        <w:t xml:space="preserve">  </w:t>
      </w:r>
      <w:r>
        <w:rPr>
          <w:color w:val="auto"/>
          <w:spacing w:val="0"/>
          <w:w w:val="100"/>
        </w:rPr>
        <w:t>本办法规定的“日”除有说明外，均以自然日计算，包括法定节假日，“工作日”不包括法定节假日。</w:t>
      </w:r>
    </w:p>
    <w:p>
      <w:pPr>
        <w:pStyle w:val="2"/>
        <w:keepNext w:val="0"/>
        <w:keepLines w:val="0"/>
        <w:pageBreakBefore w:val="0"/>
        <w:widowControl w:val="0"/>
        <w:tabs>
          <w:tab w:val="left" w:pos="2698"/>
        </w:tabs>
        <w:kinsoku/>
        <w:wordWrap/>
        <w:overflowPunct/>
        <w:topLinePunct w:val="0"/>
        <w:autoSpaceDE/>
        <w:autoSpaceDN/>
        <w:bidi w:val="0"/>
        <w:snapToGrid/>
        <w:spacing w:line="240" w:lineRule="auto"/>
        <w:ind w:left="0" w:right="0" w:firstLine="640" w:firstLineChars="200"/>
        <w:textAlignment w:val="auto"/>
        <w:rPr>
          <w:color w:val="auto"/>
          <w:spacing w:val="0"/>
          <w:w w:val="100"/>
        </w:rPr>
      </w:pPr>
      <w:r>
        <w:rPr>
          <w:rFonts w:hint="eastAsia" w:ascii="黑体" w:hAnsi="黑体" w:eastAsia="黑体" w:cs="黑体"/>
          <w:b w:val="0"/>
          <w:bCs/>
          <w:color w:val="auto"/>
          <w:spacing w:val="0"/>
          <w:w w:val="100"/>
          <w:sz w:val="32"/>
          <w:szCs w:val="32"/>
        </w:rPr>
        <w:t>第五十二条</w:t>
      </w:r>
      <w:r>
        <w:rPr>
          <w:rFonts w:hint="eastAsia"/>
          <w:b/>
          <w:color w:val="auto"/>
          <w:spacing w:val="0"/>
          <w:w w:val="100"/>
          <w:lang w:val="en-US" w:eastAsia="zh-CN"/>
        </w:rPr>
        <w:t xml:space="preserve">  </w:t>
      </w:r>
      <w:r>
        <w:rPr>
          <w:color w:val="auto"/>
          <w:spacing w:val="0"/>
          <w:w w:val="100"/>
        </w:rPr>
        <w:t>本办法自</w:t>
      </w:r>
      <w:r>
        <w:rPr>
          <w:rFonts w:hint="eastAsia"/>
          <w:color w:val="auto"/>
          <w:spacing w:val="0"/>
          <w:w w:val="100"/>
          <w:lang w:val="en-US" w:eastAsia="zh-CN"/>
        </w:rPr>
        <w:t>2020</w:t>
      </w:r>
      <w:r>
        <w:rPr>
          <w:color w:val="auto"/>
          <w:spacing w:val="0"/>
          <w:w w:val="100"/>
        </w:rPr>
        <w:t>年</w:t>
      </w:r>
      <w:r>
        <w:rPr>
          <w:rFonts w:hint="eastAsia"/>
          <w:color w:val="auto"/>
          <w:spacing w:val="0"/>
          <w:w w:val="100"/>
          <w:lang w:val="en-US" w:eastAsia="zh-CN"/>
        </w:rPr>
        <w:t xml:space="preserve"> </w:t>
      </w:r>
      <w:r>
        <w:rPr>
          <w:color w:val="auto"/>
          <w:spacing w:val="0"/>
          <w:w w:val="100"/>
        </w:rPr>
        <w:t>月</w:t>
      </w:r>
      <w:r>
        <w:rPr>
          <w:rFonts w:hint="eastAsia"/>
          <w:color w:val="auto"/>
          <w:spacing w:val="0"/>
          <w:w w:val="100"/>
          <w:lang w:val="en-US" w:eastAsia="zh-CN"/>
        </w:rPr>
        <w:t xml:space="preserve"> </w:t>
      </w:r>
      <w:r>
        <w:rPr>
          <w:color w:val="auto"/>
          <w:spacing w:val="0"/>
          <w:w w:val="100"/>
        </w:rPr>
        <w:t>日起施行，有效期至 2023年</w:t>
      </w:r>
      <w:r>
        <w:rPr>
          <w:rFonts w:hint="eastAsia"/>
          <w:color w:val="auto"/>
          <w:spacing w:val="0"/>
          <w:w w:val="100"/>
          <w:lang w:val="en-US" w:eastAsia="zh-CN"/>
        </w:rPr>
        <w:t xml:space="preserve"> </w:t>
      </w:r>
      <w:r>
        <w:rPr>
          <w:color w:val="auto"/>
          <w:spacing w:val="0"/>
          <w:w w:val="100"/>
        </w:rPr>
        <w:t>月</w:t>
      </w:r>
      <w:r>
        <w:rPr>
          <w:rFonts w:hint="eastAsia"/>
          <w:color w:val="auto"/>
          <w:spacing w:val="0"/>
          <w:w w:val="100"/>
          <w:lang w:val="en-US" w:eastAsia="zh-CN"/>
        </w:rPr>
        <w:t xml:space="preserve"> </w:t>
      </w:r>
      <w:bookmarkStart w:id="0" w:name="_GoBack"/>
      <w:bookmarkEnd w:id="0"/>
      <w:r>
        <w:rPr>
          <w:color w:val="auto"/>
          <w:spacing w:val="0"/>
          <w:w w:val="100"/>
        </w:rPr>
        <w:t>日。</w:t>
      </w:r>
    </w:p>
    <w:p>
      <w:pPr>
        <w:keepNext w:val="0"/>
        <w:keepLines w:val="0"/>
        <w:pageBreakBefore w:val="0"/>
        <w:widowControl w:val="0"/>
        <w:kinsoku/>
        <w:wordWrap/>
        <w:overflowPunct/>
        <w:topLinePunct w:val="0"/>
        <w:autoSpaceDE/>
        <w:autoSpaceDN/>
        <w:bidi w:val="0"/>
        <w:adjustRightInd w:val="0"/>
        <w:snapToGrid/>
        <w:spacing w:line="240" w:lineRule="auto"/>
        <w:ind w:left="0" w:right="0" w:firstLine="640" w:firstLineChars="200"/>
        <w:textAlignment w:val="auto"/>
        <w:rPr>
          <w:rFonts w:hint="eastAsia" w:ascii="仿宋" w:hAnsi="仿宋" w:eastAsia="仿宋" w:cs="仿宋"/>
          <w:color w:val="auto"/>
          <w:spacing w:val="0"/>
          <w:w w:val="100"/>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87830"/>
    <w:rsid w:val="51787830"/>
    <w:rsid w:val="75890A7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ind w:left="108"/>
    </w:pPr>
    <w:rPr>
      <w:rFonts w:ascii="仿宋_GB2312" w:hAnsi="仿宋_GB2312" w:eastAsia="仿宋_GB2312" w:cs="仿宋_GB2312"/>
      <w:sz w:val="32"/>
      <w:szCs w:val="32"/>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2020-10-19T07:58:00Z</dcterms:created>
  <dc:creator>陈绮萱</dc:creator>
  <cp:lastModifiedBy>bgs06</cp:lastModifiedBy>
  <cp:lastPrinted>2020-11-09T07:02:43Z</cp:lastPrinted>
  <dcterms:modified xsi:type="dcterms:W3CDTF">2020-11-09T07:20:01Z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