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4A7">
      <w:pPr>
        <w:keepNext w:val="0"/>
        <w:keepLines w:val="0"/>
        <w:pageBreakBefore w:val="0"/>
        <w:widowControl/>
        <w:kinsoku w:val="0"/>
        <w:wordWrap/>
        <w:overflowPunct/>
        <w:topLinePunct w:val="0"/>
        <w:autoSpaceDE w:val="0"/>
        <w:autoSpaceDN w:val="0"/>
        <w:bidi w:val="0"/>
        <w:adjustRightInd w:val="0"/>
        <w:snapToGrid w:val="0"/>
        <w:spacing w:line="640" w:lineRule="exact"/>
        <w:ind w:left="0" w:right="0" w:firstLine="0"/>
        <w:jc w:val="both"/>
        <w:textAlignment w:val="baseline"/>
        <w:rPr>
          <w:rFonts w:hint="eastAsia" w:ascii="黑体" w:hAnsi="黑体" w:eastAsia="黑体" w:cs="黑体"/>
          <w:b w:val="0"/>
          <w:bCs w:val="0"/>
          <w:snapToGrid w:val="0"/>
          <w:color w:val="000000"/>
          <w:spacing w:val="0"/>
          <w:w w:val="100"/>
          <w:kern w:val="0"/>
          <w:sz w:val="32"/>
          <w:szCs w:val="32"/>
          <w:lang w:val="en-US" w:eastAsia="zh-CN"/>
        </w:rPr>
      </w:pPr>
      <w:bookmarkStart w:id="0" w:name="OLE_LINK30"/>
      <w:r>
        <w:rPr>
          <w:rFonts w:hint="eastAsia" w:ascii="黑体" w:hAnsi="黑体" w:eastAsia="黑体" w:cs="黑体"/>
          <w:b w:val="0"/>
          <w:bCs w:val="0"/>
          <w:snapToGrid w:val="0"/>
          <w:color w:val="000000"/>
          <w:spacing w:val="0"/>
          <w:w w:val="100"/>
          <w:kern w:val="0"/>
          <w:sz w:val="32"/>
          <w:szCs w:val="32"/>
          <w:lang w:eastAsia="zh-CN"/>
        </w:rPr>
        <w:t>附件</w:t>
      </w:r>
      <w:r>
        <w:rPr>
          <w:rFonts w:hint="eastAsia" w:ascii="黑体" w:hAnsi="黑体" w:eastAsia="黑体" w:cs="黑体"/>
          <w:b w:val="0"/>
          <w:bCs w:val="0"/>
          <w:snapToGrid w:val="0"/>
          <w:color w:val="000000"/>
          <w:spacing w:val="0"/>
          <w:w w:val="100"/>
          <w:kern w:val="0"/>
          <w:sz w:val="32"/>
          <w:szCs w:val="32"/>
          <w:lang w:val="en-US" w:eastAsia="zh-CN"/>
        </w:rPr>
        <w:t>1</w:t>
      </w:r>
      <w:bookmarkStart w:id="9" w:name="_GoBack"/>
      <w:bookmarkEnd w:id="9"/>
    </w:p>
    <w:p w14:paraId="6B2D7D48">
      <w:pPr>
        <w:keepNext w:val="0"/>
        <w:keepLines w:val="0"/>
        <w:pageBreakBefore w:val="0"/>
        <w:widowControl/>
        <w:kinsoku w:val="0"/>
        <w:wordWrap/>
        <w:overflowPunct/>
        <w:topLinePunct w:val="0"/>
        <w:autoSpaceDE w:val="0"/>
        <w:autoSpaceDN w:val="0"/>
        <w:bidi w:val="0"/>
        <w:adjustRightInd w:val="0"/>
        <w:snapToGrid w:val="0"/>
        <w:spacing w:line="640" w:lineRule="exact"/>
        <w:ind w:left="0" w:right="0" w:firstLine="0"/>
        <w:jc w:val="center"/>
        <w:textAlignment w:val="baseline"/>
        <w:rPr>
          <w:rFonts w:hint="eastAsia" w:ascii="方正小标宋简体" w:hAnsi="方正小标宋简体" w:eastAsia="方正小标宋简体" w:cs="方正小标宋简体"/>
          <w:b w:val="0"/>
          <w:bCs w:val="0"/>
          <w:snapToGrid w:val="0"/>
          <w:color w:val="000000"/>
          <w:spacing w:val="0"/>
          <w:w w:val="100"/>
          <w:kern w:val="0"/>
          <w:sz w:val="44"/>
          <w:szCs w:val="44"/>
        </w:rPr>
      </w:pPr>
      <w:r>
        <w:rPr>
          <w:rFonts w:hint="eastAsia" w:ascii="方正小标宋简体" w:hAnsi="方正小标宋简体" w:eastAsia="方正小标宋简体" w:cs="方正小标宋简体"/>
          <w:b w:val="0"/>
          <w:bCs w:val="0"/>
          <w:snapToGrid w:val="0"/>
          <w:color w:val="000000"/>
          <w:spacing w:val="0"/>
          <w:w w:val="100"/>
          <w:kern w:val="0"/>
          <w:sz w:val="44"/>
          <w:szCs w:val="44"/>
        </w:rPr>
        <w:t>汕尾市老龄事业发展和养老服务体系</w:t>
      </w:r>
    </w:p>
    <w:p w14:paraId="7F6B20BB">
      <w:pPr>
        <w:keepNext w:val="0"/>
        <w:keepLines w:val="0"/>
        <w:pageBreakBefore w:val="0"/>
        <w:widowControl/>
        <w:kinsoku w:val="0"/>
        <w:wordWrap/>
        <w:overflowPunct/>
        <w:topLinePunct w:val="0"/>
        <w:autoSpaceDE w:val="0"/>
        <w:autoSpaceDN w:val="0"/>
        <w:bidi w:val="0"/>
        <w:adjustRightInd w:val="0"/>
        <w:snapToGrid w:val="0"/>
        <w:spacing w:line="640" w:lineRule="exact"/>
        <w:ind w:left="0" w:right="0" w:firstLine="0"/>
        <w:jc w:val="center"/>
        <w:textAlignment w:val="baseline"/>
        <w:rPr>
          <w:rFonts w:hint="eastAsia" w:ascii="方正小标宋简体" w:hAnsi="方正小标宋简体" w:eastAsia="方正小标宋简体" w:cs="方正小标宋简体"/>
          <w:b w:val="0"/>
          <w:bCs w:val="0"/>
          <w:snapToGrid w:val="0"/>
          <w:color w:val="000000"/>
          <w:kern w:val="0"/>
          <w:sz w:val="44"/>
          <w:szCs w:val="44"/>
        </w:rPr>
      </w:pPr>
      <w:r>
        <w:rPr>
          <w:rFonts w:hint="eastAsia" w:ascii="方正小标宋简体" w:hAnsi="方正小标宋简体" w:eastAsia="方正小标宋简体" w:cs="方正小标宋简体"/>
          <w:b w:val="0"/>
          <w:bCs w:val="0"/>
          <w:snapToGrid w:val="0"/>
          <w:color w:val="000000"/>
          <w:spacing w:val="0"/>
          <w:w w:val="100"/>
          <w:kern w:val="0"/>
          <w:sz w:val="44"/>
          <w:szCs w:val="44"/>
        </w:rPr>
        <w:t>“十五五”规划</w:t>
      </w:r>
    </w:p>
    <w:p w14:paraId="00754121">
      <w:pPr>
        <w:keepNext w:val="0"/>
        <w:keepLines w:val="0"/>
        <w:pageBreakBefore w:val="0"/>
        <w:widowControl/>
        <w:kinsoku w:val="0"/>
        <w:wordWrap/>
        <w:overflowPunct/>
        <w:topLinePunct w:val="0"/>
        <w:autoSpaceDE w:val="0"/>
        <w:autoSpaceDN w:val="0"/>
        <w:bidi w:val="0"/>
        <w:adjustRightInd w:val="0"/>
        <w:snapToGrid w:val="0"/>
        <w:spacing w:line="640" w:lineRule="exact"/>
        <w:jc w:val="center"/>
        <w:textAlignment w:val="baseline"/>
        <w:rPr>
          <w:rFonts w:ascii="楷体" w:hAnsi="楷体" w:eastAsia="楷体" w:cs="楷体"/>
          <w:snapToGrid w:val="0"/>
          <w:color w:val="000000"/>
          <w:kern w:val="0"/>
          <w:sz w:val="44"/>
          <w:szCs w:val="44"/>
        </w:rPr>
      </w:pPr>
      <w:r>
        <w:rPr>
          <w:rFonts w:ascii="楷体" w:hAnsi="楷体" w:eastAsia="楷体" w:cs="楷体"/>
          <w:snapToGrid w:val="0"/>
          <w:color w:val="000000"/>
          <w:spacing w:val="1"/>
          <w:kern w:val="0"/>
          <w:sz w:val="44"/>
          <w:szCs w:val="44"/>
        </w:rPr>
        <w:t>（征求意见稿）</w:t>
      </w:r>
    </w:p>
    <w:p w14:paraId="06174552">
      <w:pPr>
        <w:widowControl/>
        <w:kinsoku w:val="0"/>
        <w:autoSpaceDE w:val="0"/>
        <w:autoSpaceDN w:val="0"/>
        <w:adjustRightInd w:val="0"/>
        <w:snapToGrid w:val="0"/>
        <w:spacing w:line="314" w:lineRule="auto"/>
        <w:jc w:val="left"/>
        <w:textAlignment w:val="baseline"/>
        <w:rPr>
          <w:rFonts w:ascii="Arial" w:hAnsi="Arial" w:eastAsia="Arial" w:cs="Arial"/>
          <w:snapToGrid w:val="0"/>
          <w:color w:val="000000"/>
          <w:kern w:val="0"/>
          <w:szCs w:val="21"/>
        </w:rPr>
      </w:pPr>
    </w:p>
    <w:p w14:paraId="330F522C">
      <w:pPr>
        <w:keepNext w:val="0"/>
        <w:keepLines w:val="0"/>
        <w:pageBreakBefore w:val="0"/>
        <w:widowControl/>
        <w:kinsoku w:val="0"/>
        <w:wordWrap/>
        <w:overflowPunct/>
        <w:topLinePunct w:val="0"/>
        <w:autoSpaceDE w:val="0"/>
        <w:autoSpaceDN w:val="0"/>
        <w:bidi w:val="0"/>
        <w:adjustRightInd w:val="0"/>
        <w:snapToGrid w:val="0"/>
        <w:spacing w:line="580" w:lineRule="exact"/>
        <w:ind w:firstLine="604" w:firstLineChars="200"/>
        <w:jc w:val="both"/>
        <w:textAlignment w:val="baseline"/>
        <w:rPr>
          <w:rFonts w:hint="eastAsia" w:ascii="仿宋_GB2312" w:hAnsi="仿宋_GB2312" w:eastAsia="仿宋_GB2312" w:cs="仿宋_GB2312"/>
          <w:snapToGrid w:val="0"/>
          <w:color w:val="000000"/>
          <w:spacing w:val="-9"/>
          <w:kern w:val="0"/>
          <w:sz w:val="32"/>
          <w:szCs w:val="32"/>
        </w:rPr>
      </w:pPr>
    </w:p>
    <w:p w14:paraId="54CF41F3">
      <w:pPr>
        <w:keepNext w:val="0"/>
        <w:keepLines w:val="0"/>
        <w:pageBreakBefore w:val="0"/>
        <w:widowControl/>
        <w:kinsoku/>
        <w:wordWrap/>
        <w:overflowPunct/>
        <w:topLinePunct w:val="0"/>
        <w:autoSpaceDE/>
        <w:autoSpaceDN/>
        <w:bidi w:val="0"/>
        <w:adjustRightInd w:val="0"/>
        <w:snapToGrid w:val="0"/>
        <w:spacing w:before="0" w:line="580" w:lineRule="exact"/>
        <w:ind w:firstLine="604" w:firstLineChars="200"/>
        <w:jc w:val="both"/>
        <w:textAlignment w:val="baseline"/>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spacing w:val="-9"/>
          <w:kern w:val="0"/>
          <w:sz w:val="32"/>
          <w:szCs w:val="32"/>
        </w:rPr>
        <w:t>“十五五”时期是汕尾加快建设“西承东联桥头堡、东海岸重要支点”、推动高质量发展的关键时期，也是积极应对人口老龄化、推动老龄事业和养老服务提质增效的重要阶段。面对人口结构深刻</w:t>
      </w:r>
      <w:r>
        <w:rPr>
          <w:rFonts w:hint="eastAsia" w:ascii="仿宋_GB2312" w:hAnsi="仿宋_GB2312" w:eastAsia="仿宋_GB2312" w:cs="仿宋_GB2312"/>
          <w:snapToGrid w:val="0"/>
          <w:color w:val="000000"/>
          <w:spacing w:val="-9"/>
          <w:kern w:val="0"/>
          <w:sz w:val="32"/>
          <w:szCs w:val="32"/>
          <w:lang w:eastAsia="zh-CN"/>
        </w:rPr>
        <w:t>变革</w:t>
      </w:r>
      <w:r>
        <w:rPr>
          <w:rFonts w:hint="eastAsia" w:ascii="仿宋_GB2312" w:hAnsi="仿宋_GB2312" w:eastAsia="仿宋_GB2312" w:cs="仿宋_GB2312"/>
          <w:snapToGrid w:val="0"/>
          <w:color w:val="000000"/>
          <w:spacing w:val="-9"/>
          <w:kern w:val="0"/>
          <w:sz w:val="32"/>
          <w:szCs w:val="32"/>
        </w:rPr>
        <w:t>和养老服务需求持续增长的形势，必须主动适应、积极作为，进一步健全老龄事业发展和养老服务体系，提升养老服务供给能力和保障水平，促进老龄事业与产业协</w:t>
      </w:r>
      <w:r>
        <w:rPr>
          <w:rFonts w:hint="eastAsia" w:ascii="仿宋_GB2312" w:hAnsi="仿宋_GB2312" w:eastAsia="仿宋_GB2312" w:cs="仿宋_GB2312"/>
          <w:snapToGrid w:val="0"/>
          <w:color w:val="000000"/>
          <w:spacing w:val="-9"/>
          <w:kern w:val="0"/>
          <w:sz w:val="32"/>
          <w:szCs w:val="32"/>
          <w:highlight w:val="none"/>
        </w:rPr>
        <w:t>调</w:t>
      </w:r>
      <w:r>
        <w:rPr>
          <w:rFonts w:hint="eastAsia" w:ascii="仿宋_GB2312" w:hAnsi="仿宋_GB2312" w:eastAsia="仿宋_GB2312" w:cs="仿宋_GB2312"/>
          <w:snapToGrid w:val="0"/>
          <w:color w:val="000000"/>
          <w:spacing w:val="-9"/>
          <w:kern w:val="0"/>
          <w:sz w:val="32"/>
          <w:szCs w:val="32"/>
          <w:highlight w:val="none"/>
          <w:lang w:eastAsia="zh-CN"/>
        </w:rPr>
        <w:t>可持续</w:t>
      </w:r>
      <w:r>
        <w:rPr>
          <w:rFonts w:hint="eastAsia" w:ascii="仿宋_GB2312" w:hAnsi="仿宋_GB2312" w:eastAsia="仿宋_GB2312" w:cs="仿宋_GB2312"/>
          <w:snapToGrid w:val="0"/>
          <w:color w:val="000000"/>
          <w:spacing w:val="-9"/>
          <w:kern w:val="0"/>
          <w:sz w:val="32"/>
          <w:szCs w:val="32"/>
          <w:highlight w:val="none"/>
        </w:rPr>
        <w:t>发</w:t>
      </w:r>
      <w:r>
        <w:rPr>
          <w:rFonts w:hint="eastAsia" w:ascii="仿宋_GB2312" w:hAnsi="仿宋_GB2312" w:eastAsia="仿宋_GB2312" w:cs="仿宋_GB2312"/>
          <w:snapToGrid w:val="0"/>
          <w:color w:val="000000"/>
          <w:spacing w:val="-9"/>
          <w:kern w:val="0"/>
          <w:sz w:val="32"/>
          <w:szCs w:val="32"/>
        </w:rPr>
        <w:t>展。根据《广东省老龄事业发展和养老服务体系“十五五”规划》《汕尾市国民经济和社会发展第十五个五年规划纲要》，编制本规划。</w:t>
      </w:r>
    </w:p>
    <w:p w14:paraId="153ECCF1">
      <w:pPr>
        <w:keepNext w:val="0"/>
        <w:keepLines w:val="0"/>
        <w:pageBreakBefore w:val="0"/>
        <w:widowControl/>
        <w:kinsoku/>
        <w:wordWrap/>
        <w:overflowPunct/>
        <w:topLinePunct w:val="0"/>
        <w:autoSpaceDE/>
        <w:autoSpaceDN/>
        <w:bidi w:val="0"/>
        <w:adjustRightInd w:val="0"/>
        <w:snapToGrid w:val="0"/>
        <w:spacing w:before="0" w:line="580" w:lineRule="exact"/>
        <w:ind w:left="0" w:firstLine="636" w:firstLineChars="200"/>
        <w:jc w:val="both"/>
        <w:textAlignment w:val="baseline"/>
        <w:rPr>
          <w:rFonts w:hint="eastAsia" w:ascii="黑体" w:hAnsi="黑体" w:eastAsia="黑体" w:cs="黑体"/>
          <w:snapToGrid w:val="0"/>
          <w:color w:val="000000"/>
          <w:kern w:val="0"/>
          <w:sz w:val="32"/>
          <w:szCs w:val="32"/>
        </w:rPr>
      </w:pPr>
      <w:r>
        <w:rPr>
          <w:rFonts w:hint="eastAsia" w:ascii="黑体" w:hAnsi="黑体" w:eastAsia="黑体" w:cs="黑体"/>
          <w:snapToGrid w:val="0"/>
          <w:color w:val="000000"/>
          <w:spacing w:val="-1"/>
          <w:kern w:val="0"/>
          <w:sz w:val="32"/>
          <w:szCs w:val="32"/>
        </w:rPr>
        <w:t>一、总体目标</w:t>
      </w:r>
    </w:p>
    <w:p w14:paraId="281611BD">
      <w:pPr>
        <w:keepNext w:val="0"/>
        <w:keepLines w:val="0"/>
        <w:pageBreakBefore w:val="0"/>
        <w:widowControl/>
        <w:kinsoku/>
        <w:wordWrap/>
        <w:overflowPunct/>
        <w:topLinePunct w:val="0"/>
        <w:autoSpaceDE/>
        <w:autoSpaceDN/>
        <w:bidi w:val="0"/>
        <w:adjustRightInd w:val="0"/>
        <w:snapToGrid w:val="0"/>
        <w:spacing w:before="0" w:line="580" w:lineRule="exact"/>
        <w:ind w:right="0" w:firstLine="604" w:firstLineChars="200"/>
        <w:jc w:val="both"/>
        <w:textAlignment w:val="baseline"/>
        <w:rPr>
          <w:rFonts w:hint="eastAsia" w:ascii="仿宋_GB2312" w:hAnsi="仿宋_GB2312" w:eastAsia="仿宋_GB2312" w:cs="仿宋_GB2312"/>
          <w:snapToGrid w:val="0"/>
          <w:color w:val="000000"/>
          <w:spacing w:val="-9"/>
          <w:kern w:val="0"/>
          <w:sz w:val="32"/>
          <w:szCs w:val="32"/>
        </w:rPr>
      </w:pPr>
      <w:r>
        <w:rPr>
          <w:rFonts w:hint="eastAsia" w:ascii="仿宋_GB2312" w:hAnsi="仿宋_GB2312" w:eastAsia="仿宋_GB2312" w:cs="仿宋_GB2312"/>
          <w:snapToGrid w:val="0"/>
          <w:color w:val="000000"/>
          <w:spacing w:val="-9"/>
          <w:kern w:val="0"/>
          <w:sz w:val="32"/>
          <w:szCs w:val="32"/>
        </w:rPr>
        <w:t>坚持以习近平新时代中国特色社会主义思想为指导，全面贯彻党的二十大和二十届历次全会精神，深入贯彻习近平总书记对广东系列重要讲话和重要指示精神，深入落实省委“1310”具体部署和市委、市政府工作安排，坚持尽力而为、量力而行、综合施策，以增进老年人福祉为根本出发点，以改革创新和科技赋能为动力，统筹发展老龄事业和</w:t>
      </w:r>
      <w:r>
        <w:rPr>
          <w:rFonts w:hint="eastAsia" w:ascii="仿宋_GB2312" w:hAnsi="仿宋_GB2312" w:eastAsia="仿宋_GB2312" w:cs="仿宋_GB2312"/>
          <w:snapToGrid w:val="0"/>
          <w:color w:val="000000"/>
          <w:spacing w:val="-9"/>
          <w:kern w:val="0"/>
          <w:sz w:val="32"/>
          <w:szCs w:val="32"/>
          <w:lang w:eastAsia="zh-CN"/>
        </w:rPr>
        <w:t>养老服务体系</w:t>
      </w:r>
      <w:r>
        <w:rPr>
          <w:rFonts w:hint="eastAsia" w:ascii="仿宋_GB2312" w:hAnsi="仿宋_GB2312" w:eastAsia="仿宋_GB2312" w:cs="仿宋_GB2312"/>
          <w:snapToGrid w:val="0"/>
          <w:color w:val="000000"/>
          <w:spacing w:val="-9"/>
          <w:kern w:val="0"/>
          <w:sz w:val="32"/>
          <w:szCs w:val="32"/>
        </w:rPr>
        <w:t>。立足汕尾城乡发展实际，深入实施“百千万工程”，健全城乡养老服务网络，提升基层养老服务可及性；发挥毗邻粤港澳大湾区的区位优势和山海资源禀赋，深化与大湾区养老服务资源协作，因地制宜发展旅居康养和银发经济，打造“颐养汕尾”养老</w:t>
      </w:r>
      <w:r>
        <w:rPr>
          <w:rFonts w:hint="eastAsia" w:ascii="仿宋_GB2312" w:hAnsi="仿宋_GB2312" w:eastAsia="仿宋_GB2312" w:cs="仿宋_GB2312"/>
          <w:snapToGrid w:val="0"/>
          <w:color w:val="000000"/>
          <w:spacing w:val="-9"/>
          <w:kern w:val="0"/>
          <w:sz w:val="32"/>
          <w:szCs w:val="32"/>
          <w:lang w:eastAsia="zh-CN"/>
        </w:rPr>
        <w:t>服务</w:t>
      </w:r>
      <w:r>
        <w:rPr>
          <w:rFonts w:hint="eastAsia" w:ascii="仿宋_GB2312" w:hAnsi="仿宋_GB2312" w:eastAsia="仿宋_GB2312" w:cs="仿宋_GB2312"/>
          <w:snapToGrid w:val="0"/>
          <w:color w:val="000000"/>
          <w:spacing w:val="-9"/>
          <w:kern w:val="0"/>
          <w:sz w:val="32"/>
          <w:szCs w:val="32"/>
        </w:rPr>
        <w:t>新格局。</w:t>
      </w:r>
    </w:p>
    <w:p w14:paraId="0045A682">
      <w:pPr>
        <w:keepNext w:val="0"/>
        <w:keepLines w:val="0"/>
        <w:pageBreakBefore w:val="0"/>
        <w:widowControl/>
        <w:kinsoku/>
        <w:wordWrap/>
        <w:overflowPunct/>
        <w:topLinePunct w:val="0"/>
        <w:autoSpaceDE/>
        <w:autoSpaceDN/>
        <w:bidi w:val="0"/>
        <w:adjustRightInd w:val="0"/>
        <w:snapToGrid w:val="0"/>
        <w:spacing w:before="0" w:line="580" w:lineRule="exact"/>
        <w:ind w:right="0" w:firstLine="604" w:firstLineChars="200"/>
        <w:jc w:val="both"/>
        <w:textAlignment w:val="baseline"/>
        <w:rPr>
          <w:rFonts w:hint="eastAsia" w:ascii="仿宋_GB2312" w:hAnsi="仿宋_GB2312" w:eastAsia="仿宋_GB2312" w:cs="仿宋_GB2312"/>
          <w:snapToGrid w:val="0"/>
          <w:color w:val="000000"/>
          <w:spacing w:val="-9"/>
          <w:kern w:val="0"/>
          <w:sz w:val="32"/>
          <w:szCs w:val="32"/>
        </w:rPr>
      </w:pPr>
      <w:r>
        <w:rPr>
          <w:rFonts w:hint="eastAsia" w:ascii="仿宋_GB2312" w:hAnsi="仿宋_GB2312" w:eastAsia="仿宋_GB2312" w:cs="仿宋_GB2312"/>
          <w:snapToGrid w:val="0"/>
          <w:color w:val="000000"/>
          <w:spacing w:val="-9"/>
          <w:kern w:val="0"/>
          <w:sz w:val="32"/>
          <w:szCs w:val="32"/>
        </w:rPr>
        <w:t>到2030年，适应经济社会发展的积极应对人口老龄化制度体系基本形成，老龄事业与产业协同发展格局更加成熟，老年社会保障更加安全公平可持续，养老服务网络更加完善，养老服务供给更加均衡优质高效，老年健康支撑体系更加健全有力，“老有所为”社会价值更加彰显，老龄科技赋能更加深化，社会环境更加宜居适老，银发经济成为经济增长的新引擎，老年人高品质多样化的精神文化需求得到更好满足，老年人的获得感、幸福感、安全感持续增强。</w:t>
      </w:r>
    </w:p>
    <w:tbl>
      <w:tblPr>
        <w:tblStyle w:val="12"/>
        <w:tblpPr w:leftFromText="180" w:rightFromText="180" w:vertAnchor="text" w:horzAnchor="page" w:tblpX="1776" w:tblpY="333"/>
        <w:tblOverlap w:val="never"/>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707"/>
        <w:gridCol w:w="3080"/>
        <w:gridCol w:w="1425"/>
        <w:gridCol w:w="1393"/>
        <w:gridCol w:w="1040"/>
      </w:tblGrid>
      <w:tr w14:paraId="301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8540" w:type="dxa"/>
            <w:gridSpan w:val="6"/>
            <w:tcBorders>
              <w:top w:val="single" w:color="auto" w:sz="4" w:space="0"/>
            </w:tcBorders>
            <w:vAlign w:val="center"/>
          </w:tcPr>
          <w:p w14:paraId="78931895">
            <w:pPr>
              <w:jc w:val="center"/>
              <w:rPr>
                <w:rFonts w:ascii="宋体" w:hAnsi="宋体" w:cs="宋体"/>
                <w:sz w:val="24"/>
              </w:rPr>
            </w:pPr>
            <w:r>
              <w:rPr>
                <w:rFonts w:hint="eastAsia" w:ascii="黑体" w:hAnsi="黑体" w:eastAsia="黑体" w:cs="黑体"/>
                <w:sz w:val="32"/>
                <w:szCs w:val="28"/>
              </w:rPr>
              <w:t>专栏1  “十五五”时期汕尾市养老服务主要发展指标</w:t>
            </w:r>
          </w:p>
        </w:tc>
      </w:tr>
      <w:tr w14:paraId="24DD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895" w:type="dxa"/>
            <w:tcBorders>
              <w:top w:val="single" w:color="auto" w:sz="4" w:space="0"/>
            </w:tcBorders>
            <w:vAlign w:val="center"/>
          </w:tcPr>
          <w:p w14:paraId="18CEC1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类别</w:t>
            </w:r>
          </w:p>
        </w:tc>
        <w:tc>
          <w:tcPr>
            <w:tcW w:w="707" w:type="dxa"/>
            <w:tcBorders>
              <w:top w:val="single" w:color="auto" w:sz="4" w:space="0"/>
            </w:tcBorders>
            <w:vAlign w:val="center"/>
          </w:tcPr>
          <w:p w14:paraId="128F7F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序号</w:t>
            </w:r>
          </w:p>
        </w:tc>
        <w:tc>
          <w:tcPr>
            <w:tcW w:w="3080" w:type="dxa"/>
            <w:tcBorders>
              <w:top w:val="single" w:color="auto" w:sz="4" w:space="0"/>
            </w:tcBorders>
            <w:vAlign w:val="center"/>
          </w:tcPr>
          <w:p w14:paraId="79E22F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项目</w:t>
            </w:r>
          </w:p>
        </w:tc>
        <w:tc>
          <w:tcPr>
            <w:tcW w:w="1425" w:type="dxa"/>
            <w:tcBorders>
              <w:top w:val="single" w:color="auto" w:sz="4" w:space="0"/>
            </w:tcBorders>
            <w:vAlign w:val="center"/>
          </w:tcPr>
          <w:p w14:paraId="516E55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2025年</w:t>
            </w:r>
          </w:p>
          <w:p w14:paraId="191340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实际值</w:t>
            </w:r>
          </w:p>
        </w:tc>
        <w:tc>
          <w:tcPr>
            <w:tcW w:w="1393" w:type="dxa"/>
            <w:tcBorders>
              <w:top w:val="single" w:color="auto" w:sz="4" w:space="0"/>
            </w:tcBorders>
            <w:vAlign w:val="center"/>
          </w:tcPr>
          <w:p w14:paraId="64754B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2030年</w:t>
            </w:r>
          </w:p>
          <w:p w14:paraId="5792A6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目标</w:t>
            </w:r>
            <w:r>
              <w:rPr>
                <w:rFonts w:hint="eastAsia" w:ascii="黑体" w:hAnsi="黑体" w:eastAsia="黑体" w:cs="黑体"/>
                <w:b w:val="0"/>
                <w:bCs/>
                <w:sz w:val="28"/>
                <w:szCs w:val="28"/>
                <w:lang w:eastAsia="zh-CN"/>
              </w:rPr>
              <w:t>值</w:t>
            </w:r>
          </w:p>
        </w:tc>
        <w:tc>
          <w:tcPr>
            <w:tcW w:w="1040" w:type="dxa"/>
            <w:tcBorders>
              <w:top w:val="single" w:color="auto" w:sz="4" w:space="0"/>
            </w:tcBorders>
            <w:vAlign w:val="center"/>
          </w:tcPr>
          <w:p w14:paraId="3FCEE1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指标</w:t>
            </w:r>
          </w:p>
          <w:p w14:paraId="14FB74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属性</w:t>
            </w:r>
          </w:p>
        </w:tc>
      </w:tr>
      <w:tr w14:paraId="334C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restart"/>
            <w:vAlign w:val="center"/>
          </w:tcPr>
          <w:p w14:paraId="3995DC74">
            <w:pPr>
              <w:spacing w:line="56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社会保障</w:t>
            </w:r>
          </w:p>
        </w:tc>
        <w:tc>
          <w:tcPr>
            <w:tcW w:w="707" w:type="dxa"/>
            <w:vAlign w:val="center"/>
          </w:tcPr>
          <w:p w14:paraId="634BC644">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3080" w:type="dxa"/>
            <w:vAlign w:val="center"/>
          </w:tcPr>
          <w:p w14:paraId="07719DC9">
            <w:pPr>
              <w:spacing w:line="56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bCs/>
                <w:iCs/>
                <w:sz w:val="28"/>
                <w:szCs w:val="28"/>
                <w:lang w:eastAsia="zh-CN"/>
              </w:rPr>
              <w:t>基本养老保险参保人数（万人）</w:t>
            </w:r>
          </w:p>
        </w:tc>
        <w:tc>
          <w:tcPr>
            <w:tcW w:w="1425" w:type="dxa"/>
            <w:vAlign w:val="center"/>
          </w:tcPr>
          <w:p w14:paraId="76A9CE0F">
            <w:pPr>
              <w:spacing w:line="56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134.84</w:t>
            </w:r>
          </w:p>
        </w:tc>
        <w:tc>
          <w:tcPr>
            <w:tcW w:w="1393" w:type="dxa"/>
            <w:vAlign w:val="center"/>
          </w:tcPr>
          <w:p w14:paraId="32CDE63C">
            <w:pPr>
              <w:spacing w:line="560" w:lineRule="exact"/>
              <w:jc w:val="center"/>
              <w:rPr>
                <w:rFonts w:hint="default" w:ascii="仿宋_GB2312" w:hAnsi="仿宋_GB2312" w:eastAsia="仿宋_GB2312" w:cs="仿宋_GB2312"/>
                <w:sz w:val="28"/>
                <w:szCs w:val="28"/>
                <w:highlight w:val="none"/>
                <w:lang w:val="en-US"/>
              </w:rPr>
            </w:pPr>
            <w:r>
              <w:rPr>
                <w:rFonts w:hint="eastAsia" w:ascii="仿宋_GB2312" w:hAnsi="仿宋_GB2312" w:eastAsia="仿宋_GB2312" w:cs="仿宋_GB2312"/>
                <w:sz w:val="28"/>
                <w:szCs w:val="28"/>
                <w:highlight w:val="none"/>
                <w:lang w:val="en-US" w:eastAsia="zh-CN"/>
              </w:rPr>
              <w:t>135</w:t>
            </w:r>
          </w:p>
        </w:tc>
        <w:tc>
          <w:tcPr>
            <w:tcW w:w="1040" w:type="dxa"/>
            <w:vAlign w:val="center"/>
          </w:tcPr>
          <w:p w14:paraId="3100CC3E">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43BF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1034FF83">
            <w:pPr>
              <w:spacing w:line="560" w:lineRule="exact"/>
              <w:ind w:firstLine="560" w:firstLineChars="200"/>
              <w:jc w:val="center"/>
              <w:rPr>
                <w:rFonts w:hint="eastAsia" w:ascii="楷体_GB2312" w:hAnsi="楷体_GB2312" w:eastAsia="楷体_GB2312" w:cs="楷体_GB2312"/>
                <w:sz w:val="28"/>
                <w:szCs w:val="28"/>
              </w:rPr>
            </w:pPr>
          </w:p>
        </w:tc>
        <w:tc>
          <w:tcPr>
            <w:tcW w:w="707" w:type="dxa"/>
            <w:vAlign w:val="center"/>
          </w:tcPr>
          <w:p w14:paraId="1024D4EA">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3080" w:type="dxa"/>
            <w:vAlign w:val="center"/>
          </w:tcPr>
          <w:p w14:paraId="1C71C923">
            <w:pPr>
              <w:keepNext w:val="0"/>
              <w:keepLines w:val="0"/>
              <w:pageBreakBefore w:val="0"/>
              <w:widowControl/>
              <w:suppressLineNumbers w:val="0"/>
              <w:kinsoku/>
              <w:wordWrap/>
              <w:overflowPunct/>
              <w:topLinePunct w:val="0"/>
              <w:autoSpaceDN/>
              <w:bidi w:val="0"/>
              <w:spacing w:line="560" w:lineRule="exact"/>
              <w:ind w:firstLine="0" w:firstLineChars="0"/>
              <w:jc w:val="left"/>
              <w:textAlignment w:val="auto"/>
              <w:rPr>
                <w:rFonts w:hint="eastAsia" w:ascii="仿宋_GB2312" w:hAnsi="仿宋_GB2312" w:eastAsia="仿宋_GB2312" w:cs="仿宋_GB2312"/>
                <w:b w:val="0"/>
                <w:bCs w:val="0"/>
                <w:i w:val="0"/>
                <w:iCs w:val="0"/>
                <w:kern w:val="2"/>
                <w:sz w:val="28"/>
                <w:szCs w:val="28"/>
                <w:u w:val="none"/>
                <w:lang w:val="en-US" w:eastAsia="zh-CN" w:bidi="ar"/>
              </w:rPr>
            </w:pPr>
            <w:r>
              <w:rPr>
                <w:rFonts w:hint="eastAsia" w:ascii="仿宋_GB2312" w:hAnsi="仿宋_GB2312" w:eastAsia="仿宋_GB2312" w:cs="仿宋_GB2312"/>
                <w:b w:val="0"/>
                <w:bCs w:val="0"/>
                <w:i w:val="0"/>
                <w:color w:val="auto"/>
                <w:kern w:val="2"/>
                <w:sz w:val="28"/>
                <w:szCs w:val="28"/>
                <w:u w:val="none"/>
                <w:lang w:val="en-US" w:eastAsia="zh-CN" w:bidi="ar"/>
              </w:rPr>
              <w:t>长期护理保险覆盖统筹县区数（个）</w:t>
            </w:r>
            <w:r>
              <w:rPr>
                <w:rFonts w:ascii="仿宋_GB2312" w:eastAsia="仿宋_GB2312"/>
                <w:sz w:val="28"/>
                <w:szCs w:val="28"/>
              </w:rPr>
              <w:t>*</w:t>
            </w:r>
          </w:p>
        </w:tc>
        <w:tc>
          <w:tcPr>
            <w:tcW w:w="1425" w:type="dxa"/>
            <w:vAlign w:val="center"/>
          </w:tcPr>
          <w:p w14:paraId="54C25F8A">
            <w:pPr>
              <w:pageBreakBefore w:val="0"/>
              <w:kinsoku/>
              <w:wordWrap/>
              <w:overflowPunct/>
              <w:topLinePunct w:val="0"/>
              <w:autoSpaceDN/>
              <w:bidi w:val="0"/>
              <w:spacing w:line="560" w:lineRule="exact"/>
              <w:jc w:val="center"/>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val="en-US" w:eastAsia="zh-CN"/>
              </w:rPr>
              <w:t>-</w:t>
            </w:r>
          </w:p>
        </w:tc>
        <w:tc>
          <w:tcPr>
            <w:tcW w:w="1393" w:type="dxa"/>
            <w:vAlign w:val="center"/>
          </w:tcPr>
          <w:p w14:paraId="3B886DC8">
            <w:pPr>
              <w:keepNext w:val="0"/>
              <w:keepLines w:val="0"/>
              <w:pageBreakBefore w:val="0"/>
              <w:widowControl/>
              <w:suppressLineNumbers w:val="0"/>
              <w:kinsoku/>
              <w:wordWrap/>
              <w:overflowPunct/>
              <w:topLinePunct w:val="0"/>
              <w:autoSpaceDN/>
              <w:bidi w:val="0"/>
              <w:spacing w:line="560" w:lineRule="exact"/>
              <w:ind w:firstLine="0" w:firstLineChars="0"/>
              <w:jc w:val="center"/>
              <w:textAlignment w:val="auto"/>
              <w:rPr>
                <w:rFonts w:hint="default" w:ascii="仿宋_GB2312" w:hAnsi="仿宋_GB2312" w:eastAsia="仿宋_GB2312" w:cs="仿宋_GB2312"/>
                <w:b w:val="0"/>
                <w:bCs/>
                <w:i w:val="0"/>
                <w:iCs/>
                <w:kern w:val="2"/>
                <w:sz w:val="28"/>
                <w:szCs w:val="28"/>
                <w:u w:val="none"/>
                <w:lang w:val="en-US" w:eastAsia="zh-CN" w:bidi="ar"/>
              </w:rPr>
            </w:pPr>
            <w:r>
              <w:rPr>
                <w:rFonts w:hint="eastAsia" w:ascii="仿宋_GB2312" w:hAnsi="仿宋_GB2312" w:eastAsia="仿宋_GB2312" w:cs="仿宋_GB2312"/>
                <w:b w:val="0"/>
                <w:bCs/>
                <w:i w:val="0"/>
                <w:iCs/>
                <w:kern w:val="2"/>
                <w:sz w:val="28"/>
                <w:szCs w:val="28"/>
                <w:u w:val="none"/>
                <w:lang w:val="en-US" w:eastAsia="zh-CN" w:bidi="ar"/>
              </w:rPr>
              <w:t>4</w:t>
            </w:r>
          </w:p>
        </w:tc>
        <w:tc>
          <w:tcPr>
            <w:tcW w:w="1040" w:type="dxa"/>
            <w:vAlign w:val="center"/>
          </w:tcPr>
          <w:p w14:paraId="7B5128A4">
            <w:pPr>
              <w:keepNext w:val="0"/>
              <w:keepLines w:val="0"/>
              <w:pageBreakBefore w:val="0"/>
              <w:widowControl/>
              <w:suppressLineNumbers w:val="0"/>
              <w:kinsoku/>
              <w:wordWrap/>
              <w:overflowPunct/>
              <w:topLinePunct w:val="0"/>
              <w:autoSpaceDN/>
              <w:bidi w:val="0"/>
              <w:spacing w:line="560" w:lineRule="exact"/>
              <w:ind w:firstLine="0" w:firstLineChars="0"/>
              <w:jc w:val="center"/>
              <w:textAlignment w:val="auto"/>
              <w:rPr>
                <w:rFonts w:hint="eastAsia" w:ascii="仿宋_GB2312" w:hAnsi="仿宋_GB2312" w:eastAsia="仿宋_GB2312" w:cs="仿宋_GB2312"/>
                <w:b w:val="0"/>
                <w:bCs/>
                <w:i w:val="0"/>
                <w:iCs/>
                <w:kern w:val="2"/>
                <w:sz w:val="28"/>
                <w:szCs w:val="28"/>
                <w:u w:val="none"/>
                <w:lang w:val="en-US" w:eastAsia="zh-CN" w:bidi="ar"/>
              </w:rPr>
            </w:pPr>
            <w:r>
              <w:rPr>
                <w:rFonts w:hint="eastAsia" w:ascii="仿宋_GB2312" w:hAnsi="仿宋_GB2312" w:eastAsia="仿宋_GB2312" w:cs="仿宋_GB2312"/>
                <w:sz w:val="28"/>
                <w:szCs w:val="28"/>
              </w:rPr>
              <w:t>预期性</w:t>
            </w:r>
          </w:p>
        </w:tc>
      </w:tr>
      <w:tr w14:paraId="060B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continue"/>
            <w:vAlign w:val="center"/>
          </w:tcPr>
          <w:p w14:paraId="3962E4F7">
            <w:pPr>
              <w:spacing w:line="560" w:lineRule="exact"/>
              <w:ind w:firstLine="560" w:firstLineChars="200"/>
              <w:jc w:val="center"/>
              <w:rPr>
                <w:rFonts w:hint="eastAsia" w:ascii="楷体_GB2312" w:hAnsi="楷体_GB2312" w:eastAsia="楷体_GB2312" w:cs="楷体_GB2312"/>
                <w:sz w:val="28"/>
                <w:szCs w:val="28"/>
              </w:rPr>
            </w:pPr>
          </w:p>
        </w:tc>
        <w:tc>
          <w:tcPr>
            <w:tcW w:w="707" w:type="dxa"/>
            <w:vAlign w:val="center"/>
          </w:tcPr>
          <w:p w14:paraId="2DA6334B">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3080" w:type="dxa"/>
            <w:vAlign w:val="center"/>
          </w:tcPr>
          <w:p w14:paraId="37EAD50F">
            <w:pPr>
              <w:keepNext w:val="0"/>
              <w:keepLines w:val="0"/>
              <w:pageBreakBefore w:val="0"/>
              <w:widowControl/>
              <w:suppressLineNumbers w:val="0"/>
              <w:kinsoku/>
              <w:wordWrap/>
              <w:overflowPunct/>
              <w:topLinePunct w:val="0"/>
              <w:autoSpaceDN/>
              <w:bidi w:val="0"/>
              <w:spacing w:line="560" w:lineRule="exact"/>
              <w:ind w:firstLine="0" w:firstLineChars="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val="0"/>
                <w:i w:val="0"/>
                <w:color w:val="auto"/>
                <w:kern w:val="2"/>
                <w:sz w:val="28"/>
                <w:szCs w:val="28"/>
                <w:u w:val="none"/>
                <w:lang w:val="en-US" w:eastAsia="zh-CN" w:bidi="ar"/>
              </w:rPr>
              <w:t>老年人意外伤害保险参保率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24043ABE">
            <w:pPr>
              <w:pageBreakBefore w:val="0"/>
              <w:kinsoku/>
              <w:wordWrap/>
              <w:overflowPunct/>
              <w:topLinePunct w:val="0"/>
              <w:autoSpaceDN/>
              <w:bidi w:val="0"/>
              <w:spacing w:line="560" w:lineRule="exact"/>
              <w:jc w:val="center"/>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val="en-US" w:eastAsia="zh-CN"/>
              </w:rPr>
              <w:t>-</w:t>
            </w:r>
          </w:p>
        </w:tc>
        <w:tc>
          <w:tcPr>
            <w:tcW w:w="1393" w:type="dxa"/>
            <w:vAlign w:val="center"/>
          </w:tcPr>
          <w:p w14:paraId="661C808B">
            <w:pPr>
              <w:keepNext w:val="0"/>
              <w:keepLines w:val="0"/>
              <w:pageBreakBefore w:val="0"/>
              <w:widowControl/>
              <w:suppressLineNumbers w:val="0"/>
              <w:kinsoku/>
              <w:wordWrap/>
              <w:overflowPunct/>
              <w:topLinePunct w:val="0"/>
              <w:autoSpaceDN/>
              <w:bidi w:val="0"/>
              <w:spacing w:line="560" w:lineRule="exact"/>
              <w:ind w:firstLine="0" w:firstLineChars="0"/>
              <w:jc w:val="center"/>
              <w:textAlignment w:val="auto"/>
              <w:rPr>
                <w:rFonts w:hint="eastAsia" w:ascii="仿宋_GB2312" w:hAnsi="仿宋_GB2312" w:eastAsia="仿宋_GB2312" w:cs="仿宋_GB2312"/>
                <w:bCs/>
                <w:iCs/>
                <w:sz w:val="28"/>
                <w:szCs w:val="28"/>
              </w:rPr>
            </w:pPr>
            <w:r>
              <w:rPr>
                <w:rFonts w:hint="eastAsia" w:ascii="仿宋_GB2312" w:hAnsi="仿宋_GB2312" w:eastAsia="仿宋_GB2312" w:cs="仿宋_GB2312"/>
                <w:b w:val="0"/>
                <w:bCs/>
                <w:i w:val="0"/>
                <w:iCs/>
                <w:color w:val="auto"/>
                <w:kern w:val="2"/>
                <w:sz w:val="28"/>
                <w:szCs w:val="28"/>
                <w:u w:val="none"/>
                <w:lang w:val="en-US" w:eastAsia="zh-CN" w:bidi="ar"/>
              </w:rPr>
              <w:t>100%</w:t>
            </w:r>
          </w:p>
        </w:tc>
        <w:tc>
          <w:tcPr>
            <w:tcW w:w="1040" w:type="dxa"/>
            <w:vAlign w:val="center"/>
          </w:tcPr>
          <w:p w14:paraId="70712BC3">
            <w:pPr>
              <w:keepNext w:val="0"/>
              <w:keepLines w:val="0"/>
              <w:pageBreakBefore w:val="0"/>
              <w:widowControl/>
              <w:suppressLineNumbers w:val="0"/>
              <w:kinsoku/>
              <w:wordWrap/>
              <w:overflowPunct/>
              <w:topLinePunct w:val="0"/>
              <w:autoSpaceDN/>
              <w:bidi w:val="0"/>
              <w:spacing w:line="560" w:lineRule="exact"/>
              <w:ind w:firstLine="0" w:firstLineChars="0"/>
              <w:jc w:val="center"/>
              <w:textAlignment w:val="auto"/>
              <w:rPr>
                <w:rFonts w:hint="eastAsia" w:ascii="仿宋_GB2312" w:hAnsi="仿宋_GB2312" w:eastAsia="仿宋_GB2312" w:cs="仿宋_GB2312"/>
                <w:bCs/>
                <w:iCs/>
                <w:sz w:val="28"/>
                <w:szCs w:val="28"/>
              </w:rPr>
            </w:pPr>
            <w:r>
              <w:rPr>
                <w:rFonts w:hint="eastAsia" w:ascii="仿宋_GB2312" w:hAnsi="仿宋_GB2312" w:eastAsia="仿宋_GB2312" w:cs="仿宋_GB2312"/>
                <w:b w:val="0"/>
                <w:bCs/>
                <w:i w:val="0"/>
                <w:iCs/>
                <w:color w:val="auto"/>
                <w:kern w:val="2"/>
                <w:sz w:val="28"/>
                <w:szCs w:val="28"/>
                <w:u w:val="none"/>
                <w:lang w:val="en-US" w:eastAsia="zh-CN" w:bidi="ar"/>
              </w:rPr>
              <w:t>预期性</w:t>
            </w:r>
          </w:p>
        </w:tc>
      </w:tr>
      <w:tr w14:paraId="2514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restart"/>
            <w:vAlign w:val="center"/>
          </w:tcPr>
          <w:p w14:paraId="6046672B">
            <w:pPr>
              <w:spacing w:line="560" w:lineRule="exact"/>
              <w:ind w:firstLine="0" w:firstLineChars="0"/>
              <w:jc w:val="both"/>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养老</w:t>
            </w:r>
          </w:p>
          <w:p w14:paraId="2B980CC3">
            <w:pPr>
              <w:spacing w:line="560" w:lineRule="exact"/>
              <w:ind w:firstLine="0" w:firstLineChars="0"/>
              <w:jc w:val="both"/>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服务</w:t>
            </w:r>
          </w:p>
          <w:p w14:paraId="1C225AA6">
            <w:pPr>
              <w:rPr>
                <w:rFonts w:hint="eastAsia" w:ascii="楷体_GB2312" w:hAnsi="楷体_GB2312" w:eastAsia="楷体_GB2312" w:cs="楷体_GB2312"/>
                <w:sz w:val="28"/>
                <w:szCs w:val="28"/>
              </w:rPr>
            </w:pPr>
          </w:p>
          <w:p w14:paraId="5AFF471D">
            <w:pPr>
              <w:spacing w:line="560" w:lineRule="exact"/>
              <w:jc w:val="center"/>
              <w:rPr>
                <w:rFonts w:hint="eastAsia" w:ascii="楷体_GB2312" w:hAnsi="楷体_GB2312" w:eastAsia="楷体_GB2312" w:cs="楷体_GB2312"/>
                <w:sz w:val="28"/>
                <w:szCs w:val="28"/>
              </w:rPr>
            </w:pPr>
          </w:p>
        </w:tc>
        <w:tc>
          <w:tcPr>
            <w:tcW w:w="707" w:type="dxa"/>
            <w:vAlign w:val="center"/>
          </w:tcPr>
          <w:p w14:paraId="6984B7D8">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3080" w:type="dxa"/>
            <w:vAlign w:val="center"/>
          </w:tcPr>
          <w:p w14:paraId="0C727332">
            <w:pPr>
              <w:spacing w:line="56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养老机构护理型床位占比（</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751D39B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82</w:t>
            </w:r>
          </w:p>
        </w:tc>
        <w:tc>
          <w:tcPr>
            <w:tcW w:w="1393" w:type="dxa"/>
            <w:vAlign w:val="center"/>
          </w:tcPr>
          <w:p w14:paraId="09CD3CD1">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w:t>
            </w:r>
          </w:p>
        </w:tc>
        <w:tc>
          <w:tcPr>
            <w:tcW w:w="1040" w:type="dxa"/>
            <w:vAlign w:val="center"/>
          </w:tcPr>
          <w:p w14:paraId="3513D6E5">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30CB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continue"/>
            <w:vAlign w:val="center"/>
          </w:tcPr>
          <w:p w14:paraId="6C784954">
            <w:pPr>
              <w:spacing w:line="560" w:lineRule="exact"/>
              <w:ind w:firstLine="480" w:firstLineChars="200"/>
              <w:jc w:val="center"/>
              <w:rPr>
                <w:rFonts w:hint="eastAsia" w:ascii="仿宋_GB2312" w:hAnsi="仿宋_GB2312" w:eastAsia="仿宋_GB2312" w:cs="仿宋_GB2312"/>
                <w:sz w:val="24"/>
              </w:rPr>
            </w:pPr>
          </w:p>
        </w:tc>
        <w:tc>
          <w:tcPr>
            <w:tcW w:w="707" w:type="dxa"/>
            <w:vAlign w:val="center"/>
          </w:tcPr>
          <w:p w14:paraId="078FEB4A">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5</w:t>
            </w:r>
          </w:p>
        </w:tc>
        <w:tc>
          <w:tcPr>
            <w:tcW w:w="3080" w:type="dxa"/>
            <w:vAlign w:val="center"/>
          </w:tcPr>
          <w:p w14:paraId="1D0A1A01">
            <w:pPr>
              <w:spacing w:line="560" w:lineRule="exact"/>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养老机构中取得职业技能等级证书的养老护理员占比（</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1BF55642">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60</w:t>
            </w:r>
          </w:p>
        </w:tc>
        <w:tc>
          <w:tcPr>
            <w:tcW w:w="1393" w:type="dxa"/>
            <w:vAlign w:val="center"/>
          </w:tcPr>
          <w:p w14:paraId="38699174">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80</w:t>
            </w:r>
          </w:p>
        </w:tc>
        <w:tc>
          <w:tcPr>
            <w:tcW w:w="1040" w:type="dxa"/>
            <w:vAlign w:val="center"/>
          </w:tcPr>
          <w:p w14:paraId="122A5CAD">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7725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66F7CC0F">
            <w:pPr>
              <w:spacing w:line="560" w:lineRule="exact"/>
              <w:ind w:firstLine="480" w:firstLineChars="200"/>
              <w:jc w:val="center"/>
              <w:rPr>
                <w:rFonts w:hint="eastAsia" w:ascii="仿宋_GB2312" w:hAnsi="仿宋_GB2312" w:eastAsia="仿宋_GB2312" w:cs="仿宋_GB2312"/>
                <w:sz w:val="24"/>
              </w:rPr>
            </w:pPr>
          </w:p>
        </w:tc>
        <w:tc>
          <w:tcPr>
            <w:tcW w:w="707" w:type="dxa"/>
            <w:vAlign w:val="center"/>
          </w:tcPr>
          <w:p w14:paraId="6C45838F">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3080" w:type="dxa"/>
            <w:vAlign w:val="center"/>
          </w:tcPr>
          <w:p w14:paraId="018A7481">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县级公办养老机构等级评定达到三级及以上的比例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533EFF04">
            <w:pPr>
              <w:spacing w:line="5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93" w:type="dxa"/>
            <w:vAlign w:val="center"/>
          </w:tcPr>
          <w:p w14:paraId="4E1BC014">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90</w:t>
            </w:r>
          </w:p>
        </w:tc>
        <w:tc>
          <w:tcPr>
            <w:tcW w:w="1040" w:type="dxa"/>
            <w:vAlign w:val="center"/>
          </w:tcPr>
          <w:p w14:paraId="25BF367D">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2A99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4C7B8218">
            <w:pPr>
              <w:spacing w:line="560" w:lineRule="exact"/>
              <w:ind w:firstLine="480" w:firstLineChars="200"/>
              <w:jc w:val="center"/>
              <w:rPr>
                <w:rFonts w:hint="eastAsia" w:ascii="仿宋_GB2312" w:hAnsi="仿宋_GB2312" w:eastAsia="仿宋_GB2312" w:cs="仿宋_GB2312"/>
                <w:sz w:val="24"/>
              </w:rPr>
            </w:pPr>
          </w:p>
        </w:tc>
        <w:tc>
          <w:tcPr>
            <w:tcW w:w="707" w:type="dxa"/>
            <w:vAlign w:val="center"/>
          </w:tcPr>
          <w:p w14:paraId="68FD0905">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7</w:t>
            </w:r>
          </w:p>
        </w:tc>
        <w:tc>
          <w:tcPr>
            <w:tcW w:w="3080" w:type="dxa"/>
            <w:vAlign w:val="center"/>
          </w:tcPr>
          <w:p w14:paraId="7968D4C8">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县级综合养老服务管理平台覆盖率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r>
              <w:rPr>
                <w:rFonts w:ascii="仿宋_GB2312" w:eastAsia="仿宋_GB2312"/>
                <w:sz w:val="28"/>
                <w:szCs w:val="28"/>
              </w:rPr>
              <w:t>*</w:t>
            </w:r>
          </w:p>
        </w:tc>
        <w:tc>
          <w:tcPr>
            <w:tcW w:w="1425" w:type="dxa"/>
            <w:vAlign w:val="center"/>
          </w:tcPr>
          <w:p w14:paraId="3925268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w:t>
            </w:r>
          </w:p>
        </w:tc>
        <w:tc>
          <w:tcPr>
            <w:tcW w:w="1393" w:type="dxa"/>
            <w:vAlign w:val="center"/>
          </w:tcPr>
          <w:p w14:paraId="52A950DF">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100</w:t>
            </w:r>
          </w:p>
        </w:tc>
        <w:tc>
          <w:tcPr>
            <w:tcW w:w="1040" w:type="dxa"/>
            <w:vAlign w:val="center"/>
          </w:tcPr>
          <w:p w14:paraId="2A626BE9">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0653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895" w:type="dxa"/>
            <w:vMerge w:val="continue"/>
            <w:vAlign w:val="center"/>
          </w:tcPr>
          <w:p w14:paraId="677961C8">
            <w:pPr>
              <w:spacing w:line="560" w:lineRule="exact"/>
              <w:jc w:val="center"/>
              <w:rPr>
                <w:rFonts w:hint="eastAsia" w:ascii="仿宋_GB2312" w:hAnsi="仿宋_GB2312" w:eastAsia="仿宋_GB2312" w:cs="仿宋_GB2312"/>
                <w:sz w:val="24"/>
              </w:rPr>
            </w:pPr>
          </w:p>
        </w:tc>
        <w:tc>
          <w:tcPr>
            <w:tcW w:w="707" w:type="dxa"/>
            <w:vAlign w:val="center"/>
          </w:tcPr>
          <w:p w14:paraId="75FD486E">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3080" w:type="dxa"/>
            <w:vAlign w:val="center"/>
          </w:tcPr>
          <w:p w14:paraId="0A44234C">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乡镇（街道）区域养老服务中心覆盖率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0EF85A15">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c>
          <w:tcPr>
            <w:tcW w:w="1393" w:type="dxa"/>
            <w:vAlign w:val="center"/>
          </w:tcPr>
          <w:p w14:paraId="7E881B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街道全覆盖，乡镇</w:t>
            </w:r>
            <w:r>
              <w:rPr>
                <w:rFonts w:hint="eastAsia" w:ascii="仿宋_GB2312" w:hAnsi="仿宋_GB2312" w:eastAsia="仿宋_GB2312" w:cs="仿宋_GB2312"/>
                <w:sz w:val="28"/>
                <w:szCs w:val="28"/>
                <w:lang w:val="en-US" w:eastAsia="zh-CN"/>
              </w:rPr>
              <w:t>65</w:t>
            </w:r>
          </w:p>
        </w:tc>
        <w:tc>
          <w:tcPr>
            <w:tcW w:w="1040" w:type="dxa"/>
            <w:vAlign w:val="center"/>
          </w:tcPr>
          <w:p w14:paraId="3A0918A7">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1665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1F9B35AB">
            <w:pPr>
              <w:spacing w:line="560" w:lineRule="exact"/>
              <w:jc w:val="center"/>
              <w:rPr>
                <w:rFonts w:hint="eastAsia" w:ascii="仿宋_GB2312" w:hAnsi="仿宋_GB2312" w:eastAsia="仿宋_GB2312" w:cs="仿宋_GB2312"/>
                <w:sz w:val="24"/>
              </w:rPr>
            </w:pPr>
          </w:p>
        </w:tc>
        <w:tc>
          <w:tcPr>
            <w:tcW w:w="707" w:type="dxa"/>
            <w:vAlign w:val="center"/>
          </w:tcPr>
          <w:p w14:paraId="503234BB">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3080" w:type="dxa"/>
            <w:vAlign w:val="center"/>
          </w:tcPr>
          <w:p w14:paraId="4E8D04FC">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eastAsia="zh-CN"/>
              </w:rPr>
              <w:t>社区养老服务机构和设施覆盖率（</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p>
        </w:tc>
        <w:tc>
          <w:tcPr>
            <w:tcW w:w="1425" w:type="dxa"/>
            <w:vAlign w:val="center"/>
          </w:tcPr>
          <w:p w14:paraId="2213F73F">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93" w:type="dxa"/>
            <w:vAlign w:val="center"/>
          </w:tcPr>
          <w:p w14:paraId="493D0BA7">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w:t>
            </w:r>
          </w:p>
        </w:tc>
        <w:tc>
          <w:tcPr>
            <w:tcW w:w="1040" w:type="dxa"/>
            <w:vAlign w:val="center"/>
          </w:tcPr>
          <w:p w14:paraId="6E331ED2">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0EBE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restart"/>
            <w:vAlign w:val="center"/>
          </w:tcPr>
          <w:p w14:paraId="07DE67D4">
            <w:pPr>
              <w:spacing w:line="56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健康支撑</w:t>
            </w:r>
          </w:p>
        </w:tc>
        <w:tc>
          <w:tcPr>
            <w:tcW w:w="707" w:type="dxa"/>
            <w:vAlign w:val="center"/>
          </w:tcPr>
          <w:p w14:paraId="2551009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0</w:t>
            </w:r>
          </w:p>
        </w:tc>
        <w:tc>
          <w:tcPr>
            <w:tcW w:w="3080" w:type="dxa"/>
            <w:vAlign w:val="center"/>
          </w:tcPr>
          <w:p w14:paraId="24F75FC1">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eastAsia="zh-CN"/>
              </w:rPr>
              <w:t>人均预期寿命（岁）</w:t>
            </w:r>
          </w:p>
        </w:tc>
        <w:tc>
          <w:tcPr>
            <w:tcW w:w="1425" w:type="dxa"/>
            <w:vAlign w:val="center"/>
          </w:tcPr>
          <w:p w14:paraId="751A232D">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0"/>
                <w:sz w:val="28"/>
                <w:szCs w:val="28"/>
              </w:rPr>
              <w:t>&gt;80</w:t>
            </w:r>
          </w:p>
        </w:tc>
        <w:tc>
          <w:tcPr>
            <w:tcW w:w="1393" w:type="dxa"/>
            <w:vAlign w:val="center"/>
          </w:tcPr>
          <w:p w14:paraId="7863BFD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81.5</w:t>
            </w:r>
          </w:p>
        </w:tc>
        <w:tc>
          <w:tcPr>
            <w:tcW w:w="1040" w:type="dxa"/>
            <w:vAlign w:val="center"/>
          </w:tcPr>
          <w:p w14:paraId="69179C79">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5C71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5E66F4B2">
            <w:pPr>
              <w:spacing w:line="560" w:lineRule="exact"/>
              <w:ind w:firstLine="560" w:firstLineChars="200"/>
              <w:jc w:val="center"/>
              <w:rPr>
                <w:rFonts w:hint="eastAsia" w:ascii="楷体_GB2312" w:hAnsi="楷体_GB2312" w:eastAsia="楷体_GB2312" w:cs="楷体_GB2312"/>
                <w:sz w:val="28"/>
                <w:szCs w:val="28"/>
              </w:rPr>
            </w:pPr>
          </w:p>
        </w:tc>
        <w:tc>
          <w:tcPr>
            <w:tcW w:w="707" w:type="dxa"/>
            <w:vAlign w:val="center"/>
          </w:tcPr>
          <w:p w14:paraId="15BA674C">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1</w:t>
            </w:r>
          </w:p>
        </w:tc>
        <w:tc>
          <w:tcPr>
            <w:tcW w:w="3080" w:type="dxa"/>
            <w:vAlign w:val="center"/>
          </w:tcPr>
          <w:p w14:paraId="0891078E">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eastAsia="zh-CN"/>
              </w:rPr>
              <w:t>二级及以上公立综合性医院设立老年医学科比例（</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pacing w:val="-7"/>
                <w:sz w:val="28"/>
                <w:szCs w:val="28"/>
              </w:rPr>
              <w:t>②</w:t>
            </w:r>
          </w:p>
        </w:tc>
        <w:tc>
          <w:tcPr>
            <w:tcW w:w="1425" w:type="dxa"/>
            <w:vAlign w:val="center"/>
          </w:tcPr>
          <w:p w14:paraId="6BA600C6">
            <w:pPr>
              <w:spacing w:line="5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85</w:t>
            </w:r>
          </w:p>
        </w:tc>
        <w:tc>
          <w:tcPr>
            <w:tcW w:w="1393" w:type="dxa"/>
            <w:vAlign w:val="center"/>
          </w:tcPr>
          <w:p w14:paraId="380310E6">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95</w:t>
            </w:r>
          </w:p>
        </w:tc>
        <w:tc>
          <w:tcPr>
            <w:tcW w:w="1040" w:type="dxa"/>
            <w:vAlign w:val="center"/>
          </w:tcPr>
          <w:p w14:paraId="49374D30">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2966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restart"/>
            <w:vAlign w:val="center"/>
          </w:tcPr>
          <w:p w14:paraId="49990178">
            <w:pPr>
              <w:spacing w:line="560" w:lineRule="exact"/>
              <w:ind w:firstLine="0" w:firstLineChars="0"/>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社会参与</w:t>
            </w:r>
          </w:p>
        </w:tc>
        <w:tc>
          <w:tcPr>
            <w:tcW w:w="707" w:type="dxa"/>
            <w:vAlign w:val="center"/>
          </w:tcPr>
          <w:p w14:paraId="5D5BEB65">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2</w:t>
            </w:r>
          </w:p>
        </w:tc>
        <w:tc>
          <w:tcPr>
            <w:tcW w:w="3080" w:type="dxa"/>
            <w:vAlign w:val="center"/>
          </w:tcPr>
          <w:p w14:paraId="438D9878">
            <w:pPr>
              <w:spacing w:line="560" w:lineRule="exact"/>
              <w:jc w:val="left"/>
              <w:rPr>
                <w:rFonts w:hint="eastAsia" w:ascii="仿宋_GB2312" w:hAnsi="仿宋_GB2312" w:eastAsia="仿宋_GB2312" w:cs="仿宋_GB2312"/>
                <w:bCs/>
                <w:iCs/>
                <w:sz w:val="28"/>
                <w:szCs w:val="28"/>
                <w:lang w:eastAsia="zh-CN"/>
              </w:rPr>
            </w:pPr>
            <w:r>
              <w:rPr>
                <w:rFonts w:hint="eastAsia" w:ascii="仿宋_GB2312" w:hAnsi="仿宋_GB2312" w:eastAsia="仿宋_GB2312" w:cs="仿宋_GB2312"/>
                <w:sz w:val="28"/>
                <w:szCs w:val="28"/>
                <w:lang w:eastAsia="zh-CN"/>
              </w:rPr>
              <w:t>老年人社会活动参与率（</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pacing w:val="-7"/>
                <w:sz w:val="28"/>
                <w:szCs w:val="28"/>
              </w:rPr>
              <w:t>③</w:t>
            </w:r>
            <w:r>
              <w:rPr>
                <w:rFonts w:ascii="仿宋_GB2312" w:eastAsia="仿宋_GB2312"/>
                <w:sz w:val="28"/>
                <w:szCs w:val="28"/>
              </w:rPr>
              <w:t>*</w:t>
            </w:r>
          </w:p>
        </w:tc>
        <w:tc>
          <w:tcPr>
            <w:tcW w:w="1425" w:type="dxa"/>
            <w:vAlign w:val="center"/>
          </w:tcPr>
          <w:p w14:paraId="52C93BB8">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93" w:type="dxa"/>
            <w:vAlign w:val="center"/>
          </w:tcPr>
          <w:p w14:paraId="2CB2701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val="en-US" w:eastAsia="zh-CN"/>
              </w:rPr>
              <w:t>0</w:t>
            </w:r>
          </w:p>
        </w:tc>
        <w:tc>
          <w:tcPr>
            <w:tcW w:w="1040" w:type="dxa"/>
            <w:vAlign w:val="center"/>
          </w:tcPr>
          <w:p w14:paraId="34577912">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4773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continue"/>
            <w:vAlign w:val="center"/>
          </w:tcPr>
          <w:p w14:paraId="3A4600A0">
            <w:pPr>
              <w:spacing w:line="560" w:lineRule="exact"/>
              <w:jc w:val="center"/>
              <w:rPr>
                <w:rFonts w:hint="eastAsia" w:ascii="楷体_GB2312" w:hAnsi="楷体_GB2312" w:eastAsia="楷体_GB2312" w:cs="楷体_GB2312"/>
                <w:sz w:val="28"/>
                <w:szCs w:val="28"/>
              </w:rPr>
            </w:pPr>
          </w:p>
        </w:tc>
        <w:tc>
          <w:tcPr>
            <w:tcW w:w="707" w:type="dxa"/>
            <w:vAlign w:val="center"/>
          </w:tcPr>
          <w:p w14:paraId="5CDCDBBE">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3</w:t>
            </w:r>
          </w:p>
        </w:tc>
        <w:tc>
          <w:tcPr>
            <w:tcW w:w="3080" w:type="dxa"/>
            <w:vAlign w:val="center"/>
          </w:tcPr>
          <w:p w14:paraId="62C01F1A">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lang w:eastAsia="zh-CN" w:bidi="ar"/>
              </w:rPr>
              <w:t>基层老年协会覆盖率（</w:t>
            </w:r>
            <w:r>
              <w:rPr>
                <w:rFonts w:hint="eastAsia" w:ascii="仿宋_GB2312" w:hAnsi="仿宋_GB2312" w:eastAsia="仿宋_GB2312" w:cs="仿宋_GB2312"/>
                <w:sz w:val="28"/>
                <w:szCs w:val="28"/>
                <w:lang w:val="en-US" w:eastAsia="zh-CN" w:bidi="ar"/>
              </w:rPr>
              <w:t>%</w:t>
            </w:r>
            <w:r>
              <w:rPr>
                <w:rFonts w:hint="eastAsia" w:ascii="仿宋_GB2312" w:hAnsi="仿宋_GB2312" w:eastAsia="仿宋_GB2312" w:cs="仿宋_GB2312"/>
                <w:sz w:val="28"/>
                <w:szCs w:val="28"/>
                <w:lang w:eastAsia="zh-CN" w:bidi="ar"/>
              </w:rPr>
              <w:t>）</w:t>
            </w:r>
            <w:r>
              <w:rPr>
                <w:rFonts w:ascii="仿宋_GB2312" w:eastAsia="仿宋_GB2312"/>
                <w:sz w:val="28"/>
                <w:szCs w:val="28"/>
              </w:rPr>
              <w:t>*</w:t>
            </w:r>
          </w:p>
        </w:tc>
        <w:tc>
          <w:tcPr>
            <w:tcW w:w="1425" w:type="dxa"/>
            <w:vAlign w:val="center"/>
          </w:tcPr>
          <w:p w14:paraId="40DF306A">
            <w:pPr>
              <w:spacing w:line="560" w:lineRule="exac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93" w:type="dxa"/>
            <w:vAlign w:val="center"/>
          </w:tcPr>
          <w:p w14:paraId="538D2FCB">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80</w:t>
            </w:r>
          </w:p>
        </w:tc>
        <w:tc>
          <w:tcPr>
            <w:tcW w:w="1040" w:type="dxa"/>
            <w:vAlign w:val="center"/>
          </w:tcPr>
          <w:p w14:paraId="4ABA72A6">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5C9F0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95" w:type="dxa"/>
            <w:vMerge w:val="restart"/>
            <w:vAlign w:val="center"/>
          </w:tcPr>
          <w:p w14:paraId="7F630441">
            <w:pPr>
              <w:spacing w:line="560" w:lineRule="exact"/>
              <w:jc w:val="center"/>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银发经济</w:t>
            </w:r>
          </w:p>
        </w:tc>
        <w:tc>
          <w:tcPr>
            <w:tcW w:w="707" w:type="dxa"/>
            <w:vAlign w:val="center"/>
          </w:tcPr>
          <w:p w14:paraId="69D4E7B6">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4</w:t>
            </w:r>
          </w:p>
        </w:tc>
        <w:tc>
          <w:tcPr>
            <w:tcW w:w="3080" w:type="dxa"/>
            <w:vAlign w:val="center"/>
          </w:tcPr>
          <w:p w14:paraId="1635428B">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bCs/>
                <w:iCs/>
                <w:sz w:val="28"/>
                <w:szCs w:val="28"/>
                <w:lang w:eastAsia="zh-CN"/>
              </w:rPr>
              <w:t>适老生活体验中心（店、个）</w:t>
            </w:r>
            <w:r>
              <w:rPr>
                <w:rFonts w:ascii="仿宋_GB2312" w:eastAsia="仿宋_GB2312"/>
                <w:sz w:val="28"/>
                <w:szCs w:val="28"/>
              </w:rPr>
              <w:t>*</w:t>
            </w:r>
          </w:p>
        </w:tc>
        <w:tc>
          <w:tcPr>
            <w:tcW w:w="1425" w:type="dxa"/>
            <w:vAlign w:val="center"/>
          </w:tcPr>
          <w:p w14:paraId="755B0235">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w:t>
            </w:r>
          </w:p>
        </w:tc>
        <w:tc>
          <w:tcPr>
            <w:tcW w:w="1393" w:type="dxa"/>
            <w:vAlign w:val="center"/>
          </w:tcPr>
          <w:p w14:paraId="2EE4EA7A">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040" w:type="dxa"/>
            <w:vAlign w:val="center"/>
          </w:tcPr>
          <w:p w14:paraId="1A41C41F">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0812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2A8E8700">
            <w:pPr>
              <w:spacing w:line="560" w:lineRule="exact"/>
              <w:jc w:val="center"/>
              <w:rPr>
                <w:rFonts w:hint="eastAsia" w:ascii="仿宋_GB2312" w:hAnsi="仿宋_GB2312" w:eastAsia="仿宋_GB2312" w:cs="仿宋_GB2312"/>
                <w:sz w:val="24"/>
              </w:rPr>
            </w:pPr>
          </w:p>
        </w:tc>
        <w:tc>
          <w:tcPr>
            <w:tcW w:w="707" w:type="dxa"/>
            <w:vAlign w:val="center"/>
          </w:tcPr>
          <w:p w14:paraId="660E4872">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5</w:t>
            </w:r>
          </w:p>
        </w:tc>
        <w:tc>
          <w:tcPr>
            <w:tcW w:w="3080" w:type="dxa"/>
            <w:vAlign w:val="center"/>
          </w:tcPr>
          <w:p w14:paraId="68F4CA5E">
            <w:pPr>
              <w:spacing w:line="560" w:lineRule="exact"/>
              <w:jc w:val="left"/>
              <w:rPr>
                <w:rFonts w:hint="eastAsia" w:ascii="仿宋_GB2312" w:hAnsi="仿宋_GB2312" w:eastAsia="仿宋_GB2312" w:cs="仿宋_GB2312"/>
                <w:bCs/>
                <w:iCs/>
                <w:sz w:val="28"/>
                <w:szCs w:val="28"/>
              </w:rPr>
            </w:pPr>
            <w:r>
              <w:rPr>
                <w:rFonts w:hint="eastAsia" w:ascii="仿宋_GB2312" w:hAnsi="仿宋_GB2312" w:eastAsia="仿宋_GB2312" w:cs="仿宋_GB2312"/>
                <w:sz w:val="28"/>
                <w:szCs w:val="28"/>
              </w:rPr>
              <w:t>县级及以上旅居养老特色品牌数量</w:t>
            </w:r>
            <w:r>
              <w:rPr>
                <w:rFonts w:hint="eastAsia" w:ascii="仿宋_GB2312" w:hAnsi="仿宋_GB2312" w:eastAsia="仿宋_GB2312" w:cs="仿宋_GB2312"/>
                <w:sz w:val="28"/>
                <w:szCs w:val="28"/>
                <w:lang w:eastAsia="zh-CN"/>
              </w:rPr>
              <w:t>（个）</w:t>
            </w:r>
            <w:r>
              <w:rPr>
                <w:rFonts w:ascii="仿宋_GB2312" w:eastAsia="仿宋_GB2312"/>
                <w:sz w:val="28"/>
                <w:szCs w:val="28"/>
              </w:rPr>
              <w:t>*</w:t>
            </w:r>
          </w:p>
        </w:tc>
        <w:tc>
          <w:tcPr>
            <w:tcW w:w="1425" w:type="dxa"/>
            <w:vAlign w:val="center"/>
          </w:tcPr>
          <w:p w14:paraId="4597A33E">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w:t>
            </w:r>
          </w:p>
        </w:tc>
        <w:tc>
          <w:tcPr>
            <w:tcW w:w="1393" w:type="dxa"/>
            <w:vAlign w:val="center"/>
          </w:tcPr>
          <w:p w14:paraId="7367BDFB">
            <w:pPr>
              <w:spacing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1</w:t>
            </w:r>
          </w:p>
        </w:tc>
        <w:tc>
          <w:tcPr>
            <w:tcW w:w="1040" w:type="dxa"/>
            <w:vAlign w:val="center"/>
          </w:tcPr>
          <w:p w14:paraId="6518147C">
            <w:pPr>
              <w:spacing w:line="56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预期性</w:t>
            </w:r>
          </w:p>
        </w:tc>
      </w:tr>
      <w:tr w14:paraId="136A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vMerge w:val="continue"/>
            <w:vAlign w:val="center"/>
          </w:tcPr>
          <w:p w14:paraId="4A16B5CC">
            <w:pPr>
              <w:spacing w:line="560" w:lineRule="exact"/>
              <w:ind w:firstLine="480" w:firstLineChars="200"/>
              <w:jc w:val="center"/>
              <w:rPr>
                <w:rFonts w:hint="eastAsia" w:ascii="仿宋_GB2312" w:hAnsi="仿宋_GB2312" w:eastAsia="仿宋_GB2312" w:cs="仿宋_GB2312"/>
                <w:sz w:val="24"/>
              </w:rPr>
            </w:pPr>
          </w:p>
        </w:tc>
        <w:tc>
          <w:tcPr>
            <w:tcW w:w="707" w:type="dxa"/>
            <w:vAlign w:val="center"/>
          </w:tcPr>
          <w:p w14:paraId="5A72744B">
            <w:pPr>
              <w:spacing w:line="56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6</w:t>
            </w:r>
          </w:p>
        </w:tc>
        <w:tc>
          <w:tcPr>
            <w:tcW w:w="3080" w:type="dxa"/>
            <w:shd w:val="clear" w:color="auto" w:fill="auto"/>
            <w:vAlign w:val="center"/>
          </w:tcPr>
          <w:p w14:paraId="69F72E34">
            <w:pPr>
              <w:spacing w:line="560" w:lineRule="exact"/>
              <w:jc w:val="left"/>
              <w:rPr>
                <w:rFonts w:hint="eastAsia" w:ascii="仿宋_GB2312" w:hAnsi="仿宋_GB2312" w:eastAsia="仿宋_GB2312" w:cs="仿宋_GB2312"/>
                <w:bCs/>
                <w:iCs/>
                <w:kern w:val="2"/>
                <w:sz w:val="28"/>
                <w:szCs w:val="28"/>
                <w:lang w:val="en-US" w:eastAsia="zh-CN" w:bidi="ar-SA"/>
              </w:rPr>
            </w:pPr>
            <w:r>
              <w:rPr>
                <w:rFonts w:hint="eastAsia" w:ascii="仿宋_GB2312" w:hAnsi="仿宋_GB2312" w:eastAsia="仿宋_GB2312" w:cs="仿宋_GB2312"/>
                <w:sz w:val="28"/>
                <w:szCs w:val="28"/>
              </w:rPr>
              <w:t>银发经济相关企业引入或培育数量</w:t>
            </w:r>
            <w:r>
              <w:rPr>
                <w:rFonts w:hint="eastAsia" w:ascii="仿宋_GB2312" w:hAnsi="仿宋_GB2312" w:eastAsia="仿宋_GB2312" w:cs="仿宋_GB2312"/>
                <w:sz w:val="28"/>
                <w:szCs w:val="28"/>
                <w:lang w:eastAsia="zh-CN"/>
              </w:rPr>
              <w:t>（家）</w:t>
            </w:r>
            <w:r>
              <w:rPr>
                <w:rFonts w:ascii="仿宋_GB2312" w:eastAsia="仿宋_GB2312"/>
                <w:sz w:val="28"/>
                <w:szCs w:val="28"/>
              </w:rPr>
              <w:t>*</w:t>
            </w:r>
          </w:p>
        </w:tc>
        <w:tc>
          <w:tcPr>
            <w:tcW w:w="1425" w:type="dxa"/>
            <w:shd w:val="clear" w:color="auto" w:fill="auto"/>
            <w:vAlign w:val="center"/>
          </w:tcPr>
          <w:p w14:paraId="0C40DBA3">
            <w:pPr>
              <w:spacing w:line="560" w:lineRule="exact"/>
              <w:jc w:val="center"/>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w:t>
            </w:r>
          </w:p>
        </w:tc>
        <w:tc>
          <w:tcPr>
            <w:tcW w:w="1393" w:type="dxa"/>
            <w:shd w:val="clear" w:color="auto" w:fill="auto"/>
            <w:vAlign w:val="center"/>
          </w:tcPr>
          <w:p w14:paraId="2EB430CB">
            <w:pPr>
              <w:spacing w:line="56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≥5</w:t>
            </w:r>
          </w:p>
        </w:tc>
        <w:tc>
          <w:tcPr>
            <w:tcW w:w="1040" w:type="dxa"/>
            <w:shd w:val="clear" w:color="auto" w:fill="auto"/>
            <w:vAlign w:val="center"/>
          </w:tcPr>
          <w:p w14:paraId="7021723B">
            <w:pPr>
              <w:spacing w:line="560" w:lineRule="exact"/>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rPr>
              <w:t>预期性</w:t>
            </w:r>
          </w:p>
        </w:tc>
      </w:tr>
      <w:tr w14:paraId="7EFB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1" w:hRule="atLeast"/>
        </w:trPr>
        <w:tc>
          <w:tcPr>
            <w:tcW w:w="8540" w:type="dxa"/>
            <w:gridSpan w:val="6"/>
            <w:vAlign w:val="center"/>
          </w:tcPr>
          <w:p w14:paraId="74D19895">
            <w:pPr>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注：①指“十五五”期间基本医疗保险参保率每年保持在95%左右。</w:t>
            </w:r>
          </w:p>
          <w:p w14:paraId="100819F0">
            <w:pPr>
              <w:spacing w:line="500" w:lineRule="exact"/>
              <w:rPr>
                <w:rFonts w:hint="eastAsia" w:ascii="仿宋_GB2312" w:hAnsi="仿宋_GB2312" w:eastAsia="仿宋_GB2312" w:cs="仿宋_GB2312"/>
                <w:sz w:val="28"/>
                <w:szCs w:val="28"/>
              </w:rPr>
            </w:pPr>
            <w:r>
              <w:rPr>
                <w:rFonts w:hint="eastAsia" w:ascii="仿宋_GB2312" w:hAnsi="仿宋_GB2312" w:eastAsia="仿宋_GB2312" w:cs="仿宋_GB2312"/>
                <w:spacing w:val="-7"/>
                <w:sz w:val="28"/>
                <w:szCs w:val="28"/>
              </w:rPr>
              <w:t>②“二级及以上公立综合性医院设立老年医学科比例”</w:t>
            </w:r>
            <w:r>
              <w:rPr>
                <w:rFonts w:hint="eastAsia" w:ascii="仿宋_GB2312" w:hAnsi="仿宋_GB2312" w:eastAsia="仿宋_GB2312" w:cs="仿宋_GB2312"/>
                <w:spacing w:val="-8"/>
                <w:sz w:val="28"/>
                <w:szCs w:val="28"/>
              </w:rPr>
              <w:t>指标值测算方法：二级及</w:t>
            </w:r>
            <w:r>
              <w:rPr>
                <w:rFonts w:hint="eastAsia" w:ascii="仿宋_GB2312" w:hAnsi="仿宋_GB2312" w:eastAsia="仿宋_GB2312" w:cs="仿宋_GB2312"/>
                <w:spacing w:val="-4"/>
                <w:sz w:val="28"/>
                <w:szCs w:val="28"/>
              </w:rPr>
              <w:t>以上公立综合性医院设老年医学科的比例=设置老年医学科的二级及以上公立综合性</w:t>
            </w:r>
            <w:r>
              <w:rPr>
                <w:rFonts w:hint="eastAsia" w:ascii="仿宋_GB2312" w:hAnsi="仿宋_GB2312" w:eastAsia="仿宋_GB2312" w:cs="仿宋_GB2312"/>
                <w:spacing w:val="-1"/>
                <w:sz w:val="28"/>
                <w:szCs w:val="28"/>
              </w:rPr>
              <w:t>医院数/二级及以上公立综合性医院数×100%。</w:t>
            </w:r>
          </w:p>
          <w:p w14:paraId="0143FD5C">
            <w:pPr>
              <w:spacing w:line="500" w:lineRule="exac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7"/>
                <w:sz w:val="28"/>
                <w:szCs w:val="28"/>
              </w:rPr>
              <w:t>③“老年人社会活动参与率”指标值测算方法：参与政</w:t>
            </w:r>
            <w:r>
              <w:rPr>
                <w:rFonts w:hint="eastAsia" w:ascii="仿宋_GB2312" w:hAnsi="仿宋_GB2312" w:eastAsia="仿宋_GB2312" w:cs="仿宋_GB2312"/>
                <w:spacing w:val="-8"/>
                <w:sz w:val="28"/>
                <w:szCs w:val="28"/>
              </w:rPr>
              <w:t>治、经济、文化和社会</w:t>
            </w:r>
            <w:r>
              <w:rPr>
                <w:rFonts w:hint="eastAsia" w:ascii="仿宋_GB2312" w:hAnsi="仿宋_GB2312" w:eastAsia="仿宋_GB2312" w:cs="仿宋_GB2312"/>
                <w:spacing w:val="-8"/>
                <w:sz w:val="28"/>
                <w:szCs w:val="28"/>
                <w:lang w:eastAsia="zh-CN"/>
              </w:rPr>
              <w:t>生活（</w:t>
            </w:r>
            <w:r>
              <w:rPr>
                <w:rFonts w:hint="eastAsia" w:ascii="仿宋_GB2312" w:hAnsi="仿宋_GB2312" w:eastAsia="仿宋_GB2312" w:cs="仿宋_GB2312"/>
                <w:sz w:val="28"/>
                <w:szCs w:val="28"/>
              </w:rPr>
              <w:t>不含家庭生活</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的老年人数量/老年人总量</w:t>
            </w:r>
            <w:r>
              <w:rPr>
                <w:rFonts w:hint="eastAsia" w:ascii="仿宋_GB2312" w:hAnsi="仿宋_GB2312" w:eastAsia="仿宋_GB2312" w:cs="仿宋_GB2312"/>
                <w:spacing w:val="-1"/>
                <w:sz w:val="28"/>
                <w:szCs w:val="28"/>
              </w:rPr>
              <w:t>×100%。</w:t>
            </w:r>
          </w:p>
          <w:p w14:paraId="3A628AE0">
            <w:pPr>
              <w:spacing w:line="500" w:lineRule="exact"/>
              <w:rPr>
                <w:rFonts w:hint="eastAsia" w:ascii="仿宋_GB2312" w:hAnsi="仿宋_GB2312" w:eastAsia="仿宋_GB2312" w:cs="仿宋_GB2312"/>
                <w:spacing w:val="-1"/>
                <w:sz w:val="25"/>
                <w:szCs w:val="25"/>
                <w:lang w:val="en-US"/>
              </w:rPr>
            </w:pPr>
            <w:r>
              <w:rPr>
                <w:rFonts w:hint="eastAsia" w:ascii="仿宋_GB2312" w:hAnsi="仿宋_GB2312" w:eastAsia="仿宋_GB2312" w:cs="仿宋_GB2312"/>
                <w:sz w:val="28"/>
                <w:szCs w:val="28"/>
              </w:rPr>
              <w:t>④带*的为“十五五”期间国家有关部委和省</w:t>
            </w:r>
            <w:r>
              <w:rPr>
                <w:rFonts w:hint="eastAsia" w:ascii="仿宋_GB2312" w:hAnsi="仿宋_GB2312" w:eastAsia="仿宋_GB2312" w:cs="仿宋_GB2312"/>
                <w:sz w:val="28"/>
                <w:szCs w:val="28"/>
                <w:lang w:eastAsia="zh-CN"/>
              </w:rPr>
              <w:t>、市</w:t>
            </w:r>
            <w:r>
              <w:rPr>
                <w:rFonts w:hint="eastAsia" w:ascii="仿宋_GB2312" w:hAnsi="仿宋_GB2312" w:eastAsia="仿宋_GB2312" w:cs="仿宋_GB2312"/>
                <w:sz w:val="28"/>
                <w:szCs w:val="28"/>
              </w:rPr>
              <w:t>新设指标，2025年无统计数据。</w:t>
            </w:r>
          </w:p>
        </w:tc>
      </w:tr>
    </w:tbl>
    <w:p w14:paraId="3C427D73">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firstLine="636" w:firstLineChars="200"/>
        <w:jc w:val="both"/>
        <w:textAlignment w:val="baseline"/>
        <w:rPr>
          <w:rFonts w:ascii="黑体" w:hAnsi="黑体" w:eastAsia="黑体" w:cs="黑体"/>
          <w:snapToGrid w:val="0"/>
          <w:color w:val="000000"/>
          <w:spacing w:val="-1"/>
          <w:kern w:val="0"/>
          <w:sz w:val="32"/>
          <w:szCs w:val="32"/>
        </w:rPr>
      </w:pPr>
      <w:bookmarkStart w:id="1" w:name="OLE_LINK4"/>
    </w:p>
    <w:p w14:paraId="2E789F5F">
      <w:pPr>
        <w:keepNext w:val="0"/>
        <w:keepLines w:val="0"/>
        <w:pageBreakBefore w:val="0"/>
        <w:widowControl w:val="0"/>
        <w:kinsoku/>
        <w:wordWrap/>
        <w:overflowPunct/>
        <w:topLinePunct w:val="0"/>
        <w:autoSpaceDE/>
        <w:autoSpaceDN/>
        <w:bidi w:val="0"/>
        <w:adjustRightInd w:val="0"/>
        <w:snapToGrid w:val="0"/>
        <w:spacing w:before="0" w:line="560" w:lineRule="exact"/>
        <w:ind w:left="0" w:firstLine="636"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1"/>
          <w:kern w:val="0"/>
          <w:sz w:val="32"/>
          <w:szCs w:val="32"/>
        </w:rPr>
        <w:t>二、</w:t>
      </w:r>
      <w:bookmarkStart w:id="2" w:name="OLE_LINK8"/>
      <w:r>
        <w:rPr>
          <w:rFonts w:ascii="黑体" w:hAnsi="黑体" w:eastAsia="黑体" w:cs="黑体"/>
          <w:snapToGrid w:val="0"/>
          <w:color w:val="000000"/>
          <w:spacing w:val="-1"/>
          <w:kern w:val="0"/>
          <w:sz w:val="32"/>
          <w:szCs w:val="32"/>
        </w:rPr>
        <w:t>夯实基本养老保障体系</w:t>
      </w:r>
    </w:p>
    <w:bookmarkEnd w:id="1"/>
    <w:bookmarkEnd w:id="2"/>
    <w:p w14:paraId="3BB9EC25">
      <w:pPr>
        <w:keepNext w:val="0"/>
        <w:keepLines w:val="0"/>
        <w:pageBreakBefore w:val="0"/>
        <w:widowControl w:val="0"/>
        <w:kinsoku/>
        <w:wordWrap/>
        <w:overflowPunct/>
        <w:topLinePunct w:val="0"/>
        <w:autoSpaceDE/>
        <w:autoSpaceDN/>
        <w:bidi w:val="0"/>
        <w:adjustRightInd w:val="0"/>
        <w:snapToGrid w:val="0"/>
        <w:spacing w:before="0" w:line="560" w:lineRule="exact"/>
        <w:ind w:right="0" w:firstLine="604" w:firstLineChars="200"/>
        <w:textAlignment w:val="baseline"/>
        <w:rPr>
          <w:rFonts w:ascii="仿宋" w:hAnsi="仿宋" w:eastAsia="仿宋_GB2312" w:cs="仿宋"/>
          <w:snapToGrid w:val="0"/>
          <w:color w:val="000000"/>
          <w:spacing w:val="-9"/>
          <w:kern w:val="0"/>
          <w:sz w:val="32"/>
          <w:szCs w:val="32"/>
        </w:rPr>
      </w:pPr>
      <w:r>
        <w:rPr>
          <w:rFonts w:hint="eastAsia" w:ascii="楷体_GB2312" w:hAnsi="楷体_GB2312" w:eastAsia="楷体_GB2312" w:cs="楷体_GB2312"/>
          <w:b w:val="0"/>
          <w:bCs w:val="0"/>
          <w:snapToGrid w:val="0"/>
          <w:color w:val="000000"/>
          <w:spacing w:val="-9"/>
          <w:kern w:val="0"/>
          <w:sz w:val="32"/>
          <w:szCs w:val="32"/>
        </w:rPr>
        <w:t>（一）扩大基本养老保险覆盖面。</w:t>
      </w:r>
      <w:r>
        <w:rPr>
          <w:rFonts w:ascii="仿宋" w:hAnsi="仿宋" w:eastAsia="仿宋_GB2312" w:cs="仿宋"/>
          <w:snapToGrid w:val="0"/>
          <w:color w:val="000000"/>
          <w:spacing w:val="-9"/>
          <w:kern w:val="0"/>
          <w:sz w:val="32"/>
          <w:szCs w:val="32"/>
        </w:rPr>
        <w:t>深入实施全民参保计划，持续推进基本养老保险扩面提质，重点做好灵活就业人员、新就业形态人员、未参保城乡居民等群体的参保动员和服务。落实困难群体基本养老保险费代缴和城乡居民基本养老保险缴费激励政策，引导有条件的城乡居民提高缴费档次、持续参保缴费。落实基本养老保险待遇确定和调整机制，稳步扩大企业年金覆盖面，推</w:t>
      </w:r>
      <w:r>
        <w:rPr>
          <w:rFonts w:hint="eastAsia" w:ascii="仿宋" w:hAnsi="仿宋" w:eastAsia="仿宋_GB2312" w:cs="仿宋"/>
          <w:snapToGrid w:val="0"/>
          <w:color w:val="000000"/>
          <w:spacing w:val="-9"/>
          <w:kern w:val="0"/>
          <w:sz w:val="32"/>
          <w:szCs w:val="32"/>
          <w:lang w:eastAsia="zh-CN"/>
        </w:rPr>
        <w:t>进</w:t>
      </w:r>
      <w:r>
        <w:rPr>
          <w:rFonts w:ascii="仿宋" w:hAnsi="仿宋" w:eastAsia="仿宋_GB2312" w:cs="仿宋"/>
          <w:snapToGrid w:val="0"/>
          <w:color w:val="000000"/>
          <w:spacing w:val="-9"/>
          <w:kern w:val="0"/>
          <w:sz w:val="32"/>
          <w:szCs w:val="32"/>
        </w:rPr>
        <w:t>个人养老金制度</w:t>
      </w:r>
      <w:r>
        <w:rPr>
          <w:rFonts w:hint="eastAsia" w:ascii="仿宋" w:hAnsi="仿宋" w:eastAsia="仿宋_GB2312" w:cs="仿宋"/>
          <w:snapToGrid w:val="0"/>
          <w:color w:val="000000"/>
          <w:spacing w:val="-9"/>
          <w:kern w:val="0"/>
          <w:sz w:val="32"/>
          <w:szCs w:val="32"/>
          <w:lang w:eastAsia="zh-CN"/>
        </w:rPr>
        <w:t>全面</w:t>
      </w:r>
      <w:r>
        <w:rPr>
          <w:rFonts w:ascii="仿宋" w:hAnsi="仿宋" w:eastAsia="仿宋_GB2312" w:cs="仿宋"/>
          <w:snapToGrid w:val="0"/>
          <w:color w:val="000000"/>
          <w:spacing w:val="-9"/>
          <w:kern w:val="0"/>
          <w:sz w:val="32"/>
          <w:szCs w:val="32"/>
        </w:rPr>
        <w:t>实施。优化养老保险经办服务，推动社保服务向基层延伸，提高老年人办事便利度。</w:t>
      </w:r>
    </w:p>
    <w:p w14:paraId="71A04D50">
      <w:pPr>
        <w:keepNext w:val="0"/>
        <w:keepLines w:val="0"/>
        <w:pageBreakBefore w:val="0"/>
        <w:widowControl/>
        <w:kinsoku/>
        <w:wordWrap/>
        <w:overflowPunct/>
        <w:topLinePunct w:val="0"/>
        <w:autoSpaceDE/>
        <w:autoSpaceDN/>
        <w:bidi w:val="0"/>
        <w:adjustRightInd w:val="0"/>
        <w:snapToGrid w:val="0"/>
        <w:spacing w:before="0" w:line="560" w:lineRule="exact"/>
        <w:ind w:right="0" w:firstLine="604" w:firstLineChars="200"/>
        <w:jc w:val="both"/>
        <w:textAlignment w:val="baseline"/>
        <w:rPr>
          <w:rFonts w:ascii="仿宋" w:hAnsi="仿宋" w:eastAsia="仿宋_GB2312" w:cs="仿宋"/>
          <w:snapToGrid w:val="0"/>
          <w:color w:val="000000"/>
          <w:spacing w:val="-9"/>
          <w:kern w:val="0"/>
          <w:sz w:val="32"/>
          <w:szCs w:val="32"/>
        </w:rPr>
      </w:pPr>
      <w:r>
        <w:rPr>
          <w:rFonts w:hint="eastAsia" w:ascii="楷体_GB2312" w:hAnsi="楷体_GB2312" w:eastAsia="楷体_GB2312" w:cs="楷体_GB2312"/>
          <w:b w:val="0"/>
          <w:bCs w:val="0"/>
          <w:snapToGrid w:val="0"/>
          <w:color w:val="000000"/>
          <w:spacing w:val="-9"/>
          <w:kern w:val="0"/>
          <w:sz w:val="32"/>
          <w:szCs w:val="32"/>
        </w:rPr>
        <w:t>（二）提升医疗保险服务效能。</w:t>
      </w:r>
      <w:r>
        <w:rPr>
          <w:rFonts w:ascii="仿宋" w:hAnsi="仿宋" w:eastAsia="仿宋_GB2312" w:cs="仿宋"/>
          <w:snapToGrid w:val="0"/>
          <w:color w:val="000000"/>
          <w:spacing w:val="-9"/>
          <w:kern w:val="0"/>
          <w:sz w:val="32"/>
          <w:szCs w:val="32"/>
        </w:rPr>
        <w:t>落实基本医疗保险、大病保险和医疗救助政策，强化三重制度综合保障，做好符合条件老年人的医疗救助。巩固基本医疗保险参保成果，做好困难老年群体参保资助，优化港澳居民在汕尾参加基本医疗保险服务。完善老年人慢性病、常见病门诊保障，优化异地就医备案和直接结算服务。推动医保经办服务向镇村延伸，提升基层老年人享受医保服务的便利度。支持商业健康保险、医疗互助</w:t>
      </w:r>
      <w:r>
        <w:rPr>
          <w:rFonts w:hint="eastAsia" w:ascii="仿宋" w:hAnsi="仿宋" w:eastAsia="仿宋_GB2312" w:cs="仿宋"/>
          <w:snapToGrid w:val="0"/>
          <w:color w:val="000000"/>
          <w:spacing w:val="-9"/>
          <w:kern w:val="0"/>
          <w:sz w:val="32"/>
          <w:szCs w:val="32"/>
          <w:lang w:eastAsia="zh-CN"/>
        </w:rPr>
        <w:t>、</w:t>
      </w:r>
      <w:r>
        <w:rPr>
          <w:rFonts w:hint="eastAsia" w:ascii="仿宋" w:hAnsi="仿宋" w:eastAsia="仿宋_GB2312" w:cs="仿宋"/>
          <w:snapToGrid w:val="0"/>
          <w:color w:val="000000"/>
          <w:spacing w:val="-9"/>
          <w:kern w:val="0"/>
          <w:sz w:val="32"/>
          <w:szCs w:val="32"/>
        </w:rPr>
        <w:t>慈善捐赠</w:t>
      </w:r>
      <w:r>
        <w:rPr>
          <w:rFonts w:ascii="仿宋" w:hAnsi="仿宋" w:eastAsia="仿宋_GB2312" w:cs="仿宋"/>
          <w:snapToGrid w:val="0"/>
          <w:color w:val="000000"/>
          <w:spacing w:val="-9"/>
          <w:kern w:val="0"/>
          <w:sz w:val="32"/>
          <w:szCs w:val="32"/>
        </w:rPr>
        <w:t>等补充保障与基本医疗保障有效衔接。</w:t>
      </w:r>
    </w:p>
    <w:p w14:paraId="05464C05">
      <w:pPr>
        <w:keepNext w:val="0"/>
        <w:keepLines w:val="0"/>
        <w:pageBreakBefore w:val="0"/>
        <w:widowControl/>
        <w:kinsoku/>
        <w:wordWrap/>
        <w:overflowPunct/>
        <w:topLinePunct w:val="0"/>
        <w:autoSpaceDE/>
        <w:autoSpaceDN/>
        <w:bidi w:val="0"/>
        <w:adjustRightInd w:val="0"/>
        <w:snapToGrid w:val="0"/>
        <w:spacing w:before="0" w:line="560" w:lineRule="exact"/>
        <w:ind w:firstLine="604" w:firstLineChars="200"/>
        <w:jc w:val="both"/>
        <w:textAlignment w:val="baseline"/>
        <w:rPr>
          <w:rFonts w:ascii="仿宋" w:hAnsi="仿宋" w:eastAsia="仿宋_GB2312" w:cs="仿宋"/>
          <w:snapToGrid w:val="0"/>
          <w:color w:val="000000"/>
          <w:spacing w:val="-9"/>
          <w:kern w:val="0"/>
          <w:sz w:val="32"/>
          <w:szCs w:val="32"/>
        </w:rPr>
      </w:pPr>
      <w:r>
        <w:rPr>
          <w:rFonts w:hint="eastAsia" w:ascii="楷体_GB2312" w:hAnsi="楷体_GB2312" w:eastAsia="楷体_GB2312" w:cs="楷体_GB2312"/>
          <w:b w:val="0"/>
          <w:bCs w:val="0"/>
          <w:snapToGrid w:val="0"/>
          <w:color w:val="000000"/>
          <w:spacing w:val="-9"/>
          <w:kern w:val="0"/>
          <w:sz w:val="32"/>
          <w:szCs w:val="32"/>
        </w:rPr>
        <w:t>（三）推进长期护理保险实施。</w:t>
      </w:r>
      <w:r>
        <w:rPr>
          <w:rFonts w:ascii="仿宋" w:hAnsi="仿宋" w:eastAsia="仿宋_GB2312" w:cs="仿宋"/>
          <w:snapToGrid w:val="0"/>
          <w:color w:val="000000"/>
          <w:spacing w:val="-9"/>
          <w:kern w:val="0"/>
          <w:sz w:val="32"/>
          <w:szCs w:val="32"/>
        </w:rPr>
        <w:t>推进长期护理保险制度落地实施，健全本市失能等级评估、定点护理服务机构管理、待遇支付和经办服务机制。统筹布局长期护理服务资源，支持符合条件的养老服务机构、医疗卫生机构和居家社区养老服务机构提供长期护理服务，促进长期护理保险与养老服务、医疗卫生服务有效衔接。做好失能老年人相关补贴与长期护理保险政策衔接，加强政策宣传解读、申请受理和服务保障，提高失能老年人长期照护保障水平。</w:t>
      </w:r>
    </w:p>
    <w:p w14:paraId="418076D6">
      <w:pPr>
        <w:keepNext w:val="0"/>
        <w:keepLines w:val="0"/>
        <w:pageBreakBefore w:val="0"/>
        <w:widowControl/>
        <w:kinsoku/>
        <w:wordWrap/>
        <w:overflowPunct/>
        <w:topLinePunct w:val="0"/>
        <w:autoSpaceDE/>
        <w:autoSpaceDN/>
        <w:bidi w:val="0"/>
        <w:adjustRightInd w:val="0"/>
        <w:snapToGrid w:val="0"/>
        <w:spacing w:line="560" w:lineRule="exact"/>
        <w:ind w:firstLine="604" w:firstLineChars="200"/>
        <w:textAlignment w:val="baseline"/>
        <w:rPr>
          <w:rFonts w:ascii="仿宋" w:hAnsi="仿宋" w:eastAsia="仿宋_GB2312" w:cs="仿宋"/>
          <w:b w:val="0"/>
          <w:bCs w:val="0"/>
          <w:snapToGrid w:val="0"/>
          <w:color w:val="000000"/>
          <w:spacing w:val="-9"/>
          <w:kern w:val="0"/>
          <w:sz w:val="32"/>
          <w:szCs w:val="32"/>
        </w:rPr>
      </w:pPr>
      <w:bookmarkStart w:id="3" w:name="OLE_LINK6"/>
      <w:bookmarkEnd w:id="3"/>
      <w:r>
        <w:rPr>
          <w:rFonts w:hint="eastAsia" w:ascii="楷体_GB2312" w:hAnsi="楷体_GB2312" w:eastAsia="楷体_GB2312" w:cs="楷体_GB2312"/>
          <w:b w:val="0"/>
          <w:bCs w:val="0"/>
          <w:snapToGrid w:val="0"/>
          <w:color w:val="000000"/>
          <w:spacing w:val="-9"/>
          <w:kern w:val="0"/>
          <w:sz w:val="32"/>
          <w:szCs w:val="32"/>
        </w:rPr>
        <w:t>（四）强化困难老年群体保障。</w:t>
      </w:r>
      <w:r>
        <w:rPr>
          <w:rFonts w:ascii="仿宋" w:hAnsi="仿宋" w:eastAsia="仿宋_GB2312" w:cs="仿宋"/>
          <w:snapToGrid w:val="0"/>
          <w:color w:val="000000"/>
          <w:spacing w:val="-9"/>
          <w:kern w:val="0"/>
          <w:sz w:val="32"/>
          <w:szCs w:val="32"/>
        </w:rPr>
        <w:t>健全</w:t>
      </w:r>
      <w:r>
        <w:rPr>
          <w:rFonts w:hint="eastAsia" w:ascii="仿宋" w:hAnsi="仿宋" w:eastAsia="仿宋_GB2312" w:cs="仿宋"/>
          <w:snapToGrid w:val="0"/>
          <w:color w:val="000000"/>
          <w:spacing w:val="-9"/>
          <w:kern w:val="0"/>
          <w:sz w:val="32"/>
          <w:szCs w:val="32"/>
        </w:rPr>
        <w:t>基本生活</w:t>
      </w:r>
      <w:r>
        <w:rPr>
          <w:rFonts w:ascii="仿宋" w:hAnsi="仿宋" w:eastAsia="仿宋_GB2312" w:cs="仿宋"/>
          <w:snapToGrid w:val="0"/>
          <w:color w:val="000000"/>
          <w:spacing w:val="-9"/>
          <w:kern w:val="0"/>
          <w:sz w:val="32"/>
          <w:szCs w:val="32"/>
        </w:rPr>
        <w:t>困难老年人主动发现和服务保障机制，将符合条件的老年人及时纳入最低生活保障、特困人员救助供养和临时救助范围。</w:t>
      </w:r>
      <w:r>
        <w:rPr>
          <w:rFonts w:hint="eastAsia" w:ascii="仿宋" w:hAnsi="仿宋" w:eastAsia="仿宋_GB2312" w:cs="仿宋"/>
          <w:snapToGrid w:val="0"/>
          <w:color w:val="000000"/>
          <w:spacing w:val="-9"/>
          <w:kern w:val="0"/>
          <w:sz w:val="32"/>
          <w:szCs w:val="32"/>
        </w:rPr>
        <w:t>健全分层分类的社会救助体系，提供差异化救助服务。</w:t>
      </w:r>
      <w:r>
        <w:rPr>
          <w:rFonts w:ascii="仿宋" w:hAnsi="仿宋" w:eastAsia="仿宋_GB2312" w:cs="仿宋"/>
          <w:snapToGrid w:val="0"/>
          <w:color w:val="000000"/>
          <w:spacing w:val="-9"/>
          <w:kern w:val="0"/>
          <w:sz w:val="32"/>
          <w:szCs w:val="32"/>
        </w:rPr>
        <w:t>落实高龄津贴、养老服务补贴、护理补贴等老年福利政策，做好各类补贴与社会救助、长期护理保险等政策衔接。加强独居、空巢、留守、失能、重残、计划生育特殊家庭等老年人的动态摸排和探访关爱，发挥镇（街道）、村（社区）、社会工作者和志愿服务力量作用，推动困难老年人需求及时发现、救助及时响应、服务有效衔接。</w:t>
      </w:r>
    </w:p>
    <w:p w14:paraId="13CA8311">
      <w:pPr>
        <w:keepNext w:val="0"/>
        <w:keepLines w:val="0"/>
        <w:pageBreakBefore w:val="0"/>
        <w:widowControl/>
        <w:kinsoku/>
        <w:wordWrap/>
        <w:overflowPunct/>
        <w:topLinePunct w:val="0"/>
        <w:autoSpaceDE/>
        <w:autoSpaceDN/>
        <w:bidi w:val="0"/>
        <w:adjustRightInd w:val="0"/>
        <w:snapToGrid w:val="0"/>
        <w:spacing w:before="0" w:line="560" w:lineRule="exact"/>
        <w:ind w:left="0" w:firstLine="628"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3"/>
          <w:kern w:val="0"/>
          <w:sz w:val="32"/>
          <w:szCs w:val="32"/>
        </w:rPr>
        <w:t>三、完善多层次养老服务体系</w:t>
      </w:r>
    </w:p>
    <w:p w14:paraId="6B9C599A">
      <w:pPr>
        <w:keepNext w:val="0"/>
        <w:keepLines w:val="0"/>
        <w:pageBreakBefore w:val="0"/>
        <w:widowControl/>
        <w:kinsoku/>
        <w:wordWrap/>
        <w:overflowPunct/>
        <w:topLinePunct w:val="0"/>
        <w:autoSpaceDE/>
        <w:autoSpaceDN/>
        <w:bidi w:val="0"/>
        <w:adjustRightInd w:val="0"/>
        <w:snapToGrid w:val="0"/>
        <w:spacing w:before="0" w:line="560" w:lineRule="exact"/>
        <w:ind w:right="0" w:firstLine="604" w:firstLineChars="200"/>
        <w:jc w:val="both"/>
        <w:textAlignment w:val="baseline"/>
        <w:rPr>
          <w:rFonts w:ascii="仿宋" w:hAnsi="仿宋" w:eastAsia="仿宋" w:cs="仿宋"/>
          <w:snapToGrid w:val="0"/>
          <w:color w:val="000000"/>
          <w:spacing w:val="-12"/>
          <w:kern w:val="0"/>
          <w:sz w:val="32"/>
          <w:szCs w:val="32"/>
        </w:rPr>
      </w:pPr>
      <w:r>
        <w:rPr>
          <w:rFonts w:hint="eastAsia" w:ascii="楷体_GB2312" w:hAnsi="楷体_GB2312" w:eastAsia="楷体_GB2312" w:cs="楷体_GB2312"/>
          <w:b w:val="0"/>
          <w:bCs w:val="0"/>
          <w:snapToGrid w:val="0"/>
          <w:color w:val="000000"/>
          <w:spacing w:val="-9"/>
          <w:kern w:val="0"/>
          <w:sz w:val="32"/>
          <w:szCs w:val="32"/>
        </w:rPr>
        <w:t>（五）织密三级养老服务网络。</w:t>
      </w:r>
      <w:r>
        <w:rPr>
          <w:rFonts w:ascii="仿宋" w:hAnsi="仿宋" w:eastAsia="仿宋_GB2312" w:cs="仿宋"/>
          <w:snapToGrid w:val="0"/>
          <w:color w:val="000000"/>
          <w:spacing w:val="-9"/>
          <w:kern w:val="0"/>
          <w:sz w:val="32"/>
          <w:szCs w:val="32"/>
        </w:rPr>
        <w:t>强化县级综合为老服务管理平台统筹管理和资源调配功能，发挥乡镇（街道）区域养老服务中心枢纽作用，合理布局村（社区）养老服务站点，健全县、镇、村三级养老服务网络。结合“百千万</w:t>
      </w:r>
      <w:r>
        <w:rPr>
          <w:rFonts w:ascii="仿宋" w:hAnsi="仿宋" w:eastAsia="仿宋_GB2312" w:cs="仿宋"/>
          <w:snapToGrid w:val="0"/>
          <w:color w:val="000000"/>
          <w:spacing w:val="-9"/>
          <w:kern w:val="0"/>
          <w:sz w:val="32"/>
          <w:szCs w:val="32"/>
          <w:highlight w:val="none"/>
        </w:rPr>
        <w:t>工程”</w:t>
      </w:r>
      <w:r>
        <w:rPr>
          <w:rFonts w:hint="eastAsia" w:ascii="仿宋" w:hAnsi="仿宋" w:eastAsia="仿宋_GB2312" w:cs="仿宋"/>
          <w:snapToGrid w:val="0"/>
          <w:color w:val="000000"/>
          <w:spacing w:val="-9"/>
          <w:kern w:val="0"/>
          <w:sz w:val="32"/>
          <w:szCs w:val="32"/>
          <w:highlight w:val="none"/>
          <w:lang w:eastAsia="zh-CN"/>
        </w:rPr>
        <w:t>、乡村振兴</w:t>
      </w:r>
      <w:r>
        <w:rPr>
          <w:rFonts w:ascii="仿宋" w:hAnsi="仿宋" w:eastAsia="仿宋_GB2312" w:cs="仿宋"/>
          <w:snapToGrid w:val="0"/>
          <w:color w:val="000000"/>
          <w:spacing w:val="-9"/>
          <w:kern w:val="0"/>
          <w:sz w:val="32"/>
          <w:szCs w:val="32"/>
          <w:highlight w:val="none"/>
        </w:rPr>
        <w:t>，</w:t>
      </w:r>
      <w:r>
        <w:rPr>
          <w:rFonts w:ascii="仿宋" w:hAnsi="仿宋" w:eastAsia="仿宋_GB2312" w:cs="仿宋"/>
          <w:snapToGrid w:val="0"/>
          <w:color w:val="000000"/>
          <w:spacing w:val="-9"/>
          <w:kern w:val="0"/>
          <w:sz w:val="32"/>
          <w:szCs w:val="32"/>
        </w:rPr>
        <w:t>重点补齐农村养老服务短板，统筹利用条件较好的乡镇（街道）特困人员供养服务机构、优质民办养老机构、综合为老服务中心等资源设置镇（街道）区域养老服务中心，探索互助养老等适合农村地区的服务模式，推动专业养老服务向镇村延伸。加强三级养老服务资源统筹和供需衔接，提高农村养老服务设施利用效能和服务可及性。</w:t>
      </w:r>
    </w:p>
    <w:p w14:paraId="3FB36B5C">
      <w:pPr>
        <w:keepNext w:val="0"/>
        <w:keepLines w:val="0"/>
        <w:pageBreakBefore w:val="0"/>
        <w:widowControl/>
        <w:kinsoku/>
        <w:wordWrap/>
        <w:overflowPunct/>
        <w:topLinePunct w:val="0"/>
        <w:autoSpaceDE w:val="0"/>
        <w:autoSpaceDN w:val="0"/>
        <w:bidi w:val="0"/>
        <w:adjustRightInd w:val="0"/>
        <w:snapToGrid w:val="0"/>
        <w:spacing w:before="0" w:line="560" w:lineRule="exact"/>
        <w:ind w:right="0" w:firstLine="604" w:firstLineChars="200"/>
        <w:jc w:val="both"/>
        <w:textAlignment w:val="baseline"/>
        <w:rPr>
          <w:rFonts w:ascii="仿宋" w:hAnsi="仿宋" w:eastAsia="仿宋_GB2312" w:cs="仿宋"/>
          <w:snapToGrid w:val="0"/>
          <w:color w:val="000000"/>
          <w:spacing w:val="-9"/>
          <w:kern w:val="0"/>
          <w:sz w:val="32"/>
          <w:szCs w:val="32"/>
        </w:rPr>
      </w:pPr>
      <w:r>
        <w:rPr>
          <w:rFonts w:hint="eastAsia" w:ascii="楷体_GB2312" w:hAnsi="楷体_GB2312" w:eastAsia="楷体_GB2312" w:cs="楷体_GB2312"/>
          <w:b w:val="0"/>
          <w:bCs w:val="0"/>
          <w:snapToGrid w:val="0"/>
          <w:color w:val="000000"/>
          <w:spacing w:val="-9"/>
          <w:kern w:val="0"/>
          <w:sz w:val="32"/>
          <w:szCs w:val="32"/>
        </w:rPr>
        <w:t>（六）提升居家养老服务水平。</w:t>
      </w:r>
      <w:r>
        <w:rPr>
          <w:rFonts w:ascii="仿宋" w:hAnsi="仿宋" w:eastAsia="仿宋_GB2312" w:cs="仿宋"/>
          <w:snapToGrid w:val="0"/>
          <w:color w:val="000000"/>
          <w:spacing w:val="-9"/>
          <w:kern w:val="0"/>
          <w:sz w:val="32"/>
          <w:szCs w:val="32"/>
        </w:rPr>
        <w:t>发展社区嵌入式养老，拓展助餐、助医、助洁、助浴、助行、助急等服务，优化长者饭堂布局和运营。支持专业养老服务机构将服务延伸至社区和家庭，推进家庭养老床位建设和居家适老化改造，加强失能老年人长期照护和认知障碍老年人照护</w:t>
      </w:r>
      <w:r>
        <w:rPr>
          <w:rFonts w:hint="eastAsia" w:ascii="仿宋" w:hAnsi="仿宋" w:eastAsia="仿宋_GB2312" w:cs="仿宋"/>
          <w:snapToGrid w:val="0"/>
          <w:color w:val="000000"/>
          <w:spacing w:val="-9"/>
          <w:kern w:val="0"/>
          <w:sz w:val="32"/>
          <w:szCs w:val="32"/>
        </w:rPr>
        <w:t>，探索“老年父母</w:t>
      </w:r>
      <w:r>
        <w:rPr>
          <w:rFonts w:hint="eastAsia" w:ascii="仿宋" w:hAnsi="仿宋" w:eastAsia="仿宋_GB2312" w:cs="仿宋"/>
          <w:snapToGrid w:val="0"/>
          <w:color w:val="000000"/>
          <w:spacing w:val="-9"/>
          <w:kern w:val="0"/>
          <w:sz w:val="32"/>
          <w:szCs w:val="32"/>
          <w:lang w:val="en-US" w:eastAsia="zh-CN"/>
        </w:rPr>
        <w:t>+</w:t>
      </w:r>
      <w:r>
        <w:rPr>
          <w:rFonts w:hint="eastAsia" w:ascii="仿宋" w:hAnsi="仿宋" w:eastAsia="仿宋_GB2312" w:cs="仿宋"/>
          <w:snapToGrid w:val="0"/>
          <w:color w:val="000000"/>
          <w:spacing w:val="-9"/>
          <w:kern w:val="0"/>
          <w:sz w:val="32"/>
          <w:szCs w:val="32"/>
        </w:rPr>
        <w:t>残疾子女”家庭共同入住养老机构或其他照护机构。发展社区嵌入式养老服务，</w:t>
      </w:r>
      <w:r>
        <w:rPr>
          <w:rFonts w:ascii="仿宋" w:hAnsi="仿宋" w:eastAsia="仿宋_GB2312" w:cs="仿宋"/>
          <w:snapToGrid w:val="0"/>
          <w:color w:val="000000"/>
          <w:spacing w:val="-9"/>
          <w:kern w:val="0"/>
          <w:sz w:val="32"/>
          <w:szCs w:val="32"/>
        </w:rPr>
        <w:t>推动社区养老服务设施建设与城市更新、老旧小区改造相衔接，引导社会力量参与居家社区养老服务，提高服务专业化、便利化水平。</w:t>
      </w:r>
    </w:p>
    <w:p w14:paraId="07B69084">
      <w:pPr>
        <w:keepNext w:val="0"/>
        <w:keepLines w:val="0"/>
        <w:pageBreakBefore w:val="0"/>
        <w:widowControl/>
        <w:kinsoku/>
        <w:wordWrap/>
        <w:overflowPunct/>
        <w:topLinePunct w:val="0"/>
        <w:autoSpaceDE w:val="0"/>
        <w:autoSpaceDN w:val="0"/>
        <w:bidi w:val="0"/>
        <w:adjustRightInd w:val="0"/>
        <w:snapToGrid w:val="0"/>
        <w:spacing w:before="0" w:line="560" w:lineRule="exact"/>
        <w:ind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（七）推动养老机构提质增效。</w:t>
      </w:r>
      <w:r>
        <w:rPr>
          <w:rFonts w:ascii="仿宋" w:hAnsi="仿宋" w:eastAsia="仿宋_GB2312" w:cs="仿宋"/>
          <w:snapToGrid w:val="0"/>
          <w:color w:val="000000"/>
          <w:spacing w:val="-9"/>
          <w:kern w:val="0"/>
          <w:sz w:val="32"/>
          <w:szCs w:val="32"/>
        </w:rPr>
        <w:t>强化公办养老机构兜底保障和失能失智老年人照护功能，在满足特困人员集中供养需求的基础上拓展普惠养老服务。支持社会力量参与养老服务供给和专业化运营，发展价格可负担、质量有保障、运营可持续的普惠养老服务。推进存量养老机构设施设备更新和适老化改造，落实养老服务标准和安全管理要求，加强服务质量监管。依托本地职业院校、培训机构和养老服务机构开展养老护理、健康照护等职业技能培训，加强养老服务管理、社会工作、医养结合等专业人才和管理人才培养，支持培养村级养老服务人员，吸引返乡人员参与养老服务。</w:t>
      </w:r>
    </w:p>
    <w:p w14:paraId="2D49E28F">
      <w:pPr>
        <w:keepNext w:val="0"/>
        <w:keepLines w:val="0"/>
        <w:pageBreakBefore w:val="0"/>
        <w:widowControl/>
        <w:kinsoku/>
        <w:wordWrap/>
        <w:overflowPunct/>
        <w:topLinePunct w:val="0"/>
        <w:autoSpaceDE w:val="0"/>
        <w:autoSpaceDN w:val="0"/>
        <w:bidi w:val="0"/>
        <w:adjustRightInd w:val="0"/>
        <w:snapToGrid w:val="0"/>
        <w:spacing w:before="0" w:line="560" w:lineRule="exact"/>
        <w:jc w:val="both"/>
        <w:textAlignment w:val="baseline"/>
        <w:rPr>
          <w:rFonts w:ascii="仿宋" w:hAnsi="仿宋" w:eastAsia="仿宋_GB2312" w:cs="仿宋"/>
          <w:snapToGrid w:val="0"/>
          <w:color w:val="000000"/>
          <w:spacing w:val="-9"/>
          <w:kern w:val="0"/>
          <w:sz w:val="33"/>
          <w:szCs w:val="33"/>
        </w:rPr>
      </w:pPr>
    </w:p>
    <w:tbl>
      <w:tblPr>
        <w:tblStyle w:val="21"/>
        <w:tblW w:w="95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0"/>
      </w:tblGrid>
      <w:tr w14:paraId="38DA2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trPr>
        <w:tc>
          <w:tcPr>
            <w:tcW w:w="9500" w:type="dxa"/>
          </w:tcPr>
          <w:p w14:paraId="6B28065A">
            <w:pPr>
              <w:keepNext w:val="0"/>
              <w:keepLines w:val="0"/>
              <w:pageBreakBefore w:val="0"/>
              <w:widowControl/>
              <w:kinsoku w:val="0"/>
              <w:wordWrap/>
              <w:overflowPunct/>
              <w:topLinePunct w:val="0"/>
              <w:autoSpaceDE w:val="0"/>
              <w:autoSpaceDN w:val="0"/>
              <w:bidi w:val="0"/>
              <w:adjustRightInd w:val="0"/>
              <w:snapToGrid w:val="0"/>
              <w:spacing w:before="172" w:line="560" w:lineRule="exact"/>
              <w:ind w:left="0"/>
              <w:jc w:val="center"/>
              <w:textAlignment w:val="baseline"/>
              <w:rPr>
                <w:rFonts w:ascii="宋体" w:hAnsi="宋体" w:eastAsia="宋体" w:cs="宋体"/>
                <w:snapToGrid w:val="0"/>
                <w:color w:val="000000"/>
                <w:kern w:val="0"/>
                <w:sz w:val="28"/>
                <w:szCs w:val="28"/>
              </w:rPr>
            </w:pPr>
            <w:bookmarkStart w:id="4" w:name="OLE_LINK37"/>
            <w:r>
              <w:rPr>
                <w:rFonts w:hint="eastAsia" w:ascii="黑体" w:hAnsi="黑体" w:eastAsia="黑体" w:cs="黑体"/>
                <w:sz w:val="32"/>
                <w:szCs w:val="28"/>
              </w:rPr>
              <w:t>专栏2 普惠养老服务提质</w:t>
            </w:r>
            <w:r>
              <w:rPr>
                <w:rFonts w:hint="eastAsia" w:ascii="黑体" w:hAnsi="黑体" w:eastAsia="黑体" w:cs="黑体"/>
                <w:sz w:val="32"/>
                <w:szCs w:val="28"/>
                <w:lang w:eastAsia="zh-CN"/>
              </w:rPr>
              <w:t>与养老服务人才提升</w:t>
            </w:r>
            <w:r>
              <w:rPr>
                <w:rFonts w:hint="eastAsia" w:ascii="黑体" w:hAnsi="黑体" w:eastAsia="黑体" w:cs="黑体"/>
                <w:sz w:val="32"/>
                <w:szCs w:val="28"/>
              </w:rPr>
              <w:t>工程</w:t>
            </w:r>
          </w:p>
        </w:tc>
      </w:tr>
      <w:tr w14:paraId="4F82E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7" w:hRule="atLeast"/>
        </w:trPr>
        <w:tc>
          <w:tcPr>
            <w:tcW w:w="9500" w:type="dxa"/>
          </w:tcPr>
          <w:p w14:paraId="360F0750">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1" w:firstLineChars="200"/>
              <w:jc w:val="left"/>
              <w:textAlignment w:val="baseline"/>
              <w:rPr>
                <w:rFonts w:hint="eastAsia" w:ascii="仿宋_GB2312" w:hAnsi="仿宋_GB2312" w:eastAsia="仿宋_GB2312" w:cs="仿宋_GB2312"/>
                <w:b/>
                <w:bCs/>
                <w:snapToGrid w:val="0"/>
                <w:color w:val="000000"/>
                <w:spacing w:val="-3"/>
                <w:kern w:val="0"/>
                <w:sz w:val="32"/>
                <w:szCs w:val="32"/>
              </w:rPr>
            </w:pPr>
            <w:r>
              <w:rPr>
                <w:rFonts w:hint="eastAsia" w:ascii="仿宋_GB2312" w:hAnsi="仿宋_GB2312" w:eastAsia="仿宋_GB2312" w:cs="仿宋_GB2312"/>
                <w:b/>
                <w:bCs/>
                <w:snapToGrid w:val="0"/>
                <w:color w:val="000000"/>
                <w:spacing w:val="-3"/>
                <w:kern w:val="0"/>
                <w:sz w:val="32"/>
                <w:szCs w:val="32"/>
              </w:rPr>
              <w:t>1.老年助餐服务提质</w:t>
            </w:r>
            <w:r>
              <w:rPr>
                <w:rFonts w:hint="eastAsia" w:ascii="仿宋_GB2312" w:hAnsi="仿宋_GB2312" w:eastAsia="仿宋_GB2312" w:cs="仿宋_GB2312"/>
                <w:b/>
                <w:bCs/>
                <w:snapToGrid w:val="0"/>
                <w:color w:val="000000"/>
                <w:spacing w:val="-3"/>
                <w:kern w:val="0"/>
                <w:sz w:val="32"/>
                <w:szCs w:val="32"/>
                <w:lang w:eastAsia="zh-CN"/>
              </w:rPr>
              <w:t>行动</w:t>
            </w:r>
            <w:r>
              <w:rPr>
                <w:rFonts w:hint="eastAsia" w:ascii="仿宋_GB2312" w:hAnsi="仿宋_GB2312" w:eastAsia="仿宋_GB2312" w:cs="仿宋_GB2312"/>
                <w:b/>
                <w:bCs/>
                <w:snapToGrid w:val="0"/>
                <w:color w:val="000000"/>
                <w:spacing w:val="-3"/>
                <w:kern w:val="0"/>
                <w:sz w:val="32"/>
                <w:szCs w:val="32"/>
              </w:rPr>
              <w:t>。</w:t>
            </w:r>
            <w:r>
              <w:rPr>
                <w:rFonts w:hint="eastAsia" w:ascii="仿宋_GB2312" w:hAnsi="仿宋_GB2312" w:eastAsia="仿宋_GB2312" w:cs="仿宋_GB2312"/>
                <w:snapToGrid w:val="0"/>
                <w:color w:val="000000"/>
                <w:spacing w:val="-3"/>
                <w:kern w:val="0"/>
                <w:sz w:val="32"/>
                <w:szCs w:val="32"/>
              </w:rPr>
              <w:t>坚持政府引导、市场运作，引导社会餐饮企业运营助餐点、增设</w:t>
            </w:r>
            <w:r>
              <w:rPr>
                <w:rFonts w:hint="eastAsia" w:ascii="仿宋_GB2312" w:hAnsi="仿宋_GB2312" w:eastAsia="仿宋_GB2312" w:cs="仿宋_GB2312"/>
                <w:snapToGrid w:val="0"/>
                <w:color w:val="000000"/>
                <w:spacing w:val="-3"/>
                <w:kern w:val="0"/>
                <w:sz w:val="32"/>
                <w:szCs w:val="32"/>
                <w:lang w:eastAsia="zh-CN"/>
              </w:rPr>
              <w:t>“</w:t>
            </w:r>
            <w:r>
              <w:rPr>
                <w:rFonts w:hint="eastAsia" w:ascii="仿宋_GB2312" w:hAnsi="仿宋_GB2312" w:eastAsia="仿宋_GB2312" w:cs="仿宋_GB2312"/>
                <w:snapToGrid w:val="0"/>
                <w:color w:val="000000"/>
                <w:spacing w:val="-3"/>
                <w:kern w:val="0"/>
                <w:sz w:val="32"/>
                <w:szCs w:val="32"/>
              </w:rPr>
              <w:t>老年餐桌</w:t>
            </w:r>
            <w:r>
              <w:rPr>
                <w:rFonts w:hint="eastAsia" w:ascii="仿宋_GB2312" w:hAnsi="仿宋_GB2312" w:eastAsia="仿宋_GB2312" w:cs="仿宋_GB2312"/>
                <w:snapToGrid w:val="0"/>
                <w:color w:val="000000"/>
                <w:spacing w:val="-3"/>
                <w:kern w:val="0"/>
                <w:sz w:val="32"/>
                <w:szCs w:val="32"/>
                <w:lang w:eastAsia="zh-CN"/>
              </w:rPr>
              <w:t>”</w:t>
            </w:r>
            <w:r>
              <w:rPr>
                <w:rFonts w:hint="eastAsia" w:ascii="仿宋_GB2312" w:hAnsi="仿宋_GB2312" w:eastAsia="仿宋_GB2312" w:cs="仿宋_GB2312"/>
                <w:snapToGrid w:val="0"/>
                <w:color w:val="000000"/>
                <w:spacing w:val="-3"/>
                <w:kern w:val="0"/>
                <w:sz w:val="32"/>
                <w:szCs w:val="32"/>
              </w:rPr>
              <w:t>，盘活养老机构和社区站点存量资源提供堂食或取送餐服务。对企业充裕或需求分散区域，原则上不专门举办集中堂食点，积极探索</w:t>
            </w:r>
            <w:r>
              <w:rPr>
                <w:rFonts w:hint="eastAsia" w:ascii="仿宋_GB2312" w:hAnsi="仿宋_GB2312" w:eastAsia="仿宋_GB2312" w:cs="仿宋_GB2312"/>
                <w:snapToGrid w:val="0"/>
                <w:color w:val="000000"/>
                <w:spacing w:val="-3"/>
                <w:kern w:val="0"/>
                <w:sz w:val="32"/>
                <w:szCs w:val="32"/>
                <w:lang w:eastAsia="zh-CN"/>
              </w:rPr>
              <w:t>“</w:t>
            </w:r>
            <w:r>
              <w:rPr>
                <w:rFonts w:hint="eastAsia" w:ascii="仿宋_GB2312" w:hAnsi="仿宋_GB2312" w:eastAsia="仿宋_GB2312" w:cs="仿宋_GB2312"/>
                <w:snapToGrid w:val="0"/>
                <w:color w:val="000000"/>
                <w:spacing w:val="-3"/>
                <w:kern w:val="0"/>
                <w:sz w:val="32"/>
                <w:szCs w:val="32"/>
              </w:rPr>
              <w:t>中央厨房+配送</w:t>
            </w:r>
            <w:r>
              <w:rPr>
                <w:rFonts w:hint="eastAsia" w:ascii="仿宋_GB2312" w:hAnsi="仿宋_GB2312" w:eastAsia="仿宋_GB2312" w:cs="仿宋_GB2312"/>
                <w:snapToGrid w:val="0"/>
                <w:color w:val="000000"/>
                <w:spacing w:val="-3"/>
                <w:kern w:val="0"/>
                <w:sz w:val="32"/>
                <w:szCs w:val="32"/>
                <w:lang w:eastAsia="zh-CN"/>
              </w:rPr>
              <w:t>”</w:t>
            </w:r>
            <w:r>
              <w:rPr>
                <w:rFonts w:hint="eastAsia" w:ascii="仿宋_GB2312" w:hAnsi="仿宋_GB2312" w:eastAsia="仿宋_GB2312" w:cs="仿宋_GB2312"/>
                <w:snapToGrid w:val="0"/>
                <w:color w:val="000000"/>
                <w:spacing w:val="-3"/>
                <w:kern w:val="0"/>
                <w:sz w:val="32"/>
                <w:szCs w:val="32"/>
              </w:rPr>
              <w:t>、流动餐车等模式，健全补贴与监管，扩大可持续供给。</w:t>
            </w:r>
          </w:p>
          <w:p w14:paraId="3DF1D3A5">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1" w:firstLineChars="200"/>
              <w:jc w:val="left"/>
              <w:textAlignment w:val="baseline"/>
              <w:rPr>
                <w:rFonts w:hint="eastAsia" w:ascii="仿宋_GB2312" w:hAnsi="仿宋_GB2312" w:eastAsia="仿宋_GB2312" w:cs="仿宋_GB2312"/>
                <w:b w:val="0"/>
                <w:bCs w:val="0"/>
                <w:snapToGrid w:val="0"/>
                <w:color w:val="000000"/>
                <w:spacing w:val="-3"/>
                <w:kern w:val="0"/>
                <w:sz w:val="32"/>
                <w:szCs w:val="32"/>
              </w:rPr>
            </w:pPr>
            <w:r>
              <w:rPr>
                <w:rFonts w:hint="eastAsia" w:ascii="仿宋_GB2312" w:hAnsi="仿宋_GB2312" w:eastAsia="仿宋_GB2312" w:cs="仿宋_GB2312"/>
                <w:b/>
                <w:bCs/>
                <w:snapToGrid w:val="0"/>
                <w:color w:val="000000"/>
                <w:spacing w:val="-3"/>
                <w:kern w:val="0"/>
                <w:sz w:val="32"/>
                <w:szCs w:val="32"/>
              </w:rPr>
              <w:t>2.居家社区养老服务网络建设</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3"/>
                <w:kern w:val="0"/>
                <w:sz w:val="32"/>
                <w:szCs w:val="32"/>
              </w:rPr>
              <w:t>。</w:t>
            </w:r>
            <w:r>
              <w:rPr>
                <w:rFonts w:hint="eastAsia" w:ascii="仿宋_GB2312" w:hAnsi="仿宋_GB2312" w:eastAsia="仿宋_GB2312" w:cs="仿宋_GB2312"/>
                <w:b w:val="0"/>
                <w:bCs w:val="0"/>
                <w:snapToGrid w:val="0"/>
                <w:color w:val="000000"/>
                <w:spacing w:val="-3"/>
                <w:kern w:val="0"/>
                <w:sz w:val="32"/>
                <w:szCs w:val="32"/>
              </w:rPr>
              <w:t>推进示范性居家社区养老服务网络建设，完善县级综合养老服务管理平台、乡镇（街道）区域养老服务中心和村（社区）养老服务站点三级网络。到2030年</w:t>
            </w:r>
            <w:r>
              <w:rPr>
                <w:rFonts w:hint="eastAsia" w:ascii="仿宋_GB2312" w:hAnsi="仿宋_GB2312" w:eastAsia="仿宋_GB2312" w:cs="仿宋_GB2312"/>
                <w:b w:val="0"/>
                <w:bCs w:val="0"/>
                <w:snapToGrid w:val="0"/>
                <w:color w:val="000000"/>
                <w:spacing w:val="-3"/>
                <w:kern w:val="0"/>
                <w:sz w:val="32"/>
                <w:szCs w:val="32"/>
                <w:lang w:eastAsia="zh-CN"/>
              </w:rPr>
              <w:t>底</w:t>
            </w:r>
            <w:r>
              <w:rPr>
                <w:rFonts w:hint="eastAsia" w:ascii="仿宋_GB2312" w:hAnsi="仿宋_GB2312" w:eastAsia="仿宋_GB2312" w:cs="仿宋_GB2312"/>
                <w:b w:val="0"/>
                <w:bCs w:val="0"/>
                <w:snapToGrid w:val="0"/>
                <w:color w:val="000000"/>
                <w:spacing w:val="-3"/>
                <w:kern w:val="0"/>
                <w:sz w:val="32"/>
                <w:szCs w:val="32"/>
              </w:rPr>
              <w:t>，实现县级综合养老服务管理平台和街道区域养老服务中心全覆盖，乡镇区域养老服务中心覆盖率达到65%，社区养老服务机构和设施覆盖率达到80%。</w:t>
            </w:r>
          </w:p>
          <w:p w14:paraId="1D87E052">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1" w:firstLineChars="200"/>
              <w:jc w:val="left"/>
              <w:textAlignment w:val="baseline"/>
              <w:rPr>
                <w:rFonts w:hint="eastAsia" w:ascii="仿宋_GB2312" w:hAnsi="仿宋_GB2312" w:eastAsia="仿宋_GB2312" w:cs="仿宋_GB2312"/>
                <w:b w:val="0"/>
                <w:bCs w:val="0"/>
                <w:snapToGrid w:val="0"/>
                <w:color w:val="000000"/>
                <w:spacing w:val="-3"/>
                <w:kern w:val="0"/>
                <w:sz w:val="32"/>
                <w:szCs w:val="32"/>
              </w:rPr>
            </w:pPr>
            <w:r>
              <w:rPr>
                <w:rFonts w:hint="eastAsia" w:ascii="仿宋_GB2312" w:hAnsi="仿宋_GB2312" w:eastAsia="仿宋_GB2312" w:cs="仿宋_GB2312"/>
                <w:b/>
                <w:bCs/>
                <w:snapToGrid w:val="0"/>
                <w:color w:val="000000"/>
                <w:spacing w:val="-3"/>
                <w:kern w:val="0"/>
                <w:sz w:val="32"/>
                <w:szCs w:val="32"/>
              </w:rPr>
              <w:t>3.养老机构提质</w:t>
            </w:r>
            <w:r>
              <w:rPr>
                <w:rFonts w:hint="eastAsia" w:ascii="仿宋_GB2312" w:hAnsi="仿宋_GB2312" w:eastAsia="仿宋_GB2312" w:cs="仿宋_GB2312"/>
                <w:b/>
                <w:bCs/>
                <w:snapToGrid w:val="0"/>
                <w:color w:val="000000"/>
                <w:spacing w:val="-3"/>
                <w:kern w:val="0"/>
                <w:sz w:val="32"/>
                <w:szCs w:val="32"/>
                <w:lang w:eastAsia="zh-CN"/>
              </w:rPr>
              <w:t>升级行动</w:t>
            </w:r>
            <w:r>
              <w:rPr>
                <w:rFonts w:hint="eastAsia" w:ascii="仿宋_GB2312" w:hAnsi="仿宋_GB2312" w:eastAsia="仿宋_GB2312" w:cs="仿宋_GB2312"/>
                <w:b/>
                <w:bCs/>
                <w:snapToGrid w:val="0"/>
                <w:color w:val="000000"/>
                <w:spacing w:val="-3"/>
                <w:kern w:val="0"/>
                <w:sz w:val="32"/>
                <w:szCs w:val="32"/>
              </w:rPr>
              <w:t>。</w:t>
            </w:r>
            <w:r>
              <w:rPr>
                <w:rFonts w:hint="eastAsia" w:ascii="仿宋_GB2312" w:hAnsi="仿宋_GB2312" w:eastAsia="仿宋_GB2312" w:cs="仿宋_GB2312"/>
                <w:b w:val="0"/>
                <w:bCs w:val="0"/>
                <w:snapToGrid w:val="0"/>
                <w:color w:val="000000"/>
                <w:spacing w:val="-3"/>
                <w:kern w:val="0"/>
                <w:sz w:val="32"/>
                <w:szCs w:val="32"/>
              </w:rPr>
              <w:t>推进公办养老机构设施设备更新，重点改造消防安全、护理型床位、康复辅助和健康监测等设施设备</w:t>
            </w:r>
            <w:r>
              <w:rPr>
                <w:rFonts w:hint="eastAsia" w:ascii="仿宋_GB2312" w:hAnsi="仿宋_GB2312" w:eastAsia="仿宋_GB2312" w:cs="仿宋_GB2312"/>
                <w:b w:val="0"/>
                <w:bCs w:val="0"/>
                <w:snapToGrid w:val="0"/>
                <w:color w:val="000000"/>
                <w:spacing w:val="-3"/>
                <w:kern w:val="0"/>
                <w:sz w:val="32"/>
                <w:szCs w:val="32"/>
                <w:lang w:eastAsia="zh-CN"/>
              </w:rPr>
              <w:t>，</w:t>
            </w:r>
            <w:r>
              <w:rPr>
                <w:rFonts w:hint="eastAsia" w:ascii="仿宋_GB2312" w:hAnsi="仿宋_GB2312" w:eastAsia="仿宋_GB2312" w:cs="仿宋_GB2312"/>
                <w:b w:val="0"/>
                <w:bCs w:val="0"/>
                <w:snapToGrid w:val="0"/>
                <w:color w:val="000000"/>
                <w:spacing w:val="-3"/>
                <w:kern w:val="0"/>
                <w:sz w:val="32"/>
                <w:szCs w:val="32"/>
              </w:rPr>
              <w:t>到2030年</w:t>
            </w:r>
            <w:r>
              <w:rPr>
                <w:rFonts w:hint="eastAsia" w:ascii="仿宋_GB2312" w:hAnsi="仿宋_GB2312" w:eastAsia="仿宋_GB2312" w:cs="仿宋_GB2312"/>
                <w:b w:val="0"/>
                <w:bCs w:val="0"/>
                <w:snapToGrid w:val="0"/>
                <w:color w:val="000000"/>
                <w:spacing w:val="-3"/>
                <w:kern w:val="0"/>
                <w:sz w:val="32"/>
                <w:szCs w:val="32"/>
                <w:lang w:eastAsia="zh-CN"/>
              </w:rPr>
              <w:t>底</w:t>
            </w:r>
            <w:r>
              <w:rPr>
                <w:rFonts w:hint="eastAsia" w:ascii="仿宋_GB2312" w:hAnsi="仿宋_GB2312" w:eastAsia="仿宋_GB2312" w:cs="仿宋_GB2312"/>
                <w:b w:val="0"/>
                <w:bCs w:val="0"/>
                <w:snapToGrid w:val="0"/>
                <w:color w:val="000000"/>
                <w:spacing w:val="-3"/>
                <w:kern w:val="0"/>
                <w:sz w:val="32"/>
                <w:szCs w:val="32"/>
              </w:rPr>
              <w:t>，养老机构护理型床位占比达到85%。持续开展养老机构等级评定，以评促建、以评促管、以评促质</w:t>
            </w:r>
            <w:r>
              <w:rPr>
                <w:rFonts w:hint="eastAsia" w:ascii="仿宋_GB2312" w:hAnsi="仿宋_GB2312" w:eastAsia="仿宋_GB2312" w:cs="仿宋_GB2312"/>
                <w:b w:val="0"/>
                <w:bCs w:val="0"/>
                <w:snapToGrid w:val="0"/>
                <w:color w:val="000000"/>
                <w:spacing w:val="-3"/>
                <w:kern w:val="0"/>
                <w:sz w:val="32"/>
                <w:szCs w:val="32"/>
                <w:lang w:eastAsia="zh-CN"/>
              </w:rPr>
              <w:t>，</w:t>
            </w:r>
            <w:r>
              <w:rPr>
                <w:rFonts w:hint="eastAsia" w:ascii="仿宋_GB2312" w:hAnsi="仿宋_GB2312" w:eastAsia="仿宋_GB2312" w:cs="仿宋_GB2312"/>
                <w:b w:val="0"/>
                <w:bCs w:val="0"/>
                <w:snapToGrid w:val="0"/>
                <w:color w:val="000000"/>
                <w:spacing w:val="-3"/>
                <w:kern w:val="0"/>
                <w:sz w:val="32"/>
                <w:szCs w:val="32"/>
              </w:rPr>
              <w:t>到2030年</w:t>
            </w:r>
            <w:r>
              <w:rPr>
                <w:rFonts w:hint="eastAsia" w:ascii="仿宋_GB2312" w:hAnsi="仿宋_GB2312" w:eastAsia="仿宋_GB2312" w:cs="仿宋_GB2312"/>
                <w:b w:val="0"/>
                <w:bCs w:val="0"/>
                <w:snapToGrid w:val="0"/>
                <w:color w:val="000000"/>
                <w:spacing w:val="-3"/>
                <w:kern w:val="0"/>
                <w:sz w:val="32"/>
                <w:szCs w:val="32"/>
                <w:lang w:eastAsia="zh-CN"/>
              </w:rPr>
              <w:t>底</w:t>
            </w:r>
            <w:r>
              <w:rPr>
                <w:rFonts w:hint="eastAsia" w:ascii="仿宋_GB2312" w:hAnsi="仿宋_GB2312" w:eastAsia="仿宋_GB2312" w:cs="仿宋_GB2312"/>
                <w:b w:val="0"/>
                <w:bCs w:val="0"/>
                <w:snapToGrid w:val="0"/>
                <w:color w:val="000000"/>
                <w:spacing w:val="-3"/>
                <w:kern w:val="0"/>
                <w:sz w:val="32"/>
                <w:szCs w:val="32"/>
              </w:rPr>
              <w:t>，县级公办养老机构等级评定达到三级及以上的比例达到</w:t>
            </w:r>
            <w:r>
              <w:rPr>
                <w:rFonts w:hint="eastAsia" w:ascii="仿宋_GB2312" w:hAnsi="仿宋_GB2312" w:eastAsia="仿宋_GB2312" w:cs="仿宋_GB2312"/>
                <w:b w:val="0"/>
                <w:bCs w:val="0"/>
                <w:snapToGrid w:val="0"/>
                <w:color w:val="000000"/>
                <w:spacing w:val="-3"/>
                <w:kern w:val="0"/>
                <w:sz w:val="32"/>
                <w:szCs w:val="32"/>
                <w:lang w:val="en-US" w:eastAsia="zh-CN"/>
              </w:rPr>
              <w:t>90</w:t>
            </w:r>
            <w:r>
              <w:rPr>
                <w:rFonts w:hint="eastAsia" w:ascii="仿宋_GB2312" w:hAnsi="仿宋_GB2312" w:eastAsia="仿宋_GB2312" w:cs="仿宋_GB2312"/>
                <w:b w:val="0"/>
                <w:bCs w:val="0"/>
                <w:snapToGrid w:val="0"/>
                <w:color w:val="000000"/>
                <w:spacing w:val="-3"/>
                <w:kern w:val="0"/>
                <w:sz w:val="32"/>
                <w:szCs w:val="32"/>
              </w:rPr>
              <w:t>%。</w:t>
            </w:r>
          </w:p>
          <w:p w14:paraId="708AD111">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631" w:firstLineChars="200"/>
              <w:jc w:val="left"/>
              <w:textAlignment w:val="baseline"/>
              <w:rPr>
                <w:rFonts w:hint="default" w:ascii="仿宋_GB2312" w:hAnsi="仿宋_GB2312" w:eastAsia="仿宋_GB2312" w:cs="仿宋_GB2312"/>
                <w:b w:val="0"/>
                <w:bCs w:val="0"/>
                <w:snapToGrid w:val="0"/>
                <w:color w:val="000000"/>
                <w:spacing w:val="-3"/>
                <w:kern w:val="0"/>
                <w:sz w:val="28"/>
                <w:szCs w:val="28"/>
                <w:lang w:val="en-US" w:eastAsia="zh-CN"/>
              </w:rPr>
            </w:pPr>
            <w:r>
              <w:rPr>
                <w:rFonts w:hint="eastAsia" w:ascii="仿宋_GB2312" w:hAnsi="仿宋_GB2312" w:eastAsia="仿宋_GB2312" w:cs="仿宋_GB2312"/>
                <w:b/>
                <w:bCs/>
                <w:snapToGrid w:val="0"/>
                <w:color w:val="000000"/>
                <w:spacing w:val="-3"/>
                <w:kern w:val="0"/>
                <w:sz w:val="32"/>
                <w:szCs w:val="32"/>
                <w:lang w:val="en-US" w:eastAsia="zh-CN"/>
              </w:rPr>
              <w:t>4.</w:t>
            </w:r>
            <w:r>
              <w:rPr>
                <w:rFonts w:hint="eastAsia" w:ascii="仿宋_GB2312" w:hAnsi="仿宋_GB2312" w:eastAsia="仿宋_GB2312" w:cs="仿宋_GB2312"/>
                <w:b/>
                <w:bCs/>
                <w:snapToGrid w:val="0"/>
                <w:color w:val="000000"/>
                <w:spacing w:val="-3"/>
                <w:kern w:val="0"/>
                <w:sz w:val="32"/>
                <w:szCs w:val="32"/>
              </w:rPr>
              <w:t>养老人才专业队伍建设</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3"/>
                <w:kern w:val="0"/>
                <w:sz w:val="32"/>
                <w:szCs w:val="32"/>
              </w:rPr>
              <w:t>。</w:t>
            </w:r>
            <w:r>
              <w:rPr>
                <w:rFonts w:hint="eastAsia" w:ascii="仿宋_GB2312" w:hAnsi="仿宋_GB2312" w:eastAsia="仿宋_GB2312" w:cs="仿宋_GB2312"/>
                <w:b w:val="0"/>
                <w:bCs w:val="0"/>
                <w:snapToGrid w:val="0"/>
                <w:color w:val="000000"/>
                <w:spacing w:val="-3"/>
                <w:kern w:val="0"/>
                <w:sz w:val="32"/>
                <w:szCs w:val="32"/>
              </w:rPr>
              <w:t>依托汕尾职业技术学院</w:t>
            </w:r>
            <w:r>
              <w:rPr>
                <w:rFonts w:hint="eastAsia" w:ascii="仿宋_GB2312" w:hAnsi="仿宋_GB2312" w:eastAsia="仿宋_GB2312" w:cs="仿宋_GB2312"/>
                <w:b w:val="0"/>
                <w:bCs w:val="0"/>
                <w:snapToGrid w:val="0"/>
                <w:color w:val="000000"/>
                <w:spacing w:val="-3"/>
                <w:kern w:val="0"/>
                <w:sz w:val="32"/>
                <w:szCs w:val="32"/>
                <w:lang w:eastAsia="zh-CN"/>
              </w:rPr>
              <w:t>、汕尾技师学院</w:t>
            </w:r>
            <w:r>
              <w:rPr>
                <w:rFonts w:hint="eastAsia" w:ascii="仿宋_GB2312" w:hAnsi="仿宋_GB2312" w:eastAsia="仿宋_GB2312" w:cs="仿宋_GB2312"/>
                <w:b w:val="0"/>
                <w:bCs w:val="0"/>
                <w:snapToGrid w:val="0"/>
                <w:color w:val="000000"/>
                <w:spacing w:val="-3"/>
                <w:kern w:val="0"/>
                <w:sz w:val="32"/>
                <w:szCs w:val="32"/>
              </w:rPr>
              <w:t>等本地职业院校和养老服务机构，加强养老护理、健康照护、社会工作等人才培养培训。到2030年</w:t>
            </w:r>
            <w:r>
              <w:rPr>
                <w:rFonts w:hint="eastAsia" w:ascii="仿宋_GB2312" w:hAnsi="仿宋_GB2312" w:eastAsia="仿宋_GB2312" w:cs="仿宋_GB2312"/>
                <w:b w:val="0"/>
                <w:bCs w:val="0"/>
                <w:snapToGrid w:val="0"/>
                <w:color w:val="000000"/>
                <w:spacing w:val="-3"/>
                <w:kern w:val="0"/>
                <w:sz w:val="32"/>
                <w:szCs w:val="32"/>
                <w:lang w:eastAsia="zh-CN"/>
              </w:rPr>
              <w:t>底</w:t>
            </w:r>
            <w:r>
              <w:rPr>
                <w:rFonts w:hint="eastAsia" w:ascii="仿宋_GB2312" w:hAnsi="仿宋_GB2312" w:eastAsia="仿宋_GB2312" w:cs="仿宋_GB2312"/>
                <w:b w:val="0"/>
                <w:bCs w:val="0"/>
                <w:snapToGrid w:val="0"/>
                <w:color w:val="000000"/>
                <w:spacing w:val="-3"/>
                <w:kern w:val="0"/>
                <w:sz w:val="32"/>
                <w:szCs w:val="32"/>
              </w:rPr>
              <w:t>，养老机构中取得职业技能等级证书的养老护理员占比达到80%。</w:t>
            </w:r>
          </w:p>
        </w:tc>
      </w:tr>
      <w:bookmarkEnd w:id="4"/>
    </w:tbl>
    <w:p w14:paraId="50002875">
      <w:pPr>
        <w:keepNext w:val="0"/>
        <w:keepLines w:val="0"/>
        <w:pageBreakBefore w:val="0"/>
        <w:widowControl/>
        <w:kinsoku/>
        <w:wordWrap/>
        <w:overflowPunct/>
        <w:topLinePunct w:val="0"/>
        <w:autoSpaceDE w:val="0"/>
        <w:autoSpaceDN w:val="0"/>
        <w:bidi w:val="0"/>
        <w:adjustRightInd w:val="0"/>
        <w:snapToGrid w:val="0"/>
        <w:spacing w:before="0" w:line="560" w:lineRule="exact"/>
        <w:ind w:firstLine="624" w:firstLineChars="200"/>
        <w:jc w:val="both"/>
        <w:textAlignment w:val="baseline"/>
        <w:rPr>
          <w:rFonts w:ascii="仿宋" w:hAnsi="仿宋" w:eastAsia="仿宋" w:cs="仿宋"/>
          <w:snapToGrid w:val="0"/>
          <w:color w:val="000000"/>
          <w:spacing w:val="-9"/>
          <w:kern w:val="0"/>
          <w:sz w:val="33"/>
          <w:szCs w:val="33"/>
        </w:rPr>
      </w:pPr>
    </w:p>
    <w:p w14:paraId="32975B7A">
      <w:pPr>
        <w:keepNext w:val="0"/>
        <w:keepLines w:val="0"/>
        <w:pageBreakBefore w:val="0"/>
        <w:widowControl/>
        <w:kinsoku/>
        <w:wordWrap/>
        <w:overflowPunct/>
        <w:topLinePunct w:val="0"/>
        <w:autoSpaceDE w:val="0"/>
        <w:autoSpaceDN w:val="0"/>
        <w:bidi w:val="0"/>
        <w:adjustRightInd w:val="0"/>
        <w:snapToGrid w:val="0"/>
        <w:spacing w:before="0" w:line="560" w:lineRule="exact"/>
        <w:ind w:firstLine="604" w:firstLineChars="200"/>
        <w:jc w:val="both"/>
        <w:textAlignment w:val="baseline"/>
        <w:rPr>
          <w:rFonts w:ascii="仿宋" w:hAnsi="仿宋" w:eastAsia="仿宋_GB2312" w:cs="仿宋"/>
          <w:snapToGrid w:val="0"/>
          <w:color w:val="000000"/>
          <w:spacing w:val="-9"/>
          <w:kern w:val="0"/>
          <w:sz w:val="32"/>
          <w:szCs w:val="32"/>
        </w:rPr>
      </w:pPr>
      <w:bookmarkStart w:id="5" w:name="OLE_LINK20"/>
      <w:bookmarkEnd w:id="5"/>
      <w:r>
        <w:rPr>
          <w:rFonts w:ascii="楷体" w:hAnsi="楷体" w:eastAsia="楷体_GB2312" w:cs="楷体"/>
          <w:b w:val="0"/>
          <w:bCs/>
          <w:i w:val="0"/>
          <w:snapToGrid w:val="0"/>
          <w:color w:val="000000"/>
          <w:spacing w:val="-9"/>
          <w:kern w:val="0"/>
          <w:sz w:val="32"/>
          <w:szCs w:val="32"/>
        </w:rPr>
        <w:t>（八）拓展智慧养老应用场景。</w:t>
      </w:r>
      <w:r>
        <w:rPr>
          <w:rFonts w:ascii="仿宋" w:hAnsi="仿宋" w:eastAsia="仿宋_GB2312" w:cs="仿宋"/>
          <w:snapToGrid w:val="0"/>
          <w:color w:val="000000"/>
          <w:spacing w:val="-9"/>
          <w:kern w:val="0"/>
          <w:sz w:val="32"/>
          <w:szCs w:val="32"/>
        </w:rPr>
        <w:t>围绕居家、社区和机构养老需求，推广智能监护、健康监测、可穿戴设备、智能照护等适用产品，支持成熟的养老服务机器人等智能产品开展场景应用，探索“人工智能+养老”服务模式，提高智慧养老产品与实际养老需求的适配度。依托市、县养老服务信息平台和“民情地图”</w:t>
      </w:r>
      <w:r>
        <w:rPr>
          <w:rFonts w:hint="eastAsia" w:ascii="仿宋" w:hAnsi="仿宋" w:eastAsia="仿宋_GB2312" w:cs="仿宋"/>
          <w:snapToGrid w:val="0"/>
          <w:color w:val="000000"/>
          <w:spacing w:val="-9"/>
          <w:kern w:val="0"/>
          <w:sz w:val="32"/>
          <w:szCs w:val="32"/>
          <w:lang w:eastAsia="zh-CN"/>
        </w:rPr>
        <w:t>等平台</w:t>
      </w:r>
      <w:r>
        <w:rPr>
          <w:rFonts w:ascii="仿宋" w:hAnsi="仿宋" w:eastAsia="仿宋_GB2312" w:cs="仿宋"/>
          <w:snapToGrid w:val="0"/>
          <w:color w:val="000000"/>
          <w:spacing w:val="-9"/>
          <w:kern w:val="0"/>
          <w:sz w:val="32"/>
          <w:szCs w:val="32"/>
        </w:rPr>
        <w:t>，加强涉老服务信息归集共享和供需对接，完善服务预约、补贴申领、能力评估、探访关爱、紧急救援等功能，提升养老服务数字化管理和精准服务能力。</w:t>
      </w:r>
    </w:p>
    <w:p w14:paraId="025DED1F">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32"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2"/>
          <w:kern w:val="0"/>
          <w:sz w:val="32"/>
          <w:szCs w:val="32"/>
        </w:rPr>
        <w:t>四、健全老年健康服务体系</w:t>
      </w:r>
    </w:p>
    <w:p w14:paraId="6A14A9B2">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（九）加强全周期老年健康服务。</w:t>
      </w:r>
      <w:r>
        <w:rPr>
          <w:rFonts w:ascii="仿宋" w:hAnsi="仿宋" w:eastAsia="仿宋_GB2312" w:cs="仿宋"/>
          <w:snapToGrid w:val="0"/>
          <w:color w:val="000000"/>
          <w:spacing w:val="-9"/>
          <w:kern w:val="0"/>
          <w:sz w:val="32"/>
          <w:szCs w:val="32"/>
        </w:rPr>
        <w:t>加强老年人健康管理，做好健康体检、慢性病随访和家庭医生签约服务，强化高血压、糖尿病等慢性病综合防治。开展老年人认知功能筛查与干预，加强口腔健康、听力损失、心理健康和营养状况等方面的评估与指导。加强综合医院老年医学科建设，提升老年疾病诊疗、康复护理和安宁疗护服务能力，发挥中医药在老年疾病防治、康复和健康管理中的作用。依托县域医共体推动优质医疗资源下沉，增强基层医疗卫生机构老年健康服务能力，重点做好高龄、失能老年人和农村老年人的健康管理与医疗服务。</w:t>
      </w:r>
    </w:p>
    <w:p w14:paraId="44D41AFA">
      <w:pPr>
        <w:keepNext w:val="0"/>
        <w:keepLines w:val="0"/>
        <w:pageBreakBefore w:val="0"/>
        <w:widowControl/>
        <w:kinsoku/>
        <w:wordWrap/>
        <w:overflowPunct/>
        <w:topLinePunct w:val="0"/>
        <w:autoSpaceDE/>
        <w:autoSpaceDN/>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（十）深化医养康养融合发展。</w:t>
      </w:r>
      <w:r>
        <w:rPr>
          <w:rFonts w:ascii="仿宋" w:hAnsi="仿宋" w:eastAsia="仿宋_GB2312" w:cs="仿宋"/>
          <w:snapToGrid w:val="0"/>
          <w:color w:val="000000"/>
          <w:spacing w:val="-9"/>
          <w:kern w:val="0"/>
          <w:sz w:val="32"/>
          <w:szCs w:val="32"/>
        </w:rPr>
        <w:t>统筹养老服务与医疗卫生资源，深化“两院一体”等医养结合模式，推动养老机构与医疗卫生机构建立稳定合作关系，畅通老年人就医转诊、康复护理和长期照护衔接渠道。支持符合条件的养老机构按规定设置医疗卫生机构，鼓励有条件的医疗卫生机构拓展医养结合服务。依托基层医疗卫生机构和家庭医生团队，为有需要的老年人提供上门巡诊、家庭病床、居家护理等服务，推动居家医疗与居家养老有效衔接。加强医疗健康、康复护理与养老服务协同，为旅居康养提供健康服务支撑。</w:t>
      </w:r>
    </w:p>
    <w:p w14:paraId="4F5BCB87">
      <w:pPr>
        <w:keepNext w:val="0"/>
        <w:keepLines w:val="0"/>
        <w:pageBreakBefore w:val="0"/>
        <w:widowControl/>
        <w:kinsoku/>
        <w:wordWrap/>
        <w:overflowPunct/>
        <w:topLinePunct w:val="0"/>
        <w:autoSpaceDE/>
        <w:autoSpaceDN/>
        <w:bidi w:val="0"/>
        <w:adjustRightInd w:val="0"/>
        <w:snapToGrid w:val="0"/>
        <w:spacing w:before="0" w:line="560" w:lineRule="exact"/>
        <w:ind w:left="0" w:right="0" w:firstLine="624" w:firstLineChars="200"/>
        <w:jc w:val="both"/>
        <w:textAlignment w:val="baseline"/>
        <w:rPr>
          <w:rFonts w:ascii="仿宋" w:hAnsi="仿宋" w:eastAsia="仿宋_GB2312" w:cs="仿宋"/>
          <w:snapToGrid w:val="0"/>
          <w:color w:val="000000"/>
          <w:spacing w:val="-9"/>
          <w:kern w:val="0"/>
          <w:sz w:val="33"/>
          <w:szCs w:val="33"/>
        </w:rPr>
      </w:pPr>
    </w:p>
    <w:tbl>
      <w:tblPr>
        <w:tblStyle w:val="21"/>
        <w:tblW w:w="87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80"/>
      </w:tblGrid>
      <w:tr w14:paraId="2B260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8780" w:type="dxa"/>
          </w:tcPr>
          <w:p w14:paraId="244F88EC">
            <w:pPr>
              <w:keepNext w:val="0"/>
              <w:keepLines w:val="0"/>
              <w:pageBreakBefore w:val="0"/>
              <w:widowControl/>
              <w:kinsoku w:val="0"/>
              <w:wordWrap/>
              <w:overflowPunct/>
              <w:topLinePunct w:val="0"/>
              <w:autoSpaceDE w:val="0"/>
              <w:autoSpaceDN w:val="0"/>
              <w:bidi w:val="0"/>
              <w:adjustRightInd w:val="0"/>
              <w:snapToGrid w:val="0"/>
              <w:spacing w:before="142" w:line="560" w:lineRule="exact"/>
              <w:ind w:left="0"/>
              <w:jc w:val="center"/>
              <w:textAlignment w:val="baseline"/>
              <w:rPr>
                <w:rFonts w:ascii="宋体" w:hAnsi="宋体" w:eastAsia="宋体" w:cs="宋体"/>
                <w:snapToGrid w:val="0"/>
                <w:color w:val="000000"/>
                <w:kern w:val="0"/>
                <w:sz w:val="29"/>
                <w:szCs w:val="29"/>
              </w:rPr>
            </w:pPr>
            <w:bookmarkStart w:id="6" w:name="OLE_LINK27"/>
            <w:r>
              <w:rPr>
                <w:rFonts w:hint="eastAsia" w:ascii="黑体" w:hAnsi="黑体" w:eastAsia="黑体" w:cs="黑体"/>
                <w:sz w:val="32"/>
                <w:szCs w:val="28"/>
              </w:rPr>
              <w:t>专栏</w:t>
            </w:r>
            <w:r>
              <w:rPr>
                <w:rFonts w:hint="eastAsia" w:ascii="黑体" w:hAnsi="黑体" w:eastAsia="黑体" w:cs="黑体"/>
                <w:sz w:val="32"/>
                <w:szCs w:val="28"/>
                <w:lang w:val="en-US" w:eastAsia="zh-CN"/>
              </w:rPr>
              <w:t>3</w:t>
            </w:r>
            <w:r>
              <w:rPr>
                <w:rFonts w:hint="eastAsia" w:ascii="黑体" w:hAnsi="黑体" w:eastAsia="黑体" w:cs="黑体"/>
                <w:sz w:val="32"/>
                <w:szCs w:val="28"/>
              </w:rPr>
              <w:t xml:space="preserve"> 健康老龄化推进工程</w:t>
            </w:r>
          </w:p>
        </w:tc>
      </w:tr>
      <w:tr w14:paraId="724E2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0" w:hRule="atLeast"/>
        </w:trPr>
        <w:tc>
          <w:tcPr>
            <w:tcW w:w="8780" w:type="dxa"/>
          </w:tcPr>
          <w:p w14:paraId="73BC17E4">
            <w:pPr>
              <w:keepNext w:val="0"/>
              <w:keepLines w:val="0"/>
              <w:pageBreakBefore w:val="0"/>
              <w:widowControl/>
              <w:kinsoku/>
              <w:wordWrap/>
              <w:overflowPunct/>
              <w:topLinePunct w:val="0"/>
              <w:autoSpaceDE/>
              <w:autoSpaceDN/>
              <w:bidi w:val="0"/>
              <w:adjustRightInd w:val="0"/>
              <w:snapToGrid w:val="0"/>
              <w:spacing w:before="0" w:line="560" w:lineRule="exact"/>
              <w:ind w:firstLine="607" w:firstLineChars="200"/>
              <w:jc w:val="both"/>
              <w:textAlignment w:val="baseline"/>
              <w:rPr>
                <w:rFonts w:hint="eastAsia" w:ascii="仿宋_GB2312" w:hAnsi="仿宋_GB2312" w:eastAsia="仿宋_GB2312" w:cs="仿宋_GB2312"/>
                <w:b w:val="0"/>
                <w:bCs w:val="0"/>
                <w:snapToGrid w:val="0"/>
                <w:color w:val="000000"/>
                <w:spacing w:val="-9"/>
                <w:kern w:val="0"/>
                <w:sz w:val="32"/>
                <w:szCs w:val="32"/>
              </w:rPr>
            </w:pPr>
            <w:r>
              <w:rPr>
                <w:rFonts w:hint="eastAsia" w:ascii="仿宋_GB2312" w:hAnsi="仿宋_GB2312" w:eastAsia="仿宋_GB2312" w:cs="仿宋_GB2312"/>
                <w:b/>
                <w:bCs/>
                <w:snapToGrid w:val="0"/>
                <w:color w:val="000000"/>
                <w:spacing w:val="-9"/>
                <w:kern w:val="0"/>
                <w:sz w:val="32"/>
                <w:szCs w:val="32"/>
              </w:rPr>
              <w:t>1.老年医学服务能力建设</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加强老年医学科、康复医学科等专科建设和适宜技术推广，到2030年全市至少建成1家老年医学特色综合性医院，二级及以上公立综合性医院老年医学科设置比例达到95%。</w:t>
            </w:r>
          </w:p>
          <w:p w14:paraId="4BA44320">
            <w:pPr>
              <w:keepNext w:val="0"/>
              <w:keepLines w:val="0"/>
              <w:pageBreakBefore w:val="0"/>
              <w:widowControl/>
              <w:kinsoku/>
              <w:wordWrap/>
              <w:overflowPunct/>
              <w:topLinePunct w:val="0"/>
              <w:autoSpaceDE/>
              <w:autoSpaceDN/>
              <w:bidi w:val="0"/>
              <w:adjustRightInd w:val="0"/>
              <w:snapToGrid w:val="0"/>
              <w:spacing w:before="0" w:line="560" w:lineRule="exact"/>
              <w:ind w:left="0" w:firstLine="607" w:firstLineChars="200"/>
              <w:jc w:val="both"/>
              <w:textAlignment w:val="baseline"/>
              <w:rPr>
                <w:rFonts w:hint="eastAsia" w:ascii="仿宋_GB2312" w:hAnsi="仿宋_GB2312" w:eastAsia="仿宋_GB2312" w:cs="仿宋_GB2312"/>
                <w:b/>
                <w:bCs/>
                <w:snapToGrid w:val="0"/>
                <w:color w:val="000000"/>
                <w:spacing w:val="-9"/>
                <w:kern w:val="0"/>
                <w:sz w:val="32"/>
                <w:szCs w:val="32"/>
              </w:rPr>
            </w:pPr>
            <w:r>
              <w:rPr>
                <w:rFonts w:hint="eastAsia" w:ascii="仿宋_GB2312" w:hAnsi="仿宋_GB2312" w:eastAsia="仿宋_GB2312" w:cs="仿宋_GB2312"/>
                <w:b/>
                <w:bCs/>
                <w:snapToGrid w:val="0"/>
                <w:color w:val="000000"/>
                <w:spacing w:val="-9"/>
                <w:kern w:val="0"/>
                <w:sz w:val="32"/>
                <w:szCs w:val="32"/>
              </w:rPr>
              <w:t>2.安宁疗护服务扩面</w:t>
            </w:r>
            <w:r>
              <w:rPr>
                <w:rFonts w:hint="eastAsia" w:ascii="仿宋_GB2312" w:hAnsi="仿宋_GB2312" w:eastAsia="仿宋_GB2312" w:cs="仿宋_GB2312"/>
                <w:b/>
                <w:bCs/>
                <w:snapToGrid w:val="0"/>
                <w:color w:val="000000"/>
                <w:spacing w:val="-9"/>
                <w:kern w:val="0"/>
                <w:sz w:val="32"/>
                <w:szCs w:val="32"/>
                <w:lang w:eastAsia="zh-CN"/>
              </w:rPr>
              <w:t>行动</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完善医疗机构、养老机构和家庭之间的安宁疗护服务衔接，到2030年实现县（市、区）级医院安宁疗护病区全覆盖。</w:t>
            </w:r>
          </w:p>
          <w:p w14:paraId="0E25A0A4">
            <w:pPr>
              <w:keepNext w:val="0"/>
              <w:keepLines w:val="0"/>
              <w:pageBreakBefore w:val="0"/>
              <w:widowControl/>
              <w:kinsoku/>
              <w:wordWrap/>
              <w:overflowPunct/>
              <w:topLinePunct w:val="0"/>
              <w:autoSpaceDE/>
              <w:autoSpaceDN/>
              <w:bidi w:val="0"/>
              <w:adjustRightInd w:val="0"/>
              <w:snapToGrid w:val="0"/>
              <w:spacing w:before="0" w:line="560" w:lineRule="exact"/>
              <w:ind w:left="0" w:firstLine="607" w:firstLineChars="200"/>
              <w:jc w:val="both"/>
              <w:textAlignment w:val="baseline"/>
              <w:rPr>
                <w:rFonts w:ascii="宋体" w:hAnsi="宋体" w:eastAsia="宋体" w:cs="宋体"/>
                <w:b/>
                <w:bCs/>
                <w:snapToGrid w:val="0"/>
                <w:color w:val="000000"/>
                <w:spacing w:val="-9"/>
                <w:kern w:val="0"/>
                <w:sz w:val="29"/>
                <w:szCs w:val="29"/>
              </w:rPr>
            </w:pPr>
            <w:r>
              <w:rPr>
                <w:rFonts w:hint="eastAsia" w:ascii="仿宋_GB2312" w:hAnsi="仿宋_GB2312" w:eastAsia="仿宋_GB2312" w:cs="仿宋_GB2312"/>
                <w:b/>
                <w:bCs/>
                <w:snapToGrid w:val="0"/>
                <w:color w:val="000000"/>
                <w:spacing w:val="-9"/>
                <w:kern w:val="0"/>
                <w:sz w:val="32"/>
                <w:szCs w:val="32"/>
              </w:rPr>
              <w:t>3.医养结合深化</w:t>
            </w:r>
            <w:r>
              <w:rPr>
                <w:rFonts w:hint="eastAsia" w:ascii="仿宋_GB2312" w:hAnsi="仿宋_GB2312" w:eastAsia="仿宋_GB2312" w:cs="仿宋_GB2312"/>
                <w:b/>
                <w:bCs/>
                <w:snapToGrid w:val="0"/>
                <w:color w:val="000000"/>
                <w:spacing w:val="-9"/>
                <w:kern w:val="0"/>
                <w:sz w:val="32"/>
                <w:szCs w:val="32"/>
                <w:lang w:eastAsia="zh-CN"/>
              </w:rPr>
              <w:t>行动</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推进陆丰市公立医疗卫生机构医养结合网络建设，覆盖4家市直公立医院和13家乡镇卫生院，</w:t>
            </w:r>
            <w:r>
              <w:rPr>
                <w:rFonts w:hint="eastAsia" w:ascii="仿宋_GB2312" w:hAnsi="仿宋_GB2312" w:eastAsia="仿宋_GB2312" w:cs="仿宋_GB2312"/>
                <w:b w:val="0"/>
                <w:bCs w:val="0"/>
                <w:snapToGrid w:val="0"/>
                <w:color w:val="000000"/>
                <w:spacing w:val="-9"/>
                <w:kern w:val="0"/>
                <w:sz w:val="32"/>
                <w:szCs w:val="32"/>
                <w:lang w:eastAsia="zh-CN"/>
              </w:rPr>
              <w:t>结合实际</w:t>
            </w:r>
            <w:r>
              <w:rPr>
                <w:rFonts w:hint="eastAsia" w:ascii="仿宋_GB2312" w:hAnsi="仿宋_GB2312" w:eastAsia="仿宋_GB2312" w:cs="仿宋_GB2312"/>
                <w:b w:val="0"/>
                <w:bCs w:val="0"/>
                <w:snapToGrid w:val="0"/>
                <w:color w:val="000000"/>
                <w:spacing w:val="-9"/>
                <w:kern w:val="0"/>
                <w:sz w:val="32"/>
                <w:szCs w:val="32"/>
              </w:rPr>
              <w:t>设置医养结合床位；推进海丰县社区养老（医养结合）服务体系建设，完善全托、日托、康复医疗等服务。推广“两院一体”等模式，到20</w:t>
            </w:r>
            <w:r>
              <w:rPr>
                <w:rFonts w:hint="eastAsia" w:ascii="仿宋_GB2312" w:hAnsi="仿宋_GB2312" w:eastAsia="仿宋_GB2312" w:cs="仿宋_GB2312"/>
                <w:b w:val="0"/>
                <w:bCs w:val="0"/>
                <w:snapToGrid w:val="0"/>
                <w:color w:val="000000"/>
                <w:spacing w:val="-9"/>
                <w:kern w:val="0"/>
                <w:sz w:val="32"/>
                <w:szCs w:val="32"/>
                <w:lang w:eastAsia="zh-CN"/>
              </w:rPr>
              <w:t>2</w:t>
            </w:r>
            <w:r>
              <w:rPr>
                <w:rFonts w:hint="eastAsia" w:ascii="仿宋_GB2312" w:hAnsi="仿宋_GB2312" w:eastAsia="仿宋_GB2312" w:cs="仿宋_GB2312"/>
                <w:b w:val="0"/>
                <w:bCs w:val="0"/>
                <w:snapToGrid w:val="0"/>
                <w:color w:val="000000"/>
                <w:spacing w:val="-9"/>
                <w:kern w:val="0"/>
                <w:sz w:val="32"/>
                <w:szCs w:val="32"/>
                <w:lang w:val="en-US" w:eastAsia="zh-CN"/>
              </w:rPr>
              <w:t>7</w:t>
            </w:r>
            <w:r>
              <w:rPr>
                <w:rFonts w:hint="eastAsia" w:ascii="仿宋_GB2312" w:hAnsi="仿宋_GB2312" w:eastAsia="仿宋_GB2312" w:cs="仿宋_GB2312"/>
                <w:b w:val="0"/>
                <w:bCs w:val="0"/>
                <w:snapToGrid w:val="0"/>
                <w:color w:val="000000"/>
                <w:spacing w:val="-9"/>
                <w:kern w:val="0"/>
                <w:sz w:val="32"/>
                <w:szCs w:val="32"/>
              </w:rPr>
              <w:t>年</w:t>
            </w:r>
            <w:r>
              <w:rPr>
                <w:rFonts w:hint="eastAsia" w:ascii="仿宋_GB2312" w:hAnsi="仿宋_GB2312" w:eastAsia="仿宋_GB2312" w:cs="仿宋_GB2312"/>
                <w:b w:val="0"/>
                <w:bCs w:val="0"/>
                <w:snapToGrid w:val="0"/>
                <w:color w:val="000000"/>
                <w:spacing w:val="-9"/>
                <w:kern w:val="0"/>
                <w:sz w:val="32"/>
                <w:szCs w:val="32"/>
                <w:lang w:eastAsia="zh-CN"/>
              </w:rPr>
              <w:t>底，</w:t>
            </w:r>
            <w:r>
              <w:rPr>
                <w:rFonts w:hint="eastAsia" w:ascii="仿宋_GB2312" w:hAnsi="仿宋_GB2312" w:eastAsia="仿宋_GB2312" w:cs="仿宋_GB2312"/>
                <w:b w:val="0"/>
                <w:bCs w:val="0"/>
                <w:snapToGrid w:val="0"/>
                <w:color w:val="000000"/>
                <w:spacing w:val="-9"/>
                <w:kern w:val="0"/>
                <w:sz w:val="32"/>
                <w:szCs w:val="32"/>
              </w:rPr>
              <w:t>养老机构内设医疗机构或与医疗机构建立就诊绿色通道的比例达到100%。</w:t>
            </w:r>
          </w:p>
        </w:tc>
      </w:tr>
      <w:bookmarkEnd w:id="6"/>
    </w:tbl>
    <w:p w14:paraId="430CCD62">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28" w:firstLineChars="200"/>
        <w:jc w:val="both"/>
        <w:textAlignment w:val="baseline"/>
        <w:rPr>
          <w:rFonts w:ascii="黑体" w:hAnsi="黑体" w:eastAsia="黑体" w:cs="黑体"/>
          <w:snapToGrid w:val="0"/>
          <w:color w:val="000000"/>
          <w:spacing w:val="-3"/>
          <w:kern w:val="0"/>
          <w:sz w:val="32"/>
          <w:szCs w:val="32"/>
        </w:rPr>
      </w:pPr>
    </w:p>
    <w:p w14:paraId="60115179">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28"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3"/>
          <w:kern w:val="0"/>
          <w:sz w:val="32"/>
          <w:szCs w:val="32"/>
        </w:rPr>
        <w:t>五、拓宽老年社会参与渠道</w:t>
      </w:r>
    </w:p>
    <w:p w14:paraId="14EAFEF2">
      <w:pPr>
        <w:keepNext w:val="0"/>
        <w:keepLines w:val="0"/>
        <w:pageBreakBefore w:val="0"/>
        <w:widowControl/>
        <w:kinsoku/>
        <w:wordWrap/>
        <w:overflowPunct/>
        <w:topLinePunct w:val="0"/>
        <w:autoSpaceDE w:val="0"/>
        <w:autoSpaceDN w:val="0"/>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（十一）发挥</w:t>
      </w:r>
      <w:r>
        <w:rPr>
          <w:rFonts w:hint="eastAsia" w:ascii="楷体" w:hAnsi="楷体" w:eastAsia="楷体_GB2312" w:cs="楷体"/>
          <w:b w:val="0"/>
          <w:bCs/>
          <w:i w:val="0"/>
          <w:snapToGrid w:val="0"/>
          <w:color w:val="000000"/>
          <w:spacing w:val="-9"/>
          <w:kern w:val="0"/>
          <w:sz w:val="32"/>
          <w:szCs w:val="32"/>
          <w:lang w:eastAsia="zh-CN"/>
        </w:rPr>
        <w:t>银发</w:t>
      </w:r>
      <w:r>
        <w:rPr>
          <w:rFonts w:ascii="楷体" w:hAnsi="楷体" w:eastAsia="楷体_GB2312" w:cs="楷体"/>
          <w:b w:val="0"/>
          <w:bCs/>
          <w:i w:val="0"/>
          <w:snapToGrid w:val="0"/>
          <w:color w:val="000000"/>
          <w:spacing w:val="-9"/>
          <w:kern w:val="0"/>
          <w:sz w:val="32"/>
          <w:szCs w:val="32"/>
        </w:rPr>
        <w:t>人才专业优势。</w:t>
      </w:r>
      <w:r>
        <w:rPr>
          <w:rFonts w:ascii="仿宋" w:hAnsi="仿宋" w:eastAsia="仿宋_GB2312" w:cs="仿宋"/>
          <w:snapToGrid w:val="0"/>
          <w:color w:val="000000"/>
          <w:spacing w:val="-9"/>
          <w:kern w:val="0"/>
          <w:sz w:val="32"/>
          <w:szCs w:val="32"/>
        </w:rPr>
        <w:t>积极开发老年人力资源</w:t>
      </w:r>
      <w:r>
        <w:rPr>
          <w:rFonts w:hint="default" w:ascii="仿宋" w:hAnsi="仿宋" w:eastAsia="仿宋_GB2312" w:cs="仿宋"/>
          <w:snapToGrid w:val="0"/>
          <w:color w:val="000000"/>
          <w:spacing w:val="-9"/>
          <w:kern w:val="0"/>
          <w:sz w:val="32"/>
          <w:szCs w:val="32"/>
          <w:lang w:eastAsia="zh-CN"/>
        </w:rPr>
        <w:t>，稳妥实施渐进式延迟法定退休年龄改革</w:t>
      </w:r>
      <w:r>
        <w:rPr>
          <w:rFonts w:hint="eastAsia" w:ascii="仿宋" w:hAnsi="仿宋" w:eastAsia="仿宋_GB2312" w:cs="仿宋"/>
          <w:snapToGrid w:val="0"/>
          <w:color w:val="000000"/>
          <w:spacing w:val="-9"/>
          <w:kern w:val="0"/>
          <w:sz w:val="32"/>
          <w:szCs w:val="32"/>
          <w:lang w:eastAsia="zh-CN"/>
        </w:rPr>
        <w:t>。</w:t>
      </w:r>
      <w:r>
        <w:rPr>
          <w:rFonts w:ascii="仿宋" w:hAnsi="仿宋" w:eastAsia="仿宋_GB2312" w:cs="仿宋"/>
          <w:snapToGrid w:val="0"/>
          <w:color w:val="000000"/>
          <w:spacing w:val="-9"/>
          <w:kern w:val="0"/>
          <w:sz w:val="32"/>
          <w:szCs w:val="32"/>
        </w:rPr>
        <w:t>支持有就业意愿和劳动能力的老年人依法参与就业，引导用人单位根据岗位特点提供适合老年人的灵活就业机会。依托公共就业服务机构、零工市场、就业驿站等渠道，加强老年人才信息归集、岗位发布和供需对接，依法保障老年劳动者合法权益。支持退休教师、医务人员、专业技术人员和高技能人才发挥专业特长，参与教育帮扶、医疗健康、技术咨询、技能传授等活动。结合乡村振兴和基层公共服务需求，引导具有专业特长的老年人才参与农村教育、医疗卫生、农业技术和文化服务。</w:t>
      </w:r>
    </w:p>
    <w:p w14:paraId="5F95378E">
      <w:pPr>
        <w:keepNext w:val="0"/>
        <w:keepLines w:val="0"/>
        <w:pageBreakBefore w:val="0"/>
        <w:widowControl/>
        <w:kinsoku/>
        <w:wordWrap/>
        <w:overflowPunct/>
        <w:topLinePunct w:val="0"/>
        <w:autoSpaceDE w:val="0"/>
        <w:autoSpaceDN w:val="0"/>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（十二）扩大老年志愿服务参与。</w:t>
      </w:r>
      <w:r>
        <w:rPr>
          <w:rFonts w:ascii="仿宋" w:hAnsi="仿宋" w:eastAsia="仿宋_GB2312" w:cs="仿宋"/>
          <w:snapToGrid w:val="0"/>
          <w:color w:val="000000"/>
          <w:spacing w:val="-9"/>
          <w:kern w:val="0"/>
          <w:sz w:val="32"/>
          <w:szCs w:val="32"/>
        </w:rPr>
        <w:t>发挥老党员、老干部、</w:t>
      </w:r>
      <w:r>
        <w:rPr>
          <w:rFonts w:hint="eastAsia" w:ascii="仿宋" w:hAnsi="仿宋" w:eastAsia="仿宋_GB2312" w:cs="仿宋"/>
          <w:snapToGrid w:val="0"/>
          <w:color w:val="000000"/>
          <w:spacing w:val="-9"/>
          <w:kern w:val="0"/>
          <w:sz w:val="32"/>
          <w:szCs w:val="32"/>
          <w:lang w:eastAsia="zh-CN"/>
        </w:rPr>
        <w:t>“五老”人员先锋模范</w:t>
      </w:r>
      <w:r>
        <w:rPr>
          <w:rFonts w:ascii="仿宋" w:hAnsi="仿宋" w:eastAsia="仿宋_GB2312" w:cs="仿宋"/>
          <w:snapToGrid w:val="0"/>
          <w:color w:val="000000"/>
          <w:spacing w:val="-9"/>
          <w:kern w:val="0"/>
          <w:sz w:val="32"/>
          <w:szCs w:val="32"/>
        </w:rPr>
        <w:t>作用，</w:t>
      </w:r>
      <w:r>
        <w:rPr>
          <w:rFonts w:hint="eastAsia" w:ascii="仿宋" w:hAnsi="仿宋" w:eastAsia="仿宋_GB2312" w:cs="仿宋"/>
          <w:snapToGrid w:val="0"/>
          <w:color w:val="000000"/>
          <w:spacing w:val="-9"/>
          <w:kern w:val="0"/>
          <w:sz w:val="32"/>
          <w:szCs w:val="32"/>
        </w:rPr>
        <w:t>鼓励相关领域具有经验和专长的老年人参与实施“百千万工程”、基层民主监督、</w:t>
      </w:r>
      <w:r>
        <w:rPr>
          <w:rFonts w:ascii="仿宋" w:hAnsi="仿宋" w:eastAsia="仿宋_GB2312" w:cs="仿宋"/>
          <w:snapToGrid w:val="0"/>
          <w:color w:val="000000"/>
          <w:spacing w:val="-9"/>
          <w:kern w:val="0"/>
          <w:sz w:val="32"/>
          <w:szCs w:val="32"/>
        </w:rPr>
        <w:t>普法</w:t>
      </w:r>
      <w:r>
        <w:rPr>
          <w:rFonts w:hint="eastAsia" w:ascii="仿宋" w:hAnsi="仿宋" w:eastAsia="仿宋_GB2312" w:cs="仿宋"/>
          <w:snapToGrid w:val="0"/>
          <w:color w:val="000000"/>
          <w:spacing w:val="-9"/>
          <w:kern w:val="0"/>
          <w:sz w:val="32"/>
          <w:szCs w:val="32"/>
          <w:lang w:eastAsia="zh-CN"/>
        </w:rPr>
        <w:t>宣传、</w:t>
      </w:r>
      <w:r>
        <w:rPr>
          <w:rFonts w:ascii="仿宋" w:hAnsi="仿宋" w:eastAsia="仿宋_GB2312" w:cs="仿宋"/>
          <w:snapToGrid w:val="0"/>
          <w:color w:val="000000"/>
          <w:spacing w:val="-9"/>
          <w:kern w:val="0"/>
          <w:sz w:val="32"/>
          <w:szCs w:val="32"/>
        </w:rPr>
        <w:t>科普</w:t>
      </w:r>
      <w:r>
        <w:rPr>
          <w:rFonts w:hint="eastAsia" w:ascii="仿宋" w:hAnsi="仿宋" w:eastAsia="仿宋_GB2312" w:cs="仿宋"/>
          <w:snapToGrid w:val="0"/>
          <w:color w:val="000000"/>
          <w:spacing w:val="-9"/>
          <w:kern w:val="0"/>
          <w:sz w:val="32"/>
          <w:szCs w:val="32"/>
          <w:lang w:eastAsia="zh-CN"/>
        </w:rPr>
        <w:t>服务</w:t>
      </w:r>
      <w:r>
        <w:rPr>
          <w:rFonts w:ascii="仿宋" w:hAnsi="仿宋" w:eastAsia="仿宋_GB2312" w:cs="仿宋"/>
          <w:snapToGrid w:val="0"/>
          <w:color w:val="000000"/>
          <w:spacing w:val="-9"/>
          <w:kern w:val="0"/>
          <w:sz w:val="32"/>
          <w:szCs w:val="32"/>
        </w:rPr>
        <w:t>、关心下一代、家风传承、红色文化宣讲等</w:t>
      </w:r>
      <w:r>
        <w:rPr>
          <w:rFonts w:hint="eastAsia" w:ascii="仿宋" w:hAnsi="仿宋" w:eastAsia="仿宋_GB2312" w:cs="仿宋"/>
          <w:snapToGrid w:val="0"/>
          <w:color w:val="000000"/>
          <w:spacing w:val="-9"/>
          <w:kern w:val="0"/>
          <w:sz w:val="32"/>
          <w:szCs w:val="32"/>
          <w:lang w:eastAsia="zh-CN"/>
        </w:rPr>
        <w:t>工作</w:t>
      </w:r>
      <w:r>
        <w:rPr>
          <w:rFonts w:ascii="仿宋" w:hAnsi="仿宋" w:eastAsia="仿宋_GB2312" w:cs="仿宋"/>
          <w:snapToGrid w:val="0"/>
          <w:color w:val="000000"/>
          <w:spacing w:val="-9"/>
          <w:kern w:val="0"/>
          <w:sz w:val="32"/>
          <w:szCs w:val="32"/>
        </w:rPr>
        <w:t>。深入实施</w:t>
      </w:r>
      <w:r>
        <w:rPr>
          <w:rFonts w:hint="eastAsia" w:ascii="仿宋" w:hAnsi="仿宋" w:eastAsia="仿宋_GB2312" w:cs="仿宋"/>
          <w:snapToGrid w:val="0"/>
          <w:color w:val="000000"/>
          <w:spacing w:val="-9"/>
          <w:kern w:val="0"/>
          <w:sz w:val="32"/>
          <w:szCs w:val="32"/>
          <w:lang w:eastAsia="zh-CN"/>
        </w:rPr>
        <w:t>新时代</w:t>
      </w:r>
      <w:r>
        <w:rPr>
          <w:rFonts w:ascii="仿宋" w:hAnsi="仿宋" w:eastAsia="仿宋_GB2312" w:cs="仿宋"/>
          <w:snapToGrid w:val="0"/>
          <w:color w:val="000000"/>
          <w:spacing w:val="-9"/>
          <w:kern w:val="0"/>
          <w:sz w:val="32"/>
          <w:szCs w:val="32"/>
        </w:rPr>
        <w:t>“银龄行动”，</w:t>
      </w:r>
      <w:r>
        <w:rPr>
          <w:rFonts w:hint="default" w:ascii="仿宋" w:hAnsi="仿宋" w:eastAsia="仿宋_GB2312" w:cs="仿宋"/>
          <w:snapToGrid w:val="0"/>
          <w:color w:val="000000"/>
          <w:spacing w:val="-9"/>
          <w:kern w:val="0"/>
          <w:sz w:val="32"/>
          <w:szCs w:val="32"/>
          <w:lang w:eastAsia="zh-CN"/>
        </w:rPr>
        <w:t>培树</w:t>
      </w:r>
      <w:r>
        <w:rPr>
          <w:rFonts w:ascii="仿宋" w:hAnsi="仿宋" w:eastAsia="仿宋_GB2312" w:cs="仿宋"/>
          <w:snapToGrid w:val="0"/>
          <w:color w:val="000000"/>
          <w:spacing w:val="-9"/>
          <w:kern w:val="0"/>
          <w:sz w:val="32"/>
          <w:szCs w:val="32"/>
        </w:rPr>
        <w:t>有</w:t>
      </w:r>
      <w:r>
        <w:rPr>
          <w:rFonts w:hint="eastAsia" w:ascii="仿宋" w:hAnsi="仿宋" w:eastAsia="仿宋_GB2312" w:cs="仿宋"/>
          <w:snapToGrid w:val="0"/>
          <w:color w:val="000000"/>
          <w:spacing w:val="-9"/>
          <w:kern w:val="0"/>
          <w:sz w:val="32"/>
          <w:szCs w:val="32"/>
          <w:lang w:eastAsia="zh-CN"/>
        </w:rPr>
        <w:t>汕尾</w:t>
      </w:r>
      <w:r>
        <w:rPr>
          <w:rFonts w:ascii="仿宋" w:hAnsi="仿宋" w:eastAsia="仿宋_GB2312" w:cs="仿宋"/>
          <w:snapToGrid w:val="0"/>
          <w:color w:val="000000"/>
          <w:spacing w:val="-9"/>
          <w:kern w:val="0"/>
          <w:sz w:val="32"/>
          <w:szCs w:val="32"/>
        </w:rPr>
        <w:t>特色的老年志愿服务品牌，广泛宣传老年志愿服务优秀典型。倡导低龄健康老年人力所能及地为高龄、失能、独居等有需要的老年人提供探访陪伴、生活帮助、出行协助等互助服务。依托村（社区）、新时代文明实践阵地、基层老年协会和社会组织加强服务供需对接，推动老年志愿服务融入城乡社区日常服务。</w:t>
      </w:r>
    </w:p>
    <w:p w14:paraId="2563A86F">
      <w:pPr>
        <w:keepNext w:val="0"/>
        <w:keepLines w:val="0"/>
        <w:pageBreakBefore w:val="0"/>
        <w:widowControl/>
        <w:kinsoku/>
        <w:wordWrap/>
        <w:overflowPunct/>
        <w:topLinePunct w:val="0"/>
        <w:autoSpaceDE w:val="0"/>
        <w:autoSpaceDN w:val="0"/>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bookmarkStart w:id="7" w:name="OLE_LINK13"/>
      <w:bookmarkEnd w:id="7"/>
      <w:r>
        <w:rPr>
          <w:rFonts w:ascii="楷体" w:hAnsi="楷体" w:eastAsia="楷体_GB2312" w:cs="楷体"/>
          <w:b w:val="0"/>
          <w:bCs/>
          <w:i w:val="0"/>
          <w:snapToGrid w:val="0"/>
          <w:color w:val="000000"/>
          <w:spacing w:val="-9"/>
          <w:kern w:val="0"/>
          <w:sz w:val="32"/>
          <w:szCs w:val="32"/>
        </w:rPr>
        <w:t>（十三）支持老年人参与基层治理。</w:t>
      </w:r>
      <w:r>
        <w:rPr>
          <w:rFonts w:ascii="仿宋" w:hAnsi="仿宋" w:eastAsia="仿宋_GB2312" w:cs="仿宋"/>
          <w:snapToGrid w:val="0"/>
          <w:color w:val="000000"/>
          <w:spacing w:val="-9"/>
          <w:kern w:val="0"/>
          <w:sz w:val="32"/>
          <w:szCs w:val="32"/>
        </w:rPr>
        <w:t>发挥老年人熟悉社情民意、群众基础较好的优势，支持其依法有序参与村（居）议事协商，在矛盾纠纷调解、文明创建、移风易俗、邻里互助和社区服务等基层事务中发挥作用。畅通老年人意见表达渠道，通过村（居）议事协商、座谈交流等方式，听取老年人对养老服务、公共设施和社区建设等事项的意见建议。培育发展基层老年协会，加强规范化建设和骨干培养，发挥其联系服务老年群众、反映合理诉求、组织公益活动和参与基层治理的作用。</w:t>
      </w:r>
    </w:p>
    <w:p w14:paraId="41CC890E">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36"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1"/>
          <w:kern w:val="0"/>
          <w:sz w:val="32"/>
          <w:szCs w:val="32"/>
        </w:rPr>
        <w:t>六、丰富老年精神文化生活</w:t>
      </w:r>
    </w:p>
    <w:p w14:paraId="2B965D4F">
      <w:pPr>
        <w:keepNext w:val="0"/>
        <w:keepLines w:val="0"/>
        <w:pageBreakBefore w:val="0"/>
        <w:widowControl/>
        <w:kinsoku/>
        <w:wordWrap/>
        <w:overflowPunct/>
        <w:topLinePunct w:val="0"/>
        <w:autoSpaceDE w:val="0"/>
        <w:autoSpaceDN w:val="0"/>
        <w:bidi w:val="0"/>
        <w:adjustRightInd w:val="0"/>
        <w:snapToGrid w:val="0"/>
        <w:spacing w:before="0" w:line="560" w:lineRule="exact"/>
        <w:ind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（十四）拓展老年教育学习资源。</w:t>
      </w:r>
      <w:r>
        <w:rPr>
          <w:rFonts w:ascii="仿宋" w:hAnsi="仿宋" w:eastAsia="仿宋_GB2312" w:cs="仿宋"/>
          <w:snapToGrid w:val="0"/>
          <w:color w:val="000000"/>
          <w:spacing w:val="-9"/>
          <w:kern w:val="0"/>
          <w:sz w:val="32"/>
          <w:szCs w:val="32"/>
        </w:rPr>
        <w:t>将老年教育纳入终身教育体系，发挥老年大学主阵地作用，支持发展社区老年教育。统筹利用社区教育机构、文化馆（站）、党群服务中心、社区养老服务设施等场所，为老年人就近提供便利的学习条件。结合城乡老年人的兴趣和实际需求，开设</w:t>
      </w:r>
      <w:r>
        <w:rPr>
          <w:rFonts w:hint="eastAsia" w:ascii="仿宋" w:hAnsi="仿宋" w:eastAsia="仿宋_GB2312" w:cs="仿宋"/>
          <w:snapToGrid w:val="0"/>
          <w:color w:val="000000"/>
          <w:spacing w:val="-9"/>
          <w:kern w:val="0"/>
          <w:sz w:val="32"/>
          <w:szCs w:val="32"/>
        </w:rPr>
        <w:t>加强老年科普服务、</w:t>
      </w:r>
      <w:r>
        <w:rPr>
          <w:rFonts w:ascii="仿宋" w:hAnsi="仿宋" w:eastAsia="仿宋_GB2312" w:cs="仿宋"/>
          <w:snapToGrid w:val="0"/>
          <w:color w:val="000000"/>
          <w:spacing w:val="-9"/>
          <w:kern w:val="0"/>
          <w:sz w:val="32"/>
          <w:szCs w:val="32"/>
        </w:rPr>
        <w:t>健康养生、文化艺术、智能技术应用、生活技能等课程，鼓励各类教育和公共文化机构开放适宜老年人的学习资源。采取教学点、流动课堂、线上课程等灵活方式扩大老年教育覆盖面。鼓励有专业特长的老年人参与教学交流、技艺传授和文化传承，促进老有所学与老有所为相结合。</w:t>
      </w:r>
    </w:p>
    <w:p w14:paraId="381C7B64">
      <w:pPr>
        <w:keepNext w:val="0"/>
        <w:keepLines w:val="0"/>
        <w:pageBreakBefore w:val="0"/>
        <w:widowControl/>
        <w:kinsoku/>
        <w:wordWrap/>
        <w:overflowPunct/>
        <w:topLinePunct w:val="0"/>
        <w:autoSpaceDE w:val="0"/>
        <w:autoSpaceDN w:val="0"/>
        <w:bidi w:val="0"/>
        <w:adjustRightInd w:val="0"/>
        <w:snapToGrid w:val="0"/>
        <w:spacing w:before="0" w:line="560" w:lineRule="exact"/>
        <w:ind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（十五）大力发展老年文体事业。</w:t>
      </w:r>
      <w:r>
        <w:rPr>
          <w:rFonts w:hint="default" w:ascii="仿宋" w:hAnsi="仿宋" w:eastAsia="仿宋_GB2312" w:cs="仿宋"/>
          <w:b w:val="0"/>
          <w:bCs w:val="0"/>
          <w:snapToGrid w:val="0"/>
          <w:color w:val="000000"/>
          <w:spacing w:val="-9"/>
          <w:kern w:val="0"/>
          <w:sz w:val="32"/>
          <w:szCs w:val="32"/>
        </w:rPr>
        <w:t>加强老年友好型公共文化设施建设，</w:t>
      </w:r>
      <w:r>
        <w:rPr>
          <w:rFonts w:ascii="仿宋" w:hAnsi="仿宋" w:eastAsia="仿宋_GB2312" w:cs="仿宋"/>
          <w:snapToGrid w:val="0"/>
          <w:color w:val="000000"/>
          <w:spacing w:val="-9"/>
          <w:kern w:val="0"/>
          <w:sz w:val="32"/>
          <w:szCs w:val="32"/>
        </w:rPr>
        <w:t>推动图书馆、文化馆（站）、博物馆、美术馆、体育场馆等公共文化体育设施向老年人开放，提供适合老年人的预约、导览等服务。依托海陆丰红色文化、地方非遗和民俗文化资源，组织文化体验、非遗传承等活动。鼓励老年人讲述汕尾故事、传承海陆丰文化，参与地方非遗、民俗文化传承和文艺创作。增加面向老年人的文学、戏剧、影视、音乐等文化产品供给。</w:t>
      </w:r>
      <w:r>
        <w:rPr>
          <w:rFonts w:hint="eastAsia" w:ascii="仿宋" w:hAnsi="仿宋" w:eastAsia="仿宋_GB2312" w:cs="仿宋"/>
          <w:snapToGrid w:val="0"/>
          <w:color w:val="000000"/>
          <w:spacing w:val="-9"/>
          <w:kern w:val="0"/>
          <w:sz w:val="32"/>
          <w:szCs w:val="32"/>
        </w:rPr>
        <w:t>深入</w:t>
      </w:r>
      <w:r>
        <w:rPr>
          <w:rFonts w:ascii="仿宋" w:hAnsi="仿宋" w:eastAsia="仿宋_GB2312" w:cs="仿宋"/>
          <w:snapToGrid w:val="0"/>
          <w:color w:val="000000"/>
          <w:spacing w:val="-9"/>
          <w:kern w:val="0"/>
          <w:sz w:val="32"/>
          <w:szCs w:val="32"/>
        </w:rPr>
        <w:t>开展“乐享银龄”活动，组织群众性文化体育活动和赛事。加强老年体育健身指导，推广适宜老年人的传统保健体育运动。</w:t>
      </w:r>
    </w:p>
    <w:p w14:paraId="0D1D37CC">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36"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1"/>
          <w:kern w:val="0"/>
          <w:sz w:val="32"/>
          <w:szCs w:val="32"/>
        </w:rPr>
        <w:t>七、培育壮大银发经济业态</w:t>
      </w:r>
    </w:p>
    <w:p w14:paraId="3401C262">
      <w:pPr>
        <w:keepNext w:val="0"/>
        <w:keepLines w:val="0"/>
        <w:pageBreakBefore w:val="0"/>
        <w:widowControl/>
        <w:kinsoku/>
        <w:wordWrap/>
        <w:overflowPunct/>
        <w:topLinePunct w:val="0"/>
        <w:autoSpaceDE w:val="0"/>
        <w:autoSpaceDN w:val="0"/>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（十六）深化银发经济区域协作。</w:t>
      </w:r>
      <w:r>
        <w:rPr>
          <w:rFonts w:ascii="仿宋" w:hAnsi="仿宋" w:eastAsia="仿宋_GB2312" w:cs="仿宋"/>
          <w:snapToGrid w:val="0"/>
          <w:color w:val="000000"/>
          <w:spacing w:val="-9"/>
          <w:kern w:val="0"/>
          <w:sz w:val="32"/>
          <w:szCs w:val="32"/>
        </w:rPr>
        <w:t>加强与粤港澳大湾区银发经济相关企业、科研机构和产业平台合作，开展项目、技术和市场对接。发挥深汕特别合作区产业协作优势，探索智能辅助器具、健康监测、智慧养老等领域合作。支持本地养老服务、健康管理、康复辅助等经营主体发展，引进专业化、品牌化企业，做好重点企业和项目储备。组织养老服务、医疗卫生机构与适老产品企业开展供需对接，促进成熟适用产品在养老服务场景应用。</w:t>
      </w:r>
    </w:p>
    <w:p w14:paraId="327CF4C0">
      <w:pPr>
        <w:keepNext w:val="0"/>
        <w:keepLines w:val="0"/>
        <w:pageBreakBefore w:val="0"/>
        <w:widowControl/>
        <w:kinsoku/>
        <w:wordWrap/>
        <w:overflowPunct/>
        <w:topLinePunct w:val="0"/>
        <w:autoSpaceDE w:val="0"/>
        <w:autoSpaceDN w:val="0"/>
        <w:bidi w:val="0"/>
        <w:adjustRightInd w:val="0"/>
        <w:snapToGrid w:val="0"/>
        <w:spacing w:before="0" w:line="560" w:lineRule="exact"/>
        <w:ind w:left="0"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（十七）发展特色旅居康养产业。</w:t>
      </w:r>
      <w:r>
        <w:rPr>
          <w:rFonts w:ascii="仿宋" w:hAnsi="仿宋" w:eastAsia="仿宋_GB2312" w:cs="仿宋"/>
          <w:snapToGrid w:val="0"/>
          <w:color w:val="000000"/>
          <w:spacing w:val="-9"/>
          <w:kern w:val="0"/>
          <w:sz w:val="32"/>
          <w:szCs w:val="32"/>
        </w:rPr>
        <w:t>发挥汕尾山海资源、温暖气候和海陆丰特色文化优势，发展滨海度假、冬休养生、森林康养、温泉休闲和文化体验等旅居业态，串联红色文化遗址、非遗民俗和特色村镇，开发具有汕尾特色的老年旅居线路。支持养老服务机构、旅游企业和康养服务机构合作开发旅居养老项目，提供住宿餐饮、健康管理、生活照料等配套服务。面向粤港澳大湾区老年人和</w:t>
      </w:r>
      <w:r>
        <w:rPr>
          <w:rFonts w:hint="eastAsia" w:ascii="仿宋" w:hAnsi="仿宋" w:eastAsia="仿宋_GB2312" w:cs="仿宋"/>
          <w:snapToGrid w:val="0"/>
          <w:color w:val="000000"/>
          <w:spacing w:val="-9"/>
          <w:kern w:val="0"/>
          <w:sz w:val="32"/>
          <w:szCs w:val="32"/>
          <w:lang w:eastAsia="zh-CN"/>
        </w:rPr>
        <w:t>北方老年人</w:t>
      </w:r>
      <w:r>
        <w:rPr>
          <w:rFonts w:ascii="仿宋" w:hAnsi="仿宋" w:eastAsia="仿宋_GB2312" w:cs="仿宋"/>
          <w:snapToGrid w:val="0"/>
          <w:color w:val="000000"/>
          <w:spacing w:val="-9"/>
          <w:kern w:val="0"/>
          <w:sz w:val="32"/>
          <w:szCs w:val="32"/>
        </w:rPr>
        <w:t>拓展季节性旅居、返乡养老等服务，加强与</w:t>
      </w:r>
      <w:r>
        <w:rPr>
          <w:rFonts w:hint="eastAsia" w:ascii="仿宋" w:hAnsi="仿宋" w:eastAsia="仿宋_GB2312" w:cs="仿宋"/>
          <w:snapToGrid w:val="0"/>
          <w:color w:val="000000"/>
          <w:spacing w:val="-9"/>
          <w:kern w:val="0"/>
          <w:sz w:val="32"/>
          <w:szCs w:val="32"/>
          <w:lang w:eastAsia="zh-CN"/>
        </w:rPr>
        <w:t>大湾区</w:t>
      </w:r>
      <w:r>
        <w:rPr>
          <w:rFonts w:ascii="仿宋" w:hAnsi="仿宋" w:eastAsia="仿宋_GB2312" w:cs="仿宋"/>
          <w:snapToGrid w:val="0"/>
          <w:color w:val="000000"/>
          <w:spacing w:val="-9"/>
          <w:kern w:val="0"/>
          <w:sz w:val="32"/>
          <w:szCs w:val="32"/>
        </w:rPr>
        <w:t>及粤东地区相关机构在客源、线路、运营和人才等方面合作。</w:t>
      </w:r>
    </w:p>
    <w:p w14:paraId="131B9273">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（十八）拓展银发产品和消费场景。</w:t>
      </w:r>
      <w:r>
        <w:rPr>
          <w:rFonts w:hint="eastAsia" w:ascii="仿宋" w:hAnsi="仿宋" w:eastAsia="仿宋_GB2312" w:cs="仿宋"/>
          <w:snapToGrid w:val="0"/>
          <w:color w:val="000000"/>
          <w:spacing w:val="-9"/>
          <w:kern w:val="0"/>
          <w:sz w:val="32"/>
          <w:szCs w:val="32"/>
        </w:rPr>
        <w:t>开展爱老助老适老产品优供给行动，</w:t>
      </w:r>
      <w:r>
        <w:rPr>
          <w:rFonts w:ascii="仿宋" w:hAnsi="仿宋" w:eastAsia="仿宋_GB2312" w:cs="仿宋"/>
          <w:snapToGrid w:val="0"/>
          <w:color w:val="000000"/>
          <w:spacing w:val="-9"/>
          <w:kern w:val="0"/>
          <w:sz w:val="32"/>
          <w:szCs w:val="32"/>
        </w:rPr>
        <w:t>促进适老产品与老年人居家生活和养老服务需求对接。围绕老年人日常生活、健康照护和康复需求，增加适老家居、老年食品和日用品、康复辅具、健康监测、智能照护等产品供给，支持养老服务机器人等智能产品应用。支持商贸、餐饮、家政、文化、旅游等行业开发适老商品和服务。建设</w:t>
      </w:r>
      <w:r>
        <w:rPr>
          <w:rFonts w:hint="eastAsia" w:ascii="仿宋" w:hAnsi="仿宋" w:eastAsia="仿宋_GB2312" w:cs="仿宋"/>
          <w:snapToGrid w:val="0"/>
          <w:color w:val="000000"/>
          <w:spacing w:val="-9"/>
          <w:kern w:val="0"/>
          <w:sz w:val="32"/>
          <w:szCs w:val="32"/>
          <w:lang w:eastAsia="zh-CN"/>
        </w:rPr>
        <w:t>一批</w:t>
      </w:r>
      <w:r>
        <w:rPr>
          <w:rFonts w:ascii="仿宋" w:hAnsi="仿宋" w:eastAsia="仿宋_GB2312" w:cs="仿宋"/>
          <w:snapToGrid w:val="0"/>
          <w:color w:val="000000"/>
          <w:spacing w:val="-9"/>
          <w:kern w:val="0"/>
          <w:sz w:val="32"/>
          <w:szCs w:val="32"/>
        </w:rPr>
        <w:t>适老生活体验中心（店），提供适老产品展示、体验和咨询服务。支持养老服务机构、社区养老服务设施开展适老产品体验和供需对接，收集老年人使用需求和反馈。</w:t>
      </w:r>
    </w:p>
    <w:p w14:paraId="4732197C">
      <w:pPr>
        <w:keepNext w:val="0"/>
        <w:keepLines w:val="0"/>
        <w:pageBreakBefore w:val="0"/>
        <w:widowControl/>
        <w:kinsoku/>
        <w:wordWrap/>
        <w:overflowPunct/>
        <w:topLinePunct w:val="0"/>
        <w:autoSpaceDE w:val="0"/>
        <w:autoSpaceDN w:val="0"/>
        <w:bidi w:val="0"/>
        <w:adjustRightInd w:val="0"/>
        <w:snapToGrid w:val="0"/>
        <w:spacing w:before="0" w:line="560" w:lineRule="exact"/>
        <w:ind w:right="0" w:firstLine="604" w:firstLineChars="200"/>
        <w:textAlignment w:val="baseline"/>
        <w:rPr>
          <w:rFonts w:hint="eastAsia"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（十九）大力发展养老金融。</w:t>
      </w:r>
      <w:r>
        <w:rPr>
          <w:rFonts w:hint="eastAsia" w:ascii="仿宋" w:hAnsi="仿宋" w:eastAsia="仿宋_GB2312" w:cs="仿宋"/>
          <w:snapToGrid w:val="0"/>
          <w:color w:val="000000"/>
          <w:spacing w:val="-9"/>
          <w:kern w:val="0"/>
          <w:sz w:val="32"/>
          <w:szCs w:val="32"/>
        </w:rPr>
        <w:t>丰富养老金融产品供给，</w:t>
      </w:r>
      <w:r>
        <w:rPr>
          <w:rFonts w:ascii="仿宋" w:hAnsi="仿宋" w:eastAsia="仿宋_GB2312" w:cs="仿宋"/>
          <w:snapToGrid w:val="0"/>
          <w:color w:val="000000"/>
          <w:spacing w:val="-9"/>
          <w:kern w:val="0"/>
          <w:sz w:val="32"/>
          <w:szCs w:val="32"/>
        </w:rPr>
        <w:t>引导金融机构加大对养老服务、医养结合、康复辅助、旅居康养等项目的融资支持，开展银企对接和项目推介。发挥政府性融资担保作用，为符合条件的银发经济经营主体提供融资增信支持。落实养老金融相关政策，支持金融保险机构依法依规为老年人和养老服务经营主体提供适宜的金融保险服务。</w:t>
      </w:r>
      <w:r>
        <w:rPr>
          <w:rFonts w:hint="eastAsia" w:ascii="仿宋" w:hAnsi="仿宋" w:eastAsia="仿宋_GB2312" w:cs="仿宋"/>
          <w:snapToGrid w:val="0"/>
          <w:color w:val="000000"/>
          <w:spacing w:val="-9"/>
          <w:kern w:val="0"/>
          <w:sz w:val="32"/>
          <w:szCs w:val="32"/>
        </w:rPr>
        <w:t>强化养老金融业务监管，加大对涉老非法金融活动防范打击力度，守好老年人的“钱袋子”。</w:t>
      </w:r>
    </w:p>
    <w:p w14:paraId="15DA6F88">
      <w:pPr>
        <w:keepNext w:val="0"/>
        <w:keepLines w:val="0"/>
        <w:pageBreakBefore w:val="0"/>
        <w:widowControl/>
        <w:kinsoku/>
        <w:wordWrap/>
        <w:overflowPunct/>
        <w:topLinePunct w:val="0"/>
        <w:autoSpaceDE w:val="0"/>
        <w:autoSpaceDN w:val="0"/>
        <w:bidi w:val="0"/>
        <w:adjustRightInd w:val="0"/>
        <w:snapToGrid w:val="0"/>
        <w:spacing w:before="0" w:line="560" w:lineRule="exact"/>
        <w:ind w:right="0" w:firstLine="624" w:firstLineChars="200"/>
        <w:textAlignment w:val="baseline"/>
        <w:rPr>
          <w:rFonts w:hint="eastAsia" w:ascii="仿宋" w:hAnsi="仿宋" w:eastAsia="仿宋_GB2312" w:cs="仿宋"/>
          <w:snapToGrid w:val="0"/>
          <w:color w:val="000000"/>
          <w:spacing w:val="-9"/>
          <w:kern w:val="0"/>
          <w:sz w:val="33"/>
          <w:szCs w:val="33"/>
        </w:rPr>
      </w:pPr>
    </w:p>
    <w:tbl>
      <w:tblPr>
        <w:tblStyle w:val="21"/>
        <w:tblW w:w="89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20"/>
      </w:tblGrid>
      <w:tr w14:paraId="518E5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8920" w:type="dxa"/>
          </w:tcPr>
          <w:p w14:paraId="36434428">
            <w:pPr>
              <w:keepNext w:val="0"/>
              <w:keepLines w:val="0"/>
              <w:pageBreakBefore w:val="0"/>
              <w:widowControl/>
              <w:kinsoku w:val="0"/>
              <w:wordWrap/>
              <w:overflowPunct/>
              <w:topLinePunct w:val="0"/>
              <w:autoSpaceDE w:val="0"/>
              <w:autoSpaceDN w:val="0"/>
              <w:bidi w:val="0"/>
              <w:adjustRightInd w:val="0"/>
              <w:snapToGrid w:val="0"/>
              <w:spacing w:before="142" w:line="560" w:lineRule="exact"/>
              <w:ind w:left="0"/>
              <w:jc w:val="center"/>
              <w:textAlignment w:val="baseline"/>
              <w:rPr>
                <w:rFonts w:ascii="宋体" w:hAnsi="宋体" w:eastAsia="宋体" w:cs="宋体"/>
                <w:snapToGrid w:val="0"/>
                <w:color w:val="000000"/>
                <w:kern w:val="0"/>
                <w:sz w:val="29"/>
                <w:szCs w:val="29"/>
              </w:rPr>
            </w:pPr>
            <w:r>
              <w:rPr>
                <w:rFonts w:hint="eastAsia" w:ascii="黑体" w:hAnsi="黑体" w:eastAsia="黑体" w:cs="黑体"/>
                <w:sz w:val="32"/>
                <w:szCs w:val="28"/>
              </w:rPr>
              <w:t>专栏</w:t>
            </w:r>
            <w:r>
              <w:rPr>
                <w:rFonts w:hint="eastAsia" w:ascii="黑体" w:hAnsi="黑体" w:eastAsia="黑体" w:cs="黑体"/>
                <w:sz w:val="32"/>
                <w:szCs w:val="28"/>
                <w:lang w:val="en-US" w:eastAsia="zh-CN"/>
              </w:rPr>
              <w:t>4</w:t>
            </w:r>
            <w:r>
              <w:rPr>
                <w:rFonts w:hint="eastAsia" w:ascii="黑体" w:hAnsi="黑体" w:eastAsia="黑体" w:cs="黑体"/>
                <w:sz w:val="32"/>
                <w:szCs w:val="28"/>
              </w:rPr>
              <w:t xml:space="preserve"> 银发经济培育工程</w:t>
            </w:r>
          </w:p>
        </w:tc>
      </w:tr>
      <w:tr w14:paraId="40E82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0" w:hRule="atLeast"/>
        </w:trPr>
        <w:tc>
          <w:tcPr>
            <w:tcW w:w="8920" w:type="dxa"/>
          </w:tcPr>
          <w:p w14:paraId="0F36364B">
            <w:pPr>
              <w:keepNext w:val="0"/>
              <w:keepLines w:val="0"/>
              <w:pageBreakBefore w:val="0"/>
              <w:widowControl/>
              <w:kinsoku/>
              <w:wordWrap/>
              <w:overflowPunct/>
              <w:topLinePunct w:val="0"/>
              <w:autoSpaceDE w:val="0"/>
              <w:autoSpaceDN w:val="0"/>
              <w:bidi w:val="0"/>
              <w:adjustRightInd w:val="0"/>
              <w:snapToGrid w:val="0"/>
              <w:spacing w:before="0" w:line="560" w:lineRule="exact"/>
              <w:ind w:firstLine="607" w:firstLineChars="200"/>
              <w:jc w:val="both"/>
              <w:textAlignment w:val="baseline"/>
              <w:rPr>
                <w:rFonts w:hint="eastAsia" w:ascii="仿宋_GB2312" w:hAnsi="仿宋_GB2312" w:eastAsia="仿宋_GB2312" w:cs="仿宋_GB2312"/>
                <w:b w:val="0"/>
                <w:bCs w:val="0"/>
                <w:snapToGrid w:val="0"/>
                <w:color w:val="000000"/>
                <w:spacing w:val="-9"/>
                <w:kern w:val="0"/>
                <w:sz w:val="32"/>
                <w:szCs w:val="32"/>
              </w:rPr>
            </w:pPr>
            <w:r>
              <w:rPr>
                <w:rFonts w:hint="eastAsia" w:ascii="仿宋_GB2312" w:hAnsi="仿宋_GB2312" w:eastAsia="仿宋_GB2312" w:cs="仿宋_GB2312"/>
                <w:b/>
                <w:bCs/>
                <w:snapToGrid w:val="0"/>
                <w:color w:val="000000"/>
                <w:spacing w:val="-9"/>
                <w:kern w:val="0"/>
                <w:sz w:val="32"/>
                <w:szCs w:val="32"/>
              </w:rPr>
              <w:t>1.银发经济经营主体培育</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支持养老服务企业专业化、品牌化发展，引导社会力量参与养老服务、康复护理、适老产品等领域，到2030年</w:t>
            </w:r>
            <w:r>
              <w:rPr>
                <w:rFonts w:hint="eastAsia" w:ascii="仿宋_GB2312" w:hAnsi="仿宋_GB2312" w:eastAsia="仿宋_GB2312" w:cs="仿宋_GB2312"/>
                <w:b w:val="0"/>
                <w:bCs w:val="0"/>
                <w:snapToGrid w:val="0"/>
                <w:color w:val="000000"/>
                <w:spacing w:val="-9"/>
                <w:kern w:val="0"/>
                <w:sz w:val="32"/>
                <w:szCs w:val="32"/>
                <w:lang w:eastAsia="zh-CN"/>
              </w:rPr>
              <w:t>底，累计</w:t>
            </w:r>
            <w:r>
              <w:rPr>
                <w:rFonts w:hint="eastAsia" w:ascii="仿宋_GB2312" w:hAnsi="仿宋_GB2312" w:eastAsia="仿宋_GB2312" w:cs="仿宋_GB2312"/>
                <w:b w:val="0"/>
                <w:bCs w:val="0"/>
                <w:snapToGrid w:val="0"/>
                <w:color w:val="000000"/>
                <w:spacing w:val="-9"/>
                <w:kern w:val="0"/>
                <w:sz w:val="32"/>
                <w:szCs w:val="32"/>
              </w:rPr>
              <w:t>引入或培育银发经济相关企业5家以上。</w:t>
            </w:r>
          </w:p>
          <w:p w14:paraId="63ACB311">
            <w:pPr>
              <w:keepNext w:val="0"/>
              <w:keepLines w:val="0"/>
              <w:pageBreakBefore w:val="0"/>
              <w:widowControl/>
              <w:kinsoku/>
              <w:wordWrap/>
              <w:overflowPunct/>
              <w:topLinePunct w:val="0"/>
              <w:autoSpaceDE w:val="0"/>
              <w:autoSpaceDN w:val="0"/>
              <w:bidi w:val="0"/>
              <w:adjustRightInd w:val="0"/>
              <w:snapToGrid w:val="0"/>
              <w:spacing w:before="0" w:line="560" w:lineRule="exact"/>
              <w:ind w:firstLine="607" w:firstLineChars="200"/>
              <w:jc w:val="both"/>
              <w:textAlignment w:val="baseline"/>
              <w:rPr>
                <w:rFonts w:hint="eastAsia" w:ascii="仿宋_GB2312" w:hAnsi="仿宋_GB2312" w:eastAsia="仿宋_GB2312" w:cs="仿宋_GB2312"/>
                <w:b w:val="0"/>
                <w:bCs w:val="0"/>
                <w:snapToGrid w:val="0"/>
                <w:color w:val="000000"/>
                <w:spacing w:val="-9"/>
                <w:kern w:val="0"/>
                <w:sz w:val="32"/>
                <w:szCs w:val="32"/>
              </w:rPr>
            </w:pPr>
            <w:r>
              <w:rPr>
                <w:rFonts w:hint="eastAsia" w:ascii="仿宋_GB2312" w:hAnsi="仿宋_GB2312" w:eastAsia="仿宋_GB2312" w:cs="仿宋_GB2312"/>
                <w:b/>
                <w:bCs/>
                <w:snapToGrid w:val="0"/>
                <w:color w:val="000000"/>
                <w:spacing w:val="-9"/>
                <w:kern w:val="0"/>
                <w:sz w:val="32"/>
                <w:szCs w:val="32"/>
              </w:rPr>
              <w:t>2.适老消费场景建设</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建设集适老家居、康复辅具、健康监测、智能照护等产品展示、体验和咨询于一体的消费场景，到2030年</w:t>
            </w:r>
            <w:r>
              <w:rPr>
                <w:rFonts w:hint="eastAsia" w:ascii="仿宋_GB2312" w:hAnsi="仿宋_GB2312" w:eastAsia="仿宋_GB2312" w:cs="仿宋_GB2312"/>
                <w:b w:val="0"/>
                <w:bCs w:val="0"/>
                <w:snapToGrid w:val="0"/>
                <w:color w:val="000000"/>
                <w:spacing w:val="-9"/>
                <w:kern w:val="0"/>
                <w:sz w:val="32"/>
                <w:szCs w:val="32"/>
                <w:lang w:eastAsia="zh-CN"/>
              </w:rPr>
              <w:t>底，</w:t>
            </w:r>
            <w:r>
              <w:rPr>
                <w:rFonts w:hint="eastAsia" w:ascii="仿宋_GB2312" w:hAnsi="仿宋_GB2312" w:eastAsia="仿宋_GB2312" w:cs="仿宋_GB2312"/>
                <w:b w:val="0"/>
                <w:bCs w:val="0"/>
                <w:snapToGrid w:val="0"/>
                <w:color w:val="000000"/>
                <w:spacing w:val="-9"/>
                <w:kern w:val="0"/>
                <w:sz w:val="32"/>
                <w:szCs w:val="32"/>
              </w:rPr>
              <w:t>全市建成适老生活体验中心（店）不少于1个。</w:t>
            </w:r>
          </w:p>
          <w:p w14:paraId="0F2C24A9">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07" w:firstLineChars="200"/>
              <w:jc w:val="both"/>
              <w:textAlignment w:val="baseline"/>
              <w:rPr>
                <w:rFonts w:ascii="宋体" w:hAnsi="宋体" w:eastAsia="宋体" w:cs="宋体"/>
                <w:b/>
                <w:bCs/>
                <w:snapToGrid w:val="0"/>
                <w:color w:val="000000"/>
                <w:spacing w:val="-9"/>
                <w:kern w:val="0"/>
                <w:sz w:val="29"/>
                <w:szCs w:val="29"/>
              </w:rPr>
            </w:pPr>
            <w:r>
              <w:rPr>
                <w:rFonts w:hint="eastAsia" w:ascii="仿宋_GB2312" w:hAnsi="仿宋_GB2312" w:eastAsia="仿宋_GB2312" w:cs="仿宋_GB2312"/>
                <w:b/>
                <w:bCs/>
                <w:snapToGrid w:val="0"/>
                <w:color w:val="000000"/>
                <w:spacing w:val="-9"/>
                <w:kern w:val="0"/>
                <w:sz w:val="32"/>
                <w:szCs w:val="32"/>
              </w:rPr>
              <w:t>3.旅居康养培育</w:t>
            </w:r>
            <w:r>
              <w:rPr>
                <w:rFonts w:hint="eastAsia" w:ascii="仿宋_GB2312" w:hAnsi="仿宋_GB2312" w:eastAsia="仿宋_GB2312" w:cs="仿宋_GB2312"/>
                <w:b/>
                <w:bCs/>
                <w:snapToGrid w:val="0"/>
                <w:color w:val="000000"/>
                <w:spacing w:val="-3"/>
                <w:kern w:val="0"/>
                <w:sz w:val="32"/>
                <w:szCs w:val="32"/>
                <w:lang w:eastAsia="zh-CN"/>
              </w:rPr>
              <w:t>项目</w:t>
            </w:r>
            <w:r>
              <w:rPr>
                <w:rFonts w:hint="eastAsia" w:ascii="仿宋_GB2312" w:hAnsi="仿宋_GB2312" w:eastAsia="仿宋_GB2312" w:cs="仿宋_GB2312"/>
                <w:b/>
                <w:bCs/>
                <w:snapToGrid w:val="0"/>
                <w:color w:val="000000"/>
                <w:spacing w:val="-9"/>
                <w:kern w:val="0"/>
                <w:sz w:val="32"/>
                <w:szCs w:val="32"/>
              </w:rPr>
              <w:t>。</w:t>
            </w:r>
            <w:r>
              <w:rPr>
                <w:rFonts w:hint="eastAsia" w:ascii="仿宋_GB2312" w:hAnsi="仿宋_GB2312" w:eastAsia="仿宋_GB2312" w:cs="仿宋_GB2312"/>
                <w:b w:val="0"/>
                <w:bCs w:val="0"/>
                <w:snapToGrid w:val="0"/>
                <w:color w:val="000000"/>
                <w:spacing w:val="-9"/>
                <w:kern w:val="0"/>
                <w:sz w:val="32"/>
                <w:szCs w:val="32"/>
              </w:rPr>
              <w:t>遴选养老机构、酒店民宿、康养设施等建设旅居养老服务载体，开发组合式旅居养老产品，加强与深圳、港澳等地养老机构和市场主体合作，到2030年</w:t>
            </w:r>
            <w:r>
              <w:rPr>
                <w:rFonts w:hint="eastAsia" w:ascii="仿宋_GB2312" w:hAnsi="仿宋_GB2312" w:eastAsia="仿宋_GB2312" w:cs="仿宋_GB2312"/>
                <w:b w:val="0"/>
                <w:bCs w:val="0"/>
                <w:snapToGrid w:val="0"/>
                <w:color w:val="000000"/>
                <w:spacing w:val="-9"/>
                <w:kern w:val="0"/>
                <w:sz w:val="32"/>
                <w:szCs w:val="32"/>
                <w:lang w:eastAsia="zh-CN"/>
              </w:rPr>
              <w:t>底，</w:t>
            </w:r>
            <w:r>
              <w:rPr>
                <w:rFonts w:hint="eastAsia" w:ascii="仿宋_GB2312" w:hAnsi="仿宋_GB2312" w:eastAsia="仿宋_GB2312" w:cs="仿宋_GB2312"/>
                <w:b w:val="0"/>
                <w:bCs w:val="0"/>
                <w:snapToGrid w:val="0"/>
                <w:color w:val="000000"/>
                <w:spacing w:val="-9"/>
                <w:kern w:val="0"/>
                <w:sz w:val="32"/>
                <w:szCs w:val="32"/>
              </w:rPr>
              <w:t>培育县级及以上旅居养老特色品牌不少于1个。</w:t>
            </w:r>
          </w:p>
        </w:tc>
      </w:tr>
    </w:tbl>
    <w:p w14:paraId="5345D7B3">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604" w:firstLineChars="200"/>
        <w:jc w:val="both"/>
        <w:textAlignment w:val="baseline"/>
        <w:rPr>
          <w:rFonts w:ascii="黑体" w:hAnsi="黑体" w:eastAsia="黑体" w:cs="黑体"/>
          <w:snapToGrid w:val="0"/>
          <w:color w:val="000000"/>
          <w:spacing w:val="-19"/>
          <w:kern w:val="0"/>
          <w:sz w:val="34"/>
          <w:szCs w:val="34"/>
        </w:rPr>
      </w:pPr>
    </w:p>
    <w:p w14:paraId="47BC92D4">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564" w:firstLineChars="200"/>
        <w:jc w:val="both"/>
        <w:textAlignment w:val="baseline"/>
        <w:rPr>
          <w:rFonts w:ascii="黑体" w:hAnsi="黑体" w:eastAsia="黑体" w:cs="黑体"/>
          <w:snapToGrid w:val="0"/>
          <w:color w:val="000000"/>
          <w:kern w:val="0"/>
          <w:sz w:val="32"/>
          <w:szCs w:val="32"/>
        </w:rPr>
      </w:pPr>
      <w:r>
        <w:rPr>
          <w:rFonts w:ascii="黑体" w:hAnsi="黑体" w:eastAsia="黑体" w:cs="黑体"/>
          <w:snapToGrid w:val="0"/>
          <w:color w:val="000000"/>
          <w:spacing w:val="-19"/>
          <w:kern w:val="0"/>
          <w:sz w:val="32"/>
          <w:szCs w:val="32"/>
        </w:rPr>
        <w:t>八、</w:t>
      </w:r>
      <w:bookmarkStart w:id="8" w:name="OLE_LINK23"/>
      <w:r>
        <w:rPr>
          <w:rFonts w:ascii="黑体" w:hAnsi="黑体" w:eastAsia="黑体" w:cs="黑体"/>
          <w:snapToGrid w:val="0"/>
          <w:color w:val="000000"/>
          <w:spacing w:val="-19"/>
          <w:kern w:val="0"/>
          <w:sz w:val="32"/>
          <w:szCs w:val="32"/>
        </w:rPr>
        <w:t>大力营造老年友好社会环境</w:t>
      </w:r>
    </w:p>
    <w:bookmarkEnd w:id="8"/>
    <w:p w14:paraId="431C6FA3">
      <w:pPr>
        <w:keepNext w:val="0"/>
        <w:keepLines w:val="0"/>
        <w:pageBreakBefore w:val="0"/>
        <w:widowControl/>
        <w:kinsoku/>
        <w:wordWrap/>
        <w:overflowPunct/>
        <w:topLinePunct w:val="0"/>
        <w:autoSpaceDE w:val="0"/>
        <w:autoSpaceDN w:val="0"/>
        <w:bidi w:val="0"/>
        <w:adjustRightInd w:val="0"/>
        <w:snapToGrid w:val="0"/>
        <w:spacing w:before="0" w:line="560" w:lineRule="exact"/>
        <w:ind w:right="0" w:firstLine="604" w:firstLineChars="200"/>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（二十）厚植老年友好社会环境。</w:t>
      </w:r>
      <w:r>
        <w:rPr>
          <w:rFonts w:ascii="仿宋" w:hAnsi="仿宋" w:eastAsia="仿宋_GB2312" w:cs="仿宋"/>
          <w:snapToGrid w:val="0"/>
          <w:color w:val="000000"/>
          <w:spacing w:val="-9"/>
          <w:kern w:val="0"/>
          <w:sz w:val="32"/>
          <w:szCs w:val="32"/>
        </w:rPr>
        <w:t>推进老年友好型社区建设，将适老化要求融入城市更新、老旧小区改造和完整社区建设，完善公共空间、公共交通、医疗卫生、政务服务和文化体育等场所的无障碍设施。结合汕尾滨海旅游和旅居康养发展，改善旅游景区、住宿设施等场所的适老服务条件，为本地老年人和旅居老年人提供便利。落实老年人优待政策，</w:t>
      </w:r>
      <w:r>
        <w:rPr>
          <w:rFonts w:hint="eastAsia" w:ascii="仿宋" w:hAnsi="仿宋" w:eastAsia="仿宋_GB2312" w:cs="仿宋"/>
          <w:snapToGrid w:val="0"/>
          <w:color w:val="000000"/>
          <w:spacing w:val="-9"/>
          <w:kern w:val="0"/>
          <w:sz w:val="32"/>
          <w:szCs w:val="32"/>
        </w:rPr>
        <w:t>推动</w:t>
      </w:r>
      <w:r>
        <w:rPr>
          <w:rFonts w:ascii="仿宋" w:hAnsi="仿宋" w:eastAsia="仿宋_GB2312" w:cs="仿宋"/>
          <w:snapToGrid w:val="0"/>
          <w:color w:val="000000"/>
          <w:spacing w:val="-9"/>
          <w:kern w:val="0"/>
          <w:sz w:val="32"/>
          <w:szCs w:val="32"/>
        </w:rPr>
        <w:t>符合条件的常住老年人享受相关公共服务。持续开展智慧助老，优化线下办事和人工服务，为老年人使用智能设备、移动支付和线上公共服务提供必要帮助。加强家庭养老支持，落实相关支持政策，开展失能老年人家庭照护者技能培训和照护指导。</w:t>
      </w:r>
    </w:p>
    <w:p w14:paraId="5BD939AF">
      <w:pPr>
        <w:keepNext w:val="0"/>
        <w:keepLines w:val="0"/>
        <w:pageBreakBefore w:val="0"/>
        <w:widowControl/>
        <w:kinsoku/>
        <w:wordWrap/>
        <w:overflowPunct/>
        <w:topLinePunct w:val="0"/>
        <w:autoSpaceDE w:val="0"/>
        <w:autoSpaceDN w:val="0"/>
        <w:bidi w:val="0"/>
        <w:adjustRightInd w:val="0"/>
        <w:snapToGrid w:val="0"/>
        <w:spacing w:line="560" w:lineRule="exact"/>
        <w:ind w:right="0" w:firstLine="604" w:firstLineChars="200"/>
        <w:jc w:val="both"/>
        <w:textAlignment w:val="baseline"/>
        <w:rPr>
          <w:rFonts w:ascii="仿宋" w:hAnsi="仿宋" w:eastAsia="仿宋_GB2312" w:cs="仿宋"/>
          <w:snapToGrid w:val="0"/>
          <w:color w:val="000000"/>
          <w:spacing w:val="-9"/>
          <w:kern w:val="0"/>
          <w:sz w:val="32"/>
          <w:szCs w:val="32"/>
        </w:rPr>
      </w:pPr>
      <w:r>
        <w:rPr>
          <w:rFonts w:ascii="楷体" w:hAnsi="楷体" w:eastAsia="楷体_GB2312" w:cs="楷体"/>
          <w:b w:val="0"/>
          <w:bCs/>
          <w:i w:val="0"/>
          <w:snapToGrid w:val="0"/>
          <w:color w:val="000000"/>
          <w:spacing w:val="-9"/>
          <w:kern w:val="0"/>
          <w:sz w:val="32"/>
          <w:szCs w:val="32"/>
        </w:rPr>
        <w:t>（二十一）加强老年人合法权益保障。</w:t>
      </w:r>
      <w:r>
        <w:rPr>
          <w:rFonts w:ascii="仿宋" w:hAnsi="仿宋" w:eastAsia="仿宋_GB2312" w:cs="仿宋"/>
          <w:snapToGrid w:val="0"/>
          <w:color w:val="000000"/>
          <w:spacing w:val="-9"/>
          <w:kern w:val="0"/>
          <w:sz w:val="32"/>
          <w:szCs w:val="32"/>
        </w:rPr>
        <w:t>加强涉老矛盾纠纷和风险隐患排查，发挥基层综治中心、村（社区）、基层老年协会等作用，及时发现和协调解决老年人在赡养、财产、消费和养老服务等方面的权益问题。加强养老服务、保健食品、金融消费等重点领域监管，依法查处侵害老年人合法权益的违法违规行为，防范养老诈骗和非法集资风险。依托社区宣传、文明实践、普法活动等开展老年人权益保护和识骗防骗教育，提高老年人风险防范和依法维权能力。</w:t>
      </w:r>
      <w:r>
        <w:rPr>
          <w:rFonts w:hint="eastAsia" w:ascii="仿宋" w:hAnsi="仿宋" w:eastAsia="仿宋_GB2312" w:cs="仿宋"/>
          <w:snapToGrid w:val="0"/>
          <w:color w:val="000000"/>
          <w:spacing w:val="-9"/>
          <w:kern w:val="0"/>
          <w:sz w:val="32"/>
          <w:szCs w:val="32"/>
        </w:rPr>
        <w:t>探索建立虐待老年人强制报告制度</w:t>
      </w:r>
      <w:r>
        <w:rPr>
          <w:rFonts w:hint="eastAsia" w:ascii="仿宋" w:hAnsi="仿宋" w:eastAsia="仿宋_GB2312" w:cs="仿宋"/>
          <w:snapToGrid w:val="0"/>
          <w:color w:val="000000"/>
          <w:spacing w:val="-9"/>
          <w:kern w:val="0"/>
          <w:sz w:val="32"/>
          <w:szCs w:val="32"/>
          <w:lang w:eastAsia="zh-CN"/>
        </w:rPr>
        <w:t>。</w:t>
      </w:r>
      <w:r>
        <w:rPr>
          <w:rFonts w:ascii="仿宋" w:hAnsi="仿宋" w:eastAsia="仿宋_GB2312" w:cs="仿宋"/>
          <w:snapToGrid w:val="0"/>
          <w:color w:val="000000"/>
          <w:spacing w:val="-9"/>
          <w:kern w:val="0"/>
          <w:sz w:val="32"/>
          <w:szCs w:val="32"/>
        </w:rPr>
        <w:t>完善法律援助和公共法律服务，为有需要的老年人提供便捷的法律咨询和维权服务。</w:t>
      </w:r>
    </w:p>
    <w:p w14:paraId="510608DC">
      <w:pPr>
        <w:keepNext w:val="0"/>
        <w:keepLines w:val="0"/>
        <w:pageBreakBefore w:val="0"/>
        <w:widowControl/>
        <w:kinsoku/>
        <w:wordWrap/>
        <w:overflowPunct/>
        <w:topLinePunct w:val="0"/>
        <w:autoSpaceDE w:val="0"/>
        <w:autoSpaceDN w:val="0"/>
        <w:bidi w:val="0"/>
        <w:adjustRightInd w:val="0"/>
        <w:snapToGrid w:val="0"/>
        <w:spacing w:line="560" w:lineRule="exact"/>
        <w:ind w:right="0" w:firstLine="624" w:firstLineChars="200"/>
        <w:jc w:val="both"/>
        <w:textAlignment w:val="baseline"/>
        <w:rPr>
          <w:rFonts w:ascii="仿宋" w:hAnsi="仿宋" w:eastAsia="仿宋_GB2312" w:cs="仿宋"/>
          <w:snapToGrid w:val="0"/>
          <w:color w:val="000000"/>
          <w:spacing w:val="-9"/>
          <w:kern w:val="0"/>
          <w:sz w:val="33"/>
          <w:szCs w:val="33"/>
        </w:rPr>
      </w:pPr>
    </w:p>
    <w:tbl>
      <w:tblPr>
        <w:tblStyle w:val="21"/>
        <w:tblpPr w:leftFromText="180" w:rightFromText="180" w:vertAnchor="text" w:horzAnchor="page" w:tblpX="1830" w:tblpY="77"/>
        <w:tblOverlap w:val="never"/>
        <w:tblW w:w="86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0"/>
      </w:tblGrid>
      <w:tr w14:paraId="1F366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640" w:type="dxa"/>
          </w:tcPr>
          <w:p w14:paraId="1F45BDE8">
            <w:pPr>
              <w:keepNext w:val="0"/>
              <w:keepLines w:val="0"/>
              <w:pageBreakBefore w:val="0"/>
              <w:widowControl/>
              <w:kinsoku/>
              <w:wordWrap/>
              <w:overflowPunct/>
              <w:topLinePunct w:val="0"/>
              <w:autoSpaceDE w:val="0"/>
              <w:autoSpaceDN w:val="0"/>
              <w:bidi w:val="0"/>
              <w:adjustRightInd w:val="0"/>
              <w:snapToGrid w:val="0"/>
              <w:spacing w:before="0" w:line="560" w:lineRule="exact"/>
              <w:ind w:firstLine="0" w:firstLineChars="0"/>
              <w:jc w:val="center"/>
              <w:textAlignment w:val="baseline"/>
              <w:rPr>
                <w:rFonts w:ascii="宋体" w:hAnsi="宋体" w:eastAsia="宋体" w:cs="宋体"/>
                <w:snapToGrid w:val="0"/>
                <w:color w:val="000000"/>
                <w:kern w:val="0"/>
                <w:sz w:val="28"/>
                <w:szCs w:val="28"/>
              </w:rPr>
            </w:pPr>
            <w:r>
              <w:rPr>
                <w:rFonts w:hint="eastAsia" w:ascii="黑体" w:hAnsi="黑体" w:eastAsia="黑体" w:cs="黑体"/>
                <w:sz w:val="32"/>
                <w:szCs w:val="28"/>
              </w:rPr>
              <w:t>专栏</w:t>
            </w:r>
            <w:r>
              <w:rPr>
                <w:rFonts w:hint="eastAsia" w:ascii="黑体" w:hAnsi="黑体" w:eastAsia="黑体" w:cs="黑体"/>
                <w:sz w:val="32"/>
                <w:szCs w:val="28"/>
                <w:lang w:val="en-US" w:eastAsia="zh-CN"/>
              </w:rPr>
              <w:t>5</w:t>
            </w:r>
            <w:r>
              <w:rPr>
                <w:rFonts w:hint="eastAsia" w:ascii="黑体" w:hAnsi="黑体" w:eastAsia="黑体" w:cs="黑体"/>
                <w:sz w:val="32"/>
                <w:szCs w:val="28"/>
              </w:rPr>
              <w:t xml:space="preserve"> 老年友好型社会建设工程</w:t>
            </w:r>
          </w:p>
        </w:tc>
      </w:tr>
      <w:tr w14:paraId="02542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8" w:hRule="atLeast"/>
        </w:trPr>
        <w:tc>
          <w:tcPr>
            <w:tcW w:w="8640" w:type="dxa"/>
          </w:tcPr>
          <w:p w14:paraId="49B14DE5">
            <w:pPr>
              <w:keepNext w:val="0"/>
              <w:keepLines w:val="0"/>
              <w:pageBreakBefore w:val="0"/>
              <w:widowControl/>
              <w:kinsoku/>
              <w:wordWrap/>
              <w:overflowPunct/>
              <w:topLinePunct w:val="0"/>
              <w:autoSpaceDE w:val="0"/>
              <w:autoSpaceDN w:val="0"/>
              <w:bidi w:val="0"/>
              <w:adjustRightInd w:val="0"/>
              <w:snapToGrid w:val="0"/>
              <w:spacing w:before="157" w:beforeLines="50" w:line="560" w:lineRule="exact"/>
              <w:ind w:firstLine="522" w:firstLineChars="200"/>
              <w:jc w:val="both"/>
              <w:textAlignment w:val="baseline"/>
              <w:rPr>
                <w:rFonts w:hint="eastAsia" w:ascii="仿宋_GB2312" w:hAnsi="仿宋_GB2312" w:eastAsia="仿宋_GB2312" w:cs="仿宋_GB2312"/>
                <w:b/>
                <w:bCs/>
                <w:snapToGrid w:val="0"/>
                <w:color w:val="000000"/>
                <w:spacing w:val="-10"/>
                <w:kern w:val="0"/>
                <w:sz w:val="28"/>
                <w:szCs w:val="28"/>
              </w:rPr>
            </w:pPr>
            <w:r>
              <w:rPr>
                <w:rFonts w:hint="eastAsia" w:ascii="仿宋_GB2312" w:hAnsi="仿宋_GB2312" w:eastAsia="仿宋_GB2312" w:cs="仿宋_GB2312"/>
                <w:b/>
                <w:bCs/>
                <w:snapToGrid w:val="0"/>
                <w:color w:val="000000"/>
                <w:spacing w:val="-10"/>
                <w:kern w:val="0"/>
                <w:sz w:val="28"/>
                <w:szCs w:val="28"/>
              </w:rPr>
              <w:t>1.老年友好型社区创建</w:t>
            </w:r>
            <w:r>
              <w:rPr>
                <w:rFonts w:hint="eastAsia" w:ascii="仿宋_GB2312" w:hAnsi="仿宋_GB2312" w:eastAsia="仿宋_GB2312" w:cs="仿宋_GB2312"/>
                <w:b/>
                <w:bCs/>
                <w:snapToGrid w:val="0"/>
                <w:color w:val="000000"/>
                <w:spacing w:val="-3"/>
                <w:kern w:val="0"/>
                <w:sz w:val="28"/>
                <w:szCs w:val="28"/>
                <w:lang w:eastAsia="zh-CN"/>
              </w:rPr>
              <w:t>项目</w:t>
            </w:r>
            <w:r>
              <w:rPr>
                <w:rFonts w:hint="eastAsia" w:ascii="仿宋_GB2312" w:hAnsi="仿宋_GB2312" w:eastAsia="仿宋_GB2312" w:cs="仿宋_GB2312"/>
                <w:b/>
                <w:bCs/>
                <w:snapToGrid w:val="0"/>
                <w:color w:val="000000"/>
                <w:spacing w:val="-10"/>
                <w:kern w:val="0"/>
                <w:sz w:val="28"/>
                <w:szCs w:val="28"/>
              </w:rPr>
              <w:t>。</w:t>
            </w:r>
            <w:r>
              <w:rPr>
                <w:rFonts w:hint="eastAsia" w:ascii="仿宋_GB2312" w:hAnsi="仿宋_GB2312" w:eastAsia="仿宋_GB2312" w:cs="仿宋_GB2312"/>
                <w:b w:val="0"/>
                <w:bCs w:val="0"/>
                <w:snapToGrid w:val="0"/>
                <w:color w:val="000000"/>
                <w:spacing w:val="-10"/>
                <w:kern w:val="0"/>
                <w:sz w:val="28"/>
                <w:szCs w:val="28"/>
              </w:rPr>
              <w:t>持续开展示范性老年友好型社区创建，重点改善社区适老居住环境、公共设施和为老服务，发挥示范社区的辐射带动作用。</w:t>
            </w:r>
          </w:p>
          <w:p w14:paraId="619AF77F">
            <w:pPr>
              <w:keepNext w:val="0"/>
              <w:keepLines w:val="0"/>
              <w:pageBreakBefore w:val="0"/>
              <w:widowControl/>
              <w:kinsoku/>
              <w:wordWrap/>
              <w:overflowPunct/>
              <w:topLinePunct w:val="0"/>
              <w:autoSpaceDE w:val="0"/>
              <w:autoSpaceDN w:val="0"/>
              <w:bidi w:val="0"/>
              <w:adjustRightInd w:val="0"/>
              <w:snapToGrid w:val="0"/>
              <w:spacing w:before="0" w:line="560" w:lineRule="exact"/>
              <w:ind w:left="0" w:firstLine="522" w:firstLineChars="200"/>
              <w:jc w:val="both"/>
              <w:textAlignment w:val="baseline"/>
              <w:rPr>
                <w:rFonts w:ascii="宋体" w:hAnsi="宋体" w:eastAsia="宋体" w:cs="宋体"/>
                <w:b/>
                <w:bCs/>
                <w:snapToGrid w:val="0"/>
                <w:color w:val="000000"/>
                <w:spacing w:val="-10"/>
                <w:kern w:val="0"/>
                <w:sz w:val="28"/>
                <w:szCs w:val="28"/>
              </w:rPr>
            </w:pPr>
            <w:r>
              <w:rPr>
                <w:rFonts w:hint="eastAsia" w:ascii="仿宋_GB2312" w:hAnsi="仿宋_GB2312" w:eastAsia="仿宋_GB2312" w:cs="仿宋_GB2312"/>
                <w:b/>
                <w:bCs/>
                <w:snapToGrid w:val="0"/>
                <w:color w:val="000000"/>
                <w:spacing w:val="-10"/>
                <w:kern w:val="0"/>
                <w:sz w:val="28"/>
                <w:szCs w:val="28"/>
              </w:rPr>
              <w:t>2.基层老年协会培育发展</w:t>
            </w:r>
            <w:r>
              <w:rPr>
                <w:rFonts w:hint="eastAsia" w:ascii="仿宋_GB2312" w:hAnsi="仿宋_GB2312" w:eastAsia="仿宋_GB2312" w:cs="仿宋_GB2312"/>
                <w:b/>
                <w:bCs/>
                <w:snapToGrid w:val="0"/>
                <w:color w:val="000000"/>
                <w:spacing w:val="-3"/>
                <w:kern w:val="0"/>
                <w:sz w:val="28"/>
                <w:szCs w:val="28"/>
                <w:lang w:eastAsia="zh-CN"/>
              </w:rPr>
              <w:t>项目</w:t>
            </w:r>
            <w:r>
              <w:rPr>
                <w:rFonts w:hint="eastAsia" w:ascii="仿宋_GB2312" w:hAnsi="仿宋_GB2312" w:eastAsia="仿宋_GB2312" w:cs="仿宋_GB2312"/>
                <w:b/>
                <w:bCs/>
                <w:snapToGrid w:val="0"/>
                <w:color w:val="000000"/>
                <w:spacing w:val="-10"/>
                <w:kern w:val="0"/>
                <w:sz w:val="28"/>
                <w:szCs w:val="28"/>
              </w:rPr>
              <w:t>。</w:t>
            </w:r>
            <w:r>
              <w:rPr>
                <w:rFonts w:hint="eastAsia" w:ascii="仿宋_GB2312" w:hAnsi="仿宋_GB2312" w:eastAsia="仿宋_GB2312" w:cs="仿宋_GB2312"/>
                <w:b w:val="0"/>
                <w:bCs w:val="0"/>
                <w:snapToGrid w:val="0"/>
                <w:color w:val="000000"/>
                <w:spacing w:val="-10"/>
                <w:kern w:val="0"/>
                <w:sz w:val="28"/>
                <w:szCs w:val="28"/>
              </w:rPr>
              <w:t>支持具备条件的村（社区）成立和规范发展基层老年协会，发挥其在互助养老、文体活动和基层治理等方面的作用。到2030年</w:t>
            </w:r>
            <w:r>
              <w:rPr>
                <w:rFonts w:hint="eastAsia" w:ascii="仿宋_GB2312" w:hAnsi="仿宋_GB2312" w:eastAsia="仿宋_GB2312" w:cs="仿宋_GB2312"/>
                <w:b w:val="0"/>
                <w:bCs w:val="0"/>
                <w:snapToGrid w:val="0"/>
                <w:color w:val="000000"/>
                <w:spacing w:val="-10"/>
                <w:kern w:val="0"/>
                <w:sz w:val="28"/>
                <w:szCs w:val="28"/>
                <w:lang w:eastAsia="zh-CN"/>
              </w:rPr>
              <w:t>底</w:t>
            </w:r>
            <w:r>
              <w:rPr>
                <w:rFonts w:hint="eastAsia" w:ascii="仿宋_GB2312" w:hAnsi="仿宋_GB2312" w:eastAsia="仿宋_GB2312" w:cs="仿宋_GB2312"/>
                <w:b w:val="0"/>
                <w:bCs w:val="0"/>
                <w:snapToGrid w:val="0"/>
                <w:color w:val="000000"/>
                <w:spacing w:val="-10"/>
                <w:kern w:val="0"/>
                <w:sz w:val="28"/>
                <w:szCs w:val="28"/>
              </w:rPr>
              <w:t>，基层老年协会覆盖率达到80%，老年人社会活动参与率达到60%。</w:t>
            </w:r>
          </w:p>
        </w:tc>
      </w:tr>
    </w:tbl>
    <w:p w14:paraId="26102882">
      <w:pPr>
        <w:keepNext w:val="0"/>
        <w:keepLines w:val="0"/>
        <w:pageBreakBefore w:val="0"/>
        <w:widowControl/>
        <w:kinsoku/>
        <w:wordWrap/>
        <w:overflowPunct/>
        <w:topLinePunct w:val="0"/>
        <w:autoSpaceDE w:val="0"/>
        <w:autoSpaceDN w:val="0"/>
        <w:bidi w:val="0"/>
        <w:adjustRightInd w:val="0"/>
        <w:snapToGrid w:val="0"/>
        <w:spacing w:line="560" w:lineRule="exact"/>
        <w:ind w:left="0" w:firstLine="604" w:firstLineChars="200"/>
        <w:jc w:val="both"/>
        <w:textAlignment w:val="baseline"/>
        <w:rPr>
          <w:rFonts w:ascii="黑体" w:hAnsi="黑体" w:eastAsia="黑体" w:cs="黑体"/>
          <w:snapToGrid w:val="0"/>
          <w:color w:val="000000"/>
          <w:spacing w:val="-19"/>
          <w:kern w:val="0"/>
          <w:sz w:val="34"/>
          <w:szCs w:val="34"/>
        </w:rPr>
      </w:pPr>
    </w:p>
    <w:p w14:paraId="3C04FCC5">
      <w:pPr>
        <w:keepNext w:val="0"/>
        <w:keepLines w:val="0"/>
        <w:pageBreakBefore w:val="0"/>
        <w:widowControl/>
        <w:kinsoku/>
        <w:wordWrap/>
        <w:overflowPunct/>
        <w:topLinePunct w:val="0"/>
        <w:autoSpaceDE w:val="0"/>
        <w:autoSpaceDN w:val="0"/>
        <w:bidi w:val="0"/>
        <w:adjustRightInd w:val="0"/>
        <w:snapToGrid w:val="0"/>
        <w:spacing w:line="560" w:lineRule="exact"/>
        <w:ind w:left="0" w:firstLine="564" w:firstLineChars="200"/>
        <w:jc w:val="both"/>
        <w:textAlignment w:val="baseline"/>
        <w:rPr>
          <w:rFonts w:ascii="黑体" w:hAnsi="黑体" w:eastAsia="黑体" w:cs="黑体"/>
          <w:snapToGrid w:val="0"/>
          <w:color w:val="000000"/>
          <w:spacing w:val="-19"/>
          <w:kern w:val="0"/>
          <w:sz w:val="32"/>
          <w:szCs w:val="32"/>
        </w:rPr>
      </w:pPr>
      <w:r>
        <w:rPr>
          <w:rFonts w:ascii="黑体" w:hAnsi="黑体" w:eastAsia="黑体" w:cs="黑体"/>
          <w:snapToGrid w:val="0"/>
          <w:color w:val="000000"/>
          <w:spacing w:val="-19"/>
          <w:kern w:val="0"/>
          <w:sz w:val="32"/>
          <w:szCs w:val="32"/>
        </w:rPr>
        <w:t>九、组织实施</w:t>
      </w:r>
    </w:p>
    <w:p w14:paraId="4B4AFADB">
      <w:pPr>
        <w:keepNext w:val="0"/>
        <w:keepLines w:val="0"/>
        <w:pageBreakBefore w:val="0"/>
        <w:widowControl/>
        <w:kinsoku/>
        <w:wordWrap/>
        <w:overflowPunct/>
        <w:topLinePunct w:val="0"/>
        <w:autoSpaceDE w:val="0"/>
        <w:autoSpaceDN w:val="0"/>
        <w:bidi w:val="0"/>
        <w:adjustRightInd w:val="0"/>
        <w:snapToGrid w:val="0"/>
        <w:spacing w:line="560" w:lineRule="exact"/>
        <w:ind w:right="0" w:firstLine="604" w:firstLineChars="200"/>
        <w:jc w:val="both"/>
        <w:textAlignment w:val="baseline"/>
        <w:rPr>
          <w:rFonts w:ascii="仿宋" w:hAnsi="仿宋" w:eastAsia="仿宋_GB2312" w:cs="仿宋"/>
          <w:snapToGrid w:val="0"/>
          <w:color w:val="000000"/>
          <w:spacing w:val="-9"/>
          <w:kern w:val="0"/>
          <w:sz w:val="32"/>
          <w:szCs w:val="32"/>
        </w:rPr>
      </w:pPr>
      <w:r>
        <w:rPr>
          <w:rFonts w:ascii="仿宋" w:hAnsi="仿宋" w:eastAsia="仿宋_GB2312" w:cs="仿宋"/>
          <w:snapToGrid w:val="0"/>
          <w:color w:val="000000"/>
          <w:spacing w:val="-9"/>
          <w:kern w:val="0"/>
          <w:sz w:val="32"/>
          <w:szCs w:val="32"/>
        </w:rPr>
        <w:t>坚持和加强党对老龄工作的全面领导，健全党委领导、政府负责、社会协同、全民参与的老龄工作机制。充分发挥市老龄工作委员会统筹协调作用，加强部门间信息共享和工作协同，协调解决规划实施中的重点难点问题。各有关部门按照职责分工抓好任务落实，各县（市、区）结合实际细化工作安排，推动各项任务有序实施。加强对规划实施情况的跟踪督促，及时掌握重点任务和重点项目进展，做好规划中期评估和总结评估，强化评估结果运用，对实施过程中出现的新情况新问题及时研究应对，推动规划目标任务落到实处。加强规划宣传解读，引导社会力量和广大群众关心、支持和参与老龄事业发展，营造积极应对人口老龄化的良好氛围。</w:t>
      </w:r>
    </w:p>
    <w:bookmarkEnd w:id="0"/>
    <w:p w14:paraId="2AE82882">
      <w:pPr>
        <w:keepNext w:val="0"/>
        <w:keepLines w:val="0"/>
        <w:pageBreakBefore w:val="0"/>
        <w:kinsoku/>
        <w:wordWrap/>
        <w:overflowPunct/>
        <w:topLinePunct w:val="0"/>
        <w:bidi w:val="0"/>
        <w:spacing w:line="560" w:lineRule="exact"/>
        <w:ind w:firstLine="640" w:firstLineChars="200"/>
        <w:jc w:val="both"/>
        <w:rPr>
          <w:rFonts w:ascii="Times New Roman" w:hAnsi="Times New Roman" w:eastAsia="仿宋_GB2312" w:cs="Times New Roman"/>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55451">
    <w:pPr>
      <w:tabs>
        <w:tab w:val="center" w:pos="4153"/>
        <w:tab w:val="right" w:pos="8306"/>
      </w:tabs>
      <w:snapToGrid w:val="0"/>
      <w:jc w:val="left"/>
      <w:rPr>
        <w:rFonts w:ascii="Calibri" w:hAnsi="Calibri" w:eastAsia="宋体"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847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BB847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hideSpellingErrors/>
  <w:hideGrammatical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c2ZGZiNzZiNDVlOGViOWVmM2JhOTY0NGJkNjUyYzgifQ=="/>
  </w:docVars>
  <w:rsids>
    <w:rsidRoot w:val="61CD5102"/>
    <w:rsid w:val="00057097"/>
    <w:rsid w:val="000640EB"/>
    <w:rsid w:val="000C49D5"/>
    <w:rsid w:val="00100CEA"/>
    <w:rsid w:val="002A4ADB"/>
    <w:rsid w:val="00307FB2"/>
    <w:rsid w:val="003A3B72"/>
    <w:rsid w:val="003B2A75"/>
    <w:rsid w:val="003F0415"/>
    <w:rsid w:val="00412961"/>
    <w:rsid w:val="00460F3F"/>
    <w:rsid w:val="0048554B"/>
    <w:rsid w:val="004A6F3D"/>
    <w:rsid w:val="004C0137"/>
    <w:rsid w:val="00555360"/>
    <w:rsid w:val="0055549D"/>
    <w:rsid w:val="006B0911"/>
    <w:rsid w:val="006B56FC"/>
    <w:rsid w:val="006C030F"/>
    <w:rsid w:val="00710FD9"/>
    <w:rsid w:val="00726CDF"/>
    <w:rsid w:val="007919F1"/>
    <w:rsid w:val="00882818"/>
    <w:rsid w:val="008912A2"/>
    <w:rsid w:val="009229F0"/>
    <w:rsid w:val="00933FA2"/>
    <w:rsid w:val="009A5C95"/>
    <w:rsid w:val="009A7458"/>
    <w:rsid w:val="009D2BF3"/>
    <w:rsid w:val="00B22ABF"/>
    <w:rsid w:val="00BF090E"/>
    <w:rsid w:val="00C12D06"/>
    <w:rsid w:val="00CE1A6E"/>
    <w:rsid w:val="00D24566"/>
    <w:rsid w:val="00D615A8"/>
    <w:rsid w:val="00D71646"/>
    <w:rsid w:val="00D87141"/>
    <w:rsid w:val="00D95673"/>
    <w:rsid w:val="00EE545D"/>
    <w:rsid w:val="02203B36"/>
    <w:rsid w:val="03351BC0"/>
    <w:rsid w:val="039815E9"/>
    <w:rsid w:val="03EA4331"/>
    <w:rsid w:val="045D2A60"/>
    <w:rsid w:val="04D168C6"/>
    <w:rsid w:val="04DC04A5"/>
    <w:rsid w:val="056C0F4A"/>
    <w:rsid w:val="058143F4"/>
    <w:rsid w:val="06C44714"/>
    <w:rsid w:val="079E652A"/>
    <w:rsid w:val="08092D78"/>
    <w:rsid w:val="08481711"/>
    <w:rsid w:val="092D47B1"/>
    <w:rsid w:val="092E6E8E"/>
    <w:rsid w:val="09962D25"/>
    <w:rsid w:val="0B021365"/>
    <w:rsid w:val="0B12755D"/>
    <w:rsid w:val="0CD759DC"/>
    <w:rsid w:val="0D7A6905"/>
    <w:rsid w:val="0DB3137D"/>
    <w:rsid w:val="0F976974"/>
    <w:rsid w:val="0FCA6E97"/>
    <w:rsid w:val="10E5456A"/>
    <w:rsid w:val="11165C4E"/>
    <w:rsid w:val="112A7346"/>
    <w:rsid w:val="11767D24"/>
    <w:rsid w:val="13FD0D5B"/>
    <w:rsid w:val="145F2D09"/>
    <w:rsid w:val="14C34C10"/>
    <w:rsid w:val="151B2F50"/>
    <w:rsid w:val="15E7532B"/>
    <w:rsid w:val="163C546E"/>
    <w:rsid w:val="1648373F"/>
    <w:rsid w:val="16FC71CF"/>
    <w:rsid w:val="17096E01"/>
    <w:rsid w:val="18027D4D"/>
    <w:rsid w:val="19906D0E"/>
    <w:rsid w:val="19911ED7"/>
    <w:rsid w:val="1AA37CA6"/>
    <w:rsid w:val="1AC6595C"/>
    <w:rsid w:val="1B1F5844"/>
    <w:rsid w:val="1BC6372F"/>
    <w:rsid w:val="1BE57884"/>
    <w:rsid w:val="1C1E2283"/>
    <w:rsid w:val="1CF15CF3"/>
    <w:rsid w:val="1D1B4CC1"/>
    <w:rsid w:val="1D36519B"/>
    <w:rsid w:val="1D9D7572"/>
    <w:rsid w:val="1E4B010A"/>
    <w:rsid w:val="1F193C27"/>
    <w:rsid w:val="1F4262BE"/>
    <w:rsid w:val="1F470BC3"/>
    <w:rsid w:val="2065572C"/>
    <w:rsid w:val="20714D37"/>
    <w:rsid w:val="218808C5"/>
    <w:rsid w:val="21981183"/>
    <w:rsid w:val="223F177A"/>
    <w:rsid w:val="22466B7F"/>
    <w:rsid w:val="22855DC0"/>
    <w:rsid w:val="23047D83"/>
    <w:rsid w:val="234F7310"/>
    <w:rsid w:val="23A27912"/>
    <w:rsid w:val="25442FCD"/>
    <w:rsid w:val="25BB2685"/>
    <w:rsid w:val="25C75CB5"/>
    <w:rsid w:val="261905C9"/>
    <w:rsid w:val="26ED1793"/>
    <w:rsid w:val="27F54A7E"/>
    <w:rsid w:val="28331EDD"/>
    <w:rsid w:val="284A60EC"/>
    <w:rsid w:val="297B3A26"/>
    <w:rsid w:val="298F270D"/>
    <w:rsid w:val="2A3B3B1E"/>
    <w:rsid w:val="2AC15141"/>
    <w:rsid w:val="2C7228BE"/>
    <w:rsid w:val="2C7B46FA"/>
    <w:rsid w:val="2CF62EB7"/>
    <w:rsid w:val="2D502C75"/>
    <w:rsid w:val="2DC54305"/>
    <w:rsid w:val="2E2154ED"/>
    <w:rsid w:val="2EAD5867"/>
    <w:rsid w:val="2FAA2168"/>
    <w:rsid w:val="30010640"/>
    <w:rsid w:val="305D04DA"/>
    <w:rsid w:val="311F78D2"/>
    <w:rsid w:val="31410F2B"/>
    <w:rsid w:val="31441123"/>
    <w:rsid w:val="31567632"/>
    <w:rsid w:val="32EC0A4B"/>
    <w:rsid w:val="3371458B"/>
    <w:rsid w:val="3465328D"/>
    <w:rsid w:val="355E7829"/>
    <w:rsid w:val="35D220C9"/>
    <w:rsid w:val="36610E5B"/>
    <w:rsid w:val="36922F10"/>
    <w:rsid w:val="369D5C0E"/>
    <w:rsid w:val="373345E0"/>
    <w:rsid w:val="37E02CA9"/>
    <w:rsid w:val="399D2220"/>
    <w:rsid w:val="39AC4900"/>
    <w:rsid w:val="39E07189"/>
    <w:rsid w:val="3C21158C"/>
    <w:rsid w:val="3C742FF8"/>
    <w:rsid w:val="3D9C0A51"/>
    <w:rsid w:val="3E0B6DFA"/>
    <w:rsid w:val="3EAD5944"/>
    <w:rsid w:val="3FC9585D"/>
    <w:rsid w:val="3FCC2DF3"/>
    <w:rsid w:val="3FD267F1"/>
    <w:rsid w:val="40460D3F"/>
    <w:rsid w:val="409E7F06"/>
    <w:rsid w:val="40C856A7"/>
    <w:rsid w:val="414B6C8B"/>
    <w:rsid w:val="41630477"/>
    <w:rsid w:val="42D70535"/>
    <w:rsid w:val="438E4727"/>
    <w:rsid w:val="43DF3392"/>
    <w:rsid w:val="43F1663A"/>
    <w:rsid w:val="44284BF5"/>
    <w:rsid w:val="456E5A4D"/>
    <w:rsid w:val="459019B0"/>
    <w:rsid w:val="461B78FB"/>
    <w:rsid w:val="468525CD"/>
    <w:rsid w:val="4744184F"/>
    <w:rsid w:val="477F5920"/>
    <w:rsid w:val="47C11E09"/>
    <w:rsid w:val="48764D4C"/>
    <w:rsid w:val="488D7ED5"/>
    <w:rsid w:val="48CA6E71"/>
    <w:rsid w:val="48F00888"/>
    <w:rsid w:val="4A930E15"/>
    <w:rsid w:val="4AD73E31"/>
    <w:rsid w:val="4B1034D3"/>
    <w:rsid w:val="4B9015CF"/>
    <w:rsid w:val="4CBE78BE"/>
    <w:rsid w:val="4DD76872"/>
    <w:rsid w:val="4E33181B"/>
    <w:rsid w:val="4E402BBA"/>
    <w:rsid w:val="4F8F0319"/>
    <w:rsid w:val="4F8F143A"/>
    <w:rsid w:val="50B454D0"/>
    <w:rsid w:val="51017737"/>
    <w:rsid w:val="514C6AC5"/>
    <w:rsid w:val="516477D1"/>
    <w:rsid w:val="51E4640C"/>
    <w:rsid w:val="523B074F"/>
    <w:rsid w:val="527C5D1B"/>
    <w:rsid w:val="547952E2"/>
    <w:rsid w:val="54F9103A"/>
    <w:rsid w:val="55282DAC"/>
    <w:rsid w:val="564632F5"/>
    <w:rsid w:val="5651482B"/>
    <w:rsid w:val="56EE3346"/>
    <w:rsid w:val="573375E6"/>
    <w:rsid w:val="57C70353"/>
    <w:rsid w:val="57D26244"/>
    <w:rsid w:val="57EA2489"/>
    <w:rsid w:val="5810775E"/>
    <w:rsid w:val="5A19443D"/>
    <w:rsid w:val="5B3C2B89"/>
    <w:rsid w:val="5BAD4BDE"/>
    <w:rsid w:val="5C7130DA"/>
    <w:rsid w:val="5D570436"/>
    <w:rsid w:val="5E09710F"/>
    <w:rsid w:val="5E3D0803"/>
    <w:rsid w:val="5FB2100A"/>
    <w:rsid w:val="60351D24"/>
    <w:rsid w:val="607D0CEE"/>
    <w:rsid w:val="60CA7CE2"/>
    <w:rsid w:val="610A79FF"/>
    <w:rsid w:val="614A0B4C"/>
    <w:rsid w:val="617F06FC"/>
    <w:rsid w:val="61CD5102"/>
    <w:rsid w:val="62E4437C"/>
    <w:rsid w:val="63847160"/>
    <w:rsid w:val="63D37AE1"/>
    <w:rsid w:val="64FE4EC0"/>
    <w:rsid w:val="66482D58"/>
    <w:rsid w:val="66533D59"/>
    <w:rsid w:val="666C1307"/>
    <w:rsid w:val="66E21AE0"/>
    <w:rsid w:val="670A6C13"/>
    <w:rsid w:val="677D7B4F"/>
    <w:rsid w:val="681521AA"/>
    <w:rsid w:val="684C1193"/>
    <w:rsid w:val="687E1FC3"/>
    <w:rsid w:val="687E2619"/>
    <w:rsid w:val="698D13D2"/>
    <w:rsid w:val="69A531AF"/>
    <w:rsid w:val="69F4749F"/>
    <w:rsid w:val="6AD55AB0"/>
    <w:rsid w:val="6AD60381"/>
    <w:rsid w:val="6C4E72E7"/>
    <w:rsid w:val="6DEF3809"/>
    <w:rsid w:val="6ED34EE1"/>
    <w:rsid w:val="6F4509F3"/>
    <w:rsid w:val="6FCD167A"/>
    <w:rsid w:val="6FF74E3B"/>
    <w:rsid w:val="703716D1"/>
    <w:rsid w:val="72A27D1D"/>
    <w:rsid w:val="743C2375"/>
    <w:rsid w:val="74542618"/>
    <w:rsid w:val="74C17C9D"/>
    <w:rsid w:val="74D82992"/>
    <w:rsid w:val="74E62CFC"/>
    <w:rsid w:val="74FC6089"/>
    <w:rsid w:val="752C2EBE"/>
    <w:rsid w:val="75A57FC7"/>
    <w:rsid w:val="75F25F5D"/>
    <w:rsid w:val="76044FA7"/>
    <w:rsid w:val="762F0514"/>
    <w:rsid w:val="76971FA5"/>
    <w:rsid w:val="76C1794B"/>
    <w:rsid w:val="76DD59F8"/>
    <w:rsid w:val="770F13F8"/>
    <w:rsid w:val="77184F59"/>
    <w:rsid w:val="77DB18AA"/>
    <w:rsid w:val="788F0BDD"/>
    <w:rsid w:val="78970129"/>
    <w:rsid w:val="78B079D4"/>
    <w:rsid w:val="79D8097A"/>
    <w:rsid w:val="7AD973AE"/>
    <w:rsid w:val="7D610D95"/>
    <w:rsid w:val="7F963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link w:val="19"/>
    <w:qFormat/>
    <w:uiPriority w:val="0"/>
    <w:pPr>
      <w:spacing w:after="120"/>
    </w:pPr>
    <w:rPr>
      <w:rFonts w:ascii="Times New Roman" w:hAnsi="Times New Roman" w:eastAsia="宋体" w:cs="Times New Roman"/>
    </w:rPr>
  </w:style>
  <w:style w:type="paragraph" w:styleId="4">
    <w:name w:val="toc 3"/>
    <w:basedOn w:val="1"/>
    <w:next w:val="1"/>
    <w:qFormat/>
    <w:uiPriority w:val="0"/>
    <w:pPr>
      <w:ind w:left="840" w:leftChars="400"/>
    </w:p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qFormat/>
    <w:uiPriority w:val="0"/>
  </w:style>
  <w:style w:type="paragraph" w:styleId="8">
    <w:name w:val="footnote text"/>
    <w:basedOn w:val="1"/>
    <w:qFormat/>
    <w:uiPriority w:val="0"/>
    <w:pPr>
      <w:snapToGrid w:val="0"/>
      <w:jc w:val="left"/>
    </w:pPr>
    <w:rPr>
      <w:sz w:val="18"/>
    </w:rPr>
  </w:style>
  <w:style w:type="paragraph" w:styleId="9">
    <w:name w:val="toc 2"/>
    <w:basedOn w:val="1"/>
    <w:next w:val="1"/>
    <w:qFormat/>
    <w:uiPriority w:val="0"/>
    <w:pPr>
      <w:ind w:left="420" w:leftChars="200"/>
    </w:pPr>
  </w:style>
  <w:style w:type="paragraph" w:styleId="10">
    <w:name w:val="Normal (Web)"/>
    <w:basedOn w:val="1"/>
    <w:qFormat/>
    <w:uiPriority w:val="0"/>
    <w:pPr>
      <w:spacing w:beforeAutospacing="1" w:afterAutospacing="1"/>
      <w:jc w:val="left"/>
    </w:pPr>
    <w:rPr>
      <w:rFonts w:cs="Times New Roman"/>
      <w:kern w:val="0"/>
      <w:sz w:val="24"/>
    </w:rPr>
  </w:style>
  <w:style w:type="table" w:styleId="12">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4">
    <w:name w:val="footnote reference"/>
    <w:basedOn w:val="13"/>
    <w:qFormat/>
    <w:uiPriority w:val="0"/>
    <w:rPr>
      <w:vertAlign w:val="superscript"/>
    </w:rPr>
  </w:style>
  <w:style w:type="paragraph" w:customStyle="1" w:styleId="15">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16">
    <w:name w:val="Table Text"/>
    <w:basedOn w:val="1"/>
    <w:semiHidden/>
    <w:qFormat/>
    <w:uiPriority w:val="0"/>
    <w:rPr>
      <w:rFonts w:ascii="宋体" w:hAnsi="宋体" w:eastAsia="宋体" w:cs="宋体"/>
      <w:sz w:val="26"/>
      <w:szCs w:val="26"/>
      <w:lang w:eastAsia="en-US"/>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9">
    <w:name w:val="正文文本 字符"/>
    <w:basedOn w:val="13"/>
    <w:link w:val="3"/>
    <w:qFormat/>
    <w:uiPriority w:val="0"/>
    <w:rPr>
      <w:kern w:val="2"/>
      <w:sz w:val="21"/>
      <w:szCs w:val="24"/>
    </w:rPr>
  </w:style>
  <w:style w:type="character" w:customStyle="1" w:styleId="20">
    <w:name w:val="页脚 字符"/>
    <w:basedOn w:val="13"/>
    <w:link w:val="5"/>
    <w:qFormat/>
    <w:uiPriority w:val="99"/>
    <w:rPr>
      <w:rFonts w:asciiTheme="minorHAnsi" w:hAnsiTheme="minorHAnsi" w:eastAsiaTheme="minorEastAsia" w:cstheme="minorBidi"/>
      <w:kern w:val="2"/>
      <w:sz w:val="18"/>
      <w:szCs w:val="18"/>
    </w:rPr>
  </w:style>
  <w:style w:type="table" w:customStyle="1" w:styleId="21">
    <w:name w:val="Table Normal1"/>
    <w:semiHidden/>
    <w:unhideWhenUsed/>
    <w:qFormat/>
    <w:uiPriority w:val="0"/>
    <w:rPr>
      <w:rFonts w:ascii="Arial" w:hAnsi="Arial" w:cs="Arial"/>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5AF480-D215-1243-8815-1E07CEB8E919}">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7974</Words>
  <Characters>8098</Characters>
  <Lines>58</Lines>
  <Paragraphs>16</Paragraphs>
  <TotalTime>24</TotalTime>
  <ScaleCrop>false</ScaleCrop>
  <LinksUpToDate>false</LinksUpToDate>
  <CharactersWithSpaces>8104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2026-09-22T04:35:00Z</dcterms:created>
  <dc:creator>chen</dc:creator>
  <cp:lastModifiedBy>La</cp:lastModifiedBy>
  <dcterms:modified xsi:type="dcterms:W3CDTF">2026-10-09T10:25:58Z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FBEDBF0C7DF245AAA46F9D3A321F9EB6_13</vt:lpwstr>
  </property>
  <property fmtid="{D5CDD505-2E9C-101B-9397-08002B2CF9AE}" pid="4" name="KSOTemplateDocerSaveRecord">
    <vt:lpwstr>eyJoZGlkIjoiZmNiOWFlMmE5MmUzNjkxZjg2NmI3YTg1MWQzNTlhNDciLCJ1c2VySWQiOiI4MjQwMTUwMzcifQ==</vt:lpwstr>
  </property>
</Properties>
</file>