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E0099">
      <w:pPr>
        <w:spacing w:line="360" w:lineRule="auto"/>
        <w:ind w:firstLine="0"/>
        <w:jc w:val="center"/>
        <w:rPr>
          <w:rFonts w:ascii="方正小标宋简体" w:hAnsi="方正小标宋简体" w:eastAsia="方正小标宋简体"/>
          <w:b w:val="0"/>
          <w:sz w:val="36"/>
        </w:rPr>
      </w:pPr>
      <w:r>
        <w:rPr>
          <w:rFonts w:hint="eastAsia" w:ascii="方正小标宋简体" w:hAnsi="方正小标宋简体" w:eastAsia="方正小标宋简体"/>
          <w:b w:val="0"/>
          <w:sz w:val="36"/>
          <w:lang w:val="en-US" w:eastAsia="zh-CN"/>
        </w:rPr>
        <w:t xml:space="preserve">      </w:t>
      </w:r>
      <w:r>
        <w:rPr>
          <w:rFonts w:ascii="方正小标宋简体" w:hAnsi="方正小标宋简体" w:eastAsia="方正小标宋简体"/>
          <w:b w:val="0"/>
          <w:sz w:val="36"/>
        </w:rPr>
        <w:t>关于同意</w:t>
      </w:r>
      <w:r>
        <w:rPr>
          <w:rFonts w:hint="eastAsia" w:ascii="方正小标宋简体" w:hAnsi="方正小标宋简体" w:eastAsia="方正小标宋简体"/>
          <w:b w:val="0"/>
          <w:sz w:val="36"/>
        </w:rPr>
        <w:t>汕尾崇文中等职业技术学校</w:t>
      </w:r>
      <w:r>
        <w:rPr>
          <w:rFonts w:ascii="方正小标宋简体" w:hAnsi="方正小标宋简体" w:eastAsia="方正小标宋简体"/>
          <w:b w:val="0"/>
          <w:sz w:val="36"/>
        </w:rPr>
        <w:t>项目存量建筑5年过渡期临时利用的联合审查意见</w:t>
      </w:r>
    </w:p>
    <w:p w14:paraId="6BCF1426">
      <w:pPr>
        <w:spacing w:line="360" w:lineRule="auto"/>
        <w:ind w:firstLine="0"/>
        <w:jc w:val="center"/>
        <w:rPr>
          <w:rFonts w:hint="eastAsia" w:ascii="方正小标宋简体" w:hAnsi="方正小标宋简体" w:eastAsia="方正小标宋简体"/>
          <w:b w:val="0"/>
          <w:sz w:val="36"/>
          <w:lang w:eastAsia="zh-CN"/>
        </w:rPr>
      </w:pPr>
      <w:r>
        <w:rPr>
          <w:rFonts w:hint="eastAsia" w:ascii="方正小标宋简体" w:hAnsi="方正小标宋简体" w:eastAsia="方正小标宋简体"/>
          <w:b w:val="0"/>
          <w:sz w:val="36"/>
          <w:lang w:eastAsia="zh-CN"/>
        </w:rPr>
        <w:t>（</w:t>
      </w:r>
      <w:r>
        <w:rPr>
          <w:rFonts w:hint="eastAsia" w:ascii="方正小标宋简体" w:hAnsi="方正小标宋简体" w:eastAsia="方正小标宋简体"/>
          <w:b w:val="0"/>
          <w:sz w:val="36"/>
          <w:lang w:val="en-US" w:eastAsia="zh-CN"/>
        </w:rPr>
        <w:t>草拟稿</w:t>
      </w:r>
      <w:r>
        <w:rPr>
          <w:rFonts w:hint="eastAsia" w:ascii="方正小标宋简体" w:hAnsi="方正小标宋简体" w:eastAsia="方正小标宋简体"/>
          <w:b w:val="0"/>
          <w:sz w:val="36"/>
          <w:lang w:eastAsia="zh-CN"/>
        </w:rPr>
        <w:t>）</w:t>
      </w:r>
    </w:p>
    <w:p w14:paraId="5D5A8335">
      <w:pPr>
        <w:spacing w:line="360" w:lineRule="auto"/>
        <w:ind w:firstLine="0"/>
        <w:jc w:val="center"/>
        <w:rPr>
          <w:rFonts w:hint="eastAsia" w:ascii="方正小标宋简体" w:hAnsi="方正小标宋简体" w:eastAsia="方正小标宋简体"/>
          <w:b w:val="0"/>
          <w:sz w:val="36"/>
          <w:lang w:eastAsia="zh-CN"/>
        </w:rPr>
      </w:pPr>
    </w:p>
    <w:p w14:paraId="287AB67E">
      <w:pPr>
        <w:keepNext w:val="0"/>
        <w:keepLines w:val="0"/>
        <w:widowControl/>
        <w:suppressLineNumbers w:val="0"/>
        <w:jc w:val="left"/>
        <w:rPr>
          <w:rFonts w:hint="eastAsia" w:ascii="仿宋_GB2312" w:hAnsi="仿宋_GB2312" w:eastAsia="仿宋_GB2312"/>
          <w:b w:val="0"/>
          <w:sz w:val="32"/>
          <w:lang w:val="en-US" w:eastAsia="zh-CN"/>
        </w:rPr>
      </w:pPr>
      <w:r>
        <w:rPr>
          <w:rFonts w:ascii="仿宋_GB2312" w:hAnsi="宋体" w:eastAsia="仿宋_GB2312" w:cs="仿宋_GB2312"/>
          <w:color w:val="000000"/>
          <w:kern w:val="0"/>
          <w:sz w:val="31"/>
          <w:szCs w:val="31"/>
          <w:lang w:val="en-US" w:eastAsia="zh-CN" w:bidi="ar"/>
        </w:rPr>
        <w:t>汕尾柏嘉玩具日用品有限公司</w:t>
      </w:r>
      <w:r>
        <w:rPr>
          <w:rFonts w:hint="eastAsia" w:ascii="仿宋_GB2312" w:hAnsi="宋体" w:eastAsia="仿宋_GB2312" w:cs="仿宋_GB2312"/>
          <w:color w:val="000000"/>
          <w:kern w:val="0"/>
          <w:sz w:val="31"/>
          <w:szCs w:val="31"/>
          <w:lang w:val="en-US" w:eastAsia="zh-CN" w:bidi="ar"/>
        </w:rPr>
        <w:t>：</w:t>
      </w:r>
    </w:p>
    <w:p w14:paraId="6F99877D">
      <w:pPr>
        <w:spacing w:line="360" w:lineRule="auto"/>
        <w:ind w:firstLine="640"/>
        <w:jc w:val="both"/>
      </w:pPr>
      <w:r>
        <w:rPr>
          <w:rFonts w:hint="eastAsia" w:ascii="仿宋_GB2312" w:hAnsi="仿宋_GB2312" w:eastAsia="仿宋_GB2312"/>
          <w:b w:val="0"/>
          <w:sz w:val="32"/>
          <w:lang w:val="en-US" w:eastAsia="zh-CN"/>
        </w:rPr>
        <w:t>按照</w:t>
      </w:r>
      <w:r>
        <w:rPr>
          <w:rFonts w:hint="eastAsia" w:ascii="仿宋_GB2312" w:hAnsi="仿宋_GB2312" w:eastAsia="仿宋_GB2312" w:cs="仿宋_GB2312"/>
          <w:b w:val="0"/>
          <w:sz w:val="32"/>
          <w:lang w:val="en-US" w:eastAsia="zh-CN"/>
        </w:rPr>
        <w:t>《自然资源部关于扩大深化低效用地再开发试点工作的通知》《关于印发自然资源要素支撑产业高质量发展指导目录（2024年本）的通知》等文件，</w:t>
      </w:r>
      <w:r>
        <w:rPr>
          <w:rFonts w:ascii="仿宋_GB2312" w:hAnsi="仿宋_GB2312" w:eastAsia="仿宋_GB2312"/>
          <w:b w:val="0"/>
          <w:sz w:val="32"/>
        </w:rPr>
        <w:t>经市政府组织市发展改革局、市自然资源局、市住房城乡建设局、市生态环境局、市教育局</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市市场监督管理局</w:t>
      </w:r>
      <w:r>
        <w:rPr>
          <w:rFonts w:ascii="仿宋_GB2312" w:hAnsi="仿宋_GB2312" w:eastAsia="仿宋_GB2312"/>
          <w:b w:val="0"/>
          <w:sz w:val="32"/>
        </w:rPr>
        <w:t>等单位联合审查</w:t>
      </w:r>
      <w:r>
        <w:rPr>
          <w:rFonts w:hint="eastAsia" w:ascii="仿宋_GB2312" w:hAnsi="仿宋_GB2312" w:eastAsia="仿宋_GB2312"/>
          <w:b w:val="0"/>
          <w:sz w:val="32"/>
          <w:lang w:val="en-US" w:eastAsia="zh-CN"/>
        </w:rPr>
        <w:t>并批准</w:t>
      </w:r>
      <w:r>
        <w:rPr>
          <w:rFonts w:ascii="仿宋_GB2312" w:hAnsi="仿宋_GB2312" w:eastAsia="仿宋_GB2312"/>
          <w:b w:val="0"/>
          <w:sz w:val="32"/>
        </w:rPr>
        <w:t>，</w:t>
      </w:r>
      <w:r>
        <w:rPr>
          <w:rFonts w:hint="eastAsia" w:ascii="仿宋_GB2312" w:hAnsi="仿宋_GB2312" w:eastAsia="仿宋_GB2312"/>
          <w:b w:val="0"/>
          <w:sz w:val="32"/>
          <w:lang w:val="en-US" w:eastAsia="zh-CN"/>
        </w:rPr>
        <w:t>且</w:t>
      </w:r>
      <w:r>
        <w:rPr>
          <w:rFonts w:ascii="仿宋_GB2312" w:hAnsi="仿宋_GB2312" w:eastAsia="仿宋_GB2312"/>
          <w:b w:val="0"/>
          <w:sz w:val="32"/>
        </w:rPr>
        <w:t>经公示无异议，现就你</w:t>
      </w:r>
      <w:r>
        <w:rPr>
          <w:rFonts w:hint="eastAsia" w:ascii="仿宋_GB2312" w:hAnsi="仿宋_GB2312" w:eastAsia="仿宋_GB2312"/>
          <w:b w:val="0"/>
          <w:sz w:val="32"/>
          <w:lang w:val="en-US" w:eastAsia="zh-CN"/>
        </w:rPr>
        <w:t>司</w:t>
      </w:r>
      <w:r>
        <w:rPr>
          <w:rFonts w:ascii="仿宋_GB2312" w:hAnsi="仿宋_GB2312" w:eastAsia="仿宋_GB2312"/>
          <w:b w:val="0"/>
          <w:sz w:val="32"/>
        </w:rPr>
        <w:t>申请的存量建筑5年过渡期临时利用事项，出具联合审查意见如下。</w:t>
      </w:r>
    </w:p>
    <w:p w14:paraId="587BA640">
      <w:pPr>
        <w:spacing w:line="360" w:lineRule="auto"/>
        <w:ind w:firstLine="640"/>
        <w:jc w:val="both"/>
        <w:rPr>
          <w:rFonts w:hint="default" w:eastAsia="黑体"/>
          <w:lang w:val="en-US" w:eastAsia="zh-CN"/>
        </w:rPr>
      </w:pPr>
      <w:r>
        <w:rPr>
          <w:rFonts w:ascii="黑体" w:hAnsi="黑体" w:eastAsia="黑体"/>
          <w:b w:val="0"/>
          <w:sz w:val="32"/>
        </w:rPr>
        <w:t>一、审查结论及</w:t>
      </w:r>
      <w:r>
        <w:rPr>
          <w:rFonts w:hint="eastAsia" w:ascii="黑体" w:hAnsi="黑体" w:eastAsia="黑体"/>
          <w:b w:val="0"/>
          <w:sz w:val="32"/>
          <w:lang w:val="en-US" w:eastAsia="zh-CN"/>
        </w:rPr>
        <w:t>允许事项</w:t>
      </w:r>
    </w:p>
    <w:p w14:paraId="58352EE2">
      <w:pPr>
        <w:spacing w:line="360" w:lineRule="auto"/>
        <w:ind w:firstLine="640"/>
        <w:jc w:val="both"/>
      </w:pPr>
      <w:r>
        <w:rPr>
          <w:rFonts w:ascii="仿宋_GB2312" w:hAnsi="仿宋_GB2312" w:eastAsia="仿宋_GB2312"/>
          <w:b w:val="0"/>
          <w:sz w:val="32"/>
        </w:rPr>
        <w:t>（一）审查结论。同意你</w:t>
      </w:r>
      <w:r>
        <w:rPr>
          <w:rFonts w:hint="eastAsia" w:ascii="仿宋_GB2312" w:hAnsi="仿宋_GB2312" w:eastAsia="仿宋_GB2312"/>
          <w:b w:val="0"/>
          <w:sz w:val="32"/>
          <w:lang w:val="en-US" w:eastAsia="zh-CN"/>
        </w:rPr>
        <w:t>司位于汕尾市区红草镇埔工业区海汕公路十七公里处东侧，面积45000平方米用地范围内</w:t>
      </w:r>
      <w:r>
        <w:rPr>
          <w:rFonts w:ascii="仿宋_GB2312" w:hAnsi="仿宋_GB2312" w:eastAsia="仿宋_GB2312"/>
          <w:b w:val="0"/>
          <w:sz w:val="32"/>
        </w:rPr>
        <w:t>的既有建筑物实施功能转换，由原</w:t>
      </w:r>
      <w:r>
        <w:rPr>
          <w:rFonts w:hint="eastAsia" w:ascii="仿宋_GB2312" w:hAnsi="仿宋_GB2312" w:eastAsia="仿宋_GB2312"/>
          <w:b w:val="0"/>
          <w:sz w:val="32"/>
          <w:lang w:val="en-US" w:eastAsia="zh-CN"/>
        </w:rPr>
        <w:t>工业用途于过渡期内临时</w:t>
      </w:r>
      <w:r>
        <w:rPr>
          <w:rFonts w:ascii="仿宋_GB2312" w:hAnsi="仿宋_GB2312" w:eastAsia="仿宋_GB2312"/>
          <w:b w:val="0"/>
          <w:sz w:val="32"/>
        </w:rPr>
        <w:t>转换为</w:t>
      </w:r>
      <w:r>
        <w:rPr>
          <w:rFonts w:hint="eastAsia" w:ascii="仿宋_GB2312" w:hAnsi="仿宋_GB2312" w:eastAsia="仿宋_GB2312"/>
          <w:b w:val="0"/>
          <w:sz w:val="32"/>
          <w:lang w:val="en-US" w:eastAsia="zh-CN"/>
        </w:rPr>
        <w:t>中等职业教育用途</w:t>
      </w:r>
      <w:r>
        <w:rPr>
          <w:rFonts w:ascii="仿宋_GB2312" w:hAnsi="仿宋_GB2312" w:eastAsia="仿宋_GB2312"/>
          <w:b w:val="0"/>
          <w:sz w:val="32"/>
        </w:rPr>
        <w:t>，用于汕尾崇文中等职业技术学校办学。</w:t>
      </w:r>
    </w:p>
    <w:p w14:paraId="049B9495">
      <w:pPr>
        <w:spacing w:line="360" w:lineRule="auto"/>
        <w:ind w:firstLine="640"/>
        <w:jc w:val="both"/>
        <w:rPr>
          <w:rFonts w:ascii="仿宋_GB2312" w:hAnsi="仿宋_GB2312" w:eastAsia="仿宋_GB2312"/>
          <w:b w:val="0"/>
          <w:sz w:val="32"/>
        </w:rPr>
      </w:pPr>
      <w:r>
        <w:rPr>
          <w:rFonts w:ascii="仿宋_GB2312" w:hAnsi="仿宋_GB2312" w:eastAsia="仿宋_GB2312"/>
          <w:b w:val="0"/>
          <w:sz w:val="32"/>
        </w:rPr>
        <w:t>（二）过渡期安排。同意按5年过渡期政策实施临时利用。过渡期自该项目完成竣工联合验收（或完工注销）之日起计算，为期5年。过渡期内不改变用地主体和规划条件，</w:t>
      </w:r>
      <w:r>
        <w:rPr>
          <w:rFonts w:ascii="仿宋_GB2312" w:hAnsi="仿宋_GB2312" w:eastAsia="仿宋_GB2312"/>
          <w:b/>
          <w:sz w:val="32"/>
        </w:rPr>
        <w:t>无需补缴土地价款</w:t>
      </w:r>
      <w:r>
        <w:rPr>
          <w:rFonts w:ascii="仿宋_GB2312" w:hAnsi="仿宋_GB2312" w:eastAsia="仿宋_GB2312"/>
          <w:b w:val="0"/>
          <w:sz w:val="32"/>
        </w:rPr>
        <w:t>。</w:t>
      </w:r>
    </w:p>
    <w:p w14:paraId="6C67D44C">
      <w:pPr>
        <w:spacing w:line="360" w:lineRule="auto"/>
        <w:ind w:firstLine="640"/>
        <w:jc w:val="both"/>
        <w:rPr>
          <w:rFonts w:ascii="仿宋_GB2312" w:hAnsi="仿宋_GB2312" w:eastAsia="仿宋_GB2312"/>
          <w:b w:val="0"/>
          <w:sz w:val="32"/>
        </w:rPr>
      </w:pPr>
      <w:r>
        <w:rPr>
          <w:rFonts w:ascii="仿宋_GB2312" w:hAnsi="仿宋_GB2312" w:eastAsia="仿宋_GB2312"/>
          <w:b w:val="0"/>
          <w:sz w:val="32"/>
        </w:rPr>
        <w:t>（</w:t>
      </w:r>
      <w:r>
        <w:rPr>
          <w:rFonts w:hint="eastAsia" w:ascii="仿宋_GB2312" w:hAnsi="仿宋_GB2312" w:eastAsia="仿宋_GB2312"/>
          <w:b w:val="0"/>
          <w:sz w:val="32"/>
          <w:lang w:val="en-US" w:eastAsia="zh-CN"/>
        </w:rPr>
        <w:t>三</w:t>
      </w:r>
      <w:r>
        <w:rPr>
          <w:rFonts w:ascii="仿宋_GB2312" w:hAnsi="仿宋_GB2312" w:eastAsia="仿宋_GB2312"/>
          <w:b w:val="0"/>
          <w:sz w:val="32"/>
        </w:rPr>
        <w:t>）</w:t>
      </w:r>
      <w:r>
        <w:rPr>
          <w:rFonts w:hint="eastAsia" w:ascii="仿宋_GB2312" w:hAnsi="仿宋_GB2312" w:eastAsia="仿宋_GB2312"/>
          <w:b w:val="0"/>
          <w:sz w:val="32"/>
          <w:lang w:val="en-US" w:eastAsia="zh-CN"/>
        </w:rPr>
        <w:t>建设安排</w:t>
      </w:r>
      <w:r>
        <w:rPr>
          <w:rFonts w:ascii="仿宋_GB2312" w:hAnsi="仿宋_GB2312" w:eastAsia="仿宋_GB2312"/>
          <w:b w:val="0"/>
          <w:sz w:val="32"/>
        </w:rPr>
        <w:t>。允许按经审查同意的建筑物功能转换方案，对既有建筑物实施适应性改造，改造范围和内容以</w:t>
      </w:r>
      <w:r>
        <w:rPr>
          <w:rFonts w:hint="eastAsia" w:ascii="仿宋_GB2312" w:hAnsi="仿宋_GB2312" w:eastAsia="仿宋_GB2312"/>
          <w:b w:val="0"/>
          <w:sz w:val="32"/>
          <w:lang w:val="en-US" w:eastAsia="zh-CN"/>
        </w:rPr>
        <w:t>联合审查</w:t>
      </w:r>
      <w:r>
        <w:rPr>
          <w:rFonts w:ascii="仿宋_GB2312" w:hAnsi="仿宋_GB2312" w:eastAsia="仿宋_GB2312"/>
          <w:b w:val="0"/>
          <w:sz w:val="32"/>
        </w:rPr>
        <w:t>批准</w:t>
      </w:r>
      <w:r>
        <w:rPr>
          <w:rFonts w:hint="eastAsia" w:ascii="仿宋_GB2312" w:hAnsi="仿宋_GB2312" w:eastAsia="仿宋_GB2312"/>
          <w:b w:val="0"/>
          <w:sz w:val="32"/>
          <w:lang w:val="en-US" w:eastAsia="zh-CN"/>
        </w:rPr>
        <w:t>的</w:t>
      </w:r>
      <w:r>
        <w:rPr>
          <w:rFonts w:ascii="仿宋_GB2312" w:hAnsi="仿宋_GB2312" w:eastAsia="仿宋_GB2312"/>
          <w:b w:val="0"/>
          <w:sz w:val="32"/>
        </w:rPr>
        <w:t>方案为准。凭本意见</w:t>
      </w:r>
      <w:r>
        <w:rPr>
          <w:rFonts w:hint="eastAsia" w:ascii="仿宋_GB2312" w:hAnsi="仿宋_GB2312" w:eastAsia="仿宋_GB2312"/>
          <w:b w:val="0"/>
          <w:sz w:val="32"/>
          <w:lang w:val="en-US" w:eastAsia="zh-CN"/>
        </w:rPr>
        <w:t>及相关材料向属地住房城乡建设部门申请办理</w:t>
      </w:r>
      <w:r>
        <w:rPr>
          <w:rFonts w:ascii="仿宋_GB2312" w:hAnsi="仿宋_GB2312" w:eastAsia="仿宋_GB2312"/>
          <w:b w:val="0"/>
          <w:sz w:val="32"/>
        </w:rPr>
        <w:t>建筑工程施工许可</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消防验收（备案）、竣工联合验收等手续。</w:t>
      </w:r>
      <w:r>
        <w:rPr>
          <w:rFonts w:ascii="仿宋_GB2312" w:hAnsi="仿宋_GB2312" w:eastAsia="仿宋_GB2312"/>
          <w:b w:val="0"/>
          <w:sz w:val="32"/>
        </w:rPr>
        <w:t>通过竣工联合验收（或完工注销）后，正式投入使用并开展办学活动。</w:t>
      </w:r>
    </w:p>
    <w:p w14:paraId="3FE720C8">
      <w:pPr>
        <w:spacing w:line="360" w:lineRule="auto"/>
        <w:ind w:firstLine="640"/>
        <w:jc w:val="both"/>
        <w:rPr>
          <w:rFonts w:ascii="仿宋_GB2312" w:hAnsi="仿宋_GB2312" w:eastAsia="仿宋_GB2312"/>
          <w:b w:val="0"/>
          <w:sz w:val="32"/>
        </w:rPr>
      </w:pPr>
      <w:r>
        <w:rPr>
          <w:rFonts w:ascii="仿宋_GB2312" w:hAnsi="仿宋_GB2312" w:eastAsia="仿宋_GB2312"/>
          <w:b w:val="0"/>
          <w:sz w:val="32"/>
        </w:rPr>
        <w:t>（</w:t>
      </w:r>
      <w:r>
        <w:rPr>
          <w:rFonts w:hint="eastAsia" w:ascii="仿宋_GB2312" w:hAnsi="仿宋_GB2312" w:eastAsia="仿宋_GB2312"/>
          <w:b w:val="0"/>
          <w:sz w:val="32"/>
          <w:lang w:val="en-US" w:eastAsia="zh-CN"/>
        </w:rPr>
        <w:t>四</w:t>
      </w:r>
      <w:r>
        <w:rPr>
          <w:rFonts w:ascii="仿宋_GB2312" w:hAnsi="仿宋_GB2312" w:eastAsia="仿宋_GB2312"/>
          <w:b w:val="0"/>
          <w:sz w:val="32"/>
        </w:rPr>
        <w:t>）效力说明。本意见为存量建筑功能转换及过渡期临时利用的依据，</w:t>
      </w:r>
      <w:r>
        <w:rPr>
          <w:rFonts w:ascii="仿宋_GB2312" w:hAnsi="仿宋_GB2312" w:eastAsia="仿宋_GB2312"/>
          <w:b/>
          <w:sz w:val="32"/>
        </w:rPr>
        <w:t>不作为永久改变土地用途或改变建筑物功能的依据</w:t>
      </w:r>
      <w:r>
        <w:rPr>
          <w:rFonts w:hint="eastAsia" w:ascii="仿宋_GB2312" w:hAnsi="仿宋_GB2312" w:eastAsia="仿宋_GB2312"/>
          <w:b/>
          <w:sz w:val="32"/>
          <w:lang w:eastAsia="zh-CN"/>
        </w:rPr>
        <w:t>，</w:t>
      </w:r>
      <w:r>
        <w:rPr>
          <w:rFonts w:ascii="仿宋_GB2312" w:hAnsi="仿宋_GB2312" w:eastAsia="仿宋_GB2312"/>
          <w:b w:val="0"/>
          <w:sz w:val="32"/>
        </w:rPr>
        <w:t>不得据此办理土地用途变更登记。</w:t>
      </w:r>
    </w:p>
    <w:p w14:paraId="77714104">
      <w:pPr>
        <w:spacing w:line="360" w:lineRule="auto"/>
        <w:ind w:firstLine="640"/>
        <w:jc w:val="both"/>
        <w:rPr>
          <w:rFonts w:ascii="黑体" w:hAnsi="黑体" w:eastAsia="黑体"/>
          <w:b w:val="0"/>
          <w:sz w:val="32"/>
        </w:rPr>
      </w:pPr>
      <w:r>
        <w:rPr>
          <w:rFonts w:hint="eastAsia" w:ascii="黑体" w:hAnsi="黑体" w:eastAsia="黑体"/>
          <w:b w:val="0"/>
          <w:sz w:val="32"/>
          <w:lang w:val="en-US" w:eastAsia="zh-CN"/>
        </w:rPr>
        <w:t>二</w:t>
      </w:r>
      <w:r>
        <w:rPr>
          <w:rFonts w:ascii="黑体" w:hAnsi="黑体" w:eastAsia="黑体"/>
          <w:b w:val="0"/>
          <w:sz w:val="32"/>
        </w:rPr>
        <w:t>、</w:t>
      </w:r>
      <w:r>
        <w:rPr>
          <w:rFonts w:hint="eastAsia" w:ascii="黑体" w:hAnsi="黑体" w:eastAsia="黑体"/>
          <w:b w:val="0"/>
          <w:sz w:val="32"/>
          <w:lang w:val="en-US" w:eastAsia="zh-CN"/>
        </w:rPr>
        <w:t>限制</w:t>
      </w:r>
      <w:r>
        <w:rPr>
          <w:rFonts w:ascii="黑体" w:hAnsi="黑体" w:eastAsia="黑体"/>
          <w:b w:val="0"/>
          <w:sz w:val="32"/>
        </w:rPr>
        <w:t>事项</w:t>
      </w:r>
    </w:p>
    <w:p w14:paraId="7801A048">
      <w:pPr>
        <w:spacing w:line="360" w:lineRule="auto"/>
        <w:ind w:firstLine="640"/>
        <w:jc w:val="both"/>
        <w:rPr>
          <w:rFonts w:ascii="仿宋_GB2312" w:hAnsi="仿宋_GB2312" w:eastAsia="仿宋_GB2312"/>
          <w:b w:val="0"/>
          <w:sz w:val="32"/>
        </w:rPr>
      </w:pP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一）过渡期间内无需办理不动产变更登记，</w:t>
      </w:r>
      <w:r>
        <w:rPr>
          <w:rFonts w:ascii="仿宋_GB2312" w:hAnsi="仿宋_GB2312" w:eastAsia="仿宋_GB2312"/>
          <w:b/>
          <w:sz w:val="32"/>
        </w:rPr>
        <w:t>不得按过渡用途进行房屋销售、分割转让、分割登记</w:t>
      </w:r>
      <w:r>
        <w:rPr>
          <w:rFonts w:ascii="仿宋_GB2312" w:hAnsi="仿宋_GB2312" w:eastAsia="仿宋_GB2312"/>
          <w:b w:val="0"/>
          <w:sz w:val="32"/>
        </w:rPr>
        <w:t>；依据申请人承诺，不予办理建筑物产权转移、预告转移登记。</w:t>
      </w:r>
    </w:p>
    <w:p w14:paraId="51EFA380">
      <w:pPr>
        <w:spacing w:line="360" w:lineRule="auto"/>
        <w:ind w:firstLine="640"/>
        <w:jc w:val="both"/>
      </w:pPr>
      <w:r>
        <w:rPr>
          <w:rFonts w:ascii="仿宋_GB2312" w:hAnsi="仿宋_GB2312" w:eastAsia="仿宋_GB2312"/>
          <w:b w:val="0"/>
          <w:sz w:val="32"/>
        </w:rPr>
        <w:t>（</w:t>
      </w:r>
      <w:r>
        <w:rPr>
          <w:rFonts w:hint="eastAsia" w:ascii="仿宋_GB2312" w:hAnsi="仿宋_GB2312" w:eastAsia="仿宋_GB2312"/>
          <w:b w:val="0"/>
          <w:sz w:val="32"/>
          <w:lang w:val="en-US" w:eastAsia="zh-CN"/>
        </w:rPr>
        <w:t>二</w:t>
      </w:r>
      <w:r>
        <w:rPr>
          <w:rFonts w:ascii="仿宋_GB2312" w:hAnsi="仿宋_GB2312" w:eastAsia="仿宋_GB2312"/>
          <w:b w:val="0"/>
          <w:sz w:val="32"/>
        </w:rPr>
        <w:t>）不得擅自改变经批准的转换功能，不得改作商业、商品住宅、工业等其他用途。</w:t>
      </w:r>
    </w:p>
    <w:p w14:paraId="636B0D46">
      <w:pPr>
        <w:spacing w:line="360" w:lineRule="auto"/>
        <w:ind w:firstLine="640"/>
        <w:jc w:val="both"/>
      </w:pPr>
      <w:r>
        <w:rPr>
          <w:rFonts w:ascii="仿宋_GB2312" w:hAnsi="仿宋_GB2312" w:eastAsia="仿宋_GB2312"/>
          <w:b w:val="0"/>
          <w:sz w:val="32"/>
        </w:rPr>
        <w:t>（</w:t>
      </w:r>
      <w:r>
        <w:rPr>
          <w:rFonts w:hint="eastAsia" w:ascii="仿宋_GB2312" w:hAnsi="仿宋_GB2312" w:eastAsia="仿宋_GB2312"/>
          <w:b w:val="0"/>
          <w:sz w:val="32"/>
          <w:lang w:val="en-US" w:eastAsia="zh-CN"/>
        </w:rPr>
        <w:t>三</w:t>
      </w:r>
      <w:r>
        <w:rPr>
          <w:rFonts w:ascii="仿宋_GB2312" w:hAnsi="仿宋_GB2312" w:eastAsia="仿宋_GB2312"/>
          <w:b w:val="0"/>
          <w:sz w:val="32"/>
        </w:rPr>
        <w:t>）不得违反消防安全、建筑结构安全、抗震设防及生态环保等管控要求，不得降低既有安全标准；不得对公共环境产生严重干扰、污染或安全隐患，。</w:t>
      </w:r>
    </w:p>
    <w:p w14:paraId="294654FC">
      <w:pPr>
        <w:spacing w:line="360" w:lineRule="auto"/>
        <w:ind w:firstLine="640"/>
        <w:jc w:val="both"/>
      </w:pPr>
      <w:r>
        <w:rPr>
          <w:rFonts w:ascii="仿宋_GB2312" w:hAnsi="仿宋_GB2312" w:eastAsia="仿宋_GB2312"/>
          <w:b w:val="0"/>
          <w:sz w:val="32"/>
        </w:rPr>
        <w:t>（</w:t>
      </w:r>
      <w:r>
        <w:rPr>
          <w:rFonts w:hint="eastAsia" w:ascii="仿宋_GB2312" w:hAnsi="仿宋_GB2312" w:eastAsia="仿宋_GB2312"/>
          <w:b w:val="0"/>
          <w:sz w:val="32"/>
          <w:lang w:val="en-US" w:eastAsia="zh-CN"/>
        </w:rPr>
        <w:t>四</w:t>
      </w:r>
      <w:r>
        <w:rPr>
          <w:rFonts w:ascii="仿宋_GB2312" w:hAnsi="仿宋_GB2312" w:eastAsia="仿宋_GB2312"/>
          <w:b w:val="0"/>
          <w:sz w:val="32"/>
        </w:rPr>
        <w:t>）</w:t>
      </w:r>
      <w:r>
        <w:rPr>
          <w:rFonts w:ascii="仿宋_GB2312" w:hAnsi="仿宋_GB2312" w:eastAsia="仿宋_GB2312"/>
          <w:b/>
          <w:sz w:val="32"/>
        </w:rPr>
        <w:t>未通过竣工联合验收的，不得投入使用</w:t>
      </w:r>
      <w:r>
        <w:rPr>
          <w:rFonts w:ascii="仿宋_GB2312" w:hAnsi="仿宋_GB2312" w:eastAsia="仿宋_GB2312"/>
          <w:b w:val="0"/>
          <w:sz w:val="32"/>
        </w:rPr>
        <w:t>。</w:t>
      </w:r>
    </w:p>
    <w:p w14:paraId="66AEA93A">
      <w:pPr>
        <w:spacing w:line="360" w:lineRule="auto"/>
        <w:ind w:firstLine="640"/>
        <w:jc w:val="both"/>
        <w:rPr>
          <w:rFonts w:ascii="仿宋_GB2312" w:hAnsi="仿宋_GB2312" w:eastAsia="仿宋_GB2312"/>
          <w:b w:val="0"/>
          <w:sz w:val="32"/>
        </w:rPr>
      </w:pPr>
      <w:r>
        <w:rPr>
          <w:rFonts w:ascii="仿宋_GB2312" w:hAnsi="仿宋_GB2312" w:eastAsia="仿宋_GB2312"/>
          <w:b w:val="0"/>
          <w:sz w:val="32"/>
        </w:rPr>
        <w:t>（</w:t>
      </w:r>
      <w:r>
        <w:rPr>
          <w:rFonts w:hint="eastAsia" w:ascii="仿宋_GB2312" w:hAnsi="仿宋_GB2312" w:eastAsia="仿宋_GB2312"/>
          <w:b w:val="0"/>
          <w:sz w:val="32"/>
          <w:lang w:val="en-US" w:eastAsia="zh-CN"/>
        </w:rPr>
        <w:t>五</w:t>
      </w:r>
      <w:r>
        <w:rPr>
          <w:rFonts w:ascii="仿宋_GB2312" w:hAnsi="仿宋_GB2312" w:eastAsia="仿宋_GB2312"/>
          <w:b w:val="0"/>
          <w:sz w:val="32"/>
        </w:rPr>
        <w:t>）不得擅自新建、扩建、加建（经依法批准的除外）；确需拆除原建筑物的，仍按原建筑物功能和原土地使用条件处理。</w:t>
      </w:r>
    </w:p>
    <w:p w14:paraId="5A9F331B">
      <w:pPr>
        <w:spacing w:line="360" w:lineRule="auto"/>
        <w:ind w:firstLine="640"/>
        <w:jc w:val="both"/>
        <w:rPr>
          <w:rFonts w:ascii="仿宋_GB2312" w:hAnsi="仿宋_GB2312" w:eastAsia="仿宋_GB2312"/>
          <w:b w:val="0"/>
          <w:sz w:val="32"/>
        </w:rPr>
      </w:pP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六</w:t>
      </w:r>
      <w:r>
        <w:rPr>
          <w:rFonts w:hint="eastAsia" w:ascii="仿宋_GB2312" w:hAnsi="仿宋_GB2312" w:eastAsia="仿宋_GB2312"/>
          <w:b w:val="0"/>
          <w:sz w:val="32"/>
          <w:lang w:eastAsia="zh-CN"/>
        </w:rPr>
        <w:t>）</w:t>
      </w:r>
      <w:r>
        <w:rPr>
          <w:rFonts w:ascii="仿宋_GB2312" w:hAnsi="仿宋_GB2312" w:eastAsia="仿宋_GB2312"/>
          <w:b w:val="0"/>
          <w:sz w:val="32"/>
        </w:rPr>
        <w:t>过渡期及临时利用期间，如遇政府征收（收回），</w:t>
      </w:r>
      <w:r>
        <w:rPr>
          <w:rFonts w:ascii="仿宋_GB2312" w:hAnsi="仿宋_GB2312" w:eastAsia="仿宋_GB2312"/>
          <w:b/>
          <w:sz w:val="32"/>
        </w:rPr>
        <w:t>按不动产登记的用途进行补偿</w:t>
      </w:r>
      <w:r>
        <w:rPr>
          <w:rFonts w:ascii="仿宋_GB2312" w:hAnsi="仿宋_GB2312" w:eastAsia="仿宋_GB2312"/>
          <w:b w:val="0"/>
          <w:sz w:val="32"/>
        </w:rPr>
        <w:t>。</w:t>
      </w:r>
    </w:p>
    <w:p w14:paraId="612750E5">
      <w:pPr>
        <w:spacing w:line="360" w:lineRule="auto"/>
        <w:ind w:firstLine="640"/>
        <w:jc w:val="both"/>
      </w:pPr>
      <w:r>
        <w:rPr>
          <w:rFonts w:ascii="仿宋_GB2312" w:hAnsi="仿宋_GB2312" w:eastAsia="仿宋_GB2312"/>
          <w:b w:val="0"/>
          <w:sz w:val="32"/>
        </w:rPr>
        <w:t>（</w:t>
      </w:r>
      <w:r>
        <w:rPr>
          <w:rFonts w:hint="eastAsia" w:ascii="仿宋_GB2312" w:hAnsi="仿宋_GB2312" w:eastAsia="仿宋_GB2312"/>
          <w:b w:val="0"/>
          <w:sz w:val="32"/>
          <w:lang w:val="en-US" w:eastAsia="zh-CN"/>
        </w:rPr>
        <w:t>六</w:t>
      </w:r>
      <w:r>
        <w:rPr>
          <w:rFonts w:ascii="仿宋_GB2312" w:hAnsi="仿宋_GB2312" w:eastAsia="仿宋_GB2312"/>
          <w:b w:val="0"/>
          <w:sz w:val="32"/>
        </w:rPr>
        <w:t>）不得违反与属地政府或行业主管部门签订的监管协议约定的其他禁止性事项。</w:t>
      </w:r>
    </w:p>
    <w:p w14:paraId="359BBDAC">
      <w:pPr>
        <w:spacing w:line="360" w:lineRule="auto"/>
        <w:ind w:firstLine="640"/>
        <w:jc w:val="both"/>
      </w:pPr>
      <w:r>
        <w:rPr>
          <w:rFonts w:hint="eastAsia" w:ascii="黑体" w:hAnsi="黑体" w:eastAsia="黑体"/>
          <w:b w:val="0"/>
          <w:sz w:val="32"/>
          <w:lang w:val="en-US" w:eastAsia="zh-CN"/>
        </w:rPr>
        <w:t>三</w:t>
      </w:r>
      <w:r>
        <w:rPr>
          <w:rFonts w:ascii="黑体" w:hAnsi="黑体" w:eastAsia="黑体"/>
          <w:b w:val="0"/>
          <w:sz w:val="32"/>
        </w:rPr>
        <w:t>、到期处置事项</w:t>
      </w:r>
    </w:p>
    <w:p w14:paraId="0D60AB86">
      <w:pPr>
        <w:spacing w:line="360" w:lineRule="auto"/>
        <w:ind w:firstLine="640"/>
        <w:jc w:val="both"/>
      </w:pPr>
      <w:r>
        <w:rPr>
          <w:rFonts w:ascii="仿宋_GB2312" w:hAnsi="仿宋_GB2312" w:eastAsia="仿宋_GB2312"/>
          <w:b w:val="0"/>
          <w:sz w:val="32"/>
        </w:rPr>
        <w:t>过渡期（5年）届满时，按以下情形分类处置：</w:t>
      </w:r>
    </w:p>
    <w:p w14:paraId="6889CE5C">
      <w:pPr>
        <w:numPr>
          <w:ilvl w:val="0"/>
          <w:numId w:val="7"/>
        </w:numPr>
        <w:spacing w:line="360" w:lineRule="auto"/>
        <w:ind w:firstLine="640"/>
        <w:jc w:val="both"/>
        <w:rPr>
          <w:rFonts w:hint="eastAsia" w:ascii="仿宋_GB2312" w:hAnsi="宋体" w:eastAsia="仿宋_GB2312" w:cs="仿宋_GB2312"/>
          <w:b w:val="0"/>
          <w:bCs w:val="0"/>
          <w:color w:val="000000"/>
          <w:sz w:val="31"/>
          <w:szCs w:val="31"/>
          <w:lang w:eastAsia="zh-CN"/>
        </w:rPr>
      </w:pPr>
      <w:r>
        <w:rPr>
          <w:rFonts w:ascii="仿宋_GB2312" w:hAnsi="宋体" w:eastAsia="仿宋_GB2312" w:cs="仿宋_GB2312"/>
          <w:b w:val="0"/>
          <w:bCs w:val="0"/>
          <w:color w:val="000000"/>
          <w:sz w:val="31"/>
          <w:szCs w:val="31"/>
        </w:rPr>
        <w:t>办理土地用途变更和补缴易地修建防空地下室费用。确需长期使用的，应于过渡期届满前6个月，按照转换后的新用途、新权利类型，分别向市自然资源局、市城区住房城乡建设局申请依法办理改变土地用途手续、易地修建防空地下室等手续，按规定补缴土地价款、易地修建防空地下室费用，并办理不动产变更登记</w:t>
      </w:r>
      <w:r>
        <w:rPr>
          <w:rFonts w:hint="eastAsia" w:ascii="仿宋_GB2312" w:hAnsi="宋体" w:eastAsia="仿宋_GB2312" w:cs="仿宋_GB2312"/>
          <w:b w:val="0"/>
          <w:bCs w:val="0"/>
          <w:color w:val="000000"/>
          <w:sz w:val="31"/>
          <w:szCs w:val="31"/>
          <w:lang w:eastAsia="zh-CN"/>
        </w:rPr>
        <w:t>。</w:t>
      </w:r>
    </w:p>
    <w:p w14:paraId="7824F90D">
      <w:pPr>
        <w:numPr>
          <w:ilvl w:val="0"/>
          <w:numId w:val="7"/>
        </w:numPr>
        <w:spacing w:line="360" w:lineRule="auto"/>
        <w:ind w:firstLine="640"/>
        <w:jc w:val="both"/>
      </w:pPr>
      <w:r>
        <w:rPr>
          <w:rFonts w:ascii="仿宋_GB2312" w:hAnsi="仿宋_GB2312" w:eastAsia="仿宋_GB2312"/>
          <w:b w:val="0"/>
          <w:sz w:val="32"/>
        </w:rPr>
        <w:t>（</w:t>
      </w:r>
      <w:r>
        <w:rPr>
          <w:rFonts w:hint="eastAsia" w:ascii="仿宋_GB2312" w:hAnsi="仿宋_GB2312" w:eastAsia="仿宋_GB2312"/>
          <w:b w:val="0"/>
          <w:sz w:val="32"/>
          <w:lang w:val="en-US" w:eastAsia="zh-CN"/>
        </w:rPr>
        <w:t>二</w:t>
      </w:r>
      <w:r>
        <w:rPr>
          <w:rFonts w:ascii="仿宋_GB2312" w:hAnsi="仿宋_GB2312" w:eastAsia="仿宋_GB2312"/>
          <w:b w:val="0"/>
          <w:sz w:val="32"/>
        </w:rPr>
        <w:t>）恢复原建筑用途。过渡期届满未取得续期批准或土地用途变更批准的，应当自届满之日起</w:t>
      </w:r>
      <w:r>
        <w:rPr>
          <w:rFonts w:hint="eastAsia" w:ascii="仿宋_GB2312" w:hAnsi="仿宋_GB2312" w:eastAsia="仿宋_GB2312"/>
          <w:b w:val="0"/>
          <w:sz w:val="32"/>
          <w:lang w:val="en-US" w:eastAsia="zh-CN"/>
        </w:rPr>
        <w:t>30</w:t>
      </w:r>
      <w:r>
        <w:rPr>
          <w:rFonts w:ascii="仿宋_GB2312" w:hAnsi="仿宋_GB2312" w:eastAsia="仿宋_GB2312"/>
          <w:b w:val="0"/>
          <w:sz w:val="32"/>
        </w:rPr>
        <w:t>日内恢复原建筑物功能（即工业用途）。</w:t>
      </w:r>
      <w:r>
        <w:rPr>
          <w:rFonts w:ascii="仿宋_GB2312" w:hAnsi="仿宋_GB2312" w:eastAsia="仿宋_GB2312"/>
          <w:b/>
          <w:sz w:val="32"/>
        </w:rPr>
        <w:t>未按程序恢复原建筑物功能的，由相关执法机构依法依规查处</w:t>
      </w:r>
      <w:r>
        <w:rPr>
          <w:rFonts w:ascii="仿宋_GB2312" w:hAnsi="仿宋_GB2312" w:eastAsia="仿宋_GB2312"/>
          <w:b w:val="0"/>
          <w:sz w:val="32"/>
        </w:rPr>
        <w:t>。</w:t>
      </w:r>
    </w:p>
    <w:p w14:paraId="26FE93C2">
      <w:pPr>
        <w:spacing w:line="360" w:lineRule="auto"/>
        <w:ind w:firstLine="640"/>
        <w:jc w:val="both"/>
      </w:pPr>
      <w:r>
        <w:rPr>
          <w:rFonts w:hint="eastAsia" w:ascii="黑体" w:hAnsi="黑体" w:eastAsia="黑体"/>
          <w:b w:val="0"/>
          <w:sz w:val="32"/>
          <w:lang w:val="en-US" w:eastAsia="zh-CN"/>
        </w:rPr>
        <w:t>四</w:t>
      </w:r>
      <w:r>
        <w:rPr>
          <w:rFonts w:ascii="黑体" w:hAnsi="黑体" w:eastAsia="黑体"/>
          <w:b w:val="0"/>
          <w:sz w:val="32"/>
        </w:rPr>
        <w:t>、办理时限要求</w:t>
      </w:r>
    </w:p>
    <w:p w14:paraId="2E0DCCE0">
      <w:pPr>
        <w:spacing w:line="360" w:lineRule="auto"/>
        <w:ind w:firstLine="640"/>
        <w:jc w:val="both"/>
      </w:pPr>
      <w:r>
        <w:rPr>
          <w:rFonts w:ascii="仿宋_GB2312" w:hAnsi="仿宋_GB2312" w:eastAsia="仿宋_GB2312"/>
          <w:b w:val="0"/>
          <w:sz w:val="32"/>
        </w:rPr>
        <w:t>（一）应自取得本意见之日起1年内完成竣工联合验收或完工注销；因工程量较大等原因确需延期的，可申请延期1次，最长不超过1年。</w:t>
      </w:r>
    </w:p>
    <w:p w14:paraId="58003F23">
      <w:pPr>
        <w:spacing w:line="360" w:lineRule="auto"/>
        <w:ind w:firstLine="640"/>
        <w:jc w:val="both"/>
      </w:pPr>
      <w:r>
        <w:rPr>
          <w:rFonts w:ascii="仿宋_GB2312" w:hAnsi="仿宋_GB2312" w:eastAsia="仿宋_GB2312"/>
          <w:b w:val="0"/>
          <w:sz w:val="32"/>
        </w:rPr>
        <w:t>（二</w:t>
      </w:r>
      <w:r>
        <w:rPr>
          <w:rFonts w:hint="eastAsia" w:ascii="仿宋_GB2312" w:hAnsi="仿宋_GB2312" w:eastAsia="仿宋_GB2312"/>
          <w:b w:val="0"/>
          <w:sz w:val="32"/>
          <w:lang w:eastAsia="zh-CN"/>
        </w:rPr>
        <w:t>）</w:t>
      </w:r>
      <w:r>
        <w:rPr>
          <w:rFonts w:ascii="仿宋_GB2312" w:hAnsi="仿宋_GB2312" w:eastAsia="仿宋_GB2312"/>
          <w:b w:val="0"/>
          <w:sz w:val="32"/>
        </w:rPr>
        <w:t>申请办理土地用途变更的，应于过渡期或续期届满前6个月提出申请。</w:t>
      </w:r>
    </w:p>
    <w:p w14:paraId="7FFF7DB3">
      <w:pPr>
        <w:spacing w:line="360" w:lineRule="auto"/>
        <w:ind w:firstLine="640"/>
        <w:jc w:val="both"/>
      </w:pPr>
      <w:r>
        <w:rPr>
          <w:rFonts w:ascii="仿宋_GB2312" w:hAnsi="仿宋_GB2312" w:eastAsia="仿宋_GB2312"/>
          <w:b w:val="0"/>
          <w:sz w:val="32"/>
        </w:rPr>
        <w:t>（三）上述期限届满未完成的，本意见自动失效。</w:t>
      </w:r>
    </w:p>
    <w:p w14:paraId="3FFA2160">
      <w:pPr>
        <w:spacing w:line="360" w:lineRule="auto"/>
        <w:ind w:firstLine="640"/>
        <w:jc w:val="both"/>
      </w:pPr>
      <w:r>
        <w:rPr>
          <w:rFonts w:hint="eastAsia" w:ascii="黑体" w:hAnsi="黑体" w:eastAsia="黑体"/>
          <w:b w:val="0"/>
          <w:sz w:val="32"/>
          <w:lang w:val="en-US" w:eastAsia="zh-CN"/>
        </w:rPr>
        <w:t>五</w:t>
      </w:r>
      <w:r>
        <w:rPr>
          <w:rFonts w:ascii="黑体" w:hAnsi="黑体" w:eastAsia="黑体"/>
          <w:b w:val="0"/>
          <w:sz w:val="32"/>
        </w:rPr>
        <w:t>、监管要求</w:t>
      </w:r>
    </w:p>
    <w:p w14:paraId="07D6F287">
      <w:pPr>
        <w:spacing w:line="360" w:lineRule="auto"/>
        <w:ind w:firstLine="640"/>
        <w:jc w:val="both"/>
      </w:pPr>
      <w:r>
        <w:rPr>
          <w:rFonts w:ascii="仿宋_GB2312" w:hAnsi="仿宋_GB2312" w:eastAsia="仿宋_GB2312"/>
          <w:b w:val="0"/>
          <w:sz w:val="32"/>
        </w:rPr>
        <w:t>（一）签订监管协议。房屋所有权人应与行业主管部门签订监管协议，约定过渡期内利用、监管和退出等要求，并严格履行。</w:t>
      </w:r>
    </w:p>
    <w:p w14:paraId="3B449A7D">
      <w:pPr>
        <w:spacing w:line="360" w:lineRule="auto"/>
        <w:ind w:firstLine="640"/>
        <w:jc w:val="both"/>
      </w:pPr>
      <w:r>
        <w:rPr>
          <w:rFonts w:ascii="仿宋_GB2312" w:hAnsi="仿宋_GB2312" w:eastAsia="仿宋_GB2312"/>
          <w:b w:val="0"/>
          <w:sz w:val="32"/>
        </w:rPr>
        <w:t>（二）部门分工监管。市自然资源局负责用地性质、规划</w:t>
      </w:r>
      <w:r>
        <w:rPr>
          <w:rFonts w:hint="eastAsia" w:ascii="仿宋_GB2312" w:hAnsi="仿宋_GB2312" w:eastAsia="仿宋_GB2312"/>
          <w:b w:val="0"/>
          <w:sz w:val="32"/>
          <w:lang w:val="en-US" w:eastAsia="zh-CN"/>
        </w:rPr>
        <w:t>用途</w:t>
      </w:r>
      <w:r>
        <w:rPr>
          <w:rFonts w:ascii="仿宋_GB2312" w:hAnsi="仿宋_GB2312" w:eastAsia="仿宋_GB2312"/>
          <w:b w:val="0"/>
          <w:sz w:val="32"/>
        </w:rPr>
        <w:t>及土地利用状态监管；</w:t>
      </w:r>
      <w:r>
        <w:rPr>
          <w:rFonts w:ascii="仿宋_GB2312" w:hAnsi="宋体" w:eastAsia="仿宋_GB2312" w:cs="仿宋_GB2312"/>
          <w:b w:val="0"/>
          <w:bCs w:val="0"/>
          <w:color w:val="000000"/>
          <w:sz w:val="31"/>
          <w:szCs w:val="31"/>
        </w:rPr>
        <w:t>市住房城乡建设局负责指导属地市城区住房城乡建设局落实建筑结构安全监管、建设工程消防审验</w:t>
      </w:r>
      <w:r>
        <w:rPr>
          <w:rFonts w:ascii="仿宋_GB2312" w:hAnsi="仿宋_GB2312" w:eastAsia="仿宋_GB2312"/>
          <w:b w:val="0"/>
          <w:sz w:val="32"/>
        </w:rPr>
        <w:t>；市生态环境局负责环境保护监管；市教育局负责办学行为、办学条件监管；市消防救援</w:t>
      </w:r>
      <w:r>
        <w:rPr>
          <w:rFonts w:hint="eastAsia" w:ascii="仿宋_GB2312" w:hAnsi="仿宋_GB2312" w:eastAsia="仿宋_GB2312"/>
          <w:b w:val="0"/>
          <w:sz w:val="32"/>
          <w:lang w:val="en-US" w:eastAsia="zh-CN"/>
        </w:rPr>
        <w:t>支队</w:t>
      </w:r>
      <w:r>
        <w:rPr>
          <w:rFonts w:ascii="仿宋_GB2312" w:hAnsi="仿宋_GB2312" w:eastAsia="仿宋_GB2312"/>
          <w:b w:val="0"/>
          <w:sz w:val="32"/>
        </w:rPr>
        <w:t>负责消防安全监督检查。</w:t>
      </w:r>
    </w:p>
    <w:p w14:paraId="6AE5EDCB">
      <w:pPr>
        <w:spacing w:line="360" w:lineRule="auto"/>
        <w:ind w:firstLine="640"/>
        <w:jc w:val="both"/>
      </w:pPr>
      <w:r>
        <w:rPr>
          <w:rFonts w:ascii="仿宋_GB2312" w:hAnsi="仿宋_GB2312" w:eastAsia="仿宋_GB2312"/>
          <w:b w:val="0"/>
          <w:sz w:val="32"/>
        </w:rPr>
        <w:t>（三）年度报告。</w:t>
      </w:r>
      <w:r>
        <w:rPr>
          <w:rFonts w:hint="eastAsia" w:ascii="仿宋_GB2312" w:hAnsi="仿宋_GB2312" w:eastAsia="仿宋_GB2312"/>
          <w:b w:val="0"/>
          <w:sz w:val="32"/>
          <w:lang w:val="en-US" w:eastAsia="zh-CN"/>
        </w:rPr>
        <w:t>你司</w:t>
      </w:r>
      <w:r>
        <w:rPr>
          <w:rFonts w:ascii="仿宋_GB2312" w:hAnsi="仿宋_GB2312" w:eastAsia="仿宋_GB2312"/>
          <w:b w:val="0"/>
          <w:sz w:val="32"/>
        </w:rPr>
        <w:t>应于每年</w:t>
      </w:r>
      <w:r>
        <w:rPr>
          <w:rFonts w:hint="eastAsia" w:ascii="仿宋_GB2312" w:hAnsi="仿宋_GB2312" w:eastAsia="仿宋_GB2312"/>
          <w:b w:val="0"/>
          <w:sz w:val="32"/>
          <w:lang w:val="en-US" w:eastAsia="zh-CN"/>
        </w:rPr>
        <w:t>12</w:t>
      </w:r>
      <w:r>
        <w:rPr>
          <w:rFonts w:ascii="仿宋_GB2312" w:hAnsi="仿宋_GB2312" w:eastAsia="仿宋_GB2312"/>
          <w:b w:val="0"/>
          <w:sz w:val="32"/>
        </w:rPr>
        <w:t>月</w:t>
      </w:r>
      <w:r>
        <w:rPr>
          <w:rFonts w:hint="eastAsia" w:ascii="仿宋_GB2312" w:hAnsi="仿宋_GB2312" w:eastAsia="仿宋_GB2312"/>
          <w:b w:val="0"/>
          <w:sz w:val="32"/>
          <w:lang w:val="en-US" w:eastAsia="zh-CN"/>
        </w:rPr>
        <w:t>31</w:t>
      </w:r>
      <w:r>
        <w:rPr>
          <w:rFonts w:ascii="仿宋_GB2312" w:hAnsi="仿宋_GB2312" w:eastAsia="仿宋_GB2312"/>
          <w:b w:val="0"/>
          <w:sz w:val="32"/>
        </w:rPr>
        <w:t>日前向</w:t>
      </w:r>
      <w:r>
        <w:rPr>
          <w:rFonts w:hint="eastAsia" w:ascii="仿宋_GB2312" w:hAnsi="仿宋_GB2312" w:eastAsia="仿宋_GB2312"/>
          <w:b w:val="0"/>
          <w:sz w:val="32"/>
          <w:lang w:val="en-US" w:eastAsia="zh-CN"/>
        </w:rPr>
        <w:t>有关部门</w:t>
      </w:r>
      <w:r>
        <w:rPr>
          <w:rFonts w:ascii="仿宋_GB2312" w:hAnsi="仿宋_GB2312" w:eastAsia="仿宋_GB2312"/>
          <w:b w:val="0"/>
          <w:sz w:val="32"/>
        </w:rPr>
        <w:t>书面报告建筑物使用、办学规模及安全状况；发生重大安全、环境事件的，应立即报告并停止使用。</w:t>
      </w:r>
    </w:p>
    <w:p w14:paraId="4359CEA2">
      <w:pPr>
        <w:spacing w:line="360" w:lineRule="auto"/>
        <w:ind w:firstLine="640"/>
        <w:jc w:val="both"/>
      </w:pPr>
      <w:r>
        <w:rPr>
          <w:rFonts w:ascii="仿宋_GB2312" w:hAnsi="仿宋_GB2312" w:eastAsia="仿宋_GB2312"/>
          <w:b w:val="0"/>
          <w:sz w:val="32"/>
        </w:rPr>
        <w:t>（四）违规处理。违反本意见或监管协议约定的，提前终止过渡期，责令恢复原建筑用途，并依法追究相应责任。</w:t>
      </w:r>
    </w:p>
    <w:p w14:paraId="515858A0">
      <w:pPr>
        <w:spacing w:line="360" w:lineRule="auto"/>
        <w:ind w:firstLine="640"/>
        <w:jc w:val="both"/>
      </w:pPr>
      <w:r>
        <w:rPr>
          <w:rFonts w:hint="eastAsia" w:ascii="黑体" w:hAnsi="黑体" w:eastAsia="黑体"/>
          <w:b w:val="0"/>
          <w:sz w:val="32"/>
          <w:lang w:val="en-US" w:eastAsia="zh-CN"/>
        </w:rPr>
        <w:t>六</w:t>
      </w:r>
      <w:r>
        <w:rPr>
          <w:rFonts w:ascii="黑体" w:hAnsi="黑体" w:eastAsia="黑体"/>
          <w:b w:val="0"/>
          <w:sz w:val="32"/>
        </w:rPr>
        <w:t>、其他事项</w:t>
      </w:r>
    </w:p>
    <w:p w14:paraId="518F07AC">
      <w:pPr>
        <w:spacing w:line="360" w:lineRule="auto"/>
        <w:ind w:firstLine="640"/>
        <w:jc w:val="both"/>
      </w:pPr>
      <w:r>
        <w:rPr>
          <w:rFonts w:ascii="仿宋_GB2312" w:hAnsi="仿宋_GB2312" w:eastAsia="仿宋_GB2312"/>
          <w:b w:val="0"/>
          <w:sz w:val="32"/>
        </w:rPr>
        <w:t>（一）本意见自印发之日起生效，有效期与过渡期一致。</w:t>
      </w:r>
    </w:p>
    <w:p w14:paraId="3AE8B82F">
      <w:pPr>
        <w:spacing w:line="360" w:lineRule="auto"/>
        <w:ind w:firstLine="640"/>
        <w:jc w:val="both"/>
        <w:rPr>
          <w:rFonts w:ascii="仿宋_GB2312" w:hAnsi="仿宋_GB2312" w:eastAsia="仿宋_GB2312"/>
          <w:b w:val="0"/>
          <w:sz w:val="32"/>
        </w:rPr>
      </w:pPr>
      <w:r>
        <w:rPr>
          <w:rFonts w:ascii="仿宋_GB2312" w:hAnsi="仿宋_GB2312" w:eastAsia="仿宋_GB2312"/>
          <w:b w:val="0"/>
          <w:sz w:val="32"/>
        </w:rPr>
        <w:t>（二）过渡期内如国家、省、市有关政策调整，按调整后的政策执行。</w:t>
      </w:r>
    </w:p>
    <w:p w14:paraId="61000B76">
      <w:pPr>
        <w:spacing w:line="360" w:lineRule="auto"/>
        <w:ind w:firstLine="640"/>
        <w:jc w:val="both"/>
        <w:rPr>
          <w:rFonts w:hint="eastAsia" w:ascii="仿宋_GB2312" w:hAnsi="仿宋_GB2312" w:eastAsia="仿宋_GB2312"/>
          <w:b w:val="0"/>
          <w:sz w:val="32"/>
          <w:lang w:eastAsia="zh-CN"/>
        </w:rPr>
      </w:pP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三</w:t>
      </w:r>
      <w:r>
        <w:rPr>
          <w:rFonts w:hint="eastAsia" w:ascii="仿宋_GB2312" w:hAnsi="仿宋_GB2312" w:eastAsia="仿宋_GB2312"/>
          <w:b w:val="0"/>
          <w:sz w:val="32"/>
          <w:lang w:eastAsia="zh-CN"/>
        </w:rPr>
        <w:t>）</w:t>
      </w:r>
      <w:r>
        <w:rPr>
          <w:rFonts w:hint="eastAsia" w:ascii="仿宋_GB2312" w:hAnsi="仿宋_GB2312" w:eastAsia="仿宋_GB2312"/>
          <w:b w:val="0"/>
          <w:sz w:val="32"/>
        </w:rPr>
        <w:t>本联合审查意见仅为存量建筑过渡期临时利用依据，不视作项目具备申请中央预算内投资、地方政府专项债等各级财政资金的前置条件</w:t>
      </w:r>
      <w:r>
        <w:rPr>
          <w:rFonts w:hint="eastAsia" w:ascii="仿宋_GB2312" w:hAnsi="仿宋_GB2312" w:eastAsia="仿宋_GB2312"/>
          <w:b w:val="0"/>
          <w:sz w:val="32"/>
          <w:lang w:eastAsia="zh-CN"/>
        </w:rPr>
        <w:t>。</w:t>
      </w:r>
    </w:p>
    <w:p w14:paraId="5DDD9354">
      <w:pPr>
        <w:spacing w:line="360" w:lineRule="auto"/>
        <w:rPr>
          <w:rFonts w:ascii="仿宋_GB2312" w:hAnsi="仿宋_GB2312" w:eastAsia="仿宋_GB2312"/>
          <w:b w:val="0"/>
          <w:sz w:val="32"/>
        </w:rPr>
      </w:pPr>
    </w:p>
    <w:p w14:paraId="6EA46F5D">
      <w:pPr>
        <w:spacing w:line="360" w:lineRule="auto"/>
        <w:rPr>
          <w:rFonts w:ascii="仿宋_GB2312" w:hAnsi="仿宋_GB2312" w:eastAsia="仿宋_GB2312"/>
          <w:b w:val="0"/>
          <w:sz w:val="32"/>
        </w:rPr>
      </w:pPr>
    </w:p>
    <w:p w14:paraId="06CC62D3">
      <w:pPr>
        <w:spacing w:line="360" w:lineRule="auto"/>
        <w:ind w:firstLine="0"/>
        <w:jc w:val="right"/>
        <w:rPr>
          <w:rFonts w:hint="default" w:ascii="仿宋_GB2312" w:hAnsi="仿宋_GB2312" w:eastAsia="仿宋_GB2312"/>
          <w:b w:val="0"/>
          <w:sz w:val="32"/>
          <w:lang w:val="en-US" w:eastAsia="zh-CN"/>
        </w:rPr>
      </w:pPr>
      <w:r>
        <w:rPr>
          <w:rFonts w:ascii="仿宋_GB2312" w:hAnsi="仿宋_GB2312" w:eastAsia="仿宋_GB2312"/>
          <w:b w:val="0"/>
          <w:sz w:val="32"/>
        </w:rPr>
        <w:t>××××</w:t>
      </w:r>
      <w:bookmarkStart w:id="0" w:name="_GoBack"/>
      <w:bookmarkEnd w:id="0"/>
    </w:p>
    <w:p w14:paraId="0512003B">
      <w:pPr>
        <w:spacing w:line="360" w:lineRule="auto"/>
        <w:ind w:firstLine="0"/>
        <w:jc w:val="right"/>
      </w:pPr>
      <w:r>
        <w:rPr>
          <w:rFonts w:ascii="仿宋_GB2312" w:hAnsi="仿宋_GB2312" w:eastAsia="仿宋_GB2312"/>
          <w:b w:val="0"/>
          <w:sz w:val="32"/>
        </w:rPr>
        <w:t>××年××月××日</w:t>
      </w:r>
    </w:p>
    <w:p w14:paraId="02939D6E">
      <w:pPr>
        <w:spacing w:line="360" w:lineRule="auto"/>
        <w:ind w:firstLine="0"/>
        <w:rPr>
          <w:rFonts w:ascii="仿宋_GB2312" w:hAnsi="仿宋_GB2312" w:eastAsia="仿宋_GB2312"/>
          <w:b w:val="0"/>
          <w:sz w:val="28"/>
        </w:rPr>
      </w:pPr>
    </w:p>
    <w:p w14:paraId="22EFCB78">
      <w:pPr>
        <w:spacing w:line="360" w:lineRule="auto"/>
        <w:ind w:firstLine="0"/>
        <w:rPr>
          <w:rFonts w:ascii="仿宋_GB2312" w:hAnsi="仿宋_GB2312" w:eastAsia="仿宋_GB2312"/>
          <w:b w:val="0"/>
          <w:sz w:val="28"/>
        </w:rPr>
      </w:pPr>
    </w:p>
    <w:p w14:paraId="625C939A">
      <w:pPr>
        <w:spacing w:line="360" w:lineRule="auto"/>
        <w:ind w:firstLine="0"/>
        <w:rPr>
          <w:rFonts w:ascii="仿宋_GB2312" w:hAnsi="仿宋_GB2312" w:eastAsia="仿宋_GB2312"/>
          <w:b w:val="0"/>
          <w:sz w:val="28"/>
        </w:rPr>
      </w:pPr>
    </w:p>
    <w:p w14:paraId="12F9637D">
      <w:pPr>
        <w:spacing w:line="360" w:lineRule="auto"/>
        <w:ind w:firstLine="0"/>
      </w:pPr>
      <w:r>
        <w:rPr>
          <w:rFonts w:ascii="仿宋_GB2312" w:hAnsi="仿宋_GB2312" w:eastAsia="仿宋_GB2312"/>
          <w:b w:val="0"/>
          <w:sz w:val="28"/>
        </w:rPr>
        <w:t>抄送：市发展改革局、市自然资源局、市住房城乡建设局、市生态环境局、市教育局、市消防救援支队，市不动产登记中心</w:t>
      </w:r>
      <w:r>
        <w:rPr>
          <w:rFonts w:hint="eastAsia" w:ascii="仿宋_GB2312" w:hAnsi="仿宋_GB2312" w:eastAsia="仿宋_GB2312"/>
          <w:b w:val="0"/>
          <w:sz w:val="28"/>
          <w:lang w:eastAsia="zh-CN"/>
        </w:rPr>
        <w:t>，</w:t>
      </w:r>
      <w:r>
        <w:rPr>
          <w:rFonts w:hint="eastAsia" w:ascii="仿宋_GB2312" w:hAnsi="仿宋_GB2312" w:eastAsia="仿宋_GB2312"/>
          <w:b w:val="0"/>
          <w:sz w:val="28"/>
          <w:lang w:val="en-US" w:eastAsia="zh-CN"/>
        </w:rPr>
        <w:t>城区</w:t>
      </w:r>
      <w:r>
        <w:rPr>
          <w:rFonts w:ascii="仿宋_GB2312" w:hAnsi="仿宋_GB2312" w:eastAsia="仿宋_GB2312"/>
          <w:b w:val="0"/>
          <w:sz w:val="28"/>
        </w:rPr>
        <w:t>人民政府。</w:t>
      </w:r>
    </w:p>
    <w:sectPr>
      <w:footerReference r:id="rId5" w:type="default"/>
      <w:pgSz w:w="12240" w:h="15840"/>
      <w:pgMar w:top="1776" w:right="1560" w:bottom="1680" w:left="168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仓耳渔阳体 W04"/>
    <w:panose1 w:val="00000000000000000000"/>
    <w:charset w:val="80"/>
    <w:family w:val="roman"/>
    <w:pitch w:val="default"/>
    <w:sig w:usb0="00000000" w:usb1="00000000" w:usb2="00000010" w:usb3="00000000" w:csb0="00020000" w:csb1="00000000"/>
  </w:font>
  <w:font w:name="仓耳渔阳体 W04">
    <w:panose1 w:val="02020400000000000000"/>
    <w:charset w:val="80"/>
    <w:family w:val="auto"/>
    <w:pitch w:val="default"/>
    <w:sig w:usb0="80000023" w:usb1="08C10458" w:usb2="00000012" w:usb3="00000000" w:csb0="0002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5A631">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7620B59">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57620B59">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18EAAF"/>
    <w:multiLevelType w:val="singleLevel"/>
    <w:tmpl w:val="FB18EAAF"/>
    <w:lvl w:ilvl="0" w:tentative="0">
      <w:start w:val="1"/>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5900FD6"/>
    <w:rsid w:val="0A6D20CC"/>
    <w:rsid w:val="1B4F7512"/>
    <w:rsid w:val="21A74959"/>
    <w:rsid w:val="24332590"/>
    <w:rsid w:val="2622149E"/>
    <w:rsid w:val="27084A19"/>
    <w:rsid w:val="2A1853AF"/>
    <w:rsid w:val="2E954DE4"/>
    <w:rsid w:val="2F684DD8"/>
    <w:rsid w:val="368030CE"/>
    <w:rsid w:val="38292F9D"/>
    <w:rsid w:val="3C6A0778"/>
    <w:rsid w:val="43802DF4"/>
    <w:rsid w:val="44EB3558"/>
    <w:rsid w:val="4ABF170F"/>
    <w:rsid w:val="4F302BDB"/>
    <w:rsid w:val="51D21809"/>
    <w:rsid w:val="58101A31"/>
    <w:rsid w:val="58794DCC"/>
    <w:rsid w:val="58AB5E56"/>
    <w:rsid w:val="600D4B81"/>
    <w:rsid w:val="6034694D"/>
    <w:rsid w:val="6049438D"/>
    <w:rsid w:val="6643057B"/>
    <w:rsid w:val="668D56EA"/>
    <w:rsid w:val="69796AD5"/>
    <w:rsid w:val="79946201"/>
    <w:rsid w:val="7A2556D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1871</Words>
  <Characters>1881</Characters>
  <Lines>0</Lines>
  <Paragraphs>0</Paragraphs>
  <TotalTime>2</TotalTime>
  <ScaleCrop>false</ScaleCrop>
  <LinksUpToDate>false</LinksUpToDate>
  <CharactersWithSpaces>1881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陈海琛</cp:lastModifiedBy>
  <dcterms:modified xsi:type="dcterms:W3CDTF">2026-09-20T08:06:23Z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eyJoZGlkIjoiZGFkNWM0NWM2ZGU3Yzg0MjUwZTk1Y2ExMGNiNzU4NmIiLCJ1c2VySWQiOiIzNDM3NTQ5NDYifQ==</vt:lpwstr>
  </property>
  <property fmtid="{D5CDD505-2E9C-101B-9397-08002B2CF9AE}" pid="3" name="KSOProductBuildVer">
    <vt:lpwstr>2052-12.1.0.28505</vt:lpwstr>
  </property>
  <property fmtid="{D5CDD505-2E9C-101B-9397-08002B2CF9AE}" pid="4" name="ICV">
    <vt:lpwstr>0E53F9740C7248AAA3D4561BC3BFD33A_12</vt:lpwstr>
  </property>
</Properties>
</file>