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60" w:lineRule="exact"/>
        <w:rPr>
          <w:rFonts w:eastAsia="仿宋_GB2312"/>
          <w:sz w:val="32"/>
          <w:szCs w:val="32"/>
        </w:rPr>
      </w:pPr>
    </w:p>
    <w:tbl>
      <w:tblPr>
        <w:tblStyle w:val="7"/>
        <w:tblW w:w="8897" w:type="dxa"/>
        <w:tblInd w:w="0" w:type="dxa"/>
        <w:tblLayout w:type="fixed"/>
        <w:tblCellMar>
          <w:top w:w="0" w:type="dxa"/>
          <w:left w:w="108" w:type="dxa"/>
          <w:bottom w:w="0" w:type="dxa"/>
          <w:right w:w="108" w:type="dxa"/>
        </w:tblCellMar>
      </w:tblPr>
      <w:tblGrid>
        <w:gridCol w:w="7196"/>
        <w:gridCol w:w="1701"/>
      </w:tblGrid>
      <w:tr>
        <w:tblPrEx>
          <w:tblCellMar>
            <w:top w:w="0" w:type="dxa"/>
            <w:left w:w="108" w:type="dxa"/>
            <w:bottom w:w="0" w:type="dxa"/>
            <w:right w:w="108" w:type="dxa"/>
          </w:tblCellMar>
        </w:tblPrEx>
        <w:trPr>
          <w:trHeight w:val="2808" w:hRule="atLeast"/>
        </w:trPr>
        <w:tc>
          <w:tcPr>
            <w:tcW w:w="7196" w:type="dxa"/>
            <w:vAlign w:val="center"/>
          </w:tcPr>
          <w:p>
            <w:pPr>
              <w:spacing w:line="900" w:lineRule="exact"/>
              <w:jc w:val="distribute"/>
              <w:rPr>
                <w:rFonts w:hint="eastAsia" w:ascii="方正小标宋简体" w:eastAsia="方正小标宋简体"/>
                <w:color w:val="FF0000"/>
                <w:sz w:val="52"/>
                <w:szCs w:val="52"/>
              </w:rPr>
            </w:pPr>
            <w:r>
              <w:rPr>
                <w:rFonts w:hint="eastAsia" w:ascii="方正小标宋简体" w:eastAsia="方正小标宋简体"/>
                <w:color w:val="FF0000"/>
                <w:sz w:val="52"/>
                <w:szCs w:val="52"/>
              </w:rPr>
              <w:t>汕尾市发展和改革局</w:t>
            </w:r>
          </w:p>
          <w:p>
            <w:pPr>
              <w:spacing w:line="900" w:lineRule="exact"/>
              <w:jc w:val="distribute"/>
              <w:rPr>
                <w:rFonts w:hint="eastAsia" w:ascii="方正小标宋简体" w:eastAsia="方正小标宋简体"/>
                <w:color w:val="FF0000"/>
                <w:sz w:val="52"/>
                <w:szCs w:val="52"/>
              </w:rPr>
            </w:pPr>
            <w:r>
              <w:rPr>
                <w:rFonts w:hint="eastAsia" w:ascii="方正小标宋简体" w:eastAsia="方正小标宋简体"/>
                <w:color w:val="FF0000"/>
                <w:sz w:val="52"/>
                <w:szCs w:val="52"/>
              </w:rPr>
              <w:t>汕尾市</w:t>
            </w:r>
            <w:r>
              <w:rPr>
                <w:rFonts w:hint="eastAsia" w:ascii="方正小标宋简体" w:eastAsia="方正小标宋简体"/>
                <w:color w:val="FF0000"/>
                <w:sz w:val="52"/>
                <w:szCs w:val="52"/>
                <w:lang w:val="en-US" w:eastAsia="zh-CN"/>
              </w:rPr>
              <w:t>教育</w:t>
            </w:r>
            <w:r>
              <w:rPr>
                <w:rFonts w:hint="eastAsia" w:ascii="方正小标宋简体" w:eastAsia="方正小标宋简体"/>
                <w:color w:val="FF0000"/>
                <w:sz w:val="52"/>
                <w:szCs w:val="52"/>
              </w:rPr>
              <w:t>局</w:t>
            </w:r>
          </w:p>
          <w:p>
            <w:pPr>
              <w:spacing w:line="900" w:lineRule="exact"/>
              <w:jc w:val="distribute"/>
              <w:rPr>
                <w:rFonts w:ascii="方正小标宋简体" w:eastAsia="方正小标宋简体"/>
                <w:color w:val="FF0000"/>
                <w:sz w:val="52"/>
                <w:szCs w:val="52"/>
              </w:rPr>
            </w:pPr>
            <w:r>
              <w:rPr>
                <w:rFonts w:hint="eastAsia" w:ascii="方正小标宋简体" w:eastAsia="方正小标宋简体"/>
                <w:color w:val="FF0000"/>
                <w:sz w:val="52"/>
                <w:szCs w:val="52"/>
              </w:rPr>
              <w:t>汕尾市</w:t>
            </w:r>
            <w:r>
              <w:rPr>
                <w:rFonts w:hint="eastAsia" w:ascii="方正小标宋简体" w:eastAsia="方正小标宋简体"/>
                <w:color w:val="FF0000"/>
                <w:sz w:val="52"/>
                <w:szCs w:val="52"/>
                <w:lang w:val="en-US" w:eastAsia="zh-CN"/>
              </w:rPr>
              <w:t>财政</w:t>
            </w:r>
            <w:r>
              <w:rPr>
                <w:rFonts w:hint="eastAsia" w:ascii="方正小标宋简体" w:eastAsia="方正小标宋简体"/>
                <w:color w:val="FF0000"/>
                <w:sz w:val="52"/>
                <w:szCs w:val="52"/>
              </w:rPr>
              <w:t>局</w:t>
            </w:r>
          </w:p>
        </w:tc>
        <w:tc>
          <w:tcPr>
            <w:tcW w:w="1701" w:type="dxa"/>
            <w:vAlign w:val="center"/>
          </w:tcPr>
          <w:p>
            <w:pPr>
              <w:jc w:val="center"/>
              <w:rPr>
                <w:rFonts w:ascii="方正小标宋简体" w:hAnsi="宋体" w:eastAsia="方正小标宋简体"/>
                <w:color w:val="FF0000"/>
                <w:sz w:val="72"/>
                <w:szCs w:val="72"/>
              </w:rPr>
            </w:pPr>
            <w:r>
              <w:rPr>
                <w:rFonts w:hint="eastAsia" w:ascii="方正小标宋简体" w:eastAsia="方正小标宋简体"/>
                <w:color w:val="FF0000"/>
                <w:sz w:val="72"/>
                <w:szCs w:val="72"/>
              </w:rPr>
              <w:t>文件</w:t>
            </w:r>
          </w:p>
        </w:tc>
      </w:tr>
    </w:tbl>
    <w:p>
      <w:pPr>
        <w:spacing w:line="240" w:lineRule="exact"/>
        <w:jc w:val="center"/>
        <w:rPr>
          <w:rFonts w:eastAsia="仿宋_GB2312"/>
          <w:sz w:val="32"/>
          <w:szCs w:val="32"/>
        </w:rPr>
      </w:pPr>
    </w:p>
    <w:p>
      <w:pPr>
        <w:jc w:val="center"/>
        <w:rPr>
          <w:rFonts w:eastAsia="仿宋_GB2312"/>
          <w:sz w:val="32"/>
          <w:szCs w:val="32"/>
        </w:rPr>
      </w:pPr>
      <w:r>
        <w:rPr>
          <w:rFonts w:hint="eastAsia" w:eastAsia="仿宋_GB2312"/>
          <w:sz w:val="32"/>
          <w:szCs w:val="32"/>
        </w:rPr>
        <w:t>汕发改</w:t>
      </w:r>
      <w:r>
        <w:rPr>
          <w:rFonts w:hint="eastAsia" w:eastAsia="仿宋_GB2312"/>
          <w:sz w:val="32"/>
          <w:szCs w:val="32"/>
          <w:lang w:val="en-US" w:eastAsia="zh-CN"/>
        </w:rPr>
        <w:t>价格</w:t>
      </w:r>
      <w:r>
        <w:rPr>
          <w:rFonts w:hint="eastAsia" w:eastAsia="仿宋_GB2312"/>
          <w:sz w:val="32"/>
          <w:szCs w:val="32"/>
        </w:rPr>
        <w:t>〔202</w:t>
      </w:r>
      <w:r>
        <w:rPr>
          <w:rFonts w:hint="eastAsia" w:eastAsia="仿宋_GB2312"/>
          <w:sz w:val="32"/>
          <w:szCs w:val="32"/>
          <w:lang w:val="en-US" w:eastAsia="zh-CN"/>
        </w:rPr>
        <w:t>3</w:t>
      </w:r>
      <w:r>
        <w:rPr>
          <w:rFonts w:hint="eastAsia" w:eastAsia="仿宋_GB2312"/>
          <w:sz w:val="32"/>
          <w:szCs w:val="32"/>
        </w:rPr>
        <w:t>〕</w:t>
      </w:r>
      <w:r>
        <w:rPr>
          <w:rFonts w:hint="eastAsia" w:eastAsia="仿宋_GB2312"/>
          <w:sz w:val="32"/>
          <w:szCs w:val="32"/>
          <w:lang w:val="en-US" w:eastAsia="zh-CN"/>
        </w:rPr>
        <w:t>256</w:t>
      </w:r>
      <w:r>
        <w:rPr>
          <w:rFonts w:hint="eastAsia" w:eastAsia="仿宋_GB2312"/>
          <w:sz w:val="32"/>
          <w:szCs w:val="32"/>
        </w:rPr>
        <w:t>号</w:t>
      </w:r>
    </w:p>
    <w:p>
      <w:pPr>
        <w:spacing w:line="900" w:lineRule="exact"/>
        <w:rPr>
          <w:sz w:val="30"/>
          <w:szCs w:val="30"/>
        </w:rPr>
      </w:pPr>
      <w:r>
        <w:rPr>
          <w:rFonts w:ascii="仿宋_GB2312" w:hAnsi="宋体" w:eastAsia="仿宋_GB2312"/>
          <w:sz w:val="32"/>
          <w:szCs w:val="32"/>
        </w:rPr>
        <w:pict>
          <v:line id="_x0000_s2050" o:spid="_x0000_s2050" o:spt="20" style="position:absolute;left:0pt;margin-left:0pt;margin-top:3.75pt;height:0pt;width:436.6pt;z-index:251659264;mso-width-relative:page;mso-height-relative:page;" stroked="t" coordsize="21600,21600">
            <v:path arrowok="t"/>
            <v:fill focussize="0,0"/>
            <v:stroke weight="1.75pt" color="#FF0000"/>
            <v:imagedata o:title=""/>
            <o:lock v:ext="edit"/>
          </v:line>
        </w:pict>
      </w:r>
    </w:p>
    <w:p>
      <w:pPr>
        <w:spacing w:line="60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关于规范</w:t>
      </w:r>
      <w:r>
        <w:rPr>
          <w:rFonts w:hint="eastAsia" w:ascii="方正小标宋简体" w:hAnsi="方正小标宋简体" w:eastAsia="方正小标宋简体" w:cs="方正小标宋简体"/>
          <w:color w:val="auto"/>
          <w:sz w:val="44"/>
          <w:szCs w:val="44"/>
          <w:highlight w:val="none"/>
          <w:lang w:eastAsia="zh-CN"/>
        </w:rPr>
        <w:t>市直及市城区</w:t>
      </w:r>
      <w:r>
        <w:rPr>
          <w:rFonts w:hint="eastAsia" w:ascii="方正小标宋简体" w:hAnsi="方正小标宋简体" w:eastAsia="方正小标宋简体" w:cs="方正小标宋简体"/>
          <w:color w:val="auto"/>
          <w:sz w:val="44"/>
          <w:szCs w:val="44"/>
          <w:lang w:eastAsia="zh-CN"/>
        </w:rPr>
        <w:t>公办幼儿园</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auto"/>
          <w:sz w:val="44"/>
          <w:szCs w:val="44"/>
          <w:lang w:eastAsia="zh-CN"/>
        </w:rPr>
        <w:t>收费有关问题的通知</w:t>
      </w:r>
    </w:p>
    <w:p>
      <w:pPr>
        <w:spacing w:line="600" w:lineRule="exact"/>
        <w:ind w:firstLine="640" w:firstLineChars="200"/>
        <w:rPr>
          <w:rFonts w:hint="eastAsia" w:eastAsia="仿宋_GB2312"/>
          <w:sz w:val="32"/>
          <w:szCs w:val="32"/>
          <w:lang w:val="en-US" w:eastAsia="zh-CN"/>
        </w:rPr>
      </w:pPr>
    </w:p>
    <w:p>
      <w:pPr>
        <w:spacing w:line="600" w:lineRule="exact"/>
        <w:rPr>
          <w:rFonts w:hint="eastAsia" w:eastAsia="仿宋_GB2312"/>
          <w:sz w:val="32"/>
          <w:szCs w:val="32"/>
          <w:lang w:val="en-US" w:eastAsia="zh-CN"/>
        </w:rPr>
      </w:pPr>
      <w:r>
        <w:rPr>
          <w:rFonts w:hint="eastAsia" w:eastAsia="仿宋_GB2312"/>
          <w:sz w:val="32"/>
          <w:szCs w:val="32"/>
          <w:lang w:val="en-US" w:eastAsia="zh-CN"/>
        </w:rPr>
        <w:t>各县（市、区）发展改革局、教育局、财政局，市直和市城区各公办幼儿园：</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为进一步加强我市公办幼儿园收费管理，规范公办幼儿园收费行为，维护幼儿、家长和公办幼儿园的合法权益，根据《国家发展改革委 教育部 财政部关于印发〈幼儿园收费管理暂行办法〉的通知》（发改价格〔2011〕3207号）、《广东省人民政府办公厅关于印发〈广东省定价目录（2022年版）〉的通知》（粤府办〔2022〕5号）等有关规定，结合我市实际，经八届市政府第55次常务会议审议同意，现就市直及市城区公办幼儿园收费有关问题通知如下。</w:t>
      </w:r>
    </w:p>
    <w:p>
      <w:p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一、规范收费项目和收费标准</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市直及市城区公办幼儿园收费项目统一为保育教育费（以下简称“保教费”）、服务性收费和代收费三类。</w:t>
      </w:r>
    </w:p>
    <w:p>
      <w:pPr>
        <w:spacing w:line="60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（一）保教费</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公办幼儿园保教费实行政府定价管理。公办幼儿园按照教育部门评定的幼儿园等级，对应收取保教费。具体收费标准如下表：</w:t>
      </w:r>
    </w:p>
    <w:tbl>
      <w:tblPr>
        <w:tblStyle w:val="8"/>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5"/>
        <w:gridCol w:w="4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216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幼儿园等级</w:t>
            </w:r>
          </w:p>
        </w:tc>
        <w:tc>
          <w:tcPr>
            <w:tcW w:w="283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收费标准（元/生·月）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6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省一级</w:t>
            </w:r>
          </w:p>
        </w:tc>
        <w:tc>
          <w:tcPr>
            <w:tcW w:w="283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6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市一级</w:t>
            </w:r>
          </w:p>
        </w:tc>
        <w:tc>
          <w:tcPr>
            <w:tcW w:w="283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6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县</w:t>
            </w:r>
            <w:r>
              <w:rPr>
                <w:rFonts w:hint="eastAsia" w:ascii="Times New Roman" w:hAnsi="Times New Roman" w:eastAsia="仿宋_GB2312" w:cs="Times New Roman"/>
                <w:color w:val="auto"/>
                <w:sz w:val="32"/>
                <w:szCs w:val="32"/>
                <w:vertAlign w:val="baseline"/>
                <w:lang w:val="en-US" w:eastAsia="zh-CN"/>
              </w:rPr>
              <w:t>（</w:t>
            </w:r>
            <w:r>
              <w:rPr>
                <w:rFonts w:hint="default" w:ascii="Times New Roman" w:hAnsi="Times New Roman" w:eastAsia="仿宋_GB2312" w:cs="Times New Roman"/>
                <w:color w:val="auto"/>
                <w:sz w:val="32"/>
                <w:szCs w:val="32"/>
                <w:vertAlign w:val="baseline"/>
                <w:lang w:val="en-US" w:eastAsia="zh-CN"/>
              </w:rPr>
              <w:t>区</w:t>
            </w:r>
            <w:r>
              <w:rPr>
                <w:rFonts w:hint="eastAsia" w:ascii="Times New Roman" w:hAnsi="Times New Roman" w:eastAsia="仿宋_GB2312" w:cs="Times New Roman"/>
                <w:color w:val="auto"/>
                <w:sz w:val="32"/>
                <w:szCs w:val="32"/>
                <w:vertAlign w:val="baseline"/>
                <w:lang w:val="en-US" w:eastAsia="zh-CN"/>
              </w:rPr>
              <w:t>）</w:t>
            </w:r>
            <w:r>
              <w:rPr>
                <w:rFonts w:hint="default" w:ascii="Times New Roman" w:hAnsi="Times New Roman" w:eastAsia="仿宋_GB2312" w:cs="Times New Roman"/>
                <w:color w:val="auto"/>
                <w:sz w:val="32"/>
                <w:szCs w:val="32"/>
                <w:vertAlign w:val="baseline"/>
                <w:lang w:val="en-US" w:eastAsia="zh-CN"/>
              </w:rPr>
              <w:t>一级</w:t>
            </w:r>
          </w:p>
        </w:tc>
        <w:tc>
          <w:tcPr>
            <w:tcW w:w="283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6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未评级</w:t>
            </w:r>
          </w:p>
        </w:tc>
        <w:tc>
          <w:tcPr>
            <w:tcW w:w="283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260</w:t>
            </w:r>
          </w:p>
        </w:tc>
      </w:tr>
    </w:tbl>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幼儿园在寒暑假、周六、周日及国家规定的公众假期继续对在园幼儿提供保育教育服务的，保教费可在平时收费标准基础上上浮不超过50%。</w:t>
      </w:r>
    </w:p>
    <w:p>
      <w:pPr>
        <w:spacing w:line="60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（二）服务性收费</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服务性收费是指幼儿园在完成正常的保育教育任务外，向在园幼儿提供可供家长选择的服务而产生的费用。服务性收费必须遵循幼儿家长自愿、据实结算的原则，不得营利。公办幼儿园服务性收费包括伙食费、留园托管费和校车费，以“元/生·天”为单位确定收费标准。</w:t>
      </w:r>
    </w:p>
    <w:p>
      <w:pPr>
        <w:spacing w:line="600" w:lineRule="exact"/>
        <w:ind w:firstLine="643" w:firstLineChars="200"/>
        <w:rPr>
          <w:rFonts w:hint="eastAsia" w:eastAsia="仿宋_GB2312"/>
          <w:sz w:val="32"/>
          <w:szCs w:val="32"/>
          <w:lang w:val="en-US" w:eastAsia="zh-CN"/>
        </w:rPr>
      </w:pPr>
      <w:r>
        <w:rPr>
          <w:rFonts w:hint="eastAsia" w:eastAsia="仿宋_GB2312"/>
          <w:b/>
          <w:bCs/>
          <w:sz w:val="32"/>
          <w:szCs w:val="32"/>
          <w:lang w:val="en-US" w:eastAsia="zh-CN"/>
        </w:rPr>
        <w:t>1.伙食费（含营养餐点）。</w:t>
      </w:r>
      <w:r>
        <w:rPr>
          <w:rFonts w:hint="eastAsia" w:eastAsia="仿宋_GB2312"/>
          <w:sz w:val="32"/>
          <w:szCs w:val="32"/>
          <w:lang w:val="en-US" w:eastAsia="zh-CN"/>
        </w:rPr>
        <w:t>幼儿园收取的伙食费只能用于支付与幼儿膳食有关的食物费用，不得用于支付其他间接费用。幼儿园可根据实际需要在家长自愿的基础上按月预收，并于次月15日前向家长公布伙食费收支情况，学期末（转、退园幼儿在离园时）实行多退少补。幼儿园自主经营食堂向在园幼儿收取的伙食费，应坚持公益性原则，不得以营利为目的。</w:t>
      </w:r>
    </w:p>
    <w:p>
      <w:pPr>
        <w:spacing w:line="600" w:lineRule="exact"/>
        <w:ind w:firstLine="643" w:firstLineChars="200"/>
        <w:rPr>
          <w:rFonts w:hint="default" w:eastAsia="仿宋_GB2312"/>
          <w:sz w:val="32"/>
          <w:szCs w:val="32"/>
          <w:lang w:val="en-US" w:eastAsia="zh-CN"/>
        </w:rPr>
      </w:pPr>
      <w:r>
        <w:rPr>
          <w:rFonts w:hint="eastAsia" w:eastAsia="仿宋_GB2312"/>
          <w:b/>
          <w:bCs/>
          <w:sz w:val="32"/>
          <w:szCs w:val="32"/>
          <w:lang w:val="en-US" w:eastAsia="zh-CN"/>
        </w:rPr>
        <w:t>2.留园托管费。</w:t>
      </w:r>
      <w:r>
        <w:rPr>
          <w:rFonts w:hint="eastAsia" w:eastAsia="仿宋_GB2312"/>
          <w:sz w:val="32"/>
          <w:szCs w:val="32"/>
          <w:lang w:val="en-US" w:eastAsia="zh-CN"/>
        </w:rPr>
        <w:t>全日制幼儿园幼儿每天正常在园保教时间不少于8小时。幼儿园受家长委托，在法定工作日闭园后，对在园幼儿提供托管服务的，可向在园幼儿收取留园托管费每生每天8元。</w:t>
      </w:r>
    </w:p>
    <w:p>
      <w:pPr>
        <w:spacing w:line="600" w:lineRule="exact"/>
        <w:ind w:firstLine="643" w:firstLineChars="200"/>
        <w:rPr>
          <w:rFonts w:hint="eastAsia" w:eastAsia="仿宋_GB2312"/>
          <w:sz w:val="32"/>
          <w:szCs w:val="32"/>
          <w:lang w:val="en-US" w:eastAsia="zh-CN"/>
        </w:rPr>
      </w:pPr>
      <w:r>
        <w:rPr>
          <w:rFonts w:hint="eastAsia" w:eastAsia="仿宋_GB2312"/>
          <w:b/>
          <w:bCs/>
          <w:sz w:val="32"/>
          <w:szCs w:val="32"/>
          <w:lang w:val="en-US" w:eastAsia="zh-CN"/>
        </w:rPr>
        <w:t>3.校车费。</w:t>
      </w:r>
      <w:r>
        <w:rPr>
          <w:rFonts w:hint="eastAsia" w:eastAsia="仿宋_GB2312"/>
          <w:sz w:val="32"/>
          <w:szCs w:val="32"/>
          <w:lang w:val="en-US" w:eastAsia="zh-CN"/>
        </w:rPr>
        <w:t>幼儿园自设或租用校车接送在园幼儿的，可收取校车费。校车费根据实际需要，在家长自愿的基础上按实际发生费用收取。</w:t>
      </w:r>
    </w:p>
    <w:p>
      <w:pPr>
        <w:spacing w:line="600" w:lineRule="exact"/>
        <w:ind w:firstLine="640" w:firstLineChars="200"/>
        <w:rPr>
          <w:rFonts w:hint="eastAsia" w:ascii="楷体_GB2312" w:hAnsi="楷体_GB2312" w:eastAsia="楷体_GB2312" w:cs="楷体_GB2312"/>
          <w:sz w:val="32"/>
          <w:szCs w:val="32"/>
          <w:lang w:val="en-US" w:eastAsia="zh-CN"/>
        </w:rPr>
      </w:pPr>
      <w:bookmarkStart w:id="0" w:name="_GoBack"/>
      <w:r>
        <w:rPr>
          <w:rFonts w:hint="eastAsia" w:ascii="楷体_GB2312" w:hAnsi="楷体_GB2312" w:eastAsia="楷体_GB2312" w:cs="楷体_GB2312"/>
          <w:sz w:val="32"/>
          <w:szCs w:val="32"/>
          <w:lang w:val="en-US" w:eastAsia="zh-CN"/>
        </w:rPr>
        <w:t>（三）代收费</w:t>
      </w:r>
    </w:p>
    <w:bookmarkEnd w:id="0"/>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代收费是指幼儿园为方便在园幼儿的教育和生活或为完成正常保育教育任务而产生的、由幼儿园统一代为支付并由幼儿家长负担的费用，包括园服费等。代收费根据实际需要，在家长自愿的基础上按实际发生费用收取。</w:t>
      </w:r>
    </w:p>
    <w:p>
      <w:p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二、建立收费标准动态调整机制</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建立市直及市城区公办幼儿园收费标准动态调整机制。以当期公办幼儿园收费标准（以政府最后批复的收费标准为准）为基础，对应的公办幼儿园生均培养成本为基期成本，当公办幼儿园生均培养成本对比基期变化幅度达到或者超过8%时，启动动态调整机制，按照“同向联动”原则调整公办幼儿园收费标准，即公办幼儿园收费标准按照同样的幅度进行调整。考虑到政策的稳定性，原则上每3年对公办幼儿园生均培养成本核定1次，确定是否调整。如政策或成本等发生重大变化，可提前调整。如政策对动态调整周期等有新的规定，按新规定执行。</w:t>
      </w:r>
    </w:p>
    <w:p>
      <w:p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三、其他规定</w:t>
      </w:r>
    </w:p>
    <w:p>
      <w:pPr>
        <w:spacing w:line="60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（一）加强退费管理</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eastAsia="zh-CN"/>
        </w:rPr>
        <w:t>公办幼儿园保教费的收取实行“新生新办法、老生老办法”，每年秋季入园就读的幼儿以及外校转来的插班生为“新生”，其余学生幼儿为“老生”，两类幼儿分别按其注册入园当年园方公布的收费标准执行。幼儿园保教费按照学期收取，不得在幼儿注册前或跨学期预收，每个学期按</w:t>
      </w:r>
      <w:r>
        <w:rPr>
          <w:rFonts w:hint="eastAsia" w:eastAsia="仿宋_GB2312"/>
          <w:sz w:val="32"/>
          <w:szCs w:val="32"/>
          <w:lang w:val="en-US" w:eastAsia="zh-CN"/>
        </w:rPr>
        <w:t>5个月计算。幼儿因请假、转学、退学、插班等原因当月不在园的，幼儿园退还当月保教费缴费额；当月累计在园时间不满10天（含10天，以工作日计算，下同）的，幼儿园按当月保教费缴费额的50%退还；当月在园时间超过10天的，不退还当月所缴保教费。因园方原因造成停课的，幼儿园应当按实际天数退还保教费。因幼儿园刊登、散发虚假招生简章（广告）或其他违反国家规定的行为造成幼儿退园的，幼儿园应全额退还所缴保教费，造成幼儿损失的应依法承担赔偿责任。服务性收费根据幼儿实际需要按月收取，在园时间不足月的，以幼儿正式请假天数计退。代收费项目根据幼儿实际需要可集中预收，实行定期按实结算、多退少补。</w:t>
      </w:r>
    </w:p>
    <w:p>
      <w:pPr>
        <w:spacing w:line="60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（二）规范收费项目</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除本通知规定的保教费、服务性收费和代收费外，公办幼儿园不得在保教费外以开办实验班、特色班和兴趣班等为由，另外收取费用；不得收取与入园挂钩的捐资助学费、借读费、赞助费等；严禁收取“报名费”“入园资料费”“营养费”“建园费”“管理费”“留位费”“接送卡费”或“育儿报刊费”及各种形式的押金、备用金等。因幼儿保育教育及幼儿园管理需要，所产生的暖气、空调、家长开放日、亲子活动、信息服务、课本（学习）资料等费用，从幼儿园公用经费或保育教育费中开支，不得设立收费项目。</w:t>
      </w:r>
    </w:p>
    <w:p>
      <w:pPr>
        <w:spacing w:line="60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（三）加强收支管理</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eastAsia="zh-CN"/>
        </w:rPr>
        <w:t>幼儿园要按照规定和要求建立健全财务管理和会计核算制度，做好成本核算工作。公办幼儿园保教费属行政事业性收费，实行“收支两条线”管理，公办幼儿园应将保教费及时全额上缴国库，不得坐支、截留、挪用、挤占，公办幼儿园保教经费纳入财政年度预算。公办幼儿园服务性收费收入由幼儿园按规定列支，代收费收入由幼儿园全部转交提供服务的单位，不得计入幼儿园收入。幼儿园收取的服务性收费及代收费要单独立账，使用财政、税务部门规定的票据。</w:t>
      </w:r>
    </w:p>
    <w:p>
      <w:pPr>
        <w:spacing w:line="60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严格执行公示制度</w:t>
      </w:r>
    </w:p>
    <w:p>
      <w:pPr>
        <w:spacing w:line="600" w:lineRule="exact"/>
        <w:ind w:firstLine="640" w:firstLineChars="200"/>
        <w:rPr>
          <w:rFonts w:hint="default" w:eastAsia="仿宋_GB2312"/>
          <w:sz w:val="32"/>
          <w:szCs w:val="32"/>
          <w:lang w:val="en-US" w:eastAsia="zh-CN"/>
        </w:rPr>
      </w:pPr>
      <w:r>
        <w:rPr>
          <w:rFonts w:hint="eastAsia" w:eastAsia="仿宋_GB2312"/>
          <w:sz w:val="32"/>
          <w:szCs w:val="32"/>
          <w:lang w:eastAsia="zh-CN"/>
        </w:rPr>
        <w:t>幼儿园应在显著位置通过设立公示栏、公示牌、公示墙等形式，向社会公示收费项目、收费标准、收费金额、收费依据等相关内容。幼儿园招生简章或招生信息中，须写明幼儿园办园性质、办学条件、定价方式、收费项目、收费标准和对贫困子女的减免规定或其他救助办法。幼儿园要严格执行教育收费公示制度，未经公示不得收费，收费政策有变化的，应在招生简章发布前向社会公示，主动接受社会监督。对按规定应当公示而未公示的收费，或公示内容与规定政策不符的收费，幼儿家长有权拒绝缴纳。收费政策变动时，学校要及时更新公示内容，确保公示内容合法、有效。</w:t>
      </w:r>
    </w:p>
    <w:p>
      <w:p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default" w:ascii="黑体" w:hAnsi="黑体" w:eastAsia="黑体" w:cs="黑体"/>
          <w:sz w:val="32"/>
          <w:szCs w:val="32"/>
          <w:lang w:val="en-US" w:eastAsia="zh-CN"/>
        </w:rPr>
        <w:t>、</w:t>
      </w:r>
      <w:r>
        <w:rPr>
          <w:rFonts w:hint="eastAsia" w:ascii="黑体" w:hAnsi="黑体" w:eastAsia="黑体" w:cs="黑体"/>
          <w:sz w:val="32"/>
          <w:szCs w:val="32"/>
          <w:lang w:val="en-US" w:eastAsia="zh-CN"/>
        </w:rPr>
        <w:t>执行时间及范围</w:t>
      </w:r>
    </w:p>
    <w:p>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自2023年秋季开学起执行，有效期3年。本通知适用于市直及市城区公办幼儿园，红海湾经济开发区、华侨管理区参照执行，各县（市、区）公办幼儿园有关收费问题由当地发展改革、教育、财政等部门研究制定。</w:t>
      </w:r>
      <w:r>
        <w:rPr>
          <w:rFonts w:hint="eastAsia" w:eastAsia="仿宋_GB2312"/>
          <w:sz w:val="32"/>
          <w:szCs w:val="32"/>
          <w:lang w:eastAsia="zh-CN"/>
        </w:rPr>
        <w:t>以往有关政策与本通知不一致的，以本通知为准。</w:t>
      </w:r>
    </w:p>
    <w:p>
      <w:pPr>
        <w:spacing w:line="600" w:lineRule="exact"/>
        <w:ind w:firstLine="640" w:firstLineChars="200"/>
        <w:rPr>
          <w:rFonts w:hint="default" w:eastAsia="仿宋_GB2312"/>
          <w:sz w:val="32"/>
          <w:szCs w:val="32"/>
          <w:lang w:val="en-US" w:eastAsia="zh-CN"/>
        </w:rPr>
      </w:pPr>
    </w:p>
    <w:p>
      <w:pPr>
        <w:spacing w:line="600" w:lineRule="exact"/>
        <w:ind w:firstLine="640" w:firstLineChars="200"/>
        <w:rPr>
          <w:rFonts w:hint="default" w:eastAsia="仿宋_GB2312"/>
          <w:sz w:val="32"/>
          <w:szCs w:val="32"/>
          <w:lang w:val="en-US" w:eastAsia="zh-CN"/>
        </w:rPr>
      </w:pPr>
    </w:p>
    <w:p>
      <w:pPr>
        <w:spacing w:line="600" w:lineRule="exact"/>
        <w:ind w:firstLine="640" w:firstLineChars="200"/>
        <w:rPr>
          <w:rFonts w:hint="default" w:eastAsia="仿宋_GB2312"/>
          <w:sz w:val="32"/>
          <w:szCs w:val="32"/>
          <w:lang w:val="en-US" w:eastAsia="zh-CN"/>
        </w:rPr>
      </w:pPr>
    </w:p>
    <w:p>
      <w:pPr>
        <w:tabs>
          <w:tab w:val="left" w:pos="4410"/>
        </w:tabs>
        <w:spacing w:line="600" w:lineRule="exact"/>
        <w:rPr>
          <w:rFonts w:hint="default" w:eastAsia="仿宋_GB2312"/>
          <w:sz w:val="32"/>
          <w:szCs w:val="32"/>
          <w:lang w:val="en-US" w:eastAsia="zh-CN"/>
        </w:rPr>
      </w:pPr>
      <w:r>
        <w:rPr>
          <w:rFonts w:hint="eastAsia" w:eastAsia="仿宋_GB2312"/>
          <w:sz w:val="32"/>
          <w:szCs w:val="32"/>
          <w:lang w:eastAsia="zh-CN"/>
        </w:rPr>
        <w:t>汕尾市发展和改革局</w:t>
      </w:r>
      <w:r>
        <w:rPr>
          <w:rFonts w:hint="eastAsia" w:eastAsia="仿宋_GB2312"/>
          <w:sz w:val="32"/>
          <w:szCs w:val="32"/>
          <w:lang w:val="en-US" w:eastAsia="zh-CN"/>
        </w:rPr>
        <w:t xml:space="preserve">    汕尾市教育局       汕尾市财政局</w:t>
      </w:r>
    </w:p>
    <w:p>
      <w:pPr>
        <w:spacing w:line="600" w:lineRule="exact"/>
        <w:jc w:val="right"/>
        <w:rPr>
          <w:rFonts w:hint="default" w:eastAsia="仿宋_GB2312"/>
          <w:sz w:val="32"/>
          <w:szCs w:val="32"/>
          <w:lang w:val="en-US" w:eastAsia="zh-CN"/>
        </w:rPr>
      </w:pPr>
      <w:r>
        <w:rPr>
          <w:rFonts w:hint="eastAsia" w:eastAsia="仿宋_GB2312"/>
          <w:sz w:val="32"/>
          <w:szCs w:val="32"/>
          <w:lang w:val="en-US" w:eastAsia="zh-CN"/>
        </w:rPr>
        <w:t>2023年8月14日</w:t>
      </w:r>
    </w:p>
    <w:p>
      <w:pPr>
        <w:spacing w:line="600" w:lineRule="exact"/>
        <w:ind w:firstLine="640" w:firstLineChars="200"/>
        <w:rPr>
          <w:rFonts w:hint="eastAsia" w:eastAsia="仿宋_GB2312"/>
          <w:sz w:val="32"/>
          <w:szCs w:val="32"/>
          <w:lang w:val="en-US"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eastAsia="zh-CN"/>
        </w:rPr>
      </w:pPr>
    </w:p>
    <w:p>
      <w:pPr>
        <w:spacing w:line="600" w:lineRule="exact"/>
        <w:ind w:firstLine="640" w:firstLineChars="200"/>
        <w:rPr>
          <w:rFonts w:hint="eastAsia" w:eastAsia="仿宋_GB2312"/>
          <w:sz w:val="32"/>
          <w:szCs w:val="32"/>
          <w:lang w:val="en-US" w:eastAsia="zh-CN"/>
        </w:rPr>
      </w:pPr>
    </w:p>
    <w:p>
      <w:pPr>
        <w:spacing w:line="620" w:lineRule="exact"/>
        <w:rPr>
          <w:rFonts w:hint="eastAsia" w:eastAsia="仿宋_GB2312"/>
          <w:sz w:val="32"/>
          <w:szCs w:val="32"/>
        </w:rPr>
      </w:pPr>
      <w:r>
        <w:rPr>
          <w:rFonts w:hint="eastAsia" w:ascii="黑体" w:hAnsi="黑体" w:eastAsia="黑体"/>
          <w:sz w:val="32"/>
          <w:szCs w:val="32"/>
        </w:rPr>
        <w:t>公开方式：</w:t>
      </w:r>
      <w:r>
        <w:rPr>
          <w:rFonts w:hint="eastAsia" w:eastAsia="仿宋_GB2312"/>
          <w:sz w:val="32"/>
          <w:szCs w:val="32"/>
        </w:rPr>
        <w:t>主动公开</w:t>
      </w:r>
    </w:p>
    <w:p>
      <w:pPr>
        <w:pStyle w:val="17"/>
        <w:keepNext w:val="0"/>
        <w:keepLines w:val="0"/>
        <w:pageBreakBefore w:val="0"/>
        <w:widowControl w:val="0"/>
        <w:kinsoku/>
        <w:wordWrap/>
        <w:overflowPunct/>
        <w:topLinePunct w:val="0"/>
        <w:autoSpaceDE w:val="0"/>
        <w:autoSpaceDN w:val="0"/>
        <w:bidi w:val="0"/>
        <w:adjustRightInd w:val="0"/>
        <w:snapToGrid/>
        <w:spacing w:line="300" w:lineRule="exact"/>
        <w:ind w:firstLine="420"/>
        <w:textAlignment w:val="baseline"/>
        <w:rPr>
          <w:rFonts w:hint="eastAsia"/>
        </w:rPr>
      </w:pPr>
    </w:p>
    <w:p>
      <w:pPr>
        <w:spacing w:line="500" w:lineRule="exact"/>
        <w:ind w:firstLine="560" w:firstLineChars="200"/>
        <w:rPr>
          <w:rFonts w:eastAsia="仿宋_GB2312"/>
          <w:sz w:val="32"/>
          <w:szCs w:val="32"/>
        </w:rPr>
      </w:pPr>
      <w:r>
        <w:rPr>
          <w:rFonts w:eastAsia="仿宋_GB2312"/>
          <w:sz w:val="28"/>
          <w:szCs w:val="28"/>
        </w:rPr>
        <w:pict>
          <v:line id="直接连接符 3" o:spid="_x0000_s2051" o:spt="20" style="position:absolute;left:0pt;margin-left:0pt;margin-top:21.35pt;height:0pt;width:436.55pt;z-index:251660288;mso-width-relative:page;mso-height-relative:page;" filled="f" stroked="t" coordsize="21600,21600" o:gfxdata="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oi+cfUAAAABgEAAA8AAAAAAAAA&#10;AQAgAAAAIgAAAGRycy9kb3ducmV2LnhtbFBLAQIUABQAAAAIAIdO4kAPmT+03AEAAJYDAAAOAAAA&#10;AAAAAAEAIAAAACMBAABkcnMvZTJvRG9jLnhtbFBLBQYAAAAABgAGAFkBAABxBQAAAAA=&#10;">
            <v:path arrowok="t"/>
            <v:fill on="f" focussize="0,0"/>
            <v:stroke/>
            <v:imagedata o:title=""/>
            <o:lock v:ext="edit" aspectratio="f"/>
          </v:line>
        </w:pict>
      </w:r>
    </w:p>
    <w:p>
      <w:pPr>
        <w:spacing w:line="600" w:lineRule="exact"/>
        <w:ind w:left="990" w:leftChars="66" w:right="82" w:rightChars="39" w:hanging="851" w:hangingChars="304"/>
        <w:rPr>
          <w:rFonts w:hint="eastAsia" w:eastAsia="仿宋_GB2312"/>
          <w:sz w:val="28"/>
          <w:szCs w:val="28"/>
        </w:rPr>
      </w:pPr>
      <w:r>
        <w:rPr>
          <w:rFonts w:hint="eastAsia" w:eastAsia="仿宋_GB2312"/>
          <w:sz w:val="28"/>
          <w:szCs w:val="28"/>
        </w:rPr>
        <w:t>抄送：</w:t>
      </w:r>
      <w:r>
        <w:rPr>
          <w:rFonts w:hint="eastAsia" w:eastAsia="仿宋_GB2312"/>
          <w:sz w:val="28"/>
          <w:szCs w:val="28"/>
          <w:lang w:val="en-US" w:eastAsia="zh-CN"/>
        </w:rPr>
        <w:t>省发展改革委，市政府办公室，市市场监督管理局，市税务局</w:t>
      </w:r>
      <w:r>
        <w:rPr>
          <w:rFonts w:hint="eastAsia" w:eastAsia="仿宋_GB2312"/>
          <w:sz w:val="28"/>
          <w:szCs w:val="28"/>
        </w:rPr>
        <w:t>。</w:t>
      </w:r>
    </w:p>
    <w:p>
      <w:pPr>
        <w:spacing w:line="900" w:lineRule="exact"/>
        <w:ind w:firstLine="140" w:firstLineChars="50"/>
        <w:rPr>
          <w:rFonts w:hint="eastAsia" w:eastAsia="仿宋_GB2312"/>
          <w:sz w:val="28"/>
          <w:szCs w:val="28"/>
        </w:rPr>
      </w:pPr>
      <w:r>
        <w:rPr>
          <w:rFonts w:ascii="仿宋_GB2312" w:hAnsi="Calibri" w:eastAsia="仿宋_GB2312"/>
          <w:sz w:val="28"/>
          <w:szCs w:val="28"/>
        </w:rPr>
        <w:pict>
          <v:line id="直接连接符 4" o:spid="_x0000_s2052" o:spt="20" style="position:absolute;left:0pt;margin-left:0pt;margin-top:9.3pt;height:0pt;width:436.55pt;z-index:251661312;mso-width-relative:page;mso-height-relative:page;" filled="f" stroked="t" coordsize="21600,21600" o:gfxdata="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PxKBdQAAAAGAQAADwAAAAAAAAAB&#10;ACAAAAAiAAAAZHJzL2Rvd25yZXYueG1sUEsBAhQAFAAAAAgAh07iQDmOc23bAQAAlgMAAA4AAAAA&#10;AAAAAQAgAAAAIwEAAGRycy9lMm9Eb2MueG1sUEsFBgAAAAAGAAYAWQEAAHAFAAAAAA==&#10;">
            <v:path arrowok="t"/>
            <v:fill on="f" focussize="0,0"/>
            <v:stroke/>
            <v:imagedata o:title=""/>
            <o:lock v:ext="edit" aspectratio="f"/>
          </v:line>
        </w:pict>
      </w:r>
      <w:r>
        <w:rPr>
          <w:rFonts w:ascii="仿宋_GB2312" w:hAnsi="Calibri" w:eastAsia="仿宋_GB2312"/>
          <w:sz w:val="28"/>
          <w:szCs w:val="28"/>
        </w:rPr>
        <w:pict>
          <v:line id="直接连接符 2" o:spid="_x0000_s2053" o:spt="20" style="position:absolute;left:0pt;margin-left:0pt;margin-top:51.65pt;height:0pt;width:436.55pt;z-index:251662336;mso-width-relative:page;mso-height-relative:page;" filled="f" stroked="t" coordsize="21600,21600" o:gfxdata="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gpORGtQAAAAIAQAADwAAAAAAAAAB&#10;ACAAAAAiAAAAZHJzL2Rvd25yZXYueG1sUEsBAhQAFAAAAAgAh07iQB7yW9nbAQAAlgMAAA4AAAAA&#10;AAAAAQAgAAAAIwEAAGRycy9lMm9Eb2MueG1sUEsFBgAAAAAGAAYAWQEAAHAFAAAAAA==&#10;">
            <v:path arrowok="t"/>
            <v:fill on="f" focussize="0,0"/>
            <v:stroke/>
            <v:imagedata o:title=""/>
            <o:lock v:ext="edit" aspectratio="f"/>
          </v:line>
        </w:pict>
      </w:r>
      <w:r>
        <w:rPr>
          <w:rFonts w:hint="eastAsia" w:eastAsia="仿宋_GB2312"/>
          <w:sz w:val="28"/>
          <w:szCs w:val="28"/>
        </w:rPr>
        <w:t>汕尾市发展和改革局办公室                 202</w:t>
      </w:r>
      <w:r>
        <w:rPr>
          <w:rFonts w:hint="eastAsia" w:eastAsia="仿宋_GB2312"/>
          <w:sz w:val="28"/>
          <w:szCs w:val="28"/>
          <w:lang w:val="en-US" w:eastAsia="zh-CN"/>
        </w:rPr>
        <w:t>3</w:t>
      </w:r>
      <w:r>
        <w:rPr>
          <w:rFonts w:hint="eastAsia" w:eastAsia="仿宋_GB2312"/>
          <w:sz w:val="28"/>
          <w:szCs w:val="28"/>
        </w:rPr>
        <w:t>年</w:t>
      </w:r>
      <w:r>
        <w:rPr>
          <w:rFonts w:hint="eastAsia" w:eastAsia="仿宋_GB2312"/>
          <w:sz w:val="28"/>
          <w:szCs w:val="28"/>
          <w:lang w:val="en-US" w:eastAsia="zh-CN"/>
        </w:rPr>
        <w:t>8</w:t>
      </w:r>
      <w:r>
        <w:rPr>
          <w:rFonts w:hint="eastAsia" w:eastAsia="仿宋_GB2312"/>
          <w:sz w:val="28"/>
          <w:szCs w:val="28"/>
        </w:rPr>
        <w:t>月1</w:t>
      </w:r>
      <w:r>
        <w:rPr>
          <w:rFonts w:hint="eastAsia" w:eastAsia="仿宋_GB2312"/>
          <w:sz w:val="28"/>
          <w:szCs w:val="28"/>
          <w:lang w:val="en-US" w:eastAsia="zh-CN"/>
        </w:rPr>
        <w:t>4</w:t>
      </w:r>
      <w:r>
        <w:rPr>
          <w:rFonts w:hint="eastAsia" w:eastAsia="仿宋_GB2312"/>
          <w:sz w:val="28"/>
          <w:szCs w:val="28"/>
        </w:rPr>
        <w:t>日印发</w:t>
      </w:r>
    </w:p>
    <w:sectPr>
      <w:headerReference r:id="rId5" w:type="first"/>
      <w:headerReference r:id="rId3" w:type="default"/>
      <w:footerReference r:id="rId6" w:type="default"/>
      <w:headerReference r:id="rId4" w:type="even"/>
      <w:footerReference r:id="rId7" w:type="even"/>
      <w:pgSz w:w="11906" w:h="16838"/>
      <w:pgMar w:top="2098" w:right="1588" w:bottom="2098"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1457192"/>
      <w:docPartObj>
        <w:docPartGallery w:val="autotext"/>
      </w:docPartObj>
    </w:sdtPr>
    <w:sdtEndPr>
      <w:rPr>
        <w:sz w:val="28"/>
        <w:szCs w:val="28"/>
      </w:rPr>
    </w:sdtEndPr>
    <w:sdtContent>
      <w:sdt>
        <w:sdtPr>
          <w:rPr>
            <w:rFonts w:asciiTheme="minorEastAsia" w:hAnsiTheme="minorEastAsia" w:eastAsiaTheme="minorEastAsia"/>
            <w:sz w:val="28"/>
            <w:szCs w:val="28"/>
          </w:rPr>
          <w:id w:val="23779585"/>
          <w:docPartObj>
            <w:docPartGallery w:val="autotext"/>
          </w:docPartObj>
        </w:sdtPr>
        <w:sdtEndPr>
          <w:rPr>
            <w:rFonts w:asciiTheme="minorEastAsia" w:hAnsiTheme="minorEastAsia" w:eastAsiaTheme="minorEastAsia"/>
            <w:sz w:val="28"/>
            <w:szCs w:val="28"/>
          </w:rPr>
        </w:sdtEndPr>
        <w:sdtContent>
          <w:p>
            <w:pPr>
              <w:pStyle w:val="4"/>
              <w:jc w:val="right"/>
              <w:rPr>
                <w:rFonts w:asciiTheme="minorEastAsia" w:hAnsiTheme="minorEastAsia" w:eastAsiaTheme="minorEastAsia"/>
                <w:sz w:val="28"/>
                <w:szCs w:val="28"/>
              </w:rPr>
            </w:pPr>
            <w:r>
              <w:rPr>
                <w:rFonts w:hint="eastAsia" w:ascii="宋体" w:hAnsi="宋体"/>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3</w:t>
            </w:r>
            <w:r>
              <w:rPr>
                <w:rFonts w:eastAsia="仿宋_GB2312"/>
                <w:sz w:val="28"/>
                <w:szCs w:val="28"/>
              </w:rPr>
              <w:fldChar w:fldCharType="end"/>
            </w:r>
            <w:r>
              <w:rPr>
                <w:rFonts w:hint="eastAsia" w:ascii="宋体" w:hAnsi="宋体"/>
                <w:sz w:val="28"/>
                <w:szCs w:val="28"/>
              </w:rP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28485126"/>
      <w:docPartObj>
        <w:docPartGallery w:val="autotext"/>
      </w:docPartObj>
    </w:sdtPr>
    <w:sdtEndPr>
      <w:rPr>
        <w:sz w:val="28"/>
        <w:szCs w:val="28"/>
      </w:rPr>
    </w:sdtEndPr>
    <w:sdtContent>
      <w:sdt>
        <w:sdtPr>
          <w:rPr>
            <w:rFonts w:asciiTheme="minorEastAsia" w:hAnsiTheme="minorEastAsia" w:eastAsiaTheme="minorEastAsia"/>
            <w:sz w:val="28"/>
            <w:szCs w:val="28"/>
          </w:rPr>
          <w:id w:val="6377235"/>
          <w:docPartObj>
            <w:docPartGallery w:val="autotext"/>
          </w:docPartObj>
        </w:sdtPr>
        <w:sdtEndPr>
          <w:rPr>
            <w:rFonts w:asciiTheme="minorEastAsia" w:hAnsiTheme="minorEastAsia" w:eastAsiaTheme="minorEastAsia"/>
            <w:sz w:val="28"/>
            <w:szCs w:val="28"/>
          </w:rPr>
        </w:sdtEndPr>
        <w:sdtContent>
          <w:p>
            <w:pPr>
              <w:pStyle w:val="4"/>
              <w:rPr>
                <w:rFonts w:asciiTheme="minorEastAsia" w:hAnsiTheme="minorEastAsia" w:eastAsiaTheme="minorEastAsia"/>
                <w:sz w:val="28"/>
                <w:szCs w:val="28"/>
              </w:rPr>
            </w:pPr>
            <w:r>
              <w:rPr>
                <w:rFonts w:hint="eastAsia" w:ascii="宋体" w:hAnsi="宋体"/>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rPr>
              <w:t>2</w:t>
            </w:r>
            <w:r>
              <w:rPr>
                <w:rFonts w:eastAsia="仿宋_GB2312"/>
                <w:sz w:val="28"/>
                <w:szCs w:val="28"/>
              </w:rPr>
              <w:fldChar w:fldCharType="end"/>
            </w:r>
            <w:r>
              <w:rPr>
                <w:rFonts w:hint="eastAsia" w:ascii="宋体" w:hAnsi="宋体"/>
                <w:sz w:val="28"/>
                <w:szCs w:val="28"/>
              </w:rPr>
              <w:t xml:space="preserve"> —</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1"/>
        <w:right w:val="none" w:color="auto" w:sz="0" w:space="0"/>
        <w:between w:val="none" w:color="auto" w:sz="0" w:space="0"/>
      </w:pBdr>
      <w:jc w:val="right"/>
      <w:rPr>
        <w:rFonts w:hint="default"/>
        <w:lang w:val="en-US"/>
      </w:rPr>
    </w:pPr>
    <w:r>
      <w:rPr>
        <w:rFonts w:hint="eastAsia" w:ascii="黑体" w:hAnsi="黑体" w:eastAsia="黑体" w:cs="黑体"/>
        <w:sz w:val="32"/>
        <w:szCs w:val="32"/>
        <w:lang w:val="en-US" w:eastAsia="zh-CN"/>
      </w:rPr>
      <w:t>SFGGF 2023003</w:t>
    </w:r>
  </w:p>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U2OTA3ZWRlZjIxYWVjNjU0YzViNmYyNDYyYTllYTAifQ=="/>
  </w:docVars>
  <w:rsids>
    <w:rsidRoot w:val="00FB699B"/>
    <w:rsid w:val="00002BA2"/>
    <w:rsid w:val="00007008"/>
    <w:rsid w:val="00014A78"/>
    <w:rsid w:val="0001627D"/>
    <w:rsid w:val="00027CD9"/>
    <w:rsid w:val="00034059"/>
    <w:rsid w:val="000407B8"/>
    <w:rsid w:val="00067CEB"/>
    <w:rsid w:val="00086927"/>
    <w:rsid w:val="000A2DED"/>
    <w:rsid w:val="000B0E36"/>
    <w:rsid w:val="000B6238"/>
    <w:rsid w:val="000C1E7D"/>
    <w:rsid w:val="000C2E8C"/>
    <w:rsid w:val="000C6452"/>
    <w:rsid w:val="000D0F31"/>
    <w:rsid w:val="000D18CC"/>
    <w:rsid w:val="000D3AFA"/>
    <w:rsid w:val="000D5624"/>
    <w:rsid w:val="000D78E4"/>
    <w:rsid w:val="000E13A0"/>
    <w:rsid w:val="000E490C"/>
    <w:rsid w:val="00103645"/>
    <w:rsid w:val="00103E43"/>
    <w:rsid w:val="00104C34"/>
    <w:rsid w:val="00136CC5"/>
    <w:rsid w:val="00136F42"/>
    <w:rsid w:val="001539F9"/>
    <w:rsid w:val="00153C13"/>
    <w:rsid w:val="0015675B"/>
    <w:rsid w:val="001665E6"/>
    <w:rsid w:val="00182819"/>
    <w:rsid w:val="00196CE3"/>
    <w:rsid w:val="00197962"/>
    <w:rsid w:val="001B0152"/>
    <w:rsid w:val="001B5F76"/>
    <w:rsid w:val="001C1836"/>
    <w:rsid w:val="001C27D3"/>
    <w:rsid w:val="001C4DAD"/>
    <w:rsid w:val="001C63D2"/>
    <w:rsid w:val="001C729C"/>
    <w:rsid w:val="001C7570"/>
    <w:rsid w:val="001C779C"/>
    <w:rsid w:val="001E1618"/>
    <w:rsid w:val="001E45E2"/>
    <w:rsid w:val="001E6EF3"/>
    <w:rsid w:val="001F41D2"/>
    <w:rsid w:val="002004B1"/>
    <w:rsid w:val="00202ADE"/>
    <w:rsid w:val="00202E75"/>
    <w:rsid w:val="002052C9"/>
    <w:rsid w:val="00213A9E"/>
    <w:rsid w:val="0023026E"/>
    <w:rsid w:val="0023432C"/>
    <w:rsid w:val="002476D2"/>
    <w:rsid w:val="00250002"/>
    <w:rsid w:val="002542E1"/>
    <w:rsid w:val="002716AD"/>
    <w:rsid w:val="00271BB7"/>
    <w:rsid w:val="00280A3D"/>
    <w:rsid w:val="00285F53"/>
    <w:rsid w:val="002952E0"/>
    <w:rsid w:val="00295C1E"/>
    <w:rsid w:val="002A386A"/>
    <w:rsid w:val="002A3AB7"/>
    <w:rsid w:val="002A3E56"/>
    <w:rsid w:val="002A48C6"/>
    <w:rsid w:val="002A56EB"/>
    <w:rsid w:val="002B0311"/>
    <w:rsid w:val="002B6A82"/>
    <w:rsid w:val="002C432E"/>
    <w:rsid w:val="002C6E91"/>
    <w:rsid w:val="002D0810"/>
    <w:rsid w:val="002D300C"/>
    <w:rsid w:val="002D7695"/>
    <w:rsid w:val="002E0035"/>
    <w:rsid w:val="002E23FB"/>
    <w:rsid w:val="002E6FCA"/>
    <w:rsid w:val="002E76B2"/>
    <w:rsid w:val="002F4501"/>
    <w:rsid w:val="002F4989"/>
    <w:rsid w:val="00304635"/>
    <w:rsid w:val="00304BEE"/>
    <w:rsid w:val="00314AA5"/>
    <w:rsid w:val="00322875"/>
    <w:rsid w:val="00326BD6"/>
    <w:rsid w:val="00335405"/>
    <w:rsid w:val="003425C6"/>
    <w:rsid w:val="00351B0B"/>
    <w:rsid w:val="00362330"/>
    <w:rsid w:val="003663C3"/>
    <w:rsid w:val="00371BF1"/>
    <w:rsid w:val="00373AC6"/>
    <w:rsid w:val="00375E44"/>
    <w:rsid w:val="0038017E"/>
    <w:rsid w:val="00385DDD"/>
    <w:rsid w:val="003913EB"/>
    <w:rsid w:val="003964D7"/>
    <w:rsid w:val="003A5837"/>
    <w:rsid w:val="003B2E82"/>
    <w:rsid w:val="003B5D38"/>
    <w:rsid w:val="003C3985"/>
    <w:rsid w:val="003D1CBA"/>
    <w:rsid w:val="003D7981"/>
    <w:rsid w:val="003E1176"/>
    <w:rsid w:val="003E3289"/>
    <w:rsid w:val="003E5C7D"/>
    <w:rsid w:val="003F4D2B"/>
    <w:rsid w:val="003F7767"/>
    <w:rsid w:val="00402AF0"/>
    <w:rsid w:val="00404265"/>
    <w:rsid w:val="00413CD3"/>
    <w:rsid w:val="00423174"/>
    <w:rsid w:val="0043037D"/>
    <w:rsid w:val="00433A21"/>
    <w:rsid w:val="00434629"/>
    <w:rsid w:val="0044099A"/>
    <w:rsid w:val="004430E0"/>
    <w:rsid w:val="004458A4"/>
    <w:rsid w:val="00451852"/>
    <w:rsid w:val="0045424A"/>
    <w:rsid w:val="004546F9"/>
    <w:rsid w:val="004567BC"/>
    <w:rsid w:val="004674D2"/>
    <w:rsid w:val="00472F58"/>
    <w:rsid w:val="00480F7D"/>
    <w:rsid w:val="0048507B"/>
    <w:rsid w:val="00485ED0"/>
    <w:rsid w:val="004907FB"/>
    <w:rsid w:val="004A6625"/>
    <w:rsid w:val="004B1E81"/>
    <w:rsid w:val="004C555C"/>
    <w:rsid w:val="004C5EF6"/>
    <w:rsid w:val="004C7E5C"/>
    <w:rsid w:val="004D45CA"/>
    <w:rsid w:val="004F0A2C"/>
    <w:rsid w:val="004F1BFC"/>
    <w:rsid w:val="0051534A"/>
    <w:rsid w:val="005204A9"/>
    <w:rsid w:val="00535B9C"/>
    <w:rsid w:val="00536B6B"/>
    <w:rsid w:val="00537249"/>
    <w:rsid w:val="005424BC"/>
    <w:rsid w:val="005528BB"/>
    <w:rsid w:val="00560144"/>
    <w:rsid w:val="005641F0"/>
    <w:rsid w:val="00570749"/>
    <w:rsid w:val="005742DC"/>
    <w:rsid w:val="00574498"/>
    <w:rsid w:val="00574734"/>
    <w:rsid w:val="00576EF4"/>
    <w:rsid w:val="00583A25"/>
    <w:rsid w:val="0058499D"/>
    <w:rsid w:val="005907C2"/>
    <w:rsid w:val="00593FA7"/>
    <w:rsid w:val="005974E0"/>
    <w:rsid w:val="005A4565"/>
    <w:rsid w:val="005A6E04"/>
    <w:rsid w:val="005B44AA"/>
    <w:rsid w:val="005D4D2B"/>
    <w:rsid w:val="00606897"/>
    <w:rsid w:val="00607631"/>
    <w:rsid w:val="006100BE"/>
    <w:rsid w:val="00625684"/>
    <w:rsid w:val="00633EDA"/>
    <w:rsid w:val="00651D26"/>
    <w:rsid w:val="0065204F"/>
    <w:rsid w:val="00663A3E"/>
    <w:rsid w:val="006701FF"/>
    <w:rsid w:val="006729BC"/>
    <w:rsid w:val="0067368B"/>
    <w:rsid w:val="0067595A"/>
    <w:rsid w:val="006813D2"/>
    <w:rsid w:val="0068320A"/>
    <w:rsid w:val="00684FF3"/>
    <w:rsid w:val="00685E1F"/>
    <w:rsid w:val="00686389"/>
    <w:rsid w:val="006902BB"/>
    <w:rsid w:val="00694281"/>
    <w:rsid w:val="00694DE6"/>
    <w:rsid w:val="006B4A56"/>
    <w:rsid w:val="006B5722"/>
    <w:rsid w:val="006B6E68"/>
    <w:rsid w:val="006C514B"/>
    <w:rsid w:val="006E7641"/>
    <w:rsid w:val="007177B7"/>
    <w:rsid w:val="007200EA"/>
    <w:rsid w:val="00723AC1"/>
    <w:rsid w:val="00726B15"/>
    <w:rsid w:val="00743F62"/>
    <w:rsid w:val="007451A3"/>
    <w:rsid w:val="007546D6"/>
    <w:rsid w:val="00757A3B"/>
    <w:rsid w:val="00766FFB"/>
    <w:rsid w:val="00767585"/>
    <w:rsid w:val="00767923"/>
    <w:rsid w:val="007706CA"/>
    <w:rsid w:val="0077462F"/>
    <w:rsid w:val="007848B7"/>
    <w:rsid w:val="00784911"/>
    <w:rsid w:val="007853C8"/>
    <w:rsid w:val="007A5192"/>
    <w:rsid w:val="007A787D"/>
    <w:rsid w:val="007B729C"/>
    <w:rsid w:val="007D5BBF"/>
    <w:rsid w:val="007E3974"/>
    <w:rsid w:val="007E4A25"/>
    <w:rsid w:val="007E58E8"/>
    <w:rsid w:val="007F0DA1"/>
    <w:rsid w:val="007F453C"/>
    <w:rsid w:val="00810B85"/>
    <w:rsid w:val="0081403D"/>
    <w:rsid w:val="00816E33"/>
    <w:rsid w:val="00825ED9"/>
    <w:rsid w:val="0083528C"/>
    <w:rsid w:val="00835A2E"/>
    <w:rsid w:val="0084488E"/>
    <w:rsid w:val="00845034"/>
    <w:rsid w:val="0085351C"/>
    <w:rsid w:val="00854964"/>
    <w:rsid w:val="00855DA0"/>
    <w:rsid w:val="0086235C"/>
    <w:rsid w:val="00862542"/>
    <w:rsid w:val="008675EC"/>
    <w:rsid w:val="00871E18"/>
    <w:rsid w:val="00872FD0"/>
    <w:rsid w:val="008771FB"/>
    <w:rsid w:val="00885572"/>
    <w:rsid w:val="00885AFA"/>
    <w:rsid w:val="00892DDB"/>
    <w:rsid w:val="008A131F"/>
    <w:rsid w:val="008A2D17"/>
    <w:rsid w:val="008A4231"/>
    <w:rsid w:val="008B3502"/>
    <w:rsid w:val="008B6A28"/>
    <w:rsid w:val="008E03B3"/>
    <w:rsid w:val="008E5D72"/>
    <w:rsid w:val="008E6507"/>
    <w:rsid w:val="00903526"/>
    <w:rsid w:val="00904822"/>
    <w:rsid w:val="009075A1"/>
    <w:rsid w:val="0091084D"/>
    <w:rsid w:val="00917BCC"/>
    <w:rsid w:val="0093187A"/>
    <w:rsid w:val="00936337"/>
    <w:rsid w:val="00936610"/>
    <w:rsid w:val="00936BF3"/>
    <w:rsid w:val="00950FA9"/>
    <w:rsid w:val="009560CC"/>
    <w:rsid w:val="009615D0"/>
    <w:rsid w:val="00962E76"/>
    <w:rsid w:val="0096505D"/>
    <w:rsid w:val="0097137D"/>
    <w:rsid w:val="00976B1F"/>
    <w:rsid w:val="00985CC9"/>
    <w:rsid w:val="00996595"/>
    <w:rsid w:val="009A2BCA"/>
    <w:rsid w:val="009A5CF7"/>
    <w:rsid w:val="009A663F"/>
    <w:rsid w:val="009A78B6"/>
    <w:rsid w:val="009B3242"/>
    <w:rsid w:val="009C0D71"/>
    <w:rsid w:val="009C59EE"/>
    <w:rsid w:val="009C5CC9"/>
    <w:rsid w:val="009D0564"/>
    <w:rsid w:val="009F0C99"/>
    <w:rsid w:val="009F0CE7"/>
    <w:rsid w:val="009F5CF3"/>
    <w:rsid w:val="009F7E98"/>
    <w:rsid w:val="00A01F8C"/>
    <w:rsid w:val="00A161FE"/>
    <w:rsid w:val="00A212F0"/>
    <w:rsid w:val="00A27C03"/>
    <w:rsid w:val="00A27F48"/>
    <w:rsid w:val="00A33FF3"/>
    <w:rsid w:val="00A345CB"/>
    <w:rsid w:val="00A425E3"/>
    <w:rsid w:val="00A47306"/>
    <w:rsid w:val="00A5002F"/>
    <w:rsid w:val="00A5292A"/>
    <w:rsid w:val="00A62088"/>
    <w:rsid w:val="00A6352F"/>
    <w:rsid w:val="00A74F2C"/>
    <w:rsid w:val="00A75B96"/>
    <w:rsid w:val="00A8496A"/>
    <w:rsid w:val="00A92D47"/>
    <w:rsid w:val="00AA3C1A"/>
    <w:rsid w:val="00AC0BEC"/>
    <w:rsid w:val="00AC0FF6"/>
    <w:rsid w:val="00AC2D40"/>
    <w:rsid w:val="00AE5175"/>
    <w:rsid w:val="00AE6588"/>
    <w:rsid w:val="00B04FE3"/>
    <w:rsid w:val="00B053DE"/>
    <w:rsid w:val="00B07855"/>
    <w:rsid w:val="00B22CD4"/>
    <w:rsid w:val="00B27697"/>
    <w:rsid w:val="00B27AD0"/>
    <w:rsid w:val="00B30EEE"/>
    <w:rsid w:val="00B45199"/>
    <w:rsid w:val="00B60AE2"/>
    <w:rsid w:val="00B76371"/>
    <w:rsid w:val="00B7640F"/>
    <w:rsid w:val="00B76A22"/>
    <w:rsid w:val="00B948D3"/>
    <w:rsid w:val="00B96C3D"/>
    <w:rsid w:val="00BA3634"/>
    <w:rsid w:val="00BC1A10"/>
    <w:rsid w:val="00BC63D8"/>
    <w:rsid w:val="00BD35F3"/>
    <w:rsid w:val="00BD6E33"/>
    <w:rsid w:val="00BE39EE"/>
    <w:rsid w:val="00BE4CAD"/>
    <w:rsid w:val="00BE5BCF"/>
    <w:rsid w:val="00BE6A86"/>
    <w:rsid w:val="00BF5B73"/>
    <w:rsid w:val="00BF71DA"/>
    <w:rsid w:val="00C04D39"/>
    <w:rsid w:val="00C11987"/>
    <w:rsid w:val="00C14B67"/>
    <w:rsid w:val="00C15FDC"/>
    <w:rsid w:val="00C35510"/>
    <w:rsid w:val="00C4640A"/>
    <w:rsid w:val="00C50932"/>
    <w:rsid w:val="00C60CC8"/>
    <w:rsid w:val="00C63FE7"/>
    <w:rsid w:val="00C648EA"/>
    <w:rsid w:val="00C66715"/>
    <w:rsid w:val="00C72B20"/>
    <w:rsid w:val="00C734AC"/>
    <w:rsid w:val="00C85C57"/>
    <w:rsid w:val="00C9150B"/>
    <w:rsid w:val="00C92DDB"/>
    <w:rsid w:val="00C95E55"/>
    <w:rsid w:val="00CA2B12"/>
    <w:rsid w:val="00CD2052"/>
    <w:rsid w:val="00CD35C5"/>
    <w:rsid w:val="00CD57A9"/>
    <w:rsid w:val="00CE03F5"/>
    <w:rsid w:val="00CF18A9"/>
    <w:rsid w:val="00CF2802"/>
    <w:rsid w:val="00D0301A"/>
    <w:rsid w:val="00D17CC8"/>
    <w:rsid w:val="00D22DAE"/>
    <w:rsid w:val="00D259E5"/>
    <w:rsid w:val="00D31EE4"/>
    <w:rsid w:val="00D361C9"/>
    <w:rsid w:val="00D441CE"/>
    <w:rsid w:val="00D50805"/>
    <w:rsid w:val="00D561AF"/>
    <w:rsid w:val="00D57740"/>
    <w:rsid w:val="00D602C4"/>
    <w:rsid w:val="00D61765"/>
    <w:rsid w:val="00D66B5D"/>
    <w:rsid w:val="00D7525A"/>
    <w:rsid w:val="00DA1C89"/>
    <w:rsid w:val="00DA7DA8"/>
    <w:rsid w:val="00DB0089"/>
    <w:rsid w:val="00DC5B00"/>
    <w:rsid w:val="00DD109D"/>
    <w:rsid w:val="00DD273E"/>
    <w:rsid w:val="00DE6820"/>
    <w:rsid w:val="00DF0CF8"/>
    <w:rsid w:val="00DF2747"/>
    <w:rsid w:val="00DF3F66"/>
    <w:rsid w:val="00DF79CC"/>
    <w:rsid w:val="00E053B4"/>
    <w:rsid w:val="00E075F6"/>
    <w:rsid w:val="00E130E9"/>
    <w:rsid w:val="00E30B8C"/>
    <w:rsid w:val="00E31757"/>
    <w:rsid w:val="00E33DBA"/>
    <w:rsid w:val="00E34FC2"/>
    <w:rsid w:val="00E4387E"/>
    <w:rsid w:val="00E43D21"/>
    <w:rsid w:val="00E442EF"/>
    <w:rsid w:val="00E5350C"/>
    <w:rsid w:val="00E55657"/>
    <w:rsid w:val="00E609BF"/>
    <w:rsid w:val="00E61360"/>
    <w:rsid w:val="00E70980"/>
    <w:rsid w:val="00E75127"/>
    <w:rsid w:val="00E90E9A"/>
    <w:rsid w:val="00E9349A"/>
    <w:rsid w:val="00EA5C7F"/>
    <w:rsid w:val="00EB09F6"/>
    <w:rsid w:val="00EC4CD5"/>
    <w:rsid w:val="00EC6170"/>
    <w:rsid w:val="00EC68EE"/>
    <w:rsid w:val="00EC6F35"/>
    <w:rsid w:val="00ED0209"/>
    <w:rsid w:val="00ED27FF"/>
    <w:rsid w:val="00EE052E"/>
    <w:rsid w:val="00EE2067"/>
    <w:rsid w:val="00F0692F"/>
    <w:rsid w:val="00F15198"/>
    <w:rsid w:val="00F2117C"/>
    <w:rsid w:val="00F27282"/>
    <w:rsid w:val="00F411D0"/>
    <w:rsid w:val="00F43B0D"/>
    <w:rsid w:val="00F462FD"/>
    <w:rsid w:val="00F565A2"/>
    <w:rsid w:val="00F66E7B"/>
    <w:rsid w:val="00F67008"/>
    <w:rsid w:val="00F7189E"/>
    <w:rsid w:val="00F71D44"/>
    <w:rsid w:val="00F84DF8"/>
    <w:rsid w:val="00F96490"/>
    <w:rsid w:val="00FA339C"/>
    <w:rsid w:val="00FA64F5"/>
    <w:rsid w:val="00FB699B"/>
    <w:rsid w:val="00FC0101"/>
    <w:rsid w:val="00FC41AB"/>
    <w:rsid w:val="00FC4B4C"/>
    <w:rsid w:val="00FD3BF4"/>
    <w:rsid w:val="00FF11CD"/>
    <w:rsid w:val="00FF3353"/>
    <w:rsid w:val="00FF62DD"/>
    <w:rsid w:val="0D6D7BE1"/>
    <w:rsid w:val="1A984F0C"/>
    <w:rsid w:val="2BEE63B1"/>
    <w:rsid w:val="3CB21869"/>
    <w:rsid w:val="4A30453E"/>
    <w:rsid w:val="4A8A7911"/>
    <w:rsid w:val="572A0298"/>
    <w:rsid w:val="5CF51716"/>
    <w:rsid w:val="6C5008AD"/>
    <w:rsid w:val="7BB10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5"/>
    <w:semiHidden/>
    <w:qFormat/>
    <w:uiPriority w:val="99"/>
    <w:rPr>
      <w:rFonts w:ascii="Times New Roman" w:hAnsi="Times New Roman" w:eastAsia="宋体" w:cs="Times New Roman"/>
      <w:sz w:val="18"/>
      <w:szCs w:val="18"/>
    </w:rPr>
  </w:style>
  <w:style w:type="character" w:customStyle="1" w:styleId="11">
    <w:name w:val="页脚 Char"/>
    <w:basedOn w:val="9"/>
    <w:link w:val="4"/>
    <w:qFormat/>
    <w:uiPriority w:val="99"/>
    <w:rPr>
      <w:rFonts w:ascii="Times New Roman" w:hAnsi="Times New Roman" w:eastAsia="宋体" w:cs="Times New Roman"/>
      <w:sz w:val="18"/>
      <w:szCs w:val="18"/>
    </w:rPr>
  </w:style>
  <w:style w:type="paragraph" w:customStyle="1" w:styleId="12">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
    <w:name w:val="日期 Char"/>
    <w:basedOn w:val="9"/>
    <w:link w:val="2"/>
    <w:semiHidden/>
    <w:qFormat/>
    <w:uiPriority w:val="99"/>
    <w:rPr>
      <w:rFonts w:ascii="Times New Roman" w:hAnsi="Times New Roman" w:eastAsia="宋体" w:cs="Times New Roman"/>
      <w:szCs w:val="24"/>
    </w:rPr>
  </w:style>
  <w:style w:type="character" w:customStyle="1" w:styleId="14">
    <w:name w:val="批注框文本 Char"/>
    <w:basedOn w:val="9"/>
    <w:link w:val="3"/>
    <w:semiHidden/>
    <w:qFormat/>
    <w:uiPriority w:val="99"/>
    <w:rPr>
      <w:rFonts w:ascii="Times New Roman" w:hAnsi="Times New Roman" w:eastAsia="宋体" w:cs="Times New Roman"/>
      <w:sz w:val="18"/>
      <w:szCs w:val="18"/>
    </w:rPr>
  </w:style>
  <w:style w:type="paragraph" w:customStyle="1" w:styleId="15">
    <w:name w:val="p0"/>
    <w:basedOn w:val="1"/>
    <w:qFormat/>
    <w:uiPriority w:val="0"/>
    <w:pPr>
      <w:widowControl/>
    </w:pPr>
    <w:rPr>
      <w:kern w:val="0"/>
      <w:szCs w:val="21"/>
    </w:rPr>
  </w:style>
  <w:style w:type="paragraph" w:styleId="16">
    <w:name w:val="List Paragraph"/>
    <w:basedOn w:val="1"/>
    <w:qFormat/>
    <w:uiPriority w:val="34"/>
    <w:pPr>
      <w:ind w:firstLine="420" w:firstLineChars="200"/>
    </w:pPr>
  </w:style>
  <w:style w:type="paragraph" w:customStyle="1" w:styleId="17">
    <w:name w:val="正文缩进1"/>
    <w:basedOn w:val="1"/>
    <w:qFormat/>
    <w:uiPriority w:val="0"/>
    <w:pPr>
      <w:autoSpaceDE w:val="0"/>
      <w:autoSpaceDN w:val="0"/>
      <w:adjustRightInd w:val="0"/>
      <w:ind w:firstLine="420"/>
      <w:textAlignment w:val="baseline"/>
    </w:pPr>
    <w:rPr>
      <w:rFonts w:ascii="宋体" w:eastAsia="宋体"/>
      <w:kern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466</Words>
  <Characters>492</Characters>
  <Lines>4</Lines>
  <Paragraphs>1</Paragraphs>
  <TotalTime>1</TotalTime>
  <ScaleCrop>false</ScaleCrop>
  <LinksUpToDate>false</LinksUpToDate>
  <CharactersWithSpaces>558</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2013-12-12T03:31:00Z</dcterms:created>
  <dc:creator>翁琳琳</dc:creator>
  <cp:lastModifiedBy>信</cp:lastModifiedBy>
  <cp:lastPrinted>2016-02-23T08:53:00Z</cp:lastPrinted>
  <dcterms:modified xsi:type="dcterms:W3CDTF">2023-08-15T02:49:11Z</dcterms:modified>
  <cp:revision>239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BF81C126992A4CB187B6FC9A20C35D63</vt:lpwstr>
  </property>
</Properties>
</file>