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E43D7">
      <w:pPr>
        <w:keepNext w:val="0"/>
        <w:keepLines w:val="0"/>
        <w:pageBreakBefore w:val="0"/>
        <w:kinsoku/>
        <w:wordWrap/>
        <w:overflowPunct/>
        <w:topLinePunct w:val="0"/>
        <w:bidi w:val="0"/>
        <w:spacing w:line="600" w:lineRule="exact"/>
        <w:jc w:val="both"/>
        <w:outlineLvl w:val="1"/>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w:t>
      </w:r>
    </w:p>
    <w:p w14:paraId="6E8BE398">
      <w:pPr>
        <w:keepNext w:val="0"/>
        <w:keepLines w:val="0"/>
        <w:pageBreakBefore w:val="0"/>
        <w:kinsoku/>
        <w:wordWrap/>
        <w:overflowPunct/>
        <w:topLinePunct w:val="0"/>
        <w:bidi w:val="0"/>
        <w:spacing w:line="600" w:lineRule="exact"/>
        <w:jc w:val="center"/>
        <w:outlineLvl w:val="1"/>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汕尾市支持工业企业技术改造实施方案</w:t>
      </w:r>
    </w:p>
    <w:p w14:paraId="05E21CF0">
      <w:pPr>
        <w:keepNext w:val="0"/>
        <w:keepLines w:val="0"/>
        <w:pageBreakBefore w:val="0"/>
        <w:kinsoku/>
        <w:wordWrap/>
        <w:overflowPunct/>
        <w:topLinePunct w:val="0"/>
        <w:bidi w:val="0"/>
        <w:spacing w:line="600" w:lineRule="exact"/>
        <w:jc w:val="center"/>
        <w:outlineLvl w:val="1"/>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lang w:val="en-US" w:eastAsia="zh-CN"/>
        </w:rPr>
        <w:t>征求意见稿</w:t>
      </w:r>
      <w:r>
        <w:rPr>
          <w:rFonts w:hint="eastAsia" w:ascii="方正小标宋简体" w:hAnsi="方正小标宋简体" w:eastAsia="方正小标宋简体" w:cs="方正小标宋简体"/>
          <w:color w:val="auto"/>
          <w:sz w:val="44"/>
          <w:szCs w:val="44"/>
          <w:lang w:eastAsia="zh-CN"/>
        </w:rPr>
        <w:t>）</w:t>
      </w:r>
    </w:p>
    <w:p w14:paraId="2525E11A">
      <w:pPr>
        <w:keepNext w:val="0"/>
        <w:keepLines w:val="0"/>
        <w:pageBreakBefore w:val="0"/>
        <w:widowControl/>
        <w:kinsoku/>
        <w:wordWrap/>
        <w:overflowPunct/>
        <w:topLinePunct w:val="0"/>
        <w:autoSpaceDE w:val="0"/>
        <w:autoSpaceDN w:val="0"/>
        <w:bidi w:val="0"/>
        <w:adjustRightInd w:val="0"/>
        <w:snapToGrid w:val="0"/>
        <w:spacing w:line="600" w:lineRule="exact"/>
        <w:textAlignment w:val="baseline"/>
        <w:rPr>
          <w:rFonts w:hint="eastAsia" w:ascii="仿宋_GB2312" w:hAnsi="仿宋_GB2312" w:eastAsia="仿宋_GB2312" w:cs="仿宋_GB2312"/>
          <w:color w:val="auto"/>
          <w:sz w:val="32"/>
          <w:szCs w:val="32"/>
        </w:rPr>
      </w:pPr>
    </w:p>
    <w:p w14:paraId="356E78DC">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为鼓励</w:t>
      </w:r>
      <w:r>
        <w:rPr>
          <w:rFonts w:hint="eastAsia" w:ascii="Times New Roman" w:hAnsi="Times New Roman" w:eastAsia="仿宋_GB2312" w:cs="Times New Roman"/>
          <w:color w:val="auto"/>
          <w:sz w:val="32"/>
          <w:szCs w:val="32"/>
          <w:lang w:eastAsia="zh-CN"/>
        </w:rPr>
        <w:t>中小</w:t>
      </w:r>
      <w:r>
        <w:rPr>
          <w:rFonts w:hint="default" w:ascii="Times New Roman" w:hAnsi="Times New Roman" w:eastAsia="仿宋_GB2312" w:cs="Times New Roman"/>
          <w:color w:val="auto"/>
          <w:sz w:val="32"/>
          <w:szCs w:val="32"/>
        </w:rPr>
        <w:t>工业企业加快实施技术改造，根据《广东省人民政府办公厅关于印发广东省新形势下推动工业企业加快实施技术改造若干措施的通知》（粤办函〔2023〕293号）、《广东省工业和信息化厅 广东省财政厅关于印发制造业当家重点任务保障专项企业技术改造资金管理实施细则的通知》（粤工信规字〔2024〕7号）等规定，结合我市企业技术改造工作实际，制定本实施方案</w:t>
      </w:r>
      <w:r>
        <w:rPr>
          <w:rFonts w:hint="default" w:ascii="Times New Roman" w:hAnsi="Times New Roman" w:eastAsia="仿宋_GB2312" w:cs="Times New Roman"/>
          <w:color w:val="auto"/>
          <w:sz w:val="32"/>
          <w:szCs w:val="32"/>
          <w:lang w:eastAsia="zh-CN"/>
        </w:rPr>
        <w:t>。</w:t>
      </w:r>
    </w:p>
    <w:p w14:paraId="5CF63D84">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outlineLvl w:val="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一、核心定义</w:t>
      </w:r>
    </w:p>
    <w:p w14:paraId="0F2554DE">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（一）</w:t>
      </w:r>
      <w:r>
        <w:rPr>
          <w:rFonts w:hint="default" w:ascii="Times New Roman" w:hAnsi="Times New Roman" w:eastAsia="仿宋_GB2312" w:cs="Times New Roman"/>
          <w:color w:val="auto"/>
          <w:sz w:val="32"/>
          <w:szCs w:val="32"/>
        </w:rPr>
        <w:t>本实施方案所称技术改造是指工业企业采用新技术、新工艺、新设备、新材料对现有设施、工艺条件</w:t>
      </w:r>
      <w:r>
        <w:rPr>
          <w:rFonts w:hint="eastAsia" w:ascii="Times New Roman" w:hAnsi="Times New Roman" w:eastAsia="仿宋_GB2312" w:cs="Times New Roman"/>
          <w:color w:val="auto"/>
          <w:sz w:val="32"/>
          <w:szCs w:val="32"/>
          <w:lang w:eastAsia="zh-CN"/>
        </w:rPr>
        <w:t>、软件配套</w:t>
      </w:r>
      <w:r>
        <w:rPr>
          <w:rFonts w:hint="default" w:ascii="Times New Roman" w:hAnsi="Times New Roman" w:eastAsia="仿宋_GB2312" w:cs="Times New Roman"/>
          <w:color w:val="auto"/>
          <w:sz w:val="32"/>
          <w:szCs w:val="32"/>
        </w:rPr>
        <w:t>及生产服务等进行改造提升，支持企业通过增资扩产扩大生产规模</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实现内涵式发展的投资活动。本实施方案所称技术改造资金是指专项用于支持我市工业企业实施技术改造的资金。</w:t>
      </w:r>
    </w:p>
    <w:p w14:paraId="0F9B0ACA">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sz w:val="32"/>
          <w:szCs w:val="32"/>
          <w:lang w:eastAsia="zh-CN"/>
        </w:rPr>
        <w:t>（二）</w:t>
      </w:r>
      <w:r>
        <w:rPr>
          <w:rFonts w:hint="eastAsia" w:ascii="仿宋_GB2312" w:hAnsi="仿宋_GB2312" w:eastAsia="仿宋_GB2312" w:cs="仿宋_GB2312"/>
          <w:color w:val="auto"/>
          <w:sz w:val="32"/>
          <w:szCs w:val="32"/>
        </w:rPr>
        <w:t>市级</w:t>
      </w:r>
      <w:r>
        <w:rPr>
          <w:rFonts w:hint="eastAsia" w:ascii="仿宋_GB2312" w:hAnsi="仿宋_GB2312" w:eastAsia="仿宋_GB2312" w:cs="仿宋_GB2312"/>
          <w:color w:val="auto"/>
          <w:sz w:val="32"/>
          <w:szCs w:val="32"/>
          <w:lang w:eastAsia="zh-CN"/>
        </w:rPr>
        <w:t>工业</w:t>
      </w:r>
      <w:r>
        <w:rPr>
          <w:rFonts w:hint="eastAsia" w:ascii="仿宋_GB2312" w:hAnsi="仿宋_GB2312" w:eastAsia="仿宋_GB2312" w:cs="仿宋_GB2312"/>
          <w:color w:val="auto"/>
          <w:sz w:val="32"/>
          <w:szCs w:val="32"/>
        </w:rPr>
        <w:t>企业技术改造项目（以下简称“市技改项目”）是指我市制造业企业引进和购置先进设备（含配套软件，包括与项目设备配套的CAD、CAE等工业软件，下同）</w:t>
      </w:r>
      <w:r>
        <w:rPr>
          <w:rFonts w:hint="eastAsia" w:ascii="仿宋_GB2312" w:hAnsi="仿宋_GB2312" w:eastAsia="仿宋_GB2312" w:cs="仿宋_GB2312"/>
          <w:color w:val="auto"/>
          <w:sz w:val="32"/>
          <w:szCs w:val="32"/>
          <w:lang w:eastAsia="zh-CN"/>
        </w:rPr>
        <w:t>、工业软件</w:t>
      </w:r>
      <w:r>
        <w:rPr>
          <w:rFonts w:hint="eastAsia" w:ascii="仿宋_GB2312" w:hAnsi="仿宋_GB2312" w:eastAsia="仿宋_GB2312" w:cs="仿宋_GB2312"/>
          <w:color w:val="auto"/>
          <w:sz w:val="32"/>
          <w:szCs w:val="32"/>
        </w:rPr>
        <w:t>，实施设备更新</w:t>
      </w:r>
      <w:r>
        <w:rPr>
          <w:rFonts w:hint="eastAsia" w:ascii="仿宋_GB2312" w:hAnsi="仿宋_GB2312" w:eastAsia="仿宋_GB2312" w:cs="仿宋_GB2312"/>
          <w:color w:val="auto"/>
          <w:sz w:val="32"/>
          <w:szCs w:val="32"/>
          <w:lang w:eastAsia="zh-CN"/>
        </w:rPr>
        <w:t>、软件应用、增资扩产</w:t>
      </w:r>
      <w:r>
        <w:rPr>
          <w:rFonts w:hint="eastAsia" w:ascii="仿宋_GB2312" w:hAnsi="仿宋_GB2312" w:eastAsia="仿宋_GB2312" w:cs="仿宋_GB2312"/>
          <w:color w:val="auto"/>
          <w:sz w:val="32"/>
          <w:szCs w:val="32"/>
        </w:rPr>
        <w:t>，大力发展智能制造装备，进行改善生产条件和提升企业装备水平的项目。</w:t>
      </w:r>
    </w:p>
    <w:p w14:paraId="6735DE44">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（三）</w:t>
      </w:r>
      <w:r>
        <w:rPr>
          <w:rFonts w:hint="default" w:ascii="仿宋_GB2312" w:hAnsi="仿宋_GB2312" w:eastAsia="仿宋_GB2312" w:cs="仿宋_GB2312"/>
          <w:color w:val="auto"/>
          <w:sz w:val="32"/>
          <w:szCs w:val="32"/>
        </w:rPr>
        <w:t>企业技术改造设备事后奖励</w:t>
      </w:r>
      <w:r>
        <w:rPr>
          <w:rFonts w:hint="eastAsia" w:ascii="仿宋_GB2312" w:hAnsi="仿宋_GB2312" w:eastAsia="仿宋_GB2312" w:cs="仿宋_GB2312"/>
          <w:color w:val="auto"/>
          <w:sz w:val="32"/>
          <w:szCs w:val="32"/>
          <w:lang w:eastAsia="zh-CN"/>
        </w:rPr>
        <w:t>是指工业企业购置先进生产设备（含配套工业软件）实施改造并完工，按要求申报并经评审通过后，按政策要求时间内的新购置设备不含税投资额给予一次性事后奖补。</w:t>
      </w:r>
      <w:r>
        <w:rPr>
          <w:rFonts w:hint="default" w:ascii="仿宋_GB2312" w:hAnsi="仿宋_GB2312" w:eastAsia="仿宋_GB2312" w:cs="仿宋_GB2312"/>
          <w:color w:val="auto"/>
          <w:sz w:val="32"/>
          <w:szCs w:val="32"/>
        </w:rPr>
        <w:t>企业技术改造</w:t>
      </w:r>
      <w:r>
        <w:rPr>
          <w:rFonts w:hint="eastAsia" w:ascii="仿宋_GB2312" w:hAnsi="仿宋_GB2312" w:eastAsia="仿宋_GB2312" w:cs="仿宋_GB2312"/>
          <w:color w:val="auto"/>
          <w:sz w:val="32"/>
          <w:szCs w:val="32"/>
          <w:lang w:eastAsia="zh-CN"/>
        </w:rPr>
        <w:t>软件应用事后奖励是指工业企业购置工业软件应用实施改造并完工，按要求申报并经评审通过后，按政策要求时间内的新购置应用的工业软件投资额给予一次性事后奖补。</w:t>
      </w:r>
    </w:p>
    <w:p w14:paraId="3D0C7F98">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outlineLvl w:val="0"/>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eastAsia="zh-CN"/>
        </w:rPr>
        <w:t>二、</w:t>
      </w:r>
      <w:r>
        <w:rPr>
          <w:rFonts w:hint="default" w:ascii="Times New Roman" w:hAnsi="Times New Roman" w:eastAsia="黑体" w:cs="Times New Roman"/>
          <w:color w:val="auto"/>
          <w:sz w:val="32"/>
          <w:szCs w:val="32"/>
        </w:rPr>
        <w:t>支持对象</w:t>
      </w:r>
    </w:p>
    <w:p w14:paraId="5702882D">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outlineLvl w:val="1"/>
        <w:rPr>
          <w:rFonts w:hint="eastAsia"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1.项目承担单位为登记注册且</w:t>
      </w:r>
      <w:r>
        <w:rPr>
          <w:rFonts w:hint="eastAsia" w:ascii="Times New Roman" w:hAnsi="Times New Roman" w:eastAsia="仿宋_GB2312" w:cs="Times New Roman"/>
          <w:color w:val="auto"/>
          <w:sz w:val="32"/>
          <w:szCs w:val="32"/>
          <w:lang w:val="en-US" w:eastAsia="zh-CN"/>
        </w:rPr>
        <w:t>正常</w:t>
      </w:r>
      <w:r>
        <w:rPr>
          <w:rFonts w:hint="default" w:ascii="Times New Roman" w:hAnsi="Times New Roman" w:eastAsia="仿宋_GB2312" w:cs="Times New Roman"/>
          <w:color w:val="auto"/>
          <w:sz w:val="32"/>
          <w:szCs w:val="32"/>
        </w:rPr>
        <w:t>生产经营、具有独立法人资格，诚信经营、依法纳税的工业企业。未被纳入严重失信主体名单或经营异常名录，不存在严重违法失信行为</w:t>
      </w:r>
      <w:r>
        <w:rPr>
          <w:rFonts w:hint="eastAsia" w:ascii="Times New Roman" w:hAnsi="Times New Roman" w:eastAsia="仿宋_GB2312" w:cs="Times New Roman"/>
          <w:color w:val="auto"/>
          <w:sz w:val="32"/>
          <w:szCs w:val="32"/>
          <w:lang w:eastAsia="zh-CN"/>
        </w:rPr>
        <w:t>。</w:t>
      </w:r>
    </w:p>
    <w:p w14:paraId="65BECEB9">
      <w:pPr>
        <w:keepNext w:val="0"/>
        <w:keepLines w:val="0"/>
        <w:pageBreakBefore w:val="0"/>
        <w:widowControl/>
        <w:kinsoku/>
        <w:wordWrap w:val="0"/>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2.企业技术改造项目应符合国家和</w:t>
      </w:r>
      <w:r>
        <w:rPr>
          <w:rFonts w:hint="default" w:ascii="Times New Roman" w:hAnsi="Times New Roman" w:eastAsia="仿宋_GB2312" w:cs="Times New Roman"/>
          <w:color w:val="auto"/>
          <w:sz w:val="32"/>
          <w:szCs w:val="32"/>
          <w:lang w:eastAsia="zh-CN"/>
        </w:rPr>
        <w:t>省、市</w:t>
      </w:r>
      <w:r>
        <w:rPr>
          <w:rFonts w:hint="default" w:ascii="Times New Roman" w:hAnsi="Times New Roman" w:eastAsia="仿宋_GB2312" w:cs="Times New Roman"/>
          <w:color w:val="auto"/>
          <w:sz w:val="32"/>
          <w:szCs w:val="32"/>
        </w:rPr>
        <w:t>产业政策</w:t>
      </w:r>
      <w:r>
        <w:rPr>
          <w:rFonts w:hint="eastAsia" w:ascii="Times New Roman" w:hAnsi="Times New Roman" w:eastAsia="仿宋_GB2312" w:cs="Times New Roman"/>
          <w:color w:val="auto"/>
          <w:sz w:val="32"/>
          <w:szCs w:val="32"/>
          <w:lang w:eastAsia="zh-CN"/>
        </w:rPr>
        <w:t>。</w:t>
      </w:r>
    </w:p>
    <w:p w14:paraId="1F1FEAB6">
      <w:pPr>
        <w:keepNext w:val="0"/>
        <w:keepLines w:val="0"/>
        <w:pageBreakBefore w:val="0"/>
        <w:widowControl w:val="0"/>
        <w:kinsoku/>
        <w:wordWrap/>
        <w:overflowPunct/>
        <w:topLinePunct w:val="0"/>
        <w:autoSpaceDE/>
        <w:autoSpaceDN/>
        <w:bidi w:val="0"/>
        <w:adjustRightInd/>
        <w:snapToGrid/>
        <w:spacing w:beforeLines="0" w:after="0" w:afterLines="0" w:line="60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sz w:val="32"/>
          <w:szCs w:val="32"/>
          <w:highlight w:val="none"/>
          <w:u w:val="none" w:color="auto"/>
          <w:lang w:eastAsia="zh-CN"/>
        </w:rPr>
      </w:pPr>
      <w:r>
        <w:rPr>
          <w:rFonts w:hint="default" w:ascii="Times New Roman" w:hAnsi="Times New Roman" w:eastAsia="仿宋_GB2312" w:cs="Times New Roman"/>
          <w:color w:val="auto"/>
          <w:sz w:val="32"/>
          <w:szCs w:val="32"/>
          <w:highlight w:val="none"/>
          <w:u w:val="none" w:color="auto"/>
          <w:lang w:val="en-US" w:eastAsia="zh-CN"/>
        </w:rPr>
        <w:t>3.</w:t>
      </w:r>
      <w:r>
        <w:rPr>
          <w:rFonts w:hint="default" w:ascii="Times New Roman" w:hAnsi="Times New Roman" w:eastAsia="仿宋_GB2312" w:cs="Times New Roman"/>
          <w:color w:val="auto"/>
          <w:sz w:val="32"/>
          <w:szCs w:val="32"/>
          <w:highlight w:val="none"/>
          <w:u w:val="none" w:color="auto"/>
          <w:lang w:eastAsia="zh-CN"/>
        </w:rPr>
        <w:t>企业技术改造项目及申报奖励的设备投资未获得过省</w:t>
      </w:r>
      <w:r>
        <w:rPr>
          <w:rFonts w:hint="eastAsia" w:ascii="Times New Roman" w:hAnsi="Times New Roman" w:eastAsia="仿宋_GB2312" w:cs="Times New Roman"/>
          <w:color w:val="auto"/>
          <w:sz w:val="32"/>
          <w:szCs w:val="32"/>
          <w:highlight w:val="none"/>
          <w:u w:val="none" w:color="auto"/>
          <w:lang w:eastAsia="zh-CN"/>
        </w:rPr>
        <w:t>、市</w:t>
      </w:r>
      <w:r>
        <w:rPr>
          <w:rFonts w:hint="default" w:ascii="Times New Roman" w:hAnsi="Times New Roman" w:eastAsia="仿宋_GB2312" w:cs="Times New Roman"/>
          <w:color w:val="auto"/>
          <w:sz w:val="32"/>
          <w:szCs w:val="32"/>
          <w:highlight w:val="none"/>
          <w:u w:val="none" w:color="auto"/>
          <w:lang w:eastAsia="zh-CN"/>
        </w:rPr>
        <w:t>财政资金的支持</w:t>
      </w:r>
      <w:r>
        <w:rPr>
          <w:rFonts w:hint="default" w:ascii="Times New Roman" w:hAnsi="Times New Roman" w:eastAsia="仿宋_GB2312" w:cs="Times New Roman"/>
          <w:color w:val="auto"/>
          <w:sz w:val="32"/>
          <w:szCs w:val="32"/>
          <w:u w:val="none"/>
          <w:lang w:eastAsia="zh-CN" w:bidi="ar"/>
        </w:rPr>
        <w:t>，</w:t>
      </w:r>
      <w:r>
        <w:rPr>
          <w:rFonts w:hint="default" w:ascii="Times New Roman" w:hAnsi="Times New Roman" w:eastAsia="仿宋_GB2312" w:cs="Times New Roman"/>
          <w:color w:val="auto"/>
          <w:sz w:val="32"/>
          <w:szCs w:val="32"/>
          <w:u w:val="none" w:color="auto"/>
          <w:lang w:eastAsia="zh-CN" w:bidi="ar"/>
        </w:rPr>
        <w:t>且未获得</w:t>
      </w:r>
      <w:r>
        <w:rPr>
          <w:rFonts w:hint="default" w:ascii="Times New Roman" w:hAnsi="Times New Roman" w:eastAsia="仿宋_GB2312" w:cs="Times New Roman"/>
          <w:color w:val="auto"/>
          <w:sz w:val="32"/>
          <w:szCs w:val="32"/>
          <w:u w:val="none" w:color="auto"/>
          <w:lang w:val="zh-CN" w:bidi="ar"/>
        </w:rPr>
        <w:t>国家工业和信息化领域财</w:t>
      </w:r>
      <w:bookmarkStart w:id="0" w:name="_GoBack"/>
      <w:r>
        <w:rPr>
          <w:rFonts w:hint="default" w:ascii="Times New Roman" w:hAnsi="Times New Roman" w:eastAsia="仿宋_GB2312" w:cs="Times New Roman"/>
          <w:color w:val="auto"/>
          <w:sz w:val="32"/>
          <w:szCs w:val="32"/>
          <w:u w:val="none" w:color="auto"/>
          <w:lang w:val="zh-CN" w:bidi="ar"/>
        </w:rPr>
        <w:t>政</w:t>
      </w:r>
      <w:bookmarkEnd w:id="0"/>
      <w:r>
        <w:rPr>
          <w:rFonts w:hint="default" w:ascii="Times New Roman" w:hAnsi="Times New Roman" w:eastAsia="仿宋_GB2312" w:cs="Times New Roman"/>
          <w:color w:val="auto"/>
          <w:sz w:val="32"/>
          <w:szCs w:val="32"/>
          <w:u w:val="none" w:color="auto"/>
          <w:lang w:val="zh-CN" w:bidi="ar"/>
        </w:rPr>
        <w:t>资金支持</w:t>
      </w:r>
      <w:r>
        <w:rPr>
          <w:rFonts w:hint="default" w:ascii="Times New Roman" w:hAnsi="Times New Roman" w:eastAsia="仿宋_GB2312" w:cs="Times New Roman"/>
          <w:color w:val="auto"/>
          <w:sz w:val="32"/>
          <w:szCs w:val="32"/>
          <w:u w:color="auto"/>
          <w:shd w:val="clear" w:color="auto" w:fill="FFFFFF"/>
        </w:rPr>
        <w:t>。</w:t>
      </w:r>
      <w:r>
        <w:rPr>
          <w:rFonts w:hint="eastAsia" w:ascii="Times New Roman" w:hAnsi="Times New Roman" w:eastAsia="仿宋_GB2312" w:cs="Times New Roman"/>
          <w:color w:val="auto"/>
          <w:sz w:val="32"/>
          <w:szCs w:val="32"/>
          <w:u w:color="auto"/>
          <w:shd w:val="clear" w:color="auto" w:fill="FFFFFF"/>
          <w:lang w:eastAsia="zh-CN"/>
        </w:rPr>
        <w:t>工业软件获得省软件攻关工程试点应用的除外。</w:t>
      </w:r>
    </w:p>
    <w:p w14:paraId="3090A05F">
      <w:pPr>
        <w:keepNext w:val="0"/>
        <w:keepLines w:val="0"/>
        <w:pageBreakBefore w:val="0"/>
        <w:widowControl w:val="0"/>
        <w:kinsoku/>
        <w:wordWrap/>
        <w:overflowPunct/>
        <w:topLinePunct w:val="0"/>
        <w:autoSpaceDE/>
        <w:autoSpaceDN/>
        <w:bidi w:val="0"/>
        <w:adjustRightInd/>
        <w:snapToGrid/>
        <w:spacing w:beforeLines="0" w:after="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u w:color="auto"/>
          <w:lang w:eastAsia="zh-CN"/>
        </w:rPr>
      </w:pPr>
      <w:r>
        <w:rPr>
          <w:rFonts w:hint="default" w:ascii="Times New Roman" w:hAnsi="Times New Roman" w:eastAsia="仿宋_GB2312" w:cs="Times New Roman"/>
          <w:color w:val="auto"/>
          <w:sz w:val="32"/>
          <w:szCs w:val="32"/>
          <w:highlight w:val="none"/>
          <w:u w:val="none" w:color="auto"/>
          <w:lang w:val="en-US" w:eastAsia="zh-CN"/>
        </w:rPr>
        <w:t>4.</w:t>
      </w:r>
      <w:r>
        <w:rPr>
          <w:rFonts w:hint="default" w:ascii="Times New Roman" w:hAnsi="Times New Roman" w:eastAsia="仿宋_GB2312" w:cs="Times New Roman"/>
          <w:color w:val="auto"/>
          <w:sz w:val="32"/>
          <w:szCs w:val="32"/>
          <w:highlight w:val="none"/>
          <w:u w:val="none" w:color="auto"/>
          <w:lang w:eastAsia="zh-CN"/>
        </w:rPr>
        <w:t>同一申报主体同一年度原则上只能申报一个项目。</w:t>
      </w:r>
    </w:p>
    <w:p w14:paraId="13641B2C">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i w:val="0"/>
          <w:iCs w:val="0"/>
          <w:color w:val="auto"/>
          <w:sz w:val="32"/>
          <w:szCs w:val="32"/>
          <w:lang w:val="en-US" w:eastAsia="zh-CN"/>
        </w:rPr>
        <w:t>5</w:t>
      </w:r>
      <w:r>
        <w:rPr>
          <w:rFonts w:hint="default" w:ascii="Times New Roman" w:hAnsi="Times New Roman" w:eastAsia="仿宋_GB2312" w:cs="Times New Roman"/>
          <w:i w:val="0"/>
          <w:iCs w:val="0"/>
          <w:color w:val="auto"/>
          <w:sz w:val="32"/>
          <w:szCs w:val="32"/>
        </w:rPr>
        <w:t>.企业技术改造项目在规定时间内完工。</w:t>
      </w:r>
    </w:p>
    <w:p w14:paraId="58788374">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.汕尾市企业技术改造项目在2025年1月1日（含）至2026年12月31日（含）期间符合条件的设备购置总额</w:t>
      </w:r>
      <w:r>
        <w:rPr>
          <w:rFonts w:hint="eastAsia" w:ascii="Times New Roman" w:hAnsi="Times New Roman" w:eastAsia="仿宋_GB2312" w:cs="Times New Roman"/>
          <w:color w:val="auto"/>
          <w:sz w:val="32"/>
          <w:szCs w:val="32"/>
          <w:lang w:eastAsia="zh-CN"/>
        </w:rPr>
        <w:t>（不含税）</w:t>
      </w:r>
      <w:r>
        <w:rPr>
          <w:rFonts w:hint="default" w:ascii="Times New Roman" w:hAnsi="Times New Roman" w:eastAsia="仿宋_GB2312" w:cs="Times New Roman"/>
          <w:color w:val="auto"/>
          <w:sz w:val="32"/>
          <w:szCs w:val="32"/>
        </w:rPr>
        <w:t>不低于</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00万元</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u w:color="auto"/>
          <w:shd w:val="clear" w:color="auto" w:fill="FFFFFF"/>
          <w:lang w:eastAsia="zh-CN"/>
        </w:rPr>
        <w:t>工业软件不受额度限制</w:t>
      </w:r>
      <w:r>
        <w:rPr>
          <w:rFonts w:hint="default" w:ascii="Times New Roman" w:hAnsi="Times New Roman" w:eastAsia="仿宋_GB2312" w:cs="Times New Roman"/>
          <w:color w:val="auto"/>
          <w:sz w:val="32"/>
          <w:szCs w:val="32"/>
        </w:rPr>
        <w:t>。</w:t>
      </w:r>
    </w:p>
    <w:p w14:paraId="333FE5B9">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优先支持</w:t>
      </w:r>
      <w:r>
        <w:rPr>
          <w:rFonts w:hint="default" w:ascii="Times New Roman" w:hAnsi="Times New Roman" w:eastAsia="仿宋_GB2312" w:cs="Times New Roman"/>
          <w:color w:val="auto"/>
          <w:sz w:val="32"/>
          <w:szCs w:val="32"/>
        </w:rPr>
        <w:t>企业技术改造项目投资按规定纳入技术改造投资统计</w:t>
      </w:r>
      <w:r>
        <w:rPr>
          <w:rFonts w:hint="eastAsia" w:ascii="Times New Roman" w:hAnsi="Times New Roman" w:eastAsia="仿宋_GB2312" w:cs="Times New Roman"/>
          <w:color w:val="auto"/>
          <w:sz w:val="32"/>
          <w:szCs w:val="32"/>
          <w:lang w:eastAsia="zh-CN"/>
        </w:rPr>
        <w:t>的项目</w:t>
      </w:r>
      <w:r>
        <w:rPr>
          <w:rFonts w:hint="default" w:ascii="Times New Roman" w:hAnsi="Times New Roman" w:eastAsia="仿宋_GB2312" w:cs="Times New Roman"/>
          <w:color w:val="auto"/>
          <w:sz w:val="32"/>
          <w:szCs w:val="32"/>
        </w:rPr>
        <w:t>。</w:t>
      </w:r>
    </w:p>
    <w:p w14:paraId="3C992061">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.申报通知或指南明确的其他条件。</w:t>
      </w:r>
    </w:p>
    <w:p w14:paraId="04EDE0F6">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outlineLvl w:val="1"/>
        <w:rPr>
          <w:rFonts w:hint="default" w:ascii="楷体_GB2312" w:hAnsi="楷体_GB2312" w:eastAsia="楷体_GB2312" w:cs="楷体_GB2312"/>
          <w:color w:val="auto"/>
          <w:sz w:val="32"/>
          <w:szCs w:val="32"/>
          <w:lang w:eastAsia="zh-CN"/>
        </w:rPr>
      </w:pPr>
      <w:r>
        <w:rPr>
          <w:rFonts w:hint="eastAsia"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eastAsia="zh-CN"/>
        </w:rPr>
        <w:t>市委、市政府决定扶持的其他项目</w:t>
      </w:r>
      <w:r>
        <w:rPr>
          <w:rFonts w:hint="default" w:ascii="楷体_GB2312" w:hAnsi="楷体_GB2312" w:eastAsia="楷体_GB2312" w:cs="楷体_GB2312"/>
          <w:color w:val="auto"/>
          <w:sz w:val="32"/>
          <w:szCs w:val="32"/>
          <w:lang w:eastAsia="zh-CN"/>
        </w:rPr>
        <w:t>。</w:t>
      </w:r>
    </w:p>
    <w:p w14:paraId="28F94484">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outlineLvl w:val="0"/>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eastAsia="zh-CN"/>
        </w:rPr>
        <w:t>三、</w:t>
      </w:r>
      <w:r>
        <w:rPr>
          <w:rFonts w:hint="default" w:ascii="Times New Roman" w:hAnsi="Times New Roman" w:eastAsia="黑体" w:cs="Times New Roman"/>
          <w:color w:val="auto"/>
          <w:sz w:val="32"/>
          <w:szCs w:val="32"/>
        </w:rPr>
        <w:t>支持范围</w:t>
      </w:r>
    </w:p>
    <w:p w14:paraId="5DB5EDEC">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eastAsia" w:ascii="Times New Roman" w:hAnsi="Times New Roman" w:eastAsia="仿宋_GB2312" w:cs="Times New Roman"/>
          <w:color w:val="auto"/>
          <w:sz w:val="32"/>
          <w:szCs w:val="32"/>
          <w:lang w:eastAsia="zh-CN"/>
        </w:rPr>
      </w:pPr>
      <w:r>
        <w:rPr>
          <w:rFonts w:hint="eastAsia" w:ascii="楷体_GB2312" w:hAnsi="楷体_GB2312" w:eastAsia="楷体_GB2312" w:cs="楷体_GB2312"/>
          <w:color w:val="auto"/>
          <w:sz w:val="32"/>
          <w:szCs w:val="32"/>
        </w:rPr>
        <w:t>（一）支持提质增效。</w:t>
      </w:r>
      <w:r>
        <w:rPr>
          <w:rFonts w:hint="default" w:ascii="Times New Roman" w:hAnsi="Times New Roman" w:eastAsia="仿宋_GB2312" w:cs="Times New Roman"/>
          <w:color w:val="auto"/>
          <w:sz w:val="32"/>
          <w:szCs w:val="32"/>
        </w:rPr>
        <w:t>重点支持十大战略性支柱产业集群和十大战略性新兴产业集群及其产业链、供应链企业和工业基础关键领域、薄弱环节和共性问题等进行整体技术改造，支持推广应用新技术、新工艺、新材料和新</w:t>
      </w:r>
      <w:r>
        <w:rPr>
          <w:rFonts w:hint="eastAsia" w:ascii="Times New Roman" w:hAnsi="Times New Roman" w:eastAsia="仿宋_GB2312" w:cs="Times New Roman"/>
          <w:color w:val="auto"/>
          <w:sz w:val="32"/>
          <w:szCs w:val="32"/>
          <w:lang w:eastAsia="zh-CN"/>
        </w:rPr>
        <w:t>设备</w:t>
      </w:r>
      <w:r>
        <w:rPr>
          <w:rFonts w:hint="default" w:ascii="Times New Roman" w:hAnsi="Times New Roman" w:eastAsia="仿宋_GB2312" w:cs="Times New Roman"/>
          <w:color w:val="auto"/>
          <w:kern w:val="0"/>
          <w:sz w:val="32"/>
          <w:szCs w:val="32"/>
          <w:highlight w:val="none"/>
          <w:u w:val="none" w:color="auto"/>
          <w:lang w:eastAsia="zh-CN"/>
        </w:rPr>
        <w:t>，</w:t>
      </w:r>
      <w:r>
        <w:rPr>
          <w:rFonts w:hint="default" w:ascii="Times New Roman" w:hAnsi="Times New Roman" w:eastAsia="仿宋_GB2312" w:cs="Times New Roman"/>
          <w:color w:val="auto"/>
          <w:sz w:val="32"/>
          <w:szCs w:val="32"/>
        </w:rPr>
        <w:t>带动上下游产业集聚发展。</w:t>
      </w:r>
      <w:r>
        <w:rPr>
          <w:rFonts w:hint="eastAsia" w:ascii="Times New Roman" w:hAnsi="Times New Roman" w:eastAsia="仿宋_GB2312" w:cs="Times New Roman"/>
          <w:color w:val="auto"/>
          <w:sz w:val="32"/>
          <w:szCs w:val="32"/>
          <w:lang w:eastAsia="zh-CN"/>
        </w:rPr>
        <w:t>支持省委省政府、市委市政府工作部署重点产业方向。</w:t>
      </w:r>
    </w:p>
    <w:p w14:paraId="4B9FCF12">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color w:val="auto"/>
          <w:sz w:val="32"/>
          <w:szCs w:val="32"/>
        </w:rPr>
        <w:t>（二）支持智能化改造。</w:t>
      </w:r>
      <w:r>
        <w:rPr>
          <w:rFonts w:hint="default" w:ascii="Times New Roman" w:hAnsi="Times New Roman" w:eastAsia="仿宋_GB2312" w:cs="Times New Roman"/>
          <w:color w:val="auto"/>
          <w:sz w:val="32"/>
          <w:szCs w:val="32"/>
        </w:rPr>
        <w:t>重点支持企业推动智能制造，运用数字化</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网络化技术升级改造，运用现代信息技术改造提升生产设备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支持工业企业生产经营中5G模块、智能传感器、网络设备等关键设备器件更新改造和信息化改造，推动生产装备数字化</w:t>
      </w:r>
      <w:r>
        <w:rPr>
          <w:rFonts w:hint="default" w:ascii="Times New Roman" w:hAnsi="Times New Roman" w:eastAsia="仿宋_GB2312" w:cs="Times New Roman"/>
          <w:color w:val="auto"/>
          <w:sz w:val="32"/>
          <w:szCs w:val="32"/>
          <w:lang w:eastAsia="zh-CN"/>
        </w:rPr>
        <w:t>。</w:t>
      </w:r>
    </w:p>
    <w:p w14:paraId="727FDA7F">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cs="Times New Roman"/>
          <w:color w:val="auto"/>
          <w:lang w:eastAsia="zh-CN"/>
        </w:rPr>
      </w:pPr>
      <w:r>
        <w:rPr>
          <w:rFonts w:hint="default" w:ascii="楷体_GB2312" w:hAnsi="楷体_GB2312" w:eastAsia="楷体_GB2312" w:cs="楷体_GB2312"/>
          <w:color w:val="auto"/>
          <w:sz w:val="32"/>
          <w:szCs w:val="32"/>
        </w:rPr>
        <w:t>（三）支持设备更新。</w:t>
      </w:r>
      <w:r>
        <w:rPr>
          <w:rFonts w:hint="default" w:ascii="Times New Roman" w:hAnsi="Times New Roman" w:eastAsia="仿宋_GB2312" w:cs="Times New Roman"/>
          <w:color w:val="auto"/>
          <w:sz w:val="32"/>
          <w:szCs w:val="32"/>
        </w:rPr>
        <w:t>重点支持企业引进和购置先进设备</w:t>
      </w:r>
      <w:r>
        <w:rPr>
          <w:rFonts w:hint="eastAsia" w:ascii="Times New Roman" w:hAnsi="Times New Roman" w:eastAsia="仿宋_GB2312" w:cs="Times New Roman"/>
          <w:color w:val="auto"/>
          <w:sz w:val="32"/>
          <w:szCs w:val="32"/>
          <w:lang w:eastAsia="zh-CN"/>
        </w:rPr>
        <w:t>、工业软件</w:t>
      </w:r>
      <w:r>
        <w:rPr>
          <w:rFonts w:hint="default" w:ascii="Times New Roman" w:hAnsi="Times New Roman" w:eastAsia="仿宋_GB2312" w:cs="Times New Roman"/>
          <w:color w:val="auto"/>
          <w:sz w:val="32"/>
          <w:szCs w:val="32"/>
        </w:rPr>
        <w:t>，推广应用工业机器人装备，大力发展智能制造装备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进行生产条件改善，提升企业装备水平，提高产品质量和劳动生产率。</w:t>
      </w:r>
    </w:p>
    <w:p w14:paraId="0F845079">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楷体_GB2312" w:hAnsi="楷体_GB2312" w:eastAsia="楷体_GB2312" w:cs="楷体_GB2312"/>
          <w:color w:val="auto"/>
          <w:sz w:val="32"/>
          <w:szCs w:val="32"/>
        </w:rPr>
        <w:t>（四）支持绿色化发展。</w:t>
      </w:r>
      <w:r>
        <w:rPr>
          <w:rFonts w:hint="default" w:ascii="Times New Roman" w:hAnsi="Times New Roman" w:eastAsia="仿宋_GB2312" w:cs="Times New Roman"/>
          <w:color w:val="auto"/>
          <w:sz w:val="32"/>
          <w:szCs w:val="32"/>
        </w:rPr>
        <w:t>重点支持传统产业企业淘汰落后产能</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实施煤炭清洁高效利用和高耗能设备节能改造，推广国内外先进节能、节水、节材技术和工艺，推进节能降耗和清洁生产，提高生产效率和能源资源利用效率，降低碳排放强度，促进工业企业低碳转型。</w:t>
      </w:r>
    </w:p>
    <w:p w14:paraId="27FD0D76">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textAlignment w:val="baseline"/>
        <w:rPr>
          <w:rFonts w:hint="default" w:ascii="楷体_GB2312" w:hAnsi="楷体_GB2312" w:eastAsia="楷体_GB2312" w:cs="楷体_GB2312"/>
          <w:color w:val="auto"/>
          <w:sz w:val="32"/>
          <w:szCs w:val="32"/>
        </w:rPr>
      </w:pPr>
      <w:r>
        <w:rPr>
          <w:rFonts w:hint="default" w:ascii="楷体_GB2312" w:hAnsi="楷体_GB2312" w:eastAsia="楷体_GB2312" w:cs="楷体_GB2312"/>
          <w:color w:val="auto"/>
          <w:sz w:val="32"/>
          <w:szCs w:val="32"/>
        </w:rPr>
        <w:t>（五）</w:t>
      </w:r>
      <w:r>
        <w:rPr>
          <w:rFonts w:hint="default" w:ascii="楷体_GB2312" w:hAnsi="楷体_GB2312" w:eastAsia="楷体_GB2312" w:cs="楷体_GB2312"/>
          <w:color w:val="auto"/>
          <w:sz w:val="32"/>
          <w:szCs w:val="32"/>
          <w:lang w:eastAsia="zh-CN"/>
        </w:rPr>
        <w:t>市</w:t>
      </w:r>
      <w:r>
        <w:rPr>
          <w:rFonts w:hint="default" w:ascii="楷体_GB2312" w:hAnsi="楷体_GB2312" w:eastAsia="楷体_GB2312" w:cs="楷体_GB2312"/>
          <w:color w:val="auto"/>
          <w:sz w:val="32"/>
          <w:szCs w:val="32"/>
        </w:rPr>
        <w:t>委、</w:t>
      </w:r>
      <w:r>
        <w:rPr>
          <w:rFonts w:hint="default" w:ascii="楷体_GB2312" w:hAnsi="楷体_GB2312" w:eastAsia="楷体_GB2312" w:cs="楷体_GB2312"/>
          <w:color w:val="auto"/>
          <w:sz w:val="32"/>
          <w:szCs w:val="32"/>
          <w:lang w:eastAsia="zh-CN"/>
        </w:rPr>
        <w:t>市</w:t>
      </w:r>
      <w:r>
        <w:rPr>
          <w:rFonts w:hint="default" w:ascii="楷体_GB2312" w:hAnsi="楷体_GB2312" w:eastAsia="楷体_GB2312" w:cs="楷体_GB2312"/>
          <w:color w:val="auto"/>
          <w:sz w:val="32"/>
          <w:szCs w:val="32"/>
        </w:rPr>
        <w:t>政府确定扶持的其他事项。</w:t>
      </w:r>
    </w:p>
    <w:p w14:paraId="750F10A8">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outlineLvl w:val="0"/>
        <w:rPr>
          <w:rFonts w:hint="default" w:ascii="Times New Roman" w:hAnsi="Times New Roman" w:eastAsia="黑体" w:cs="Times New Roman"/>
          <w:b w:val="0"/>
          <w:bCs w:val="0"/>
          <w:color w:val="auto"/>
          <w:sz w:val="32"/>
          <w:szCs w:val="32"/>
        </w:rPr>
      </w:pPr>
      <w:r>
        <w:rPr>
          <w:rFonts w:hint="eastAsia" w:ascii="Times New Roman" w:hAnsi="Times New Roman" w:eastAsia="黑体" w:cs="Times New Roman"/>
          <w:b w:val="0"/>
          <w:bCs w:val="0"/>
          <w:color w:val="auto"/>
          <w:sz w:val="32"/>
          <w:szCs w:val="32"/>
          <w:lang w:eastAsia="zh-CN"/>
        </w:rPr>
        <w:t>四、</w:t>
      </w:r>
      <w:r>
        <w:rPr>
          <w:rFonts w:hint="default" w:ascii="Times New Roman" w:hAnsi="Times New Roman" w:eastAsia="黑体" w:cs="Times New Roman"/>
          <w:b w:val="0"/>
          <w:bCs w:val="0"/>
          <w:color w:val="auto"/>
          <w:sz w:val="32"/>
          <w:szCs w:val="32"/>
        </w:rPr>
        <w:t>支持方式</w:t>
      </w:r>
    </w:p>
    <w:p w14:paraId="67CBD720">
      <w:pPr>
        <w:keepNext w:val="0"/>
        <w:keepLines w:val="0"/>
        <w:pageBreakBefore w:val="0"/>
        <w:widowControl/>
        <w:kinsoku/>
        <w:wordWrap/>
        <w:overflowPunct/>
        <w:topLinePunct w:val="0"/>
        <w:autoSpaceDE/>
        <w:autoSpaceDN/>
        <w:bidi w:val="0"/>
        <w:adjustRightInd w:val="0"/>
        <w:snapToGrid w:val="0"/>
        <w:spacing w:beforeLines="0" w:afterLines="0" w:line="600" w:lineRule="exact"/>
        <w:ind w:left="0" w:leftChars="0" w:right="0" w:rightChars="0" w:firstLine="640" w:firstLineChars="200"/>
        <w:textAlignment w:val="auto"/>
        <w:outlineLvl w:val="9"/>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sz w:val="32"/>
          <w:szCs w:val="32"/>
          <w:lang w:eastAsia="zh-CN"/>
        </w:rPr>
        <w:t>企业技术改造设备事后奖励方式</w:t>
      </w:r>
      <w:r>
        <w:rPr>
          <w:rFonts w:hint="default"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rPr>
        <w:t>对</w:t>
      </w:r>
      <w:r>
        <w:rPr>
          <w:rFonts w:hint="default" w:ascii="Times New Roman" w:hAnsi="Times New Roman" w:eastAsia="仿宋_GB2312" w:cs="Times New Roman"/>
          <w:color w:val="auto"/>
          <w:sz w:val="32"/>
          <w:szCs w:val="32"/>
          <w:lang w:eastAsia="zh-CN"/>
        </w:rPr>
        <w:t>汕尾市</w:t>
      </w:r>
      <w:r>
        <w:rPr>
          <w:rFonts w:hint="default" w:ascii="Times New Roman" w:hAnsi="Times New Roman" w:eastAsia="仿宋_GB2312" w:cs="Times New Roman"/>
          <w:color w:val="auto"/>
          <w:sz w:val="32"/>
          <w:szCs w:val="32"/>
        </w:rPr>
        <w:t>符合条件的技术改造项目</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在2025年1月1日（含）至2026年12月31日（含）期间</w:t>
      </w:r>
      <w:r>
        <w:rPr>
          <w:rFonts w:hint="eastAsia" w:ascii="Times New Roman" w:hAnsi="Times New Roman" w:eastAsia="仿宋_GB2312" w:cs="Times New Roman"/>
          <w:color w:val="auto"/>
          <w:sz w:val="32"/>
          <w:szCs w:val="32"/>
          <w:lang w:eastAsia="zh-CN"/>
        </w:rPr>
        <w:t>新购置生产设备金额不少于100万元的技术改造项目，按其新购置设备额不超过2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eastAsia="zh-CN"/>
        </w:rPr>
        <w:t>%进行事后奖励，单个项目奖励额度最高不超过100万元。工业软件应用项目，按不超过采购合同金额的</w:t>
      </w:r>
      <w:r>
        <w:rPr>
          <w:rFonts w:hint="eastAsia" w:ascii="Times New Roman" w:hAnsi="Times New Roman" w:eastAsia="仿宋_GB2312" w:cs="Times New Roman"/>
          <w:color w:val="auto"/>
          <w:sz w:val="32"/>
          <w:szCs w:val="32"/>
          <w:lang w:val="en-US" w:eastAsia="zh-CN"/>
        </w:rPr>
        <w:t>25%予以扶持</w:t>
      </w:r>
      <w:r>
        <w:rPr>
          <w:rFonts w:hint="eastAsia" w:ascii="Times New Roman" w:hAnsi="Times New Roman" w:eastAsia="仿宋_GB2312" w:cs="Times New Roman"/>
          <w:color w:val="auto"/>
          <w:sz w:val="32"/>
          <w:szCs w:val="32"/>
          <w:u w:color="auto"/>
          <w:shd w:val="clear" w:color="auto" w:fill="FFFFFF"/>
          <w:lang w:val="en-US" w:eastAsia="zh-CN"/>
        </w:rPr>
        <w:t>，</w:t>
      </w:r>
      <w:r>
        <w:rPr>
          <w:rFonts w:hint="eastAsia" w:ascii="Times New Roman" w:hAnsi="Times New Roman" w:eastAsia="仿宋_GB2312" w:cs="Times New Roman"/>
          <w:color w:val="auto"/>
          <w:sz w:val="32"/>
          <w:szCs w:val="32"/>
          <w:lang w:eastAsia="zh-CN"/>
        </w:rPr>
        <w:t>单个项目奖励额度最高不超过</w:t>
      </w:r>
      <w:r>
        <w:rPr>
          <w:rFonts w:hint="eastAsia" w:ascii="Times New Roman" w:hAnsi="Times New Roman" w:eastAsia="仿宋_GB2312" w:cs="Times New Roman"/>
          <w:color w:val="auto"/>
          <w:sz w:val="32"/>
          <w:szCs w:val="32"/>
          <w:lang w:val="en-US" w:eastAsia="zh-CN"/>
        </w:rPr>
        <w:t>50</w:t>
      </w:r>
      <w:r>
        <w:rPr>
          <w:rFonts w:hint="eastAsia" w:ascii="Times New Roman" w:hAnsi="Times New Roman" w:eastAsia="仿宋_GB2312" w:cs="Times New Roman"/>
          <w:color w:val="auto"/>
          <w:sz w:val="32"/>
          <w:szCs w:val="32"/>
          <w:lang w:eastAsia="zh-CN"/>
        </w:rPr>
        <w:t>万元。项目完工并通过市级评审公示后，一次性拨付奖补资金至企业对公账户。</w:t>
      </w:r>
      <w:r>
        <w:rPr>
          <w:rFonts w:hint="default" w:ascii="Times New Roman" w:hAnsi="Times New Roman" w:eastAsia="仿宋_GB2312" w:cs="Times New Roman"/>
          <w:b w:val="0"/>
          <w:bCs w:val="0"/>
          <w:strike w:val="0"/>
          <w:dstrike w:val="0"/>
          <w:color w:val="auto"/>
          <w:kern w:val="2"/>
          <w:sz w:val="32"/>
          <w:szCs w:val="32"/>
          <w:u w:val="none" w:color="auto"/>
        </w:rPr>
        <w:t>具体奖励比例根据竞争性评审遴选后的项目设备更新额度等因素确定</w:t>
      </w:r>
      <w:r>
        <w:rPr>
          <w:rFonts w:hint="default" w:ascii="Times New Roman" w:hAnsi="Times New Roman" w:eastAsia="仿宋_GB2312" w:cs="Times New Roman"/>
          <w:color w:val="auto"/>
          <w:kern w:val="2"/>
          <w:sz w:val="32"/>
          <w:szCs w:val="32"/>
          <w:u w:val="none"/>
          <w:lang w:eastAsia="zh-CN"/>
        </w:rPr>
        <w:t>，</w:t>
      </w:r>
      <w:r>
        <w:rPr>
          <w:rFonts w:hint="default" w:ascii="Times New Roman" w:hAnsi="Times New Roman" w:eastAsia="仿宋_GB2312" w:cs="Times New Roman"/>
          <w:color w:val="auto"/>
          <w:kern w:val="2"/>
          <w:sz w:val="32"/>
          <w:szCs w:val="32"/>
          <w:u w:val="none"/>
          <w:lang w:val="en-US" w:eastAsia="zh-CN"/>
        </w:rPr>
        <w:t>原则上同年度奖励比例保持一致</w:t>
      </w:r>
      <w:r>
        <w:rPr>
          <w:rFonts w:hint="default" w:ascii="Times New Roman" w:hAnsi="Times New Roman" w:eastAsia="仿宋_GB2312" w:cs="Times New Roman"/>
          <w:color w:val="auto"/>
          <w:kern w:val="2"/>
          <w:sz w:val="32"/>
          <w:szCs w:val="32"/>
        </w:rPr>
        <w:t>。</w:t>
      </w:r>
    </w:p>
    <w:p w14:paraId="6B0B8173">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outlineLvl w:val="0"/>
        <w:rPr>
          <w:rFonts w:hint="eastAsia" w:ascii="Times New Roman" w:hAnsi="Times New Roman" w:eastAsia="黑体" w:cs="Times New Roman"/>
          <w:b w:val="0"/>
          <w:bCs w:val="0"/>
          <w:color w:val="auto"/>
          <w:sz w:val="32"/>
          <w:szCs w:val="32"/>
          <w:lang w:val="en-US" w:eastAsia="zh-CN"/>
        </w:rPr>
      </w:pPr>
      <w:r>
        <w:rPr>
          <w:rFonts w:hint="eastAsia" w:ascii="Times New Roman" w:hAnsi="Times New Roman" w:eastAsia="黑体" w:cs="Times New Roman"/>
          <w:b w:val="0"/>
          <w:bCs w:val="0"/>
          <w:color w:val="auto"/>
          <w:sz w:val="32"/>
          <w:szCs w:val="32"/>
          <w:lang w:eastAsia="zh-CN"/>
        </w:rPr>
        <w:t>五、项目申报及审核</w:t>
      </w:r>
    </w:p>
    <w:p w14:paraId="7E5BEDDF">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技术改造资金全面实行项目库管理，未纳入项目库的项目，原则上不安排预算。</w:t>
      </w:r>
      <w:r>
        <w:rPr>
          <w:rFonts w:hint="eastAsia" w:ascii="仿宋_GB2312" w:hAnsi="仿宋_GB2312" w:eastAsia="仿宋_GB2312" w:cs="仿宋_GB2312"/>
          <w:color w:val="auto"/>
          <w:sz w:val="32"/>
          <w:szCs w:val="32"/>
          <w:lang w:eastAsia="zh-CN"/>
        </w:rPr>
        <w:t>工业软件项目实行立项备案，</w:t>
      </w:r>
      <w:r>
        <w:rPr>
          <w:rFonts w:hint="eastAsia" w:ascii="仿宋_GB2312" w:hAnsi="仿宋_GB2312" w:eastAsia="仿宋_GB2312" w:cs="仿宋_GB2312"/>
          <w:color w:val="auto"/>
          <w:sz w:val="32"/>
          <w:szCs w:val="32"/>
        </w:rPr>
        <w:t>未</w:t>
      </w:r>
      <w:r>
        <w:rPr>
          <w:rFonts w:hint="eastAsia" w:ascii="仿宋_GB2312" w:hAnsi="仿宋_GB2312" w:eastAsia="仿宋_GB2312" w:cs="仿宋_GB2312"/>
          <w:color w:val="auto"/>
          <w:sz w:val="32"/>
          <w:szCs w:val="32"/>
          <w:lang w:eastAsia="zh-CN"/>
        </w:rPr>
        <w:t>备案</w:t>
      </w:r>
      <w:r>
        <w:rPr>
          <w:rFonts w:hint="eastAsia" w:ascii="仿宋_GB2312" w:hAnsi="仿宋_GB2312" w:eastAsia="仿宋_GB2312" w:cs="仿宋_GB2312"/>
          <w:color w:val="auto"/>
          <w:sz w:val="32"/>
          <w:szCs w:val="32"/>
        </w:rPr>
        <w:t>的项目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原则上不安排预算</w:t>
      </w:r>
      <w:r>
        <w:rPr>
          <w:rFonts w:hint="eastAsia" w:ascii="仿宋_GB2312" w:hAnsi="仿宋_GB2312" w:eastAsia="仿宋_GB2312" w:cs="仿宋_GB2312"/>
          <w:color w:val="auto"/>
          <w:sz w:val="32"/>
          <w:szCs w:val="32"/>
          <w:lang w:eastAsia="zh-CN"/>
        </w:rPr>
        <w:t>。</w:t>
      </w:r>
    </w:p>
    <w:p w14:paraId="7BF0640B">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（一）</w:t>
      </w:r>
      <w:r>
        <w:rPr>
          <w:rFonts w:hint="eastAsia" w:ascii="楷体_GB2312" w:hAnsi="楷体_GB2312" w:eastAsia="楷体_GB2312" w:cs="楷体_GB2312"/>
          <w:color w:val="auto"/>
          <w:sz w:val="32"/>
          <w:szCs w:val="32"/>
        </w:rPr>
        <w:t>项目申报</w:t>
      </w:r>
    </w:p>
    <w:p w14:paraId="25D0975A">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市工业和信息化局结合本地实际制发本市技术改造资金项目申报通知或指南，按照属地管理原则组织本地区企业项目申报。</w:t>
      </w:r>
    </w:p>
    <w:p w14:paraId="0F61FD85">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项目单位根据申报通知或指南提交项目申请</w:t>
      </w:r>
      <w:r>
        <w:rPr>
          <w:rFonts w:hint="eastAsia" w:ascii="仿宋_GB2312" w:hAnsi="仿宋_GB2312" w:eastAsia="仿宋_GB2312" w:cs="仿宋_GB2312"/>
          <w:color w:val="auto"/>
          <w:sz w:val="32"/>
          <w:szCs w:val="32"/>
          <w:lang w:val="en-US" w:eastAsia="zh-CN"/>
        </w:rPr>
        <w:t>材料</w:t>
      </w:r>
      <w:r>
        <w:rPr>
          <w:rFonts w:hint="eastAsia" w:ascii="仿宋_GB2312" w:hAnsi="仿宋_GB2312" w:eastAsia="仿宋_GB2312" w:cs="仿宋_GB2312"/>
          <w:color w:val="auto"/>
          <w:sz w:val="32"/>
          <w:szCs w:val="32"/>
        </w:rPr>
        <w:t>、资金项目申请至属地工业和信息化主管部门。项目单位对申报材料的真实性、准确性和完整性负责。申报企业技术改造设备事后奖励的项目，其投资计划和主要建设内容以项目承担单位出具的设备采购计划书、设备购置发票、实际支付凭证等为依据。</w:t>
      </w:r>
      <w:r>
        <w:rPr>
          <w:rFonts w:hint="eastAsia" w:ascii="仿宋_GB2312" w:hAnsi="仿宋_GB2312" w:eastAsia="仿宋_GB2312" w:cs="仿宋_GB2312"/>
          <w:color w:val="auto"/>
          <w:sz w:val="32"/>
          <w:szCs w:val="32"/>
          <w:lang w:eastAsia="zh-CN"/>
        </w:rPr>
        <w:t>工业软件的项目出具申报省奖补的立项、合同、完工、验收等材料作为依据。</w:t>
      </w:r>
    </w:p>
    <w:p w14:paraId="2D0D2C26">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二</w:t>
      </w: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rPr>
        <w:t>项目审核</w:t>
      </w:r>
    </w:p>
    <w:p w14:paraId="71E04C93">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市工业和信息化局按规定受理项目单位提交的项目完工评价和资金项目申请，根据项目单位申请自行或按程序遴选符合资质要求的第三方机构成立专家组开展完工评价、竞争性评审、现场核查等，遴选符合条件的项目。</w:t>
      </w:r>
    </w:p>
    <w:p w14:paraId="1577F151">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市工业和信息化局按规定对评审通过项目实施内部复核，</w:t>
      </w:r>
      <w:r>
        <w:rPr>
          <w:rFonts w:hint="eastAsia" w:ascii="仿宋_GB2312" w:hAnsi="仿宋_GB2312" w:eastAsia="仿宋_GB2312" w:cs="仿宋_GB2312"/>
          <w:color w:val="auto"/>
          <w:sz w:val="32"/>
          <w:szCs w:val="32"/>
          <w:highlight w:val="none"/>
        </w:rPr>
        <w:t>按规定程序经集体研究审议后确定入库项目，</w:t>
      </w:r>
      <w:r>
        <w:rPr>
          <w:rFonts w:hint="eastAsia" w:ascii="仿宋_GB2312" w:hAnsi="仿宋_GB2312" w:eastAsia="仿宋_GB2312" w:cs="仿宋_GB2312"/>
          <w:color w:val="auto"/>
          <w:sz w:val="32"/>
          <w:szCs w:val="32"/>
        </w:rPr>
        <w:t>并按照轻重缓急程度进行综合排序。入库项目不等同于最终财政资金支持的项目。</w:t>
      </w:r>
    </w:p>
    <w:p w14:paraId="140BFA7C">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outlineLvl w:val="0"/>
        <w:rPr>
          <w:rFonts w:hint="default" w:ascii="Times New Roman" w:hAnsi="Times New Roman" w:eastAsia="黑体" w:cs="Times New Roman"/>
          <w:color w:val="auto"/>
          <w:sz w:val="32"/>
          <w:szCs w:val="32"/>
        </w:rPr>
      </w:pPr>
      <w:r>
        <w:rPr>
          <w:rFonts w:hint="eastAsia" w:ascii="黑体" w:hAnsi="黑体" w:eastAsia="黑体" w:cs="黑体"/>
          <w:color w:val="auto"/>
          <w:sz w:val="32"/>
          <w:szCs w:val="32"/>
          <w:lang w:val="en-US" w:eastAsia="zh-CN"/>
        </w:rPr>
        <w:t>六、</w:t>
      </w:r>
      <w:r>
        <w:rPr>
          <w:rFonts w:hint="default" w:ascii="黑体" w:hAnsi="黑体" w:eastAsia="黑体" w:cs="黑体"/>
          <w:color w:val="auto"/>
          <w:sz w:val="32"/>
          <w:szCs w:val="32"/>
          <w:lang w:val="en-US" w:eastAsia="zh-CN"/>
        </w:rPr>
        <w:t>附则</w:t>
      </w:r>
    </w:p>
    <w:p w14:paraId="765C7CE8">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lang w:val="en-US" w:eastAsia="zh-CN" w:bidi="ar"/>
        </w:rPr>
        <w:t>本</w:t>
      </w:r>
      <w:r>
        <w:rPr>
          <w:rFonts w:hint="eastAsia" w:ascii="Times New Roman" w:hAnsi="Times New Roman" w:eastAsia="仿宋_GB2312" w:cs="Times New Roman"/>
          <w:color w:val="auto"/>
          <w:kern w:val="0"/>
          <w:sz w:val="32"/>
          <w:szCs w:val="32"/>
          <w:lang w:val="en-US" w:eastAsia="zh-CN" w:bidi="ar"/>
        </w:rPr>
        <w:t>方案</w:t>
      </w:r>
      <w:r>
        <w:rPr>
          <w:rFonts w:hint="default" w:ascii="Times New Roman" w:hAnsi="Times New Roman" w:eastAsia="仿宋_GB2312" w:cs="Times New Roman"/>
          <w:color w:val="auto"/>
          <w:sz w:val="32"/>
          <w:szCs w:val="32"/>
        </w:rPr>
        <w:t>由</w:t>
      </w:r>
      <w:r>
        <w:rPr>
          <w:rFonts w:hint="default" w:ascii="Times New Roman" w:hAnsi="Times New Roman" w:eastAsia="仿宋_GB2312" w:cs="Times New Roman"/>
          <w:color w:val="auto"/>
          <w:sz w:val="32"/>
          <w:szCs w:val="32"/>
          <w:lang w:eastAsia="zh-CN"/>
        </w:rPr>
        <w:t>汕尾市</w:t>
      </w:r>
      <w:r>
        <w:rPr>
          <w:rFonts w:hint="default" w:ascii="Times New Roman" w:hAnsi="Times New Roman" w:eastAsia="仿宋_GB2312" w:cs="Times New Roman"/>
          <w:color w:val="auto"/>
          <w:sz w:val="32"/>
          <w:szCs w:val="32"/>
        </w:rPr>
        <w:t>工业和信息化</w:t>
      </w:r>
      <w:r>
        <w:rPr>
          <w:rFonts w:hint="default" w:ascii="Times New Roman" w:hAnsi="Times New Roman" w:eastAsia="仿宋_GB2312" w:cs="Times New Roman"/>
          <w:color w:val="auto"/>
          <w:sz w:val="32"/>
          <w:szCs w:val="32"/>
          <w:lang w:eastAsia="zh-CN"/>
        </w:rPr>
        <w:t>局</w:t>
      </w:r>
      <w:r>
        <w:rPr>
          <w:rFonts w:hint="default" w:ascii="Times New Roman" w:hAnsi="Times New Roman" w:eastAsia="仿宋_GB2312" w:cs="Times New Roman"/>
          <w:color w:val="auto"/>
          <w:sz w:val="32"/>
          <w:szCs w:val="32"/>
        </w:rPr>
        <w:t>负责解释，可视有关工作要求或相关评估情况进行调整。</w:t>
      </w:r>
    </w:p>
    <w:p w14:paraId="1612BD0C">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color w:val="auto"/>
        </w:rPr>
      </w:pPr>
      <w:r>
        <w:rPr>
          <w:rFonts w:hint="default" w:ascii="Times New Roman" w:hAnsi="Times New Roman" w:eastAsia="仿宋_GB2312" w:cs="Times New Roman"/>
          <w:color w:val="auto"/>
          <w:kern w:val="0"/>
          <w:sz w:val="32"/>
          <w:szCs w:val="32"/>
          <w:lang w:val="en-US" w:eastAsia="zh-CN" w:bidi="ar"/>
        </w:rPr>
        <w:t>本</w:t>
      </w:r>
      <w:r>
        <w:rPr>
          <w:rFonts w:hint="eastAsia" w:ascii="Times New Roman" w:hAnsi="Times New Roman" w:eastAsia="仿宋_GB2312" w:cs="Times New Roman"/>
          <w:color w:val="auto"/>
          <w:kern w:val="0"/>
          <w:sz w:val="32"/>
          <w:szCs w:val="32"/>
          <w:lang w:val="en-US" w:eastAsia="zh-CN" w:bidi="ar"/>
        </w:rPr>
        <w:t>方案</w:t>
      </w:r>
      <w:r>
        <w:rPr>
          <w:rFonts w:hint="default" w:ascii="Times New Roman" w:hAnsi="Times New Roman" w:eastAsia="仿宋_GB2312" w:cs="Times New Roman"/>
          <w:color w:val="auto"/>
          <w:kern w:val="0"/>
          <w:sz w:val="32"/>
          <w:szCs w:val="32"/>
          <w:lang w:val="en-US" w:eastAsia="zh-CN" w:bidi="ar"/>
        </w:rPr>
        <w:t>自发布之日起施行</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highlight w:val="none"/>
          <w:lang w:eastAsia="zh-CN"/>
        </w:rPr>
        <w:t>有效期</w:t>
      </w:r>
      <w:r>
        <w:rPr>
          <w:rFonts w:hint="eastAsia" w:ascii="Times New Roman" w:hAnsi="Times New Roman" w:eastAsia="仿宋_GB2312" w:cs="Times New Roman"/>
          <w:strike w:val="0"/>
          <w:color w:val="auto"/>
          <w:sz w:val="32"/>
          <w:szCs w:val="32"/>
          <w:highlight w:val="none"/>
          <w:lang w:val="en-US" w:eastAsia="zh-CN"/>
        </w:rPr>
        <w:t>1</w:t>
      </w:r>
      <w:r>
        <w:rPr>
          <w:rFonts w:hint="default" w:ascii="Times New Roman" w:hAnsi="Times New Roman" w:eastAsia="仿宋_GB2312" w:cs="Times New Roman"/>
          <w:strike w:val="0"/>
          <w:color w:val="auto"/>
          <w:sz w:val="32"/>
          <w:szCs w:val="32"/>
          <w:highlight w:val="none"/>
          <w:lang w:val="en-US" w:eastAsia="zh-CN"/>
        </w:rPr>
        <w:t>年</w:t>
      </w:r>
      <w:r>
        <w:rPr>
          <w:rFonts w:hint="eastAsia" w:ascii="Times New Roman" w:hAnsi="Times New Roman" w:eastAsia="仿宋_GB2312" w:cs="Times New Roman"/>
          <w:strike w:val="0"/>
          <w:color w:val="auto"/>
          <w:sz w:val="32"/>
          <w:szCs w:val="32"/>
          <w:highlight w:val="none"/>
          <w:lang w:val="en-US" w:eastAsia="zh-CN"/>
        </w:rPr>
        <w:t>。本方案与法律法规或上级规定不一致时，以法律法规和上级规定为准。</w:t>
      </w:r>
    </w:p>
    <w:sectPr>
      <w:footerReference r:id="rId5" w:type="default"/>
      <w:pgSz w:w="11906" w:h="16838"/>
      <w:pgMar w:top="1440" w:right="1531" w:bottom="1440" w:left="1531" w:header="851" w:footer="992" w:gutter="0"/>
      <w:pgNumType w:fmt="numberInDash" w:start="2"/>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8D5C3">
    <w:pPr>
      <w:spacing w:before="1" w:line="176" w:lineRule="auto"/>
      <w:ind w:left="213"/>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B3CCDD">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BB3CCDD">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xM2EwYmFmYmJiMGMzOTQwMWE1M2Q1MjU2NTg5ZmUifQ=="/>
  </w:docVars>
  <w:rsids>
    <w:rsidRoot w:val="4639548F"/>
    <w:rsid w:val="1A283F89"/>
    <w:rsid w:val="1CC81982"/>
    <w:rsid w:val="1E543B45"/>
    <w:rsid w:val="2471165E"/>
    <w:rsid w:val="29971942"/>
    <w:rsid w:val="29CC3486"/>
    <w:rsid w:val="2A083D64"/>
    <w:rsid w:val="2D3C65BD"/>
    <w:rsid w:val="2EDB9486"/>
    <w:rsid w:val="33FA11FE"/>
    <w:rsid w:val="347E65B8"/>
    <w:rsid w:val="34AF7BFE"/>
    <w:rsid w:val="36E453D4"/>
    <w:rsid w:val="37A36C3C"/>
    <w:rsid w:val="3BE87149"/>
    <w:rsid w:val="4639548F"/>
    <w:rsid w:val="496D360E"/>
    <w:rsid w:val="4F9E2F1E"/>
    <w:rsid w:val="51656E3B"/>
    <w:rsid w:val="55DB7EF3"/>
    <w:rsid w:val="609A1DC7"/>
    <w:rsid w:val="6284465B"/>
    <w:rsid w:val="6B567B57"/>
    <w:rsid w:val="6BEF8AE2"/>
    <w:rsid w:val="6FBF37EA"/>
    <w:rsid w:val="75C23ADA"/>
    <w:rsid w:val="76DB11D2"/>
    <w:rsid w:val="77324018"/>
    <w:rsid w:val="78E96DDF"/>
    <w:rsid w:val="7D76C02F"/>
    <w:rsid w:val="7DF6481C"/>
    <w:rsid w:val="7EB6979D"/>
    <w:rsid w:val="7F271999"/>
    <w:rsid w:val="7F4FBA9E"/>
    <w:rsid w:val="7FBCB36F"/>
    <w:rsid w:val="7FEB6AAC"/>
    <w:rsid w:val="BA9DA66D"/>
    <w:rsid w:val="BACF8E8D"/>
    <w:rsid w:val="BD7FDDA7"/>
    <w:rsid w:val="BFDF5D0A"/>
    <w:rsid w:val="DDFFB915"/>
    <w:rsid w:val="E35CD863"/>
    <w:rsid w:val="E77B5744"/>
    <w:rsid w:val="E9BFC3BC"/>
    <w:rsid w:val="EF3FD015"/>
    <w:rsid w:val="FD3CACB4"/>
    <w:rsid w:val="FDFD83EC"/>
    <w:rsid w:val="FF25D5B5"/>
    <w:rsid w:val="FFFCF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6"/>
    <w:basedOn w:val="1"/>
    <w:next w:val="1"/>
    <w:unhideWhenUsed/>
    <w:qFormat/>
    <w:uiPriority w:val="9"/>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2234</Words>
  <Characters>2271</Characters>
  <Lines>0</Lines>
  <Paragraphs>0</Paragraphs>
  <TotalTime>8</TotalTime>
  <ScaleCrop>false</ScaleCrop>
  <LinksUpToDate>false</LinksUpToDate>
  <CharactersWithSpaces>2272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2023-11-24T10:45:00Z</dcterms:created>
  <dc:creator>傲然</dc:creator>
  <cp:lastModifiedBy>曾泽钦</cp:lastModifiedBy>
  <cp:lastPrinted>2026-08-19T08:30:00Z</cp:lastPrinted>
  <dcterms:modified xsi:type="dcterms:W3CDTF">2026-09-09T08:22:47Z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B9A4631F2DF7412DB54FBDD59CFB11A8_13</vt:lpwstr>
  </property>
  <property fmtid="{D5CDD505-2E9C-101B-9397-08002B2CF9AE}" pid="4" name="KSOTemplateDocerSaveRecord">
    <vt:lpwstr>eyJoZGlkIjoiOTZiNDU5MmMyMmNmMzQ3OTEzOTcyNTE4NmVkYzZjMGMiLCJ1c2VySWQiOiIxMTAzMTQ4MDAyIn0=</vt:lpwstr>
  </property>
</Properties>
</file>