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385"/>
        </w:tabs>
        <w:rPr>
          <w:rFonts w:hint="eastAsia" w:ascii="黑体" w:hAnsi="黑体" w:eastAsia="黑体" w:cs="黑体"/>
          <w:sz w:val="32"/>
          <w:szCs w:val="32"/>
          <w:lang w:val="en-US" w:eastAsia="zh-CN"/>
        </w:rPr>
      </w:pPr>
      <w:r>
        <w:rPr>
          <w:rFonts w:hint="eastAsia" w:ascii="仿宋" w:hAnsi="仿宋" w:eastAsia="仿宋" w:cs="仿宋"/>
          <w:sz w:val="32"/>
          <w:szCs w:val="32"/>
          <w:lang w:val="en-US" w:eastAsia="zh-CN"/>
        </w:rPr>
        <w:t>附件1</w:t>
      </w:r>
      <w:r>
        <w:rPr>
          <w:rFonts w:hint="eastAsia" w:ascii="黑体" w:hAnsi="黑体" w:eastAsia="黑体" w:cs="黑体"/>
          <w:sz w:val="32"/>
          <w:szCs w:val="32"/>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right="0" w:rightChars="0"/>
        <w:jc w:val="center"/>
        <w:textAlignment w:val="auto"/>
        <w:outlineLvl w:val="9"/>
        <w:rPr>
          <w:rFonts w:hint="default" w:ascii="黑体" w:hAnsi="黑体" w:eastAsia="黑体" w:cs="黑体"/>
          <w:color w:val="auto"/>
          <w:sz w:val="44"/>
          <w:szCs w:val="44"/>
          <w:lang w:val="en-US" w:eastAsia="zh-CN"/>
        </w:rPr>
      </w:pPr>
      <w:r>
        <w:rPr>
          <w:rFonts w:hint="eastAsia" w:ascii="黑体" w:hAnsi="黑体" w:eastAsia="黑体" w:cs="黑体"/>
          <w:color w:val="auto"/>
          <w:sz w:val="44"/>
          <w:szCs w:val="44"/>
          <w:lang w:val="en-US" w:eastAsia="zh-CN"/>
        </w:rPr>
        <w:t>汕尾市生态环境局不予行政处罚清单</w:t>
      </w:r>
    </w:p>
    <w:tbl>
      <w:tblPr>
        <w:tblStyle w:val="6"/>
        <w:tblW w:w="146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3"/>
        <w:gridCol w:w="1395"/>
        <w:gridCol w:w="4320"/>
        <w:gridCol w:w="3300"/>
        <w:gridCol w:w="2145"/>
        <w:gridCol w:w="1905"/>
        <w:gridCol w:w="7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3"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40" w:lineRule="exact"/>
              <w:ind w:left="0" w:leftChars="0" w:right="0" w:rightChars="0" w:firstLine="0" w:firstLineChars="0"/>
              <w:jc w:val="center"/>
              <w:textAlignment w:val="auto"/>
              <w:outlineLvl w:val="9"/>
              <w:rPr>
                <w:rFonts w:hint="eastAsia" w:ascii="黑体" w:hAnsi="黑体" w:eastAsia="黑体" w:cs="黑体"/>
                <w:color w:val="auto"/>
                <w:sz w:val="28"/>
                <w:szCs w:val="28"/>
                <w:highlight w:val="none"/>
                <w:u w:val="none"/>
                <w:vertAlign w:val="baseline"/>
                <w:lang w:val="en-US" w:eastAsia="zh-CN"/>
              </w:rPr>
            </w:pPr>
            <w:r>
              <w:rPr>
                <w:rFonts w:hint="eastAsia" w:ascii="黑体" w:hAnsi="黑体" w:eastAsia="黑体" w:cs="黑体"/>
                <w:color w:val="auto"/>
                <w:sz w:val="28"/>
                <w:szCs w:val="28"/>
                <w:highlight w:val="none"/>
                <w:u w:val="none"/>
                <w:vertAlign w:val="baseline"/>
                <w:lang w:val="en-US" w:eastAsia="zh-CN"/>
              </w:rPr>
              <w:t>序号</w:t>
            </w:r>
          </w:p>
        </w:tc>
        <w:tc>
          <w:tcPr>
            <w:tcW w:w="1395"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40" w:lineRule="exact"/>
              <w:ind w:left="0" w:leftChars="0" w:right="0" w:rightChars="0" w:firstLine="0" w:firstLineChars="0"/>
              <w:jc w:val="center"/>
              <w:textAlignment w:val="auto"/>
              <w:outlineLvl w:val="9"/>
              <w:rPr>
                <w:rFonts w:hint="eastAsia" w:ascii="黑体" w:hAnsi="黑体" w:eastAsia="黑体" w:cs="黑体"/>
                <w:color w:val="auto"/>
                <w:sz w:val="28"/>
                <w:szCs w:val="28"/>
                <w:highlight w:val="none"/>
                <w:u w:val="none"/>
                <w:vertAlign w:val="baseline"/>
                <w:lang w:val="en-US" w:eastAsia="zh-CN"/>
              </w:rPr>
            </w:pPr>
            <w:r>
              <w:rPr>
                <w:rFonts w:hint="eastAsia" w:ascii="黑体" w:hAnsi="黑体" w:eastAsia="黑体" w:cs="黑体"/>
                <w:color w:val="auto"/>
                <w:sz w:val="28"/>
                <w:szCs w:val="28"/>
                <w:highlight w:val="none"/>
                <w:u w:val="none"/>
                <w:vertAlign w:val="baseline"/>
                <w:lang w:val="en-US" w:eastAsia="zh-CN"/>
              </w:rPr>
              <w:t>事项名称</w:t>
            </w:r>
          </w:p>
        </w:tc>
        <w:tc>
          <w:tcPr>
            <w:tcW w:w="4320"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40" w:lineRule="exact"/>
              <w:ind w:left="0" w:leftChars="0" w:right="0" w:rightChars="0" w:firstLine="0" w:firstLineChars="0"/>
              <w:jc w:val="center"/>
              <w:textAlignment w:val="auto"/>
              <w:outlineLvl w:val="9"/>
              <w:rPr>
                <w:rFonts w:hint="eastAsia" w:ascii="黑体" w:hAnsi="黑体" w:eastAsia="黑体" w:cs="黑体"/>
                <w:color w:val="auto"/>
                <w:sz w:val="28"/>
                <w:szCs w:val="28"/>
                <w:highlight w:val="none"/>
                <w:u w:val="none"/>
                <w:vertAlign w:val="baseline"/>
                <w:lang w:val="en-US" w:eastAsia="zh-CN"/>
              </w:rPr>
            </w:pPr>
            <w:r>
              <w:rPr>
                <w:rFonts w:hint="eastAsia" w:ascii="黑体" w:hAnsi="黑体" w:eastAsia="黑体" w:cs="黑体"/>
                <w:color w:val="auto"/>
                <w:sz w:val="28"/>
                <w:szCs w:val="28"/>
                <w:highlight w:val="none"/>
                <w:u w:val="none"/>
                <w:vertAlign w:val="baseline"/>
                <w:lang w:val="en-US" w:eastAsia="zh-CN"/>
              </w:rPr>
              <w:t>设定依据</w:t>
            </w:r>
          </w:p>
        </w:tc>
        <w:tc>
          <w:tcPr>
            <w:tcW w:w="3300"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40" w:lineRule="exact"/>
              <w:ind w:left="0" w:leftChars="0" w:right="0" w:rightChars="0" w:firstLine="0" w:firstLineChars="0"/>
              <w:jc w:val="center"/>
              <w:textAlignment w:val="auto"/>
              <w:outlineLvl w:val="9"/>
              <w:rPr>
                <w:rFonts w:hint="eastAsia" w:ascii="黑体" w:hAnsi="黑体" w:eastAsia="黑体" w:cs="黑体"/>
                <w:color w:val="auto"/>
                <w:sz w:val="28"/>
                <w:szCs w:val="28"/>
                <w:highlight w:val="none"/>
                <w:u w:val="none"/>
                <w:vertAlign w:val="baseline"/>
                <w:lang w:val="en-US" w:eastAsia="zh-CN"/>
              </w:rPr>
            </w:pPr>
            <w:r>
              <w:rPr>
                <w:rFonts w:hint="eastAsia" w:ascii="黑体" w:hAnsi="黑体" w:eastAsia="黑体" w:cs="黑体"/>
                <w:color w:val="auto"/>
                <w:sz w:val="28"/>
                <w:szCs w:val="28"/>
                <w:highlight w:val="none"/>
                <w:u w:val="none"/>
                <w:vertAlign w:val="baseline"/>
                <w:lang w:val="en-US" w:eastAsia="zh-CN"/>
              </w:rPr>
              <w:t>适用情形</w:t>
            </w:r>
          </w:p>
          <w:p>
            <w:pPr>
              <w:keepNext w:val="0"/>
              <w:keepLines w:val="0"/>
              <w:pageBreakBefore w:val="0"/>
              <w:widowControl w:val="0"/>
              <w:numPr>
                <w:ilvl w:val="0"/>
                <w:numId w:val="0"/>
              </w:numPr>
              <w:kinsoku/>
              <w:wordWrap/>
              <w:overflowPunct/>
              <w:topLinePunct w:val="0"/>
              <w:autoSpaceDE/>
              <w:autoSpaceDN/>
              <w:bidi w:val="0"/>
              <w:adjustRightInd/>
              <w:snapToGrid/>
              <w:spacing w:line="340" w:lineRule="exact"/>
              <w:ind w:left="0" w:leftChars="0" w:right="0" w:rightChars="0" w:firstLine="0" w:firstLineChars="0"/>
              <w:jc w:val="center"/>
              <w:textAlignment w:val="auto"/>
              <w:outlineLvl w:val="9"/>
              <w:rPr>
                <w:rFonts w:hint="default" w:ascii="黑体" w:hAnsi="黑体" w:eastAsia="黑体" w:cs="黑体"/>
                <w:color w:val="auto"/>
                <w:sz w:val="28"/>
                <w:szCs w:val="28"/>
                <w:highlight w:val="none"/>
                <w:u w:val="none"/>
                <w:vertAlign w:val="baseline"/>
                <w:lang w:val="en-US" w:eastAsia="zh-CN"/>
              </w:rPr>
            </w:pPr>
            <w:r>
              <w:rPr>
                <w:rFonts w:hint="eastAsia" w:ascii="黑体" w:hAnsi="黑体" w:eastAsia="黑体" w:cs="黑体"/>
                <w:color w:val="auto"/>
                <w:sz w:val="28"/>
                <w:szCs w:val="28"/>
                <w:highlight w:val="none"/>
                <w:u w:val="none"/>
                <w:vertAlign w:val="baseline"/>
                <w:lang w:val="en-US" w:eastAsia="zh-CN"/>
              </w:rPr>
              <w:t>（一般须同时满足）</w:t>
            </w:r>
          </w:p>
        </w:tc>
        <w:tc>
          <w:tcPr>
            <w:tcW w:w="2145"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40" w:lineRule="exact"/>
              <w:ind w:left="0" w:leftChars="0" w:right="0" w:rightChars="0" w:firstLine="0" w:firstLineChars="0"/>
              <w:jc w:val="center"/>
              <w:textAlignment w:val="auto"/>
              <w:outlineLvl w:val="9"/>
              <w:rPr>
                <w:rFonts w:hint="eastAsia" w:ascii="黑体" w:hAnsi="黑体" w:eastAsia="黑体" w:cs="黑体"/>
                <w:color w:val="auto"/>
                <w:sz w:val="28"/>
                <w:szCs w:val="28"/>
                <w:highlight w:val="none"/>
                <w:u w:val="none"/>
                <w:vertAlign w:val="baseline"/>
                <w:lang w:val="en-US" w:eastAsia="zh-CN"/>
              </w:rPr>
            </w:pPr>
            <w:r>
              <w:rPr>
                <w:rFonts w:hint="eastAsia" w:ascii="黑体" w:hAnsi="黑体" w:eastAsia="黑体" w:cs="黑体"/>
                <w:color w:val="auto"/>
                <w:sz w:val="28"/>
                <w:szCs w:val="28"/>
                <w:highlight w:val="none"/>
                <w:u w:val="none"/>
                <w:vertAlign w:val="baseline"/>
                <w:lang w:val="en-US" w:eastAsia="zh-CN"/>
              </w:rPr>
              <w:t>不予处罚依据</w:t>
            </w:r>
          </w:p>
        </w:tc>
        <w:tc>
          <w:tcPr>
            <w:tcW w:w="1905"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40" w:lineRule="exact"/>
              <w:ind w:left="0" w:leftChars="0" w:right="0" w:rightChars="0" w:firstLine="0" w:firstLineChars="0"/>
              <w:jc w:val="center"/>
              <w:textAlignment w:val="auto"/>
              <w:outlineLvl w:val="9"/>
              <w:rPr>
                <w:rFonts w:hint="eastAsia" w:ascii="黑体" w:hAnsi="黑体" w:eastAsia="黑体" w:cs="黑体"/>
                <w:color w:val="auto"/>
                <w:sz w:val="28"/>
                <w:szCs w:val="28"/>
                <w:highlight w:val="none"/>
                <w:u w:val="none"/>
                <w:vertAlign w:val="baseline"/>
                <w:lang w:val="en-US" w:eastAsia="zh-CN"/>
              </w:rPr>
            </w:pPr>
            <w:r>
              <w:rPr>
                <w:rFonts w:hint="eastAsia" w:ascii="黑体" w:hAnsi="黑体" w:eastAsia="黑体" w:cs="黑体"/>
                <w:color w:val="auto"/>
                <w:sz w:val="28"/>
                <w:szCs w:val="28"/>
                <w:highlight w:val="none"/>
                <w:u w:val="none"/>
                <w:vertAlign w:val="baseline"/>
                <w:lang w:val="en-US" w:eastAsia="zh-CN"/>
              </w:rPr>
              <w:t>配套监管措施</w:t>
            </w:r>
          </w:p>
        </w:tc>
        <w:tc>
          <w:tcPr>
            <w:tcW w:w="781"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40" w:lineRule="exact"/>
              <w:ind w:left="0" w:leftChars="0" w:right="0" w:rightChars="0" w:firstLine="0" w:firstLineChars="0"/>
              <w:jc w:val="center"/>
              <w:textAlignment w:val="auto"/>
              <w:outlineLvl w:val="9"/>
              <w:rPr>
                <w:rFonts w:hint="eastAsia" w:ascii="黑体" w:hAnsi="黑体" w:eastAsia="黑体" w:cs="黑体"/>
                <w:color w:val="auto"/>
                <w:sz w:val="28"/>
                <w:szCs w:val="28"/>
                <w:highlight w:val="none"/>
                <w:u w:val="none"/>
                <w:vertAlign w:val="baseline"/>
                <w:lang w:val="en-US" w:eastAsia="zh-CN"/>
              </w:rPr>
            </w:pPr>
            <w:r>
              <w:rPr>
                <w:rFonts w:hint="eastAsia" w:ascii="黑体" w:hAnsi="黑体" w:eastAsia="黑体" w:cs="黑体"/>
                <w:color w:val="auto"/>
                <w:sz w:val="28"/>
                <w:szCs w:val="28"/>
                <w:highlight w:val="none"/>
                <w:u w:val="none"/>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3" w:type="dxa"/>
            <w:noWrap w:val="0"/>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default" w:ascii="仿宋" w:hAnsi="仿宋" w:eastAsia="仿宋" w:cs="仿宋"/>
                <w:color w:val="auto"/>
                <w:sz w:val="24"/>
                <w:szCs w:val="24"/>
                <w:highlight w:val="none"/>
                <w:shd w:val="clear" w:color="auto" w:fill="auto"/>
                <w:lang w:val="en-US" w:eastAsia="zh-CN"/>
              </w:rPr>
            </w:pPr>
            <w:r>
              <w:rPr>
                <w:rFonts w:hint="eastAsia" w:ascii="仿宋" w:hAnsi="仿宋" w:eastAsia="仿宋" w:cs="仿宋"/>
                <w:color w:val="auto"/>
                <w:kern w:val="0"/>
                <w:sz w:val="24"/>
                <w:szCs w:val="24"/>
                <w:highlight w:val="none"/>
                <w:lang w:val="en-US" w:eastAsia="zh-CN"/>
              </w:rPr>
              <w:t>1</w:t>
            </w:r>
          </w:p>
        </w:tc>
        <w:tc>
          <w:tcPr>
            <w:tcW w:w="1395" w:type="dxa"/>
            <w:noWrap w:val="0"/>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both"/>
              <w:textAlignment w:val="auto"/>
              <w:outlineLvl w:val="9"/>
              <w:rPr>
                <w:rFonts w:hint="eastAsia" w:ascii="仿宋" w:hAnsi="仿宋" w:eastAsia="仿宋" w:cs="仿宋"/>
                <w:color w:val="auto"/>
                <w:sz w:val="24"/>
                <w:szCs w:val="24"/>
                <w:highlight w:val="none"/>
                <w:shd w:val="clear" w:color="auto" w:fill="auto"/>
                <w:lang w:val="en-US" w:eastAsia="zh-CN"/>
              </w:rPr>
            </w:pPr>
            <w:r>
              <w:rPr>
                <w:rFonts w:hint="eastAsia" w:ascii="仿宋" w:hAnsi="仿宋" w:eastAsia="仿宋" w:cs="仿宋"/>
                <w:color w:val="auto"/>
                <w:kern w:val="0"/>
                <w:sz w:val="24"/>
                <w:szCs w:val="24"/>
                <w:highlight w:val="none"/>
                <w:lang w:val="en-US" w:eastAsia="zh-CN"/>
              </w:rPr>
              <w:t>对</w:t>
            </w:r>
            <w:r>
              <w:rPr>
                <w:rFonts w:hint="eastAsia" w:ascii="仿宋" w:hAnsi="仿宋" w:eastAsia="仿宋" w:cs="仿宋"/>
                <w:color w:val="auto"/>
                <w:kern w:val="0"/>
                <w:sz w:val="24"/>
                <w:szCs w:val="24"/>
                <w:highlight w:val="none"/>
              </w:rPr>
              <w:t>生态环境保护设施未达到规定要求即投入生产、使用的</w:t>
            </w:r>
            <w:bookmarkStart w:id="1" w:name="_GoBack"/>
            <w:bookmarkEnd w:id="1"/>
            <w:r>
              <w:rPr>
                <w:rFonts w:hint="eastAsia" w:ascii="仿宋" w:hAnsi="仿宋" w:eastAsia="仿宋" w:cs="仿宋"/>
                <w:color w:val="auto"/>
                <w:kern w:val="0"/>
                <w:sz w:val="24"/>
                <w:szCs w:val="24"/>
                <w:highlight w:val="none"/>
                <w:lang w:val="en-US" w:eastAsia="zh-CN"/>
              </w:rPr>
              <w:t>行政处罚</w:t>
            </w:r>
          </w:p>
        </w:tc>
        <w:tc>
          <w:tcPr>
            <w:tcW w:w="4320" w:type="dxa"/>
            <w:noWrap w:val="0"/>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both"/>
              <w:textAlignment w:val="auto"/>
              <w:outlineLvl w:val="9"/>
              <w:rPr>
                <w:rFonts w:hint="eastAsia" w:ascii="仿宋" w:hAnsi="仿宋" w:eastAsia="仿宋" w:cs="仿宋"/>
                <w:color w:val="auto"/>
                <w:sz w:val="24"/>
                <w:szCs w:val="24"/>
                <w:highlight w:val="none"/>
                <w:shd w:val="clear" w:color="auto" w:fill="auto"/>
                <w:lang w:val="en-US" w:eastAsia="zh-CN"/>
              </w:rPr>
            </w:pPr>
            <w:r>
              <w:rPr>
                <w:rFonts w:hint="eastAsia" w:ascii="仿宋" w:hAnsi="仿宋" w:eastAsia="仿宋" w:cs="仿宋"/>
                <w:color w:val="auto"/>
                <w:sz w:val="24"/>
                <w:szCs w:val="24"/>
                <w:highlight w:val="none"/>
                <w:shd w:val="clear" w:color="auto" w:fill="auto"/>
                <w:lang w:val="en-US" w:eastAsia="zh-CN"/>
              </w:rPr>
              <w:t>《中华人民共和国生态环境法典》第一千一百条 “违反本法规定，生态环境保护设施未与主体工程同时设计、同时施工、同时投产使用，或者生态环境保护设施未建成、未达到规定要求即投入生产、使用的，由负有生态环境保护监督管理职责的部门、机构按照职责分工责令改正，处二十万元以上一百万元以下的罚款；拒不改正的，处一百万元以上二百万元以下的罚款；对直接负责的主管人员和其他直接责任人员处五万元以上二十万元以下的罚款；造成重大环境污染、生态破坏的，责令其停止生产、使用，或者报经有批准权的人民政府批准，责令停业、关闭。”</w:t>
            </w:r>
          </w:p>
        </w:tc>
        <w:tc>
          <w:tcPr>
            <w:tcW w:w="3300" w:type="dxa"/>
            <w:noWrap w:val="0"/>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both"/>
              <w:textAlignment w:val="auto"/>
              <w:outlineLvl w:val="9"/>
              <w:rPr>
                <w:rFonts w:hint="eastAsia" w:ascii="仿宋" w:hAnsi="仿宋" w:eastAsia="仿宋" w:cs="仿宋"/>
                <w:color w:val="auto"/>
                <w:sz w:val="24"/>
                <w:szCs w:val="24"/>
                <w:highlight w:val="none"/>
                <w:shd w:val="clear" w:color="auto" w:fill="auto"/>
                <w:lang w:val="en-US" w:eastAsia="zh-CN"/>
              </w:rPr>
            </w:pPr>
            <w:r>
              <w:rPr>
                <w:rFonts w:hint="eastAsia" w:ascii="仿宋" w:hAnsi="仿宋" w:eastAsia="仿宋" w:cs="仿宋"/>
                <w:color w:val="auto"/>
                <w:sz w:val="24"/>
                <w:szCs w:val="24"/>
                <w:highlight w:val="none"/>
                <w:shd w:val="clear" w:color="auto" w:fill="auto"/>
                <w:lang w:val="en-US" w:eastAsia="zh-CN"/>
              </w:rPr>
              <w:t>（1）建设项目未涉及环境敏感区，不属于化工、电镀、皮革、造纸、制浆、冶炼、放射性、印染、染料、炼焦、炼油、表面处理项目；</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both"/>
              <w:textAlignment w:val="auto"/>
              <w:outlineLvl w:val="9"/>
              <w:rPr>
                <w:rFonts w:hint="eastAsia" w:ascii="仿宋" w:hAnsi="仿宋" w:eastAsia="仿宋" w:cs="仿宋"/>
                <w:color w:val="auto"/>
                <w:sz w:val="24"/>
                <w:szCs w:val="24"/>
                <w:highlight w:val="none"/>
                <w:shd w:val="clear" w:color="auto" w:fill="auto"/>
                <w:lang w:val="en-US" w:eastAsia="zh-CN"/>
              </w:rPr>
            </w:pPr>
            <w:r>
              <w:rPr>
                <w:rFonts w:hint="eastAsia" w:ascii="仿宋" w:hAnsi="仿宋" w:eastAsia="仿宋" w:cs="仿宋"/>
                <w:color w:val="auto"/>
                <w:sz w:val="24"/>
                <w:szCs w:val="24"/>
                <w:highlight w:val="none"/>
                <w:shd w:val="clear" w:color="auto" w:fill="auto"/>
                <w:lang w:val="en-US" w:eastAsia="zh-CN"/>
              </w:rPr>
              <w:t>（2）违法行为持续或累计时间不超过３个月，或超过３个月但配套建设了环境保护设施或采取了环境保护措施；</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both"/>
              <w:textAlignment w:val="auto"/>
              <w:outlineLvl w:val="9"/>
              <w:rPr>
                <w:rFonts w:hint="eastAsia" w:ascii="仿宋" w:hAnsi="仿宋" w:eastAsia="仿宋" w:cs="仿宋"/>
                <w:color w:val="auto"/>
                <w:sz w:val="24"/>
                <w:szCs w:val="24"/>
                <w:highlight w:val="none"/>
                <w:shd w:val="clear" w:color="auto" w:fill="auto"/>
                <w:lang w:val="en-US" w:eastAsia="zh-CN"/>
              </w:rPr>
            </w:pPr>
            <w:r>
              <w:rPr>
                <w:rFonts w:hint="eastAsia" w:ascii="仿宋" w:hAnsi="仿宋" w:eastAsia="仿宋" w:cs="仿宋"/>
                <w:color w:val="auto"/>
                <w:sz w:val="24"/>
                <w:szCs w:val="24"/>
                <w:highlight w:val="none"/>
                <w:shd w:val="clear" w:color="auto" w:fill="auto"/>
                <w:lang w:val="en-US" w:eastAsia="zh-CN"/>
              </w:rPr>
              <w:t>（3）经责令改正后立即停止实施违法行为，在期限内完成整改（包括以下任意情形：1.完成验收；2.采取拆除部分生产设施等措施使建设项目保留的生产工艺及其内容符合豁免环评手续、或符合现行有效建设项目环境影响评价分类管理名录要求、或符合竣工环境保护验收的要求）或者自行关闭建设项目的；</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both"/>
              <w:textAlignment w:val="auto"/>
              <w:outlineLvl w:val="9"/>
              <w:rPr>
                <w:rFonts w:hint="eastAsia" w:ascii="仿宋" w:hAnsi="仿宋" w:eastAsia="仿宋" w:cs="仿宋"/>
                <w:color w:val="auto"/>
                <w:sz w:val="24"/>
                <w:szCs w:val="24"/>
                <w:highlight w:val="none"/>
                <w:shd w:val="clear" w:color="auto" w:fill="auto"/>
                <w:lang w:val="en-US" w:eastAsia="zh-CN"/>
              </w:rPr>
            </w:pPr>
            <w:r>
              <w:rPr>
                <w:rFonts w:hint="eastAsia" w:ascii="仿宋" w:hAnsi="仿宋" w:eastAsia="仿宋" w:cs="仿宋"/>
                <w:color w:val="auto"/>
                <w:sz w:val="24"/>
                <w:szCs w:val="24"/>
                <w:highlight w:val="none"/>
                <w:shd w:val="clear" w:color="auto" w:fill="auto"/>
                <w:lang w:val="en-US" w:eastAsia="zh-CN"/>
              </w:rPr>
              <w:t>（4）环境保护设施验收无弄虚作假行为；</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both"/>
              <w:textAlignment w:val="auto"/>
              <w:outlineLvl w:val="9"/>
              <w:rPr>
                <w:rFonts w:hint="eastAsia" w:ascii="仿宋" w:hAnsi="仿宋" w:eastAsia="仿宋" w:cs="仿宋"/>
                <w:color w:val="auto"/>
                <w:sz w:val="24"/>
                <w:szCs w:val="24"/>
                <w:highlight w:val="none"/>
                <w:shd w:val="clear" w:color="auto" w:fill="auto"/>
                <w:lang w:val="en-US" w:eastAsia="zh-CN"/>
              </w:rPr>
            </w:pPr>
            <w:r>
              <w:rPr>
                <w:rFonts w:hint="eastAsia" w:ascii="仿宋" w:hAnsi="仿宋" w:eastAsia="仿宋" w:cs="仿宋"/>
                <w:color w:val="auto"/>
                <w:sz w:val="24"/>
                <w:szCs w:val="24"/>
                <w:highlight w:val="none"/>
                <w:shd w:val="clear" w:color="auto" w:fill="auto"/>
                <w:lang w:val="en-US" w:eastAsia="zh-CN"/>
              </w:rPr>
              <w:t>（5）违法行为未造成其他环境污染、生态破坏或社会影响。</w:t>
            </w:r>
          </w:p>
        </w:tc>
        <w:tc>
          <w:tcPr>
            <w:tcW w:w="2145" w:type="dxa"/>
            <w:noWrap w:val="0"/>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both"/>
              <w:textAlignment w:val="auto"/>
              <w:outlineLvl w:val="9"/>
              <w:rPr>
                <w:rFonts w:hint="eastAsia" w:ascii="仿宋" w:hAnsi="仿宋" w:eastAsia="仿宋" w:cs="仿宋"/>
                <w:color w:val="auto"/>
                <w:sz w:val="24"/>
                <w:szCs w:val="24"/>
                <w:highlight w:val="none"/>
                <w:shd w:val="clear" w:color="auto" w:fill="auto"/>
                <w:lang w:val="en-US" w:eastAsia="zh-CN"/>
              </w:rPr>
            </w:pPr>
            <w:r>
              <w:rPr>
                <w:rFonts w:hint="eastAsia" w:ascii="仿宋" w:hAnsi="仿宋" w:eastAsia="仿宋" w:cs="仿宋"/>
                <w:color w:val="auto"/>
                <w:sz w:val="24"/>
                <w:szCs w:val="24"/>
                <w:highlight w:val="none"/>
                <w:shd w:val="clear" w:color="auto" w:fill="auto"/>
                <w:lang w:val="en-US" w:eastAsia="zh-CN"/>
              </w:rPr>
              <w:t>《中华人民共和国行政处罚法》第三十三条第一款、第三款“违法行为轻微并及时改正，没有造成危害后果的，不予行政处罚。初次违法且危害后果轻微并及时改正的，可以不予行政处罚。  对当事人的违法行为依法不予行政处罚的，行政机关应当对当事人进行教育。”</w:t>
            </w:r>
          </w:p>
        </w:tc>
        <w:tc>
          <w:tcPr>
            <w:tcW w:w="1905" w:type="dxa"/>
            <w:noWrap w:val="0"/>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both"/>
              <w:textAlignment w:val="auto"/>
              <w:outlineLvl w:val="9"/>
              <w:rPr>
                <w:rFonts w:hint="eastAsia" w:ascii="仿宋" w:hAnsi="仿宋" w:eastAsia="仿宋" w:cs="仿宋"/>
                <w:color w:val="auto"/>
                <w:sz w:val="24"/>
                <w:szCs w:val="24"/>
                <w:highlight w:val="none"/>
                <w:shd w:val="clear" w:color="auto" w:fill="auto"/>
                <w:lang w:val="en-US" w:eastAsia="zh-CN"/>
              </w:rPr>
            </w:pPr>
            <w:r>
              <w:rPr>
                <w:rFonts w:hint="eastAsia" w:ascii="仿宋" w:hAnsi="仿宋" w:eastAsia="仿宋" w:cs="仿宋"/>
                <w:color w:val="auto"/>
                <w:sz w:val="24"/>
                <w:szCs w:val="24"/>
                <w:highlight w:val="none"/>
                <w:shd w:val="clear" w:color="auto" w:fill="auto"/>
                <w:lang w:val="en-US" w:eastAsia="zh-CN"/>
              </w:rPr>
              <w:t>加强教育、及时复查整改情况</w:t>
            </w:r>
            <w:r>
              <w:rPr>
                <w:rFonts w:hint="eastAsia" w:ascii="仿宋" w:hAnsi="仿宋" w:eastAsia="仿宋" w:cs="仿宋"/>
                <w:color w:val="auto"/>
                <w:sz w:val="24"/>
                <w:szCs w:val="24"/>
                <w:highlight w:val="none"/>
                <w:shd w:val="clear" w:color="auto" w:fill="auto"/>
                <w:lang w:val="zh-TW" w:eastAsia="zh-CN"/>
              </w:rPr>
              <w:t>。</w:t>
            </w:r>
          </w:p>
        </w:tc>
        <w:tc>
          <w:tcPr>
            <w:tcW w:w="781" w:type="dxa"/>
            <w:noWrap w:val="0"/>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both"/>
              <w:textAlignment w:val="auto"/>
              <w:outlineLvl w:val="9"/>
              <w:rPr>
                <w:rFonts w:hint="eastAsia" w:ascii="仿宋" w:hAnsi="仿宋" w:eastAsia="仿宋" w:cs="仿宋"/>
                <w:color w:val="auto"/>
                <w:sz w:val="24"/>
                <w:szCs w:val="24"/>
                <w:highlight w:val="none"/>
                <w:shd w:val="clear" w:color="auto" w:fill="auto"/>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3"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仿宋" w:hAnsi="仿宋" w:eastAsia="仿宋" w:cs="仿宋"/>
                <w:color w:val="auto"/>
                <w:sz w:val="24"/>
                <w:szCs w:val="24"/>
                <w:highlight w:val="none"/>
                <w:shd w:val="clear" w:color="auto" w:fill="auto"/>
                <w:lang w:val="en-US" w:eastAsia="zh-CN"/>
              </w:rPr>
            </w:pPr>
            <w:r>
              <w:rPr>
                <w:rFonts w:hint="eastAsia" w:ascii="仿宋" w:hAnsi="仿宋" w:eastAsia="仿宋" w:cs="仿宋"/>
                <w:color w:val="auto"/>
                <w:sz w:val="24"/>
                <w:szCs w:val="24"/>
                <w:highlight w:val="none"/>
                <w:shd w:val="clear" w:color="auto" w:fill="auto"/>
                <w:lang w:val="en-US" w:eastAsia="zh-CN"/>
              </w:rPr>
              <w:t>2</w:t>
            </w:r>
          </w:p>
        </w:tc>
        <w:tc>
          <w:tcPr>
            <w:tcW w:w="1395"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left"/>
              <w:textAlignment w:val="auto"/>
              <w:outlineLvl w:val="9"/>
              <w:rPr>
                <w:rFonts w:hint="eastAsia" w:ascii="仿宋" w:hAnsi="仿宋" w:eastAsia="仿宋" w:cs="仿宋"/>
                <w:color w:val="auto"/>
                <w:sz w:val="24"/>
                <w:szCs w:val="24"/>
                <w:highlight w:val="none"/>
                <w:shd w:val="clear" w:color="auto" w:fill="auto"/>
                <w:lang w:val="en-US" w:eastAsia="zh-CN"/>
              </w:rPr>
            </w:pPr>
            <w:r>
              <w:rPr>
                <w:rFonts w:hint="eastAsia" w:ascii="仿宋" w:hAnsi="仿宋" w:eastAsia="仿宋" w:cs="仿宋"/>
                <w:color w:val="auto"/>
                <w:sz w:val="24"/>
                <w:szCs w:val="24"/>
                <w:highlight w:val="none"/>
                <w:shd w:val="clear" w:color="auto" w:fill="auto"/>
                <w:lang w:val="en-US" w:eastAsia="zh-CN"/>
              </w:rPr>
              <w:t>对需要填报排污登记表的企业事业单位和其他生产经营者,未依照规定填报排污信息的行政处罚</w:t>
            </w:r>
          </w:p>
        </w:tc>
        <w:tc>
          <w:tcPr>
            <w:tcW w:w="4320"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left"/>
              <w:textAlignment w:val="auto"/>
              <w:outlineLvl w:val="9"/>
              <w:rPr>
                <w:rFonts w:hint="default" w:ascii="仿宋" w:hAnsi="仿宋" w:eastAsia="仿宋" w:cs="仿宋"/>
                <w:color w:val="auto"/>
                <w:sz w:val="24"/>
                <w:szCs w:val="24"/>
                <w:highlight w:val="none"/>
                <w:shd w:val="clear" w:color="auto" w:fill="auto"/>
                <w:lang w:val="en-US" w:eastAsia="zh-CN"/>
              </w:rPr>
            </w:pPr>
            <w:r>
              <w:rPr>
                <w:rFonts w:hint="eastAsia" w:ascii="仿宋" w:hAnsi="仿宋" w:eastAsia="仿宋" w:cs="仿宋"/>
                <w:color w:val="auto"/>
                <w:sz w:val="24"/>
                <w:szCs w:val="24"/>
                <w:highlight w:val="none"/>
                <w:shd w:val="clear" w:color="auto" w:fill="auto"/>
                <w:lang w:val="en-US" w:eastAsia="zh-CN"/>
              </w:rPr>
              <w:t>《中华人民共和国生态环境法典》第一千一百零六条 “违反本法规定，需要填报排污登记表的企业事业单位和其他生产经营者未依法填报排污信息的，由生态环境主管部门责令改正，可以处五万元以下的罚款。”</w:t>
            </w:r>
          </w:p>
        </w:tc>
        <w:tc>
          <w:tcPr>
            <w:tcW w:w="3300" w:type="dxa"/>
            <w:noWrap w:val="0"/>
            <w:vAlign w:val="center"/>
          </w:tcPr>
          <w:p>
            <w:pPr>
              <w:keepNext w:val="0"/>
              <w:keepLines w:val="0"/>
              <w:pageBreakBefore w:val="0"/>
              <w:widowControl w:val="0"/>
              <w:numPr>
                <w:ilvl w:val="0"/>
                <w:numId w:val="2"/>
              </w:numPr>
              <w:kinsoku/>
              <w:wordWrap/>
              <w:overflowPunct/>
              <w:topLinePunct w:val="0"/>
              <w:autoSpaceDE/>
              <w:autoSpaceDN/>
              <w:bidi w:val="0"/>
              <w:adjustRightInd/>
              <w:snapToGrid/>
              <w:spacing w:line="400" w:lineRule="exact"/>
              <w:ind w:left="0" w:leftChars="0" w:right="0" w:rightChars="0" w:firstLine="0" w:firstLineChars="0"/>
              <w:jc w:val="left"/>
              <w:textAlignment w:val="auto"/>
              <w:outlineLvl w:val="9"/>
              <w:rPr>
                <w:rFonts w:hint="eastAsia" w:ascii="仿宋" w:hAnsi="仿宋" w:eastAsia="仿宋" w:cs="仿宋"/>
                <w:color w:val="auto"/>
                <w:sz w:val="24"/>
                <w:szCs w:val="24"/>
                <w:highlight w:val="none"/>
                <w:shd w:val="clear" w:color="auto" w:fill="auto"/>
                <w:lang w:val="en-US" w:eastAsia="zh-CN"/>
              </w:rPr>
            </w:pPr>
            <w:r>
              <w:rPr>
                <w:rFonts w:hint="eastAsia" w:ascii="仿宋" w:hAnsi="仿宋" w:eastAsia="仿宋" w:cs="仿宋"/>
                <w:color w:val="auto"/>
                <w:sz w:val="24"/>
                <w:szCs w:val="24"/>
                <w:highlight w:val="none"/>
                <w:shd w:val="clear" w:color="auto" w:fill="auto"/>
                <w:lang w:val="en-US" w:eastAsia="zh-CN"/>
              </w:rPr>
              <w:t>检查发现后5个工作日内完成整改的；</w:t>
            </w:r>
          </w:p>
          <w:p>
            <w:pPr>
              <w:keepNext w:val="0"/>
              <w:keepLines w:val="0"/>
              <w:pageBreakBefore w:val="0"/>
              <w:widowControl w:val="0"/>
              <w:numPr>
                <w:ilvl w:val="0"/>
                <w:numId w:val="2"/>
              </w:numPr>
              <w:kinsoku/>
              <w:wordWrap/>
              <w:overflowPunct/>
              <w:topLinePunct w:val="0"/>
              <w:autoSpaceDE/>
              <w:autoSpaceDN/>
              <w:bidi w:val="0"/>
              <w:adjustRightInd/>
              <w:snapToGrid/>
              <w:spacing w:line="400" w:lineRule="exact"/>
              <w:ind w:left="0" w:leftChars="0" w:right="0" w:rightChars="0" w:firstLine="0" w:firstLineChars="0"/>
              <w:jc w:val="left"/>
              <w:textAlignment w:val="auto"/>
              <w:outlineLvl w:val="9"/>
              <w:rPr>
                <w:rFonts w:hint="eastAsia" w:ascii="仿宋" w:hAnsi="仿宋" w:eastAsia="仿宋" w:cs="仿宋"/>
                <w:color w:val="auto"/>
                <w:sz w:val="24"/>
                <w:szCs w:val="24"/>
                <w:highlight w:val="none"/>
                <w:shd w:val="clear" w:color="auto" w:fill="auto"/>
                <w:lang w:val="en-US" w:eastAsia="zh-CN"/>
              </w:rPr>
            </w:pPr>
            <w:r>
              <w:rPr>
                <w:rFonts w:hint="eastAsia" w:ascii="仿宋" w:hAnsi="仿宋" w:eastAsia="仿宋" w:cs="仿宋"/>
                <w:color w:val="auto"/>
                <w:sz w:val="24"/>
                <w:szCs w:val="24"/>
                <w:highlight w:val="none"/>
                <w:shd w:val="clear" w:color="auto" w:fill="auto"/>
                <w:lang w:val="en-US" w:eastAsia="zh-CN"/>
              </w:rPr>
              <w:t>填报排污登记表无弄虚作假行为；</w:t>
            </w:r>
          </w:p>
          <w:p>
            <w:pPr>
              <w:keepNext w:val="0"/>
              <w:keepLines w:val="0"/>
              <w:pageBreakBefore w:val="0"/>
              <w:widowControl w:val="0"/>
              <w:numPr>
                <w:ilvl w:val="0"/>
                <w:numId w:val="2"/>
              </w:numPr>
              <w:kinsoku/>
              <w:wordWrap/>
              <w:overflowPunct/>
              <w:topLinePunct w:val="0"/>
              <w:autoSpaceDE/>
              <w:autoSpaceDN/>
              <w:bidi w:val="0"/>
              <w:adjustRightInd/>
              <w:snapToGrid/>
              <w:spacing w:line="400" w:lineRule="exact"/>
              <w:ind w:left="0" w:leftChars="0" w:right="0" w:rightChars="0" w:firstLine="0" w:firstLineChars="0"/>
              <w:jc w:val="left"/>
              <w:textAlignment w:val="auto"/>
              <w:outlineLvl w:val="9"/>
              <w:rPr>
                <w:rFonts w:hint="eastAsia" w:ascii="仿宋" w:hAnsi="仿宋" w:eastAsia="仿宋" w:cs="仿宋"/>
                <w:color w:val="auto"/>
                <w:sz w:val="24"/>
                <w:szCs w:val="24"/>
                <w:highlight w:val="none"/>
                <w:shd w:val="clear" w:color="auto" w:fill="auto"/>
                <w:lang w:val="en-US" w:eastAsia="zh-CN"/>
              </w:rPr>
            </w:pPr>
            <w:r>
              <w:rPr>
                <w:rFonts w:hint="eastAsia" w:ascii="仿宋" w:hAnsi="仿宋" w:eastAsia="仿宋" w:cs="仿宋"/>
                <w:color w:val="auto"/>
                <w:sz w:val="24"/>
                <w:szCs w:val="24"/>
                <w:highlight w:val="none"/>
                <w:shd w:val="clear" w:color="auto" w:fill="auto"/>
                <w:lang w:val="en-US" w:eastAsia="zh-CN"/>
              </w:rPr>
              <w:t>违法行为未造成其他环境污染、生态破坏或社会影响。</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left"/>
              <w:textAlignment w:val="auto"/>
              <w:outlineLvl w:val="9"/>
              <w:rPr>
                <w:rFonts w:hint="eastAsia" w:ascii="仿宋" w:hAnsi="仿宋" w:eastAsia="仿宋" w:cs="仿宋"/>
                <w:color w:val="auto"/>
                <w:sz w:val="24"/>
                <w:szCs w:val="24"/>
                <w:highlight w:val="none"/>
                <w:shd w:val="clear" w:color="auto" w:fill="auto"/>
                <w:lang w:val="en-US" w:eastAsia="zh-CN"/>
              </w:rPr>
            </w:pPr>
          </w:p>
        </w:tc>
        <w:tc>
          <w:tcPr>
            <w:tcW w:w="2145"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right="0" w:rightChars="0"/>
              <w:jc w:val="left"/>
              <w:textAlignment w:val="auto"/>
              <w:outlineLvl w:val="9"/>
              <w:rPr>
                <w:rFonts w:hint="eastAsia" w:ascii="仿宋" w:hAnsi="仿宋" w:eastAsia="仿宋" w:cs="仿宋"/>
                <w:color w:val="auto"/>
                <w:sz w:val="24"/>
                <w:szCs w:val="24"/>
                <w:highlight w:val="none"/>
                <w:shd w:val="clear" w:color="auto" w:fill="auto"/>
                <w:lang w:val="en-US" w:eastAsia="zh-CN"/>
              </w:rPr>
            </w:pPr>
            <w:r>
              <w:rPr>
                <w:rFonts w:hint="eastAsia" w:ascii="仿宋" w:hAnsi="仿宋" w:eastAsia="仿宋" w:cs="仿宋"/>
                <w:color w:val="auto"/>
                <w:sz w:val="24"/>
                <w:szCs w:val="24"/>
                <w:highlight w:val="none"/>
                <w:shd w:val="clear" w:color="auto" w:fill="auto"/>
                <w:lang w:val="en-US" w:eastAsia="zh-CN"/>
              </w:rPr>
              <w:t>《中华人民共和国行政处罚法》第三十三条第一款、第三款“违法行为轻微并及时改正，没有造成危害后果的，不予行政处罚。初次违法且危害后果轻微并及时改正的，可以不予行政处罚。  对当事人的违法行为依法不予行政处罚的，行政机关应当对当事人进行教育。”</w:t>
            </w:r>
          </w:p>
        </w:tc>
        <w:tc>
          <w:tcPr>
            <w:tcW w:w="1905"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right="0" w:rightChars="0"/>
              <w:jc w:val="center"/>
              <w:textAlignment w:val="auto"/>
              <w:outlineLvl w:val="9"/>
              <w:rPr>
                <w:rFonts w:hint="eastAsia" w:ascii="仿宋" w:hAnsi="仿宋" w:eastAsia="仿宋" w:cs="仿宋"/>
                <w:color w:val="auto"/>
                <w:sz w:val="24"/>
                <w:szCs w:val="24"/>
                <w:highlight w:val="none"/>
                <w:shd w:val="clear" w:color="auto" w:fill="auto"/>
                <w:lang w:val="en-US" w:eastAsia="zh-CN"/>
              </w:rPr>
            </w:pPr>
            <w:r>
              <w:rPr>
                <w:rFonts w:hint="eastAsia" w:ascii="仿宋" w:hAnsi="仿宋" w:eastAsia="仿宋" w:cs="仿宋"/>
                <w:color w:val="auto"/>
                <w:sz w:val="24"/>
                <w:szCs w:val="24"/>
                <w:highlight w:val="none"/>
                <w:shd w:val="clear" w:color="auto" w:fill="auto"/>
                <w:lang w:val="en-US" w:eastAsia="zh-CN"/>
              </w:rPr>
              <w:t>加强教育、及时复查整改情况</w:t>
            </w:r>
            <w:r>
              <w:rPr>
                <w:rFonts w:hint="eastAsia" w:ascii="仿宋" w:hAnsi="仿宋" w:eastAsia="仿宋" w:cs="仿宋"/>
                <w:color w:val="auto"/>
                <w:sz w:val="24"/>
                <w:szCs w:val="24"/>
                <w:highlight w:val="none"/>
                <w:shd w:val="clear" w:color="auto" w:fill="auto"/>
                <w:lang w:val="zh-TW" w:eastAsia="zh-CN"/>
              </w:rPr>
              <w:t>。</w:t>
            </w:r>
          </w:p>
        </w:tc>
        <w:tc>
          <w:tcPr>
            <w:tcW w:w="781"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仿宋" w:hAnsi="仿宋" w:eastAsia="仿宋" w:cs="仿宋"/>
                <w:color w:val="auto"/>
                <w:sz w:val="24"/>
                <w:szCs w:val="24"/>
                <w:highlight w:val="none"/>
                <w:shd w:val="clear" w:color="auto" w:fill="auto"/>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3"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仿宋" w:hAnsi="仿宋" w:eastAsia="仿宋" w:cs="仿宋"/>
                <w:color w:val="auto"/>
                <w:sz w:val="24"/>
                <w:szCs w:val="24"/>
                <w:highlight w:val="none"/>
                <w:shd w:val="clear" w:color="auto" w:fill="auto"/>
                <w:lang w:val="en-US" w:eastAsia="zh-CN"/>
              </w:rPr>
            </w:pPr>
            <w:r>
              <w:rPr>
                <w:rFonts w:hint="eastAsia" w:ascii="仿宋" w:hAnsi="仿宋" w:eastAsia="仿宋" w:cs="仿宋"/>
                <w:color w:val="auto"/>
                <w:sz w:val="24"/>
                <w:szCs w:val="24"/>
                <w:highlight w:val="none"/>
                <w:shd w:val="clear" w:color="auto" w:fill="auto"/>
                <w:lang w:val="en-US" w:eastAsia="zh-CN"/>
              </w:rPr>
              <w:t>3</w:t>
            </w:r>
          </w:p>
        </w:tc>
        <w:tc>
          <w:tcPr>
            <w:tcW w:w="1395"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left"/>
              <w:textAlignment w:val="auto"/>
              <w:outlineLvl w:val="9"/>
              <w:rPr>
                <w:rFonts w:hint="eastAsia" w:ascii="仿宋" w:hAnsi="仿宋" w:eastAsia="仿宋" w:cs="仿宋"/>
                <w:color w:val="auto"/>
                <w:sz w:val="24"/>
                <w:szCs w:val="24"/>
                <w:highlight w:val="none"/>
                <w:shd w:val="clear" w:color="auto" w:fill="auto"/>
                <w:lang w:val="en-US" w:eastAsia="zh-CN"/>
              </w:rPr>
            </w:pPr>
            <w:r>
              <w:rPr>
                <w:rFonts w:hint="eastAsia" w:ascii="仿宋" w:hAnsi="仿宋" w:eastAsia="仿宋" w:cs="仿宋"/>
                <w:color w:val="auto"/>
                <w:sz w:val="24"/>
                <w:szCs w:val="24"/>
                <w:highlight w:val="none"/>
                <w:shd w:val="clear" w:color="auto" w:fill="auto"/>
                <w:lang w:val="en-US" w:eastAsia="zh-CN"/>
              </w:rPr>
              <w:t>对污染物排放自动监测设备未与生态环境主管部门的监控设备联网的行政处罚</w:t>
            </w:r>
          </w:p>
        </w:tc>
        <w:tc>
          <w:tcPr>
            <w:tcW w:w="4320" w:type="dxa"/>
            <w:noWrap w:val="0"/>
            <w:vAlign w:val="center"/>
          </w:tcPr>
          <w:p>
            <w:pPr>
              <w:keepNext w:val="0"/>
              <w:keepLines w:val="0"/>
              <w:widowControl/>
              <w:suppressLineNumbers w:val="0"/>
              <w:jc w:val="left"/>
              <w:rPr>
                <w:rFonts w:hint="eastAsia" w:ascii="仿宋" w:hAnsi="仿宋" w:eastAsia="仿宋" w:cs="仿宋"/>
                <w:color w:val="auto"/>
                <w:sz w:val="24"/>
                <w:szCs w:val="24"/>
                <w:highlight w:val="none"/>
                <w:shd w:val="clear" w:color="auto" w:fill="auto"/>
                <w:lang w:val="zh-TW" w:eastAsia="zh-TW"/>
              </w:rPr>
            </w:pPr>
            <w:r>
              <w:rPr>
                <w:rFonts w:hint="eastAsia" w:ascii="仿宋" w:hAnsi="仿宋" w:eastAsia="仿宋" w:cs="仿宋"/>
                <w:color w:val="auto"/>
                <w:sz w:val="24"/>
                <w:szCs w:val="24"/>
                <w:highlight w:val="none"/>
                <w:shd w:val="clear" w:color="auto" w:fill="auto"/>
                <w:lang w:val="en-US" w:eastAsia="zh-CN"/>
              </w:rPr>
              <w:t>《中华人民共和国生态环境法典》第一千零八十六条</w:t>
            </w:r>
            <w:bookmarkStart w:id="0" w:name="OLE_LINK3"/>
            <w:r>
              <w:rPr>
                <w:rFonts w:hint="eastAsia" w:ascii="仿宋" w:hAnsi="仿宋" w:eastAsia="仿宋" w:cs="仿宋"/>
                <w:color w:val="auto"/>
                <w:sz w:val="24"/>
                <w:szCs w:val="24"/>
                <w:highlight w:val="none"/>
                <w:shd w:val="clear" w:color="auto" w:fill="auto"/>
                <w:lang w:val="en-US" w:eastAsia="zh-CN"/>
              </w:rPr>
              <w:t>第一款</w:t>
            </w:r>
            <w:bookmarkEnd w:id="0"/>
            <w:r>
              <w:rPr>
                <w:rFonts w:hint="eastAsia" w:ascii="仿宋" w:hAnsi="仿宋" w:eastAsia="仿宋" w:cs="仿宋"/>
                <w:color w:val="auto"/>
                <w:sz w:val="24"/>
                <w:szCs w:val="24"/>
                <w:highlight w:val="none"/>
                <w:shd w:val="clear" w:color="auto" w:fill="auto"/>
                <w:lang w:val="en-US" w:eastAsia="zh-CN"/>
              </w:rPr>
              <w:t>第二项 “</w:t>
            </w:r>
            <w:r>
              <w:rPr>
                <w:rFonts w:hint="eastAsia" w:ascii="仿宋" w:hAnsi="仿宋" w:eastAsia="仿宋" w:cs="仿宋"/>
                <w:kern w:val="0"/>
                <w:sz w:val="24"/>
                <w:szCs w:val="24"/>
                <w:highlight w:val="none"/>
                <w:lang w:val="en-US" w:eastAsia="zh-CN" w:bidi="ar"/>
              </w:rPr>
              <w:t>违反本法规定，有下列情形之一的，由负有生态环境保护监督管理职责的部门、机构按照职责分工责令改正，处二万元以上二十万元以下的罚款；拒不改正的，可以责令限制生产、停产整治（二）未安装、使用、维护、正常运行污染物排放自动监测、监控设备，未与主管部门的监控设备联网，未保存原始监测记录，以及未如实报告的。”</w:t>
            </w:r>
          </w:p>
        </w:tc>
        <w:tc>
          <w:tcPr>
            <w:tcW w:w="3300" w:type="dxa"/>
            <w:noWrap w:val="0"/>
            <w:vAlign w:val="center"/>
          </w:tcPr>
          <w:p>
            <w:pPr>
              <w:keepNext w:val="0"/>
              <w:keepLines w:val="0"/>
              <w:widowControl/>
              <w:suppressLineNumbers w:val="0"/>
              <w:jc w:val="left"/>
              <w:rPr>
                <w:rFonts w:hint="eastAsia" w:ascii="仿宋" w:hAnsi="仿宋" w:eastAsia="仿宋" w:cs="仿宋"/>
                <w:kern w:val="0"/>
                <w:sz w:val="24"/>
                <w:szCs w:val="24"/>
                <w:highlight w:val="none"/>
                <w:lang w:val="zh-TW" w:eastAsia="zh-TW" w:bidi="ar"/>
              </w:rPr>
            </w:pPr>
            <w:r>
              <w:rPr>
                <w:rFonts w:hint="eastAsia" w:ascii="仿宋" w:hAnsi="仿宋" w:eastAsia="仿宋" w:cs="仿宋"/>
                <w:kern w:val="0"/>
                <w:sz w:val="24"/>
                <w:szCs w:val="24"/>
                <w:highlight w:val="none"/>
                <w:lang w:val="en-US" w:eastAsia="zh-CN" w:bidi="ar"/>
              </w:rPr>
              <w:t>（1）污染物排放自动监测设备未与</w:t>
            </w:r>
            <w:r>
              <w:rPr>
                <w:rFonts w:hint="eastAsia" w:ascii="仿宋" w:hAnsi="仿宋" w:eastAsia="仿宋" w:cs="仿宋"/>
                <w:color w:val="auto"/>
                <w:sz w:val="24"/>
                <w:szCs w:val="24"/>
                <w:highlight w:val="none"/>
                <w:shd w:val="clear" w:color="auto" w:fill="auto"/>
                <w:lang w:val="en-US" w:eastAsia="zh-CN"/>
              </w:rPr>
              <w:t>生态环境主管部门的监控设备联网</w:t>
            </w:r>
            <w:r>
              <w:rPr>
                <w:rFonts w:hint="eastAsia" w:ascii="仿宋" w:hAnsi="仿宋" w:eastAsia="仿宋" w:cs="仿宋"/>
                <w:kern w:val="0"/>
                <w:sz w:val="24"/>
                <w:szCs w:val="24"/>
                <w:highlight w:val="none"/>
                <w:lang w:val="en-US" w:eastAsia="zh-CN" w:bidi="ar"/>
              </w:rPr>
              <w:t>，24小时内及时报告，并实际联网的；</w:t>
            </w:r>
          </w:p>
          <w:p>
            <w:pPr>
              <w:keepNext w:val="0"/>
              <w:keepLines w:val="0"/>
              <w:widowControl/>
              <w:suppressLineNumbers w:val="0"/>
              <w:jc w:val="left"/>
              <w:rPr>
                <w:rFonts w:hint="eastAsia" w:ascii="仿宋" w:hAnsi="仿宋" w:eastAsia="仿宋" w:cs="仿宋"/>
                <w:color w:val="auto"/>
                <w:sz w:val="24"/>
                <w:szCs w:val="24"/>
                <w:highlight w:val="none"/>
                <w:shd w:val="clear" w:color="auto" w:fill="auto"/>
                <w:lang w:val="zh-TW" w:eastAsia="zh-TW"/>
              </w:rPr>
            </w:pPr>
            <w:r>
              <w:rPr>
                <w:rFonts w:hint="eastAsia" w:ascii="仿宋" w:hAnsi="仿宋" w:eastAsia="仿宋" w:cs="仿宋"/>
                <w:kern w:val="0"/>
                <w:sz w:val="24"/>
                <w:szCs w:val="24"/>
                <w:highlight w:val="none"/>
                <w:lang w:val="en-US" w:eastAsia="zh-CN" w:bidi="ar"/>
              </w:rPr>
              <w:t>（2）未造成环境污染、生态破坏或社会影响等危害后果。</w:t>
            </w:r>
          </w:p>
        </w:tc>
        <w:tc>
          <w:tcPr>
            <w:tcW w:w="2145"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left"/>
              <w:textAlignment w:val="auto"/>
              <w:outlineLvl w:val="9"/>
              <w:rPr>
                <w:rFonts w:hint="eastAsia" w:ascii="仿宋" w:hAnsi="仿宋" w:eastAsia="仿宋" w:cs="仿宋"/>
                <w:color w:val="auto"/>
                <w:sz w:val="24"/>
                <w:szCs w:val="24"/>
                <w:highlight w:val="none"/>
                <w:shd w:val="clear" w:color="auto" w:fill="auto"/>
                <w:lang w:val="en-US" w:eastAsia="zh-CN"/>
              </w:rPr>
            </w:pPr>
            <w:r>
              <w:rPr>
                <w:rFonts w:hint="eastAsia" w:ascii="仿宋" w:hAnsi="仿宋" w:eastAsia="仿宋" w:cs="仿宋"/>
                <w:color w:val="auto"/>
                <w:sz w:val="24"/>
                <w:szCs w:val="24"/>
                <w:highlight w:val="none"/>
                <w:shd w:val="clear" w:color="auto" w:fill="auto"/>
                <w:lang w:val="en-US" w:eastAsia="zh-CN"/>
              </w:rPr>
              <w:t>《中华人民共和国行政处罚法》第三十三条第一款、第三款“违法行为轻微并及时改正，没有造成危害后果的，不予行政处罚。初次违法且危害后果轻微并及时改正的，可以不予行政处罚。  对当事人的违法行为依法不予行政处罚的，行政机关应当对当事人进行教育。”</w:t>
            </w:r>
          </w:p>
        </w:tc>
        <w:tc>
          <w:tcPr>
            <w:tcW w:w="1905"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仿宋" w:hAnsi="仿宋" w:eastAsia="仿宋" w:cs="仿宋"/>
                <w:color w:val="auto"/>
                <w:sz w:val="24"/>
                <w:szCs w:val="24"/>
                <w:highlight w:val="none"/>
                <w:shd w:val="clear" w:color="auto" w:fill="auto"/>
                <w:lang w:val="en-US" w:eastAsia="zh-CN"/>
              </w:rPr>
            </w:pPr>
            <w:r>
              <w:rPr>
                <w:rFonts w:hint="eastAsia" w:ascii="仿宋" w:hAnsi="仿宋" w:eastAsia="仿宋" w:cs="仿宋"/>
                <w:color w:val="auto"/>
                <w:sz w:val="24"/>
                <w:szCs w:val="24"/>
                <w:highlight w:val="none"/>
                <w:shd w:val="clear" w:color="auto" w:fill="auto"/>
                <w:lang w:val="en-US" w:eastAsia="zh-CN"/>
              </w:rPr>
              <w:t>加强教育、及时复查整改情况</w:t>
            </w:r>
            <w:r>
              <w:rPr>
                <w:rFonts w:hint="eastAsia" w:ascii="仿宋" w:hAnsi="仿宋" w:eastAsia="仿宋" w:cs="仿宋"/>
                <w:color w:val="auto"/>
                <w:sz w:val="24"/>
                <w:szCs w:val="24"/>
                <w:highlight w:val="none"/>
                <w:shd w:val="clear" w:color="auto" w:fill="auto"/>
                <w:lang w:val="zh-TW" w:eastAsia="zh-CN"/>
              </w:rPr>
              <w:t>。</w:t>
            </w:r>
          </w:p>
        </w:tc>
        <w:tc>
          <w:tcPr>
            <w:tcW w:w="781"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仿宋" w:hAnsi="仿宋" w:eastAsia="仿宋" w:cs="仿宋"/>
                <w:color w:val="auto"/>
                <w:sz w:val="24"/>
                <w:szCs w:val="24"/>
                <w:highlight w:val="none"/>
                <w:shd w:val="clear" w:color="auto" w:fill="auto"/>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3"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仿宋" w:hAnsi="仿宋" w:eastAsia="仿宋" w:cs="仿宋"/>
                <w:color w:val="auto"/>
                <w:sz w:val="24"/>
                <w:szCs w:val="24"/>
                <w:highlight w:val="none"/>
                <w:shd w:val="clear" w:color="auto" w:fill="auto"/>
                <w:lang w:val="en-US" w:eastAsia="zh-CN"/>
              </w:rPr>
            </w:pPr>
            <w:r>
              <w:rPr>
                <w:rFonts w:hint="eastAsia" w:ascii="仿宋" w:hAnsi="仿宋" w:eastAsia="仿宋" w:cs="仿宋"/>
                <w:color w:val="auto"/>
                <w:sz w:val="24"/>
                <w:szCs w:val="24"/>
                <w:highlight w:val="none"/>
                <w:shd w:val="clear" w:color="auto" w:fill="auto"/>
                <w:lang w:val="en-US" w:eastAsia="zh-CN"/>
              </w:rPr>
              <w:t>4</w:t>
            </w:r>
          </w:p>
        </w:tc>
        <w:tc>
          <w:tcPr>
            <w:tcW w:w="1395"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left"/>
              <w:textAlignment w:val="auto"/>
              <w:outlineLvl w:val="9"/>
              <w:rPr>
                <w:rFonts w:hint="eastAsia" w:ascii="仿宋" w:hAnsi="仿宋" w:eastAsia="仿宋" w:cs="仿宋"/>
                <w:color w:val="auto"/>
                <w:sz w:val="24"/>
                <w:szCs w:val="24"/>
                <w:highlight w:val="none"/>
                <w:shd w:val="clear" w:color="auto" w:fill="auto"/>
                <w:lang w:val="en-US" w:eastAsia="zh-CN"/>
              </w:rPr>
            </w:pPr>
            <w:r>
              <w:rPr>
                <w:rFonts w:hint="eastAsia" w:ascii="仿宋" w:hAnsi="仿宋" w:eastAsia="仿宋" w:cs="仿宋"/>
                <w:color w:val="auto"/>
                <w:sz w:val="24"/>
                <w:szCs w:val="24"/>
                <w:highlight w:val="none"/>
                <w:shd w:val="clear" w:color="auto" w:fill="auto"/>
                <w:lang w:val="en-US" w:eastAsia="zh-CN"/>
              </w:rPr>
              <w:t>对未按照规定保存原始监测记录的行政处罚</w:t>
            </w:r>
          </w:p>
        </w:tc>
        <w:tc>
          <w:tcPr>
            <w:tcW w:w="4320" w:type="dxa"/>
            <w:noWrap w:val="0"/>
            <w:vAlign w:val="center"/>
          </w:tcPr>
          <w:p>
            <w:pPr>
              <w:bidi w:val="0"/>
              <w:jc w:val="left"/>
              <w:rPr>
                <w:rFonts w:hint="eastAsia" w:ascii="仿宋" w:hAnsi="仿宋" w:eastAsia="仿宋" w:cs="仿宋"/>
                <w:color w:val="auto"/>
                <w:szCs w:val="24"/>
                <w:highlight w:val="none"/>
                <w:shd w:val="clear" w:color="auto" w:fill="auto"/>
                <w:lang w:val="zh-TW" w:eastAsia="zh-TW"/>
              </w:rPr>
            </w:pPr>
            <w:r>
              <w:rPr>
                <w:rFonts w:hint="eastAsia" w:ascii="仿宋" w:hAnsi="仿宋" w:eastAsia="仿宋" w:cs="仿宋"/>
                <w:color w:val="auto"/>
                <w:sz w:val="24"/>
                <w:szCs w:val="24"/>
                <w:highlight w:val="none"/>
                <w:shd w:val="clear" w:color="auto" w:fill="auto"/>
                <w:lang w:val="zh-TW" w:eastAsia="zh-CN"/>
              </w:rPr>
              <w:t>《中华人民共和国生态环境法典》</w:t>
            </w:r>
            <w:r>
              <w:rPr>
                <w:rFonts w:hint="eastAsia" w:ascii="仿宋" w:hAnsi="仿宋" w:eastAsia="仿宋" w:cs="仿宋"/>
                <w:color w:val="auto"/>
                <w:sz w:val="24"/>
                <w:szCs w:val="24"/>
                <w:highlight w:val="none"/>
                <w:shd w:val="clear" w:color="auto" w:fill="auto"/>
                <w:lang w:val="en-US" w:eastAsia="zh-CN"/>
              </w:rPr>
              <w:t>第一千零八十六条第一款第一项 “违反本法规定，有下列情形之一的，由负有生态环境保护监督管理职责的部门、机构按照职责分工责令改正，处二万元以上二十万元以下的罚款；拒不改正的，可以责令限制生产、停产整治：（一）未对所排放的污染物、养殖尾水、土壤污染状况自行监测，未制定自行监测方案，未建立管理台账，未保存原始监测记录和管理台账，以及未如实报告；”</w:t>
            </w:r>
          </w:p>
        </w:tc>
        <w:tc>
          <w:tcPr>
            <w:tcW w:w="3300" w:type="dxa"/>
            <w:noWrap w:val="0"/>
            <w:vAlign w:val="center"/>
          </w:tcPr>
          <w:p>
            <w:pPr>
              <w:keepNext w:val="0"/>
              <w:keepLines w:val="0"/>
              <w:pageBreakBefore w:val="0"/>
              <w:widowControl w:val="0"/>
              <w:numPr>
                <w:ilvl w:val="0"/>
                <w:numId w:val="3"/>
              </w:numPr>
              <w:kinsoku/>
              <w:wordWrap/>
              <w:overflowPunct/>
              <w:topLinePunct w:val="0"/>
              <w:autoSpaceDE/>
              <w:autoSpaceDN/>
              <w:bidi w:val="0"/>
              <w:adjustRightInd/>
              <w:snapToGrid/>
              <w:spacing w:line="400" w:lineRule="exact"/>
              <w:ind w:left="0" w:leftChars="0" w:right="0" w:rightChars="0" w:firstLine="0" w:firstLineChars="0"/>
              <w:jc w:val="left"/>
              <w:textAlignment w:val="auto"/>
              <w:outlineLvl w:val="9"/>
              <w:rPr>
                <w:rFonts w:hint="eastAsia" w:ascii="仿宋" w:hAnsi="仿宋" w:eastAsia="仿宋" w:cs="仿宋"/>
                <w:color w:val="auto"/>
                <w:sz w:val="24"/>
                <w:szCs w:val="24"/>
                <w:highlight w:val="none"/>
                <w:shd w:val="clear" w:color="auto" w:fill="auto"/>
                <w:lang w:val="en-US" w:eastAsia="zh-CN"/>
              </w:rPr>
            </w:pPr>
            <w:r>
              <w:rPr>
                <w:rFonts w:hint="eastAsia" w:ascii="仿宋" w:hAnsi="仿宋" w:eastAsia="仿宋" w:cs="仿宋"/>
                <w:color w:val="auto"/>
                <w:sz w:val="24"/>
                <w:szCs w:val="24"/>
                <w:highlight w:val="none"/>
                <w:shd w:val="clear" w:color="auto" w:fill="auto"/>
                <w:lang w:val="en-US" w:eastAsia="zh-CN"/>
              </w:rPr>
              <w:t>已制定自行监测计划并组织开展自行监测，但未保存原始监测记录的（不含重点排污单位的有关违规行为，不含排放有毒有害大气污染物单位的有关违规行为，不含排放含一类污染物或重金属、病原体、放射性物质的废水、含其他有毒有害物质的废水、医疗废水的单位的有关违规行为）；</w:t>
            </w:r>
          </w:p>
          <w:p>
            <w:pPr>
              <w:keepNext w:val="0"/>
              <w:keepLines w:val="0"/>
              <w:pageBreakBefore w:val="0"/>
              <w:widowControl w:val="0"/>
              <w:numPr>
                <w:ilvl w:val="0"/>
                <w:numId w:val="3"/>
              </w:numPr>
              <w:kinsoku/>
              <w:wordWrap/>
              <w:overflowPunct/>
              <w:topLinePunct w:val="0"/>
              <w:autoSpaceDE/>
              <w:autoSpaceDN/>
              <w:bidi w:val="0"/>
              <w:adjustRightInd/>
              <w:snapToGrid/>
              <w:spacing w:line="400" w:lineRule="exact"/>
              <w:ind w:left="0" w:leftChars="0" w:right="0" w:rightChars="0" w:firstLine="0" w:firstLineChars="0"/>
              <w:jc w:val="left"/>
              <w:textAlignment w:val="auto"/>
              <w:outlineLvl w:val="9"/>
              <w:rPr>
                <w:rFonts w:hint="eastAsia" w:ascii="仿宋" w:hAnsi="仿宋" w:eastAsia="仿宋" w:cs="仿宋"/>
                <w:color w:val="auto"/>
                <w:sz w:val="24"/>
                <w:szCs w:val="24"/>
                <w:highlight w:val="none"/>
                <w:shd w:val="clear" w:color="auto" w:fill="auto"/>
                <w:lang w:val="en-US" w:eastAsia="zh-CN"/>
              </w:rPr>
            </w:pPr>
            <w:r>
              <w:rPr>
                <w:rFonts w:hint="eastAsia" w:ascii="仿宋" w:hAnsi="仿宋" w:eastAsia="仿宋" w:cs="仿宋"/>
                <w:color w:val="auto"/>
                <w:sz w:val="24"/>
                <w:szCs w:val="24"/>
                <w:highlight w:val="none"/>
                <w:shd w:val="clear" w:color="auto" w:fill="auto"/>
                <w:lang w:val="en-US" w:eastAsia="zh-CN"/>
              </w:rPr>
              <w:t>未造成环境污染、生态破坏或社会影响等危害后果；</w:t>
            </w:r>
          </w:p>
          <w:p>
            <w:pPr>
              <w:keepNext w:val="0"/>
              <w:keepLines w:val="0"/>
              <w:pageBreakBefore w:val="0"/>
              <w:widowControl w:val="0"/>
              <w:numPr>
                <w:ilvl w:val="0"/>
                <w:numId w:val="3"/>
              </w:numPr>
              <w:kinsoku/>
              <w:wordWrap/>
              <w:overflowPunct/>
              <w:topLinePunct w:val="0"/>
              <w:autoSpaceDE/>
              <w:autoSpaceDN/>
              <w:bidi w:val="0"/>
              <w:adjustRightInd/>
              <w:snapToGrid/>
              <w:spacing w:line="400" w:lineRule="exact"/>
              <w:ind w:left="0" w:leftChars="0" w:right="0" w:rightChars="0" w:firstLine="0" w:firstLineChars="0"/>
              <w:jc w:val="left"/>
              <w:textAlignment w:val="auto"/>
              <w:outlineLvl w:val="9"/>
              <w:rPr>
                <w:rFonts w:hint="eastAsia" w:ascii="仿宋" w:hAnsi="仿宋" w:eastAsia="仿宋" w:cs="仿宋"/>
                <w:color w:val="auto"/>
                <w:sz w:val="24"/>
                <w:szCs w:val="24"/>
                <w:highlight w:val="none"/>
                <w:shd w:val="clear" w:color="auto" w:fill="auto"/>
                <w:lang w:val="en-US" w:eastAsia="zh-CN"/>
              </w:rPr>
            </w:pPr>
            <w:r>
              <w:rPr>
                <w:rFonts w:hint="eastAsia" w:ascii="仿宋" w:hAnsi="仿宋" w:eastAsia="仿宋" w:cs="仿宋"/>
                <w:color w:val="auto"/>
                <w:sz w:val="24"/>
                <w:szCs w:val="24"/>
                <w:highlight w:val="none"/>
                <w:shd w:val="clear" w:color="auto" w:fill="auto"/>
                <w:lang w:val="en-US" w:eastAsia="zh-CN"/>
              </w:rPr>
              <w:t>在责令改正期限内改正违法行为。</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left"/>
              <w:textAlignment w:val="auto"/>
              <w:outlineLvl w:val="9"/>
              <w:rPr>
                <w:rFonts w:hint="eastAsia" w:ascii="仿宋" w:hAnsi="仿宋" w:eastAsia="仿宋" w:cs="仿宋"/>
                <w:color w:val="auto"/>
                <w:sz w:val="24"/>
                <w:szCs w:val="24"/>
                <w:highlight w:val="none"/>
                <w:shd w:val="clear" w:color="auto" w:fill="auto"/>
                <w:lang w:val="en-US" w:eastAsia="zh-CN"/>
              </w:rPr>
            </w:pPr>
          </w:p>
        </w:tc>
        <w:tc>
          <w:tcPr>
            <w:tcW w:w="2145"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left"/>
              <w:textAlignment w:val="auto"/>
              <w:outlineLvl w:val="9"/>
              <w:rPr>
                <w:rFonts w:hint="eastAsia" w:ascii="仿宋" w:hAnsi="仿宋" w:eastAsia="仿宋" w:cs="仿宋"/>
                <w:color w:val="auto"/>
                <w:sz w:val="24"/>
                <w:szCs w:val="24"/>
                <w:highlight w:val="none"/>
                <w:shd w:val="clear" w:color="auto" w:fill="auto"/>
                <w:lang w:val="en-US" w:eastAsia="zh-CN"/>
              </w:rPr>
            </w:pPr>
            <w:r>
              <w:rPr>
                <w:rFonts w:hint="eastAsia" w:ascii="仿宋" w:hAnsi="仿宋" w:eastAsia="仿宋" w:cs="仿宋"/>
                <w:color w:val="auto"/>
                <w:sz w:val="24"/>
                <w:szCs w:val="24"/>
                <w:highlight w:val="none"/>
                <w:shd w:val="clear" w:color="auto" w:fill="auto"/>
                <w:lang w:val="en-US" w:eastAsia="zh-CN"/>
              </w:rPr>
              <w:t>《中华人民共和国行政处罚法》第三十三条第一款、第三款“违法行为轻微并及时改正，没有造成危害后果的，不予行政处罚。初次违法且危害后果轻微并及时改正的，可以不予行政处罚。  对当事人的违法行为依法不予行政处罚的，行政机关应当对当事人进行教育。</w:t>
            </w:r>
          </w:p>
        </w:tc>
        <w:tc>
          <w:tcPr>
            <w:tcW w:w="1905"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仿宋" w:hAnsi="仿宋" w:eastAsia="仿宋" w:cs="仿宋"/>
                <w:color w:val="auto"/>
                <w:sz w:val="24"/>
                <w:szCs w:val="24"/>
                <w:highlight w:val="none"/>
                <w:shd w:val="clear" w:color="auto" w:fill="auto"/>
                <w:lang w:val="en-US" w:eastAsia="zh-CN"/>
              </w:rPr>
            </w:pPr>
            <w:r>
              <w:rPr>
                <w:rFonts w:hint="eastAsia" w:ascii="仿宋" w:hAnsi="仿宋" w:eastAsia="仿宋" w:cs="仿宋"/>
                <w:color w:val="auto"/>
                <w:sz w:val="24"/>
                <w:szCs w:val="24"/>
                <w:highlight w:val="none"/>
                <w:shd w:val="clear" w:color="auto" w:fill="auto"/>
                <w:lang w:val="en-US" w:eastAsia="zh-CN"/>
              </w:rPr>
              <w:t>加强教育、及时复查整改情况</w:t>
            </w:r>
            <w:r>
              <w:rPr>
                <w:rFonts w:hint="eastAsia" w:ascii="仿宋" w:hAnsi="仿宋" w:eastAsia="仿宋" w:cs="仿宋"/>
                <w:color w:val="auto"/>
                <w:sz w:val="24"/>
                <w:szCs w:val="24"/>
                <w:highlight w:val="none"/>
                <w:shd w:val="clear" w:color="auto" w:fill="auto"/>
                <w:lang w:val="zh-TW" w:eastAsia="zh-CN"/>
              </w:rPr>
              <w:t>。</w:t>
            </w:r>
          </w:p>
        </w:tc>
        <w:tc>
          <w:tcPr>
            <w:tcW w:w="781"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仿宋" w:hAnsi="仿宋" w:eastAsia="仿宋" w:cs="仿宋"/>
                <w:color w:val="auto"/>
                <w:sz w:val="24"/>
                <w:szCs w:val="24"/>
                <w:highlight w:val="none"/>
                <w:shd w:val="clear" w:color="auto" w:fill="auto"/>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813"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仿宋" w:hAnsi="仿宋" w:eastAsia="仿宋" w:cs="仿宋"/>
                <w:color w:val="auto"/>
                <w:sz w:val="24"/>
                <w:szCs w:val="24"/>
                <w:highlight w:val="none"/>
                <w:shd w:val="clear" w:color="auto" w:fill="auto"/>
                <w:lang w:val="en-US" w:eastAsia="zh-CN"/>
              </w:rPr>
            </w:pPr>
            <w:r>
              <w:rPr>
                <w:rFonts w:hint="eastAsia" w:ascii="仿宋" w:hAnsi="仿宋" w:eastAsia="仿宋" w:cs="仿宋"/>
                <w:color w:val="auto"/>
                <w:sz w:val="24"/>
                <w:szCs w:val="24"/>
                <w:highlight w:val="none"/>
                <w:shd w:val="clear" w:color="auto" w:fill="auto"/>
                <w:lang w:val="en-US" w:eastAsia="zh-CN"/>
              </w:rPr>
              <w:t>5</w:t>
            </w:r>
          </w:p>
        </w:tc>
        <w:tc>
          <w:tcPr>
            <w:tcW w:w="1395"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left"/>
              <w:textAlignment w:val="auto"/>
              <w:outlineLvl w:val="9"/>
              <w:rPr>
                <w:rFonts w:hint="eastAsia" w:ascii="仿宋" w:hAnsi="仿宋" w:eastAsia="仿宋" w:cs="仿宋"/>
                <w:color w:val="auto"/>
                <w:sz w:val="24"/>
                <w:szCs w:val="24"/>
                <w:highlight w:val="none"/>
                <w:shd w:val="clear" w:color="auto" w:fill="auto"/>
                <w:lang w:val="zh-TW" w:eastAsia="zh-TW"/>
              </w:rPr>
            </w:pPr>
            <w:r>
              <w:rPr>
                <w:rFonts w:hint="eastAsia" w:ascii="仿宋" w:hAnsi="仿宋" w:eastAsia="仿宋" w:cs="仿宋"/>
                <w:color w:val="auto"/>
                <w:sz w:val="24"/>
                <w:szCs w:val="24"/>
                <w:highlight w:val="none"/>
                <w:shd w:val="clear" w:color="auto" w:fill="auto"/>
                <w:lang w:val="en-US" w:eastAsia="zh-CN"/>
              </w:rPr>
              <w:t>储油库、加油站和油罐车等，未按照国家规定安装并正常使用油气回收装置的行政处罚</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left"/>
              <w:textAlignment w:val="auto"/>
              <w:outlineLvl w:val="9"/>
              <w:rPr>
                <w:rFonts w:hint="eastAsia" w:ascii="仿宋" w:hAnsi="仿宋" w:eastAsia="仿宋" w:cs="仿宋"/>
                <w:color w:val="auto"/>
                <w:sz w:val="24"/>
                <w:szCs w:val="24"/>
                <w:highlight w:val="none"/>
                <w:shd w:val="clear" w:color="auto" w:fill="auto"/>
                <w:lang w:val="en-US" w:eastAsia="zh-CN"/>
              </w:rPr>
            </w:pPr>
          </w:p>
        </w:tc>
        <w:tc>
          <w:tcPr>
            <w:tcW w:w="4320" w:type="dxa"/>
            <w:noWrap w:val="0"/>
            <w:vAlign w:val="center"/>
          </w:tcPr>
          <w:p>
            <w:pPr>
              <w:keepNext w:val="0"/>
              <w:keepLines w:val="0"/>
              <w:widowControl/>
              <w:suppressLineNumbers w:val="0"/>
              <w:jc w:val="left"/>
              <w:rPr>
                <w:rFonts w:hint="eastAsia" w:ascii="仿宋" w:hAnsi="仿宋" w:eastAsia="仿宋" w:cs="仿宋"/>
                <w:sz w:val="24"/>
                <w:szCs w:val="24"/>
                <w:highlight w:val="none"/>
              </w:rPr>
            </w:pPr>
            <w:r>
              <w:rPr>
                <w:rFonts w:hint="eastAsia" w:ascii="仿宋" w:hAnsi="仿宋" w:eastAsia="仿宋" w:cs="仿宋"/>
                <w:color w:val="auto"/>
                <w:sz w:val="24"/>
                <w:szCs w:val="24"/>
                <w:highlight w:val="none"/>
                <w:shd w:val="clear" w:color="auto" w:fill="auto"/>
                <w:lang w:val="en-US" w:eastAsia="zh-CN"/>
              </w:rPr>
              <w:t>《中华人民共和国生态环境法典》第一千一百二十条第一款第四项 “</w:t>
            </w:r>
            <w:r>
              <w:rPr>
                <w:rFonts w:hint="eastAsia" w:ascii="仿宋" w:hAnsi="仿宋" w:eastAsia="仿宋" w:cs="仿宋"/>
                <w:kern w:val="0"/>
                <w:sz w:val="24"/>
                <w:szCs w:val="24"/>
                <w:highlight w:val="none"/>
                <w:lang w:val="en-US" w:eastAsia="zh-CN" w:bidi="ar"/>
              </w:rPr>
              <w:t>违反本法规定，有下列情形之一的，由生态环境主管部门责令改正，处二万元以上二十万元以下的罚款；拒不改正的，责令停产整治：（四）储油库、加油站和油罐车等，未按照国家规定安装并正常使用油气回收装置；”</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left"/>
              <w:textAlignment w:val="auto"/>
              <w:outlineLvl w:val="9"/>
              <w:rPr>
                <w:rFonts w:hint="eastAsia" w:ascii="仿宋" w:hAnsi="仿宋" w:eastAsia="仿宋" w:cs="仿宋"/>
                <w:color w:val="auto"/>
                <w:sz w:val="24"/>
                <w:szCs w:val="24"/>
                <w:highlight w:val="none"/>
                <w:shd w:val="clear" w:color="auto" w:fill="auto"/>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left"/>
              <w:textAlignment w:val="auto"/>
              <w:outlineLvl w:val="9"/>
              <w:rPr>
                <w:rFonts w:hint="eastAsia" w:ascii="仿宋" w:hAnsi="仿宋" w:eastAsia="仿宋" w:cs="仿宋"/>
                <w:color w:val="auto"/>
                <w:sz w:val="24"/>
                <w:szCs w:val="24"/>
                <w:highlight w:val="none"/>
                <w:shd w:val="clear" w:color="auto" w:fill="auto"/>
                <w:lang w:val="en-US" w:eastAsia="zh-CN"/>
              </w:rPr>
            </w:pPr>
          </w:p>
        </w:tc>
        <w:tc>
          <w:tcPr>
            <w:tcW w:w="3300" w:type="dxa"/>
            <w:noWrap w:val="0"/>
            <w:vAlign w:val="center"/>
          </w:tcPr>
          <w:p>
            <w:pPr>
              <w:keepNext w:val="0"/>
              <w:keepLines w:val="0"/>
              <w:pageBreakBefore w:val="0"/>
              <w:widowControl w:val="0"/>
              <w:numPr>
                <w:ilvl w:val="0"/>
                <w:numId w:val="4"/>
              </w:numPr>
              <w:kinsoku/>
              <w:wordWrap/>
              <w:overflowPunct/>
              <w:topLinePunct w:val="0"/>
              <w:autoSpaceDE/>
              <w:autoSpaceDN/>
              <w:bidi w:val="0"/>
              <w:adjustRightInd/>
              <w:snapToGrid/>
              <w:spacing w:line="400" w:lineRule="exact"/>
              <w:ind w:left="0" w:leftChars="0" w:right="0" w:rightChars="0" w:firstLine="0" w:firstLineChars="0"/>
              <w:jc w:val="left"/>
              <w:textAlignment w:val="auto"/>
              <w:outlineLvl w:val="9"/>
              <w:rPr>
                <w:rFonts w:hint="eastAsia" w:ascii="仿宋" w:hAnsi="仿宋" w:eastAsia="仿宋" w:cs="仿宋"/>
                <w:color w:val="auto"/>
                <w:sz w:val="24"/>
                <w:szCs w:val="24"/>
                <w:highlight w:val="none"/>
                <w:shd w:val="clear" w:color="auto" w:fill="auto"/>
                <w:lang w:val="en-US" w:eastAsia="zh-CN"/>
              </w:rPr>
            </w:pPr>
            <w:r>
              <w:rPr>
                <w:rFonts w:hint="eastAsia" w:ascii="仿宋" w:hAnsi="仿宋" w:eastAsia="仿宋" w:cs="仿宋"/>
                <w:color w:val="auto"/>
                <w:sz w:val="24"/>
                <w:szCs w:val="24"/>
                <w:highlight w:val="none"/>
                <w:shd w:val="clear" w:color="auto" w:fill="auto"/>
                <w:lang w:val="en-US" w:eastAsia="zh-CN"/>
              </w:rPr>
              <w:t>油气回收装置未能正常运行，当事人自行发现后24小时内及时报告，并及时修复；</w:t>
            </w:r>
          </w:p>
          <w:p>
            <w:pPr>
              <w:keepNext w:val="0"/>
              <w:keepLines w:val="0"/>
              <w:pageBreakBefore w:val="0"/>
              <w:widowControl w:val="0"/>
              <w:numPr>
                <w:ilvl w:val="0"/>
                <w:numId w:val="4"/>
              </w:numPr>
              <w:kinsoku/>
              <w:wordWrap/>
              <w:overflowPunct/>
              <w:topLinePunct w:val="0"/>
              <w:autoSpaceDE/>
              <w:autoSpaceDN/>
              <w:bidi w:val="0"/>
              <w:adjustRightInd/>
              <w:snapToGrid/>
              <w:spacing w:line="400" w:lineRule="exact"/>
              <w:ind w:left="0" w:leftChars="0" w:right="0" w:rightChars="0" w:firstLine="0" w:firstLineChars="0"/>
              <w:jc w:val="left"/>
              <w:textAlignment w:val="auto"/>
              <w:outlineLvl w:val="9"/>
              <w:rPr>
                <w:rFonts w:hint="eastAsia" w:ascii="仿宋" w:hAnsi="仿宋" w:eastAsia="仿宋" w:cs="仿宋"/>
                <w:color w:val="auto"/>
                <w:sz w:val="24"/>
                <w:szCs w:val="24"/>
                <w:highlight w:val="none"/>
                <w:shd w:val="clear" w:color="auto" w:fill="auto"/>
                <w:lang w:val="zh-TW" w:eastAsia="zh-TW"/>
              </w:rPr>
            </w:pPr>
            <w:r>
              <w:rPr>
                <w:rFonts w:hint="eastAsia" w:ascii="仿宋" w:hAnsi="仿宋" w:eastAsia="仿宋" w:cs="仿宋"/>
                <w:color w:val="auto"/>
                <w:sz w:val="24"/>
                <w:szCs w:val="24"/>
                <w:highlight w:val="none"/>
                <w:shd w:val="clear" w:color="auto" w:fill="auto"/>
                <w:lang w:val="en-US" w:eastAsia="zh-CN"/>
              </w:rPr>
              <w:t>不正常运行期间</w:t>
            </w:r>
            <w:r>
              <w:rPr>
                <w:rFonts w:hint="eastAsia" w:ascii="仿宋" w:hAnsi="仿宋" w:eastAsia="仿宋" w:cs="仿宋"/>
                <w:color w:val="auto"/>
                <w:sz w:val="24"/>
                <w:szCs w:val="24"/>
                <w:highlight w:val="none"/>
                <w:shd w:val="clear" w:color="auto" w:fill="auto"/>
                <w:lang w:val="zh-TW" w:eastAsia="zh-TW"/>
              </w:rPr>
              <w:t>采取停产、限产或其他措施减少大气污染物排放；</w:t>
            </w:r>
          </w:p>
          <w:p>
            <w:pPr>
              <w:keepNext w:val="0"/>
              <w:keepLines w:val="0"/>
              <w:pageBreakBefore w:val="0"/>
              <w:widowControl w:val="0"/>
              <w:numPr>
                <w:ilvl w:val="0"/>
                <w:numId w:val="4"/>
              </w:numPr>
              <w:kinsoku/>
              <w:wordWrap/>
              <w:overflowPunct/>
              <w:topLinePunct w:val="0"/>
              <w:autoSpaceDE/>
              <w:autoSpaceDN/>
              <w:bidi w:val="0"/>
              <w:adjustRightInd/>
              <w:snapToGrid/>
              <w:spacing w:line="400" w:lineRule="exact"/>
              <w:ind w:left="0" w:leftChars="0" w:right="0" w:rightChars="0" w:firstLine="0" w:firstLineChars="0"/>
              <w:jc w:val="left"/>
              <w:textAlignment w:val="auto"/>
              <w:outlineLvl w:val="9"/>
              <w:rPr>
                <w:rFonts w:hint="eastAsia" w:ascii="仿宋" w:hAnsi="仿宋" w:eastAsia="仿宋" w:cs="仿宋"/>
                <w:color w:val="auto"/>
                <w:sz w:val="24"/>
                <w:szCs w:val="24"/>
                <w:highlight w:val="none"/>
                <w:shd w:val="clear" w:color="auto" w:fill="auto"/>
                <w:lang w:val="zh-TW" w:eastAsia="zh-TW"/>
              </w:rPr>
            </w:pPr>
            <w:r>
              <w:rPr>
                <w:rFonts w:hint="eastAsia" w:ascii="仿宋" w:hAnsi="仿宋" w:eastAsia="仿宋" w:cs="仿宋"/>
                <w:color w:val="auto"/>
                <w:sz w:val="24"/>
                <w:szCs w:val="24"/>
                <w:highlight w:val="none"/>
                <w:shd w:val="clear" w:color="auto" w:fill="auto"/>
                <w:lang w:val="en-US" w:eastAsia="zh-CN"/>
              </w:rPr>
              <w:t>违法行为未造成其他环境污染、生态破坏或社会影响。</w:t>
            </w:r>
          </w:p>
        </w:tc>
        <w:tc>
          <w:tcPr>
            <w:tcW w:w="2145"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left"/>
              <w:textAlignment w:val="auto"/>
              <w:outlineLvl w:val="9"/>
              <w:rPr>
                <w:rFonts w:hint="eastAsia" w:ascii="仿宋" w:hAnsi="仿宋" w:eastAsia="仿宋" w:cs="仿宋"/>
                <w:color w:val="auto"/>
                <w:sz w:val="24"/>
                <w:szCs w:val="24"/>
                <w:highlight w:val="none"/>
                <w:shd w:val="clear" w:color="auto" w:fill="auto"/>
                <w:lang w:val="en-US" w:eastAsia="zh-CN"/>
              </w:rPr>
            </w:pPr>
            <w:r>
              <w:rPr>
                <w:rFonts w:hint="eastAsia" w:ascii="仿宋" w:hAnsi="仿宋" w:eastAsia="仿宋" w:cs="仿宋"/>
                <w:color w:val="auto"/>
                <w:sz w:val="24"/>
                <w:szCs w:val="24"/>
                <w:highlight w:val="none"/>
                <w:shd w:val="clear" w:color="auto" w:fill="auto"/>
                <w:lang w:val="en-US" w:eastAsia="zh-CN"/>
              </w:rPr>
              <w:t>《中华人民共和国行政处罚法》第三十三条第一款、第三款“违法行为轻微并及时改正，没有造成危害后果的，不予行政处罚。初次违法且危害后果轻微并及时改正的，可以不予行政处罚。 对当事人的违法行为依法不予行政处罚的，行政机关应当对当事人进行教育。”</w:t>
            </w:r>
          </w:p>
        </w:tc>
        <w:tc>
          <w:tcPr>
            <w:tcW w:w="1905"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仿宋" w:hAnsi="仿宋" w:eastAsia="仿宋" w:cs="仿宋"/>
                <w:color w:val="auto"/>
                <w:sz w:val="24"/>
                <w:szCs w:val="24"/>
                <w:highlight w:val="none"/>
                <w:shd w:val="clear" w:color="auto" w:fill="auto"/>
                <w:lang w:val="en-US" w:eastAsia="zh-CN"/>
              </w:rPr>
            </w:pPr>
            <w:r>
              <w:rPr>
                <w:rFonts w:hint="eastAsia" w:ascii="仿宋" w:hAnsi="仿宋" w:eastAsia="仿宋" w:cs="仿宋"/>
                <w:color w:val="auto"/>
                <w:sz w:val="24"/>
                <w:szCs w:val="24"/>
                <w:highlight w:val="none"/>
                <w:shd w:val="clear" w:color="auto" w:fill="auto"/>
                <w:lang w:val="en-US" w:eastAsia="zh-CN"/>
              </w:rPr>
              <w:t>加强教育、及时复查整改情况。</w:t>
            </w:r>
          </w:p>
        </w:tc>
        <w:tc>
          <w:tcPr>
            <w:tcW w:w="781"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仿宋" w:hAnsi="仿宋" w:eastAsia="仿宋" w:cs="仿宋"/>
                <w:color w:val="auto"/>
                <w:sz w:val="24"/>
                <w:szCs w:val="24"/>
                <w:highlight w:val="none"/>
                <w:shd w:val="clear" w:color="auto" w:fill="auto"/>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813"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仿宋" w:hAnsi="仿宋" w:eastAsia="仿宋" w:cs="仿宋"/>
                <w:color w:val="auto"/>
                <w:sz w:val="24"/>
                <w:szCs w:val="24"/>
                <w:highlight w:val="none"/>
                <w:shd w:val="clear" w:color="auto" w:fill="auto"/>
                <w:lang w:val="en-US" w:eastAsia="zh-CN"/>
              </w:rPr>
            </w:pPr>
            <w:r>
              <w:rPr>
                <w:rFonts w:hint="eastAsia" w:ascii="仿宋" w:hAnsi="仿宋" w:eastAsia="仿宋" w:cs="仿宋"/>
                <w:color w:val="auto"/>
                <w:sz w:val="24"/>
                <w:szCs w:val="24"/>
                <w:highlight w:val="none"/>
                <w:shd w:val="clear" w:color="auto" w:fill="auto"/>
                <w:lang w:val="en-US" w:eastAsia="zh-CN"/>
              </w:rPr>
              <w:t>6</w:t>
            </w:r>
          </w:p>
        </w:tc>
        <w:tc>
          <w:tcPr>
            <w:tcW w:w="1395"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left"/>
              <w:textAlignment w:val="auto"/>
              <w:outlineLvl w:val="9"/>
              <w:rPr>
                <w:rFonts w:hint="eastAsia" w:ascii="仿宋" w:hAnsi="仿宋" w:eastAsia="仿宋" w:cs="仿宋"/>
                <w:color w:val="auto"/>
                <w:sz w:val="24"/>
                <w:szCs w:val="24"/>
                <w:highlight w:val="none"/>
                <w:shd w:val="clear" w:color="auto" w:fill="auto"/>
                <w:lang w:val="en-US" w:eastAsia="zh-CN"/>
              </w:rPr>
            </w:pPr>
            <w:r>
              <w:rPr>
                <w:rFonts w:hint="eastAsia" w:ascii="仿宋" w:hAnsi="仿宋" w:eastAsia="仿宋" w:cs="仿宋"/>
                <w:color w:val="auto"/>
                <w:sz w:val="24"/>
                <w:szCs w:val="24"/>
                <w:highlight w:val="none"/>
                <w:shd w:val="clear" w:color="auto" w:fill="auto"/>
                <w:lang w:val="en-US" w:eastAsia="zh-CN"/>
              </w:rPr>
              <w:t>对从事服装干洗和机动车维修等服务活动，未设置异味和废气处理装置等污染防治设施并保持正常使用的行政处罚</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left"/>
              <w:textAlignment w:val="auto"/>
              <w:outlineLvl w:val="9"/>
              <w:rPr>
                <w:rFonts w:hint="eastAsia" w:ascii="仿宋" w:hAnsi="仿宋" w:eastAsia="仿宋" w:cs="仿宋"/>
                <w:color w:val="auto"/>
                <w:sz w:val="24"/>
                <w:szCs w:val="24"/>
                <w:highlight w:val="none"/>
                <w:shd w:val="clear" w:color="auto" w:fill="auto"/>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left"/>
              <w:textAlignment w:val="auto"/>
              <w:outlineLvl w:val="9"/>
              <w:rPr>
                <w:rFonts w:hint="eastAsia" w:ascii="仿宋" w:hAnsi="仿宋" w:eastAsia="仿宋" w:cs="仿宋"/>
                <w:color w:val="auto"/>
                <w:sz w:val="24"/>
                <w:szCs w:val="24"/>
                <w:highlight w:val="none"/>
                <w:shd w:val="clear" w:color="auto" w:fill="auto"/>
                <w:lang w:val="en-US" w:eastAsia="zh-CN"/>
              </w:rPr>
            </w:pPr>
          </w:p>
        </w:tc>
        <w:tc>
          <w:tcPr>
            <w:tcW w:w="4320" w:type="dxa"/>
            <w:noWrap w:val="0"/>
            <w:vAlign w:val="center"/>
          </w:tcPr>
          <w:p>
            <w:pPr>
              <w:keepNext w:val="0"/>
              <w:keepLines w:val="0"/>
              <w:widowControl/>
              <w:suppressLineNumbers w:val="0"/>
              <w:jc w:val="left"/>
              <w:rPr>
                <w:rFonts w:hint="eastAsia" w:ascii="仿宋" w:hAnsi="仿宋" w:eastAsia="仿宋" w:cs="仿宋"/>
                <w:sz w:val="24"/>
                <w:szCs w:val="24"/>
                <w:highlight w:val="none"/>
              </w:rPr>
            </w:pPr>
            <w:r>
              <w:rPr>
                <w:rFonts w:hint="eastAsia" w:ascii="仿宋" w:hAnsi="仿宋" w:eastAsia="仿宋" w:cs="仿宋"/>
                <w:color w:val="auto"/>
                <w:sz w:val="24"/>
                <w:szCs w:val="24"/>
                <w:highlight w:val="none"/>
                <w:shd w:val="clear" w:color="auto" w:fill="auto"/>
                <w:lang w:val="en-US" w:eastAsia="zh-CN"/>
              </w:rPr>
              <w:t xml:space="preserve">《中华人民共和国生态环境法典》 </w:t>
            </w:r>
            <w:r>
              <w:rPr>
                <w:rStyle w:val="8"/>
                <w:rFonts w:hint="eastAsia" w:ascii="仿宋" w:hAnsi="仿宋" w:eastAsia="仿宋" w:cs="仿宋"/>
                <w:b w:val="0"/>
                <w:bCs/>
                <w:kern w:val="0"/>
                <w:sz w:val="24"/>
                <w:szCs w:val="24"/>
                <w:highlight w:val="none"/>
                <w:lang w:val="en-US" w:eastAsia="zh-CN" w:bidi="ar"/>
              </w:rPr>
              <w:t>第一千一百三十三条</w:t>
            </w:r>
          </w:p>
          <w:p>
            <w:pPr>
              <w:keepNext w:val="0"/>
              <w:keepLines w:val="0"/>
              <w:widowControl/>
              <w:suppressLineNumbers w:val="0"/>
              <w:jc w:val="left"/>
              <w:rPr>
                <w:rFonts w:hint="eastAsia" w:ascii="仿宋" w:hAnsi="仿宋" w:eastAsia="仿宋" w:cs="仿宋"/>
                <w:color w:val="auto"/>
                <w:sz w:val="24"/>
                <w:szCs w:val="24"/>
                <w:highlight w:val="none"/>
                <w:shd w:val="clear" w:color="auto" w:fill="auto"/>
                <w:lang w:val="zh-TW" w:eastAsia="zh-TW"/>
              </w:rPr>
            </w:pPr>
            <w:r>
              <w:rPr>
                <w:rFonts w:hint="eastAsia" w:ascii="仿宋" w:hAnsi="仿宋" w:eastAsia="仿宋" w:cs="仿宋"/>
                <w:kern w:val="0"/>
                <w:sz w:val="24"/>
                <w:szCs w:val="24"/>
                <w:highlight w:val="none"/>
                <w:lang w:val="en-US" w:eastAsia="zh-CN" w:bidi="ar"/>
              </w:rPr>
              <w:t>“违反本法规定，从事服装干洗和机动车维修等服务活动，未设置异味和废气处理装置等污染防治设施并保持正常使用的，由生态环境主管部门责令改正，处二千元以上二万元以下的罚款；拒不改正的，责令停业整治。</w:t>
            </w:r>
          </w:p>
        </w:tc>
        <w:tc>
          <w:tcPr>
            <w:tcW w:w="3300" w:type="dxa"/>
            <w:noWrap w:val="0"/>
            <w:vAlign w:val="center"/>
          </w:tcPr>
          <w:p>
            <w:pPr>
              <w:keepNext w:val="0"/>
              <w:keepLines w:val="0"/>
              <w:pageBreakBefore w:val="0"/>
              <w:widowControl w:val="0"/>
              <w:numPr>
                <w:ilvl w:val="0"/>
                <w:numId w:val="5"/>
              </w:numPr>
              <w:kinsoku/>
              <w:wordWrap/>
              <w:overflowPunct/>
              <w:topLinePunct w:val="0"/>
              <w:autoSpaceDE/>
              <w:autoSpaceDN/>
              <w:bidi w:val="0"/>
              <w:adjustRightInd/>
              <w:snapToGrid/>
              <w:spacing w:line="400" w:lineRule="exact"/>
              <w:ind w:left="0" w:leftChars="0" w:right="0" w:rightChars="0" w:firstLine="0" w:firstLineChars="0"/>
              <w:jc w:val="left"/>
              <w:textAlignment w:val="auto"/>
              <w:outlineLvl w:val="9"/>
              <w:rPr>
                <w:rFonts w:hint="eastAsia" w:ascii="仿宋" w:hAnsi="仿宋" w:eastAsia="仿宋" w:cs="仿宋"/>
                <w:color w:val="auto"/>
                <w:sz w:val="24"/>
                <w:szCs w:val="24"/>
                <w:highlight w:val="none"/>
                <w:shd w:val="clear" w:color="auto" w:fill="auto"/>
                <w:lang w:val="en-US" w:eastAsia="zh-CN"/>
              </w:rPr>
            </w:pPr>
            <w:r>
              <w:rPr>
                <w:rFonts w:hint="eastAsia" w:ascii="仿宋" w:hAnsi="仿宋" w:eastAsia="仿宋" w:cs="仿宋"/>
                <w:color w:val="auto"/>
                <w:sz w:val="24"/>
                <w:szCs w:val="24"/>
                <w:highlight w:val="none"/>
                <w:shd w:val="clear" w:color="auto" w:fill="auto"/>
                <w:lang w:val="en-US" w:eastAsia="zh-CN"/>
              </w:rPr>
              <w:t>异味、废气处理装置等污染防治设施未能正常运行，当事人自行发现后24小时内及时报告，并及时修复；</w:t>
            </w:r>
          </w:p>
          <w:p>
            <w:pPr>
              <w:keepNext w:val="0"/>
              <w:keepLines w:val="0"/>
              <w:pageBreakBefore w:val="0"/>
              <w:widowControl w:val="0"/>
              <w:numPr>
                <w:ilvl w:val="0"/>
                <w:numId w:val="5"/>
              </w:numPr>
              <w:kinsoku/>
              <w:wordWrap/>
              <w:overflowPunct/>
              <w:topLinePunct w:val="0"/>
              <w:autoSpaceDE/>
              <w:autoSpaceDN/>
              <w:bidi w:val="0"/>
              <w:adjustRightInd/>
              <w:snapToGrid/>
              <w:spacing w:line="400" w:lineRule="exact"/>
              <w:ind w:left="0" w:leftChars="0" w:right="0" w:rightChars="0" w:firstLine="0" w:firstLineChars="0"/>
              <w:jc w:val="left"/>
              <w:textAlignment w:val="auto"/>
              <w:outlineLvl w:val="9"/>
              <w:rPr>
                <w:rFonts w:hint="eastAsia" w:ascii="仿宋" w:hAnsi="仿宋" w:eastAsia="仿宋" w:cs="仿宋"/>
                <w:color w:val="auto"/>
                <w:sz w:val="24"/>
                <w:szCs w:val="24"/>
                <w:highlight w:val="none"/>
                <w:shd w:val="clear" w:color="auto" w:fill="auto"/>
                <w:lang w:val="zh-TW" w:eastAsia="zh-TW"/>
              </w:rPr>
            </w:pPr>
            <w:r>
              <w:rPr>
                <w:rFonts w:hint="eastAsia" w:ascii="仿宋" w:hAnsi="仿宋" w:eastAsia="仿宋" w:cs="仿宋"/>
                <w:color w:val="auto"/>
                <w:sz w:val="24"/>
                <w:szCs w:val="24"/>
                <w:highlight w:val="none"/>
                <w:shd w:val="clear" w:color="auto" w:fill="auto"/>
                <w:lang w:val="en-US" w:eastAsia="zh-CN"/>
              </w:rPr>
              <w:t>不正常运行期间采取措施减少大气污染物排放；</w:t>
            </w:r>
          </w:p>
          <w:p>
            <w:pPr>
              <w:keepNext w:val="0"/>
              <w:keepLines w:val="0"/>
              <w:pageBreakBefore w:val="0"/>
              <w:widowControl w:val="0"/>
              <w:numPr>
                <w:ilvl w:val="0"/>
                <w:numId w:val="5"/>
              </w:numPr>
              <w:kinsoku/>
              <w:wordWrap/>
              <w:overflowPunct/>
              <w:topLinePunct w:val="0"/>
              <w:autoSpaceDE/>
              <w:autoSpaceDN/>
              <w:bidi w:val="0"/>
              <w:adjustRightInd/>
              <w:snapToGrid/>
              <w:spacing w:line="400" w:lineRule="exact"/>
              <w:ind w:left="0" w:leftChars="0" w:right="0" w:rightChars="0" w:firstLine="0" w:firstLineChars="0"/>
              <w:jc w:val="left"/>
              <w:textAlignment w:val="auto"/>
              <w:outlineLvl w:val="9"/>
              <w:rPr>
                <w:rFonts w:hint="eastAsia" w:ascii="仿宋" w:hAnsi="仿宋" w:eastAsia="仿宋" w:cs="仿宋"/>
                <w:color w:val="auto"/>
                <w:sz w:val="24"/>
                <w:szCs w:val="24"/>
                <w:highlight w:val="none"/>
                <w:shd w:val="clear" w:color="auto" w:fill="auto"/>
                <w:lang w:val="zh-TW" w:eastAsia="zh-TW"/>
              </w:rPr>
            </w:pPr>
            <w:r>
              <w:rPr>
                <w:rFonts w:hint="eastAsia" w:ascii="仿宋" w:hAnsi="仿宋" w:eastAsia="仿宋" w:cs="仿宋"/>
                <w:color w:val="auto"/>
                <w:sz w:val="24"/>
                <w:szCs w:val="24"/>
                <w:highlight w:val="none"/>
                <w:shd w:val="clear" w:color="auto" w:fill="auto"/>
                <w:lang w:val="en-US" w:eastAsia="zh-CN"/>
              </w:rPr>
              <w:t>违法行为未造成其他环境污染、生态破坏或社会影响。</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left"/>
              <w:textAlignment w:val="auto"/>
              <w:outlineLvl w:val="9"/>
              <w:rPr>
                <w:rFonts w:hint="eastAsia" w:ascii="仿宋" w:hAnsi="仿宋" w:eastAsia="仿宋" w:cs="仿宋"/>
                <w:color w:val="auto"/>
                <w:sz w:val="24"/>
                <w:szCs w:val="24"/>
                <w:highlight w:val="none"/>
                <w:shd w:val="clear" w:color="auto" w:fill="auto"/>
                <w:lang w:val="zh-TW" w:eastAsia="zh-TW"/>
              </w:rPr>
            </w:pPr>
          </w:p>
        </w:tc>
        <w:tc>
          <w:tcPr>
            <w:tcW w:w="2145"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left"/>
              <w:textAlignment w:val="auto"/>
              <w:outlineLvl w:val="9"/>
              <w:rPr>
                <w:rFonts w:hint="eastAsia" w:ascii="仿宋" w:hAnsi="仿宋" w:eastAsia="仿宋" w:cs="仿宋"/>
                <w:color w:val="auto"/>
                <w:sz w:val="24"/>
                <w:szCs w:val="24"/>
                <w:highlight w:val="none"/>
                <w:shd w:val="clear" w:color="auto" w:fill="auto"/>
                <w:lang w:val="en-US" w:eastAsia="zh-CN"/>
              </w:rPr>
            </w:pPr>
            <w:r>
              <w:rPr>
                <w:rFonts w:hint="eastAsia" w:ascii="仿宋" w:hAnsi="仿宋" w:eastAsia="仿宋" w:cs="仿宋"/>
                <w:color w:val="auto"/>
                <w:sz w:val="24"/>
                <w:szCs w:val="24"/>
                <w:highlight w:val="none"/>
                <w:shd w:val="clear" w:color="auto" w:fill="auto"/>
                <w:lang w:val="en-US" w:eastAsia="zh-CN"/>
              </w:rPr>
              <w:t>《中华人民共和国行政处罚法》第三十三条第一款、第三款“违法行为轻微并及时改正，没有造成危害后果的，不予行政处罚。初次违法且危害后果轻微并及时改正的，可以不予行政处罚。   对当事人的违法行为依法不予行政处罚的，行政机关应当对当事人进行教育。</w:t>
            </w:r>
          </w:p>
        </w:tc>
        <w:tc>
          <w:tcPr>
            <w:tcW w:w="1905"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仿宋" w:hAnsi="仿宋" w:eastAsia="仿宋" w:cs="仿宋"/>
                <w:color w:val="auto"/>
                <w:sz w:val="24"/>
                <w:szCs w:val="24"/>
                <w:highlight w:val="none"/>
                <w:shd w:val="clear" w:color="auto" w:fill="auto"/>
                <w:lang w:val="en-US" w:eastAsia="zh-CN"/>
              </w:rPr>
            </w:pPr>
            <w:r>
              <w:rPr>
                <w:rFonts w:hint="eastAsia" w:ascii="仿宋" w:hAnsi="仿宋" w:eastAsia="仿宋" w:cs="仿宋"/>
                <w:color w:val="auto"/>
                <w:sz w:val="24"/>
                <w:szCs w:val="24"/>
                <w:highlight w:val="none"/>
                <w:shd w:val="clear" w:color="auto" w:fill="auto"/>
                <w:lang w:val="en-US" w:eastAsia="zh-CN"/>
              </w:rPr>
              <w:t>加强教育、及时复查整改情况</w:t>
            </w:r>
            <w:r>
              <w:rPr>
                <w:rFonts w:hint="eastAsia" w:ascii="仿宋" w:hAnsi="仿宋" w:eastAsia="仿宋" w:cs="仿宋"/>
                <w:color w:val="auto"/>
                <w:sz w:val="24"/>
                <w:szCs w:val="24"/>
                <w:highlight w:val="none"/>
                <w:shd w:val="clear" w:color="auto" w:fill="auto"/>
                <w:lang w:val="zh-TW" w:eastAsia="zh-CN"/>
              </w:rPr>
              <w:t>。</w:t>
            </w:r>
          </w:p>
        </w:tc>
        <w:tc>
          <w:tcPr>
            <w:tcW w:w="781"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仿宋" w:hAnsi="仿宋" w:eastAsia="仿宋" w:cs="仿宋"/>
                <w:color w:val="auto"/>
                <w:sz w:val="24"/>
                <w:szCs w:val="24"/>
                <w:highlight w:val="none"/>
                <w:shd w:val="clear" w:color="auto" w:fill="auto"/>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813"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仿宋" w:hAnsi="仿宋" w:eastAsia="仿宋" w:cs="仿宋"/>
                <w:color w:val="auto"/>
                <w:sz w:val="24"/>
                <w:szCs w:val="24"/>
                <w:highlight w:val="none"/>
                <w:shd w:val="clear" w:color="auto" w:fill="auto"/>
                <w:lang w:val="en-US" w:eastAsia="zh-CN"/>
              </w:rPr>
            </w:pPr>
            <w:r>
              <w:rPr>
                <w:rFonts w:hint="eastAsia" w:ascii="仿宋" w:hAnsi="仿宋" w:eastAsia="仿宋" w:cs="仿宋"/>
                <w:color w:val="auto"/>
                <w:sz w:val="24"/>
                <w:szCs w:val="24"/>
                <w:highlight w:val="none"/>
                <w:shd w:val="clear" w:color="auto" w:fill="auto"/>
                <w:lang w:val="en-US" w:eastAsia="zh-CN"/>
              </w:rPr>
              <w:t>7</w:t>
            </w:r>
          </w:p>
        </w:tc>
        <w:tc>
          <w:tcPr>
            <w:tcW w:w="1395"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left"/>
              <w:textAlignment w:val="auto"/>
              <w:outlineLvl w:val="9"/>
              <w:rPr>
                <w:rFonts w:hint="eastAsia" w:ascii="仿宋" w:hAnsi="仿宋" w:eastAsia="仿宋" w:cs="仿宋"/>
                <w:color w:val="auto"/>
                <w:sz w:val="24"/>
                <w:szCs w:val="24"/>
                <w:highlight w:val="none"/>
                <w:shd w:val="clear" w:color="auto" w:fill="auto"/>
                <w:lang w:val="en-US" w:eastAsia="zh-CN"/>
              </w:rPr>
            </w:pPr>
            <w:r>
              <w:rPr>
                <w:rFonts w:hint="eastAsia" w:ascii="仿宋" w:hAnsi="仿宋" w:eastAsia="仿宋" w:cs="仿宋"/>
                <w:color w:val="auto"/>
                <w:sz w:val="24"/>
                <w:szCs w:val="24"/>
                <w:highlight w:val="none"/>
                <w:shd w:val="clear" w:color="auto" w:fill="auto"/>
                <w:lang w:val="en-US" w:eastAsia="zh-CN"/>
              </w:rPr>
              <w:t>对超过噪声排放标准排放工业噪声的行政处罚</w:t>
            </w:r>
          </w:p>
        </w:tc>
        <w:tc>
          <w:tcPr>
            <w:tcW w:w="4320" w:type="dxa"/>
            <w:noWrap w:val="0"/>
            <w:vAlign w:val="center"/>
          </w:tcPr>
          <w:p>
            <w:pPr>
              <w:keepNext w:val="0"/>
              <w:keepLines w:val="0"/>
              <w:widowControl/>
              <w:suppressLineNumbers w:val="0"/>
              <w:jc w:val="left"/>
              <w:rPr>
                <w:rFonts w:hint="eastAsia" w:ascii="仿宋" w:hAnsi="仿宋" w:eastAsia="仿宋" w:cs="仿宋"/>
                <w:b w:val="0"/>
                <w:bCs/>
                <w:sz w:val="24"/>
                <w:szCs w:val="24"/>
                <w:highlight w:val="none"/>
              </w:rPr>
            </w:pPr>
            <w:r>
              <w:rPr>
                <w:rFonts w:hint="eastAsia" w:ascii="仿宋" w:hAnsi="仿宋" w:eastAsia="仿宋" w:cs="仿宋"/>
                <w:color w:val="auto"/>
                <w:sz w:val="24"/>
                <w:szCs w:val="24"/>
                <w:highlight w:val="none"/>
                <w:shd w:val="clear" w:color="auto" w:fill="auto"/>
                <w:lang w:val="en-US" w:eastAsia="zh-CN"/>
              </w:rPr>
              <w:t>《中华人民共和国生态环境法典》</w:t>
            </w:r>
            <w:r>
              <w:rPr>
                <w:rStyle w:val="8"/>
                <w:rFonts w:hint="eastAsia" w:ascii="仿宋" w:hAnsi="仿宋" w:eastAsia="仿宋" w:cs="仿宋"/>
                <w:b w:val="0"/>
                <w:bCs/>
                <w:kern w:val="0"/>
                <w:sz w:val="24"/>
                <w:szCs w:val="24"/>
                <w:highlight w:val="none"/>
                <w:lang w:val="en-US" w:eastAsia="zh-CN" w:bidi="ar"/>
              </w:rPr>
              <w:t>第一千一百零二条</w:t>
            </w:r>
          </w:p>
          <w:p>
            <w:pPr>
              <w:keepNext w:val="0"/>
              <w:keepLines w:val="0"/>
              <w:widowControl/>
              <w:suppressLineNumbers w:val="0"/>
              <w:jc w:val="left"/>
              <w:rPr>
                <w:rFonts w:hint="eastAsia" w:ascii="仿宋" w:hAnsi="仿宋" w:eastAsia="仿宋" w:cs="仿宋"/>
                <w:sz w:val="24"/>
                <w:szCs w:val="24"/>
                <w:highlight w:val="none"/>
              </w:rPr>
            </w:pPr>
            <w:r>
              <w:rPr>
                <w:rFonts w:hint="eastAsia" w:ascii="仿宋" w:hAnsi="仿宋" w:eastAsia="仿宋" w:cs="仿宋"/>
                <w:b w:val="0"/>
                <w:bCs/>
                <w:kern w:val="0"/>
                <w:sz w:val="24"/>
                <w:szCs w:val="24"/>
                <w:highlight w:val="none"/>
                <w:lang w:val="en-US" w:eastAsia="zh-CN" w:bidi="ar"/>
              </w:rPr>
              <w:t>“违反本法规定，未依法取得排污许可证排放污染物的，由生态环境主管部门责令改正，处二十万元以上一百万元以下的罚款，并可以责令限制生产、停产整治；情节严重的，报经有批准权的人民政府批准，责令停业、关闭。其中，污染物为工业噪声的，罚款数额为二万元以上二十万元以下。拒不停止排放污染物的，由生态环境主管部门将案件移送公安机关，由公安机关对其直接负责的主管人员和其他直接责任人员，处十日以上十五日以下拘留；情节较轻的，处五日以上十日以下拘留。”</w:t>
            </w:r>
          </w:p>
          <w:p>
            <w:pPr>
              <w:keepNext w:val="0"/>
              <w:keepLines w:val="0"/>
              <w:widowControl/>
              <w:suppressLineNumbers w:val="0"/>
              <w:jc w:val="left"/>
              <w:rPr>
                <w:rFonts w:hint="eastAsia" w:ascii="仿宋" w:hAnsi="仿宋" w:eastAsia="仿宋" w:cs="仿宋"/>
                <w:b w:val="0"/>
                <w:bCs w:val="0"/>
                <w:sz w:val="24"/>
                <w:szCs w:val="24"/>
                <w:highlight w:val="none"/>
              </w:rPr>
            </w:pPr>
            <w:r>
              <w:rPr>
                <w:rFonts w:hint="eastAsia" w:ascii="仿宋" w:hAnsi="仿宋" w:eastAsia="仿宋" w:cs="仿宋"/>
                <w:b w:val="0"/>
                <w:bCs w:val="0"/>
                <w:color w:val="auto"/>
                <w:sz w:val="24"/>
                <w:szCs w:val="24"/>
                <w:highlight w:val="none"/>
                <w:shd w:val="clear" w:color="auto" w:fill="auto"/>
                <w:lang w:val="en-US" w:eastAsia="zh-CN"/>
              </w:rPr>
              <w:t xml:space="preserve">《中华人民共和国生态环境法典》 </w:t>
            </w:r>
            <w:r>
              <w:rPr>
                <w:rStyle w:val="8"/>
                <w:rFonts w:hint="eastAsia" w:ascii="仿宋" w:hAnsi="仿宋" w:eastAsia="仿宋" w:cs="仿宋"/>
                <w:b w:val="0"/>
                <w:bCs w:val="0"/>
                <w:kern w:val="0"/>
                <w:sz w:val="24"/>
                <w:szCs w:val="24"/>
                <w:highlight w:val="none"/>
                <w:lang w:val="en-US" w:eastAsia="zh-CN" w:bidi="ar"/>
              </w:rPr>
              <w:t>第一千一百零三条</w:t>
            </w:r>
          </w:p>
          <w:p>
            <w:pPr>
              <w:keepNext w:val="0"/>
              <w:keepLines w:val="0"/>
              <w:widowControl/>
              <w:suppressLineNumbers w:val="0"/>
              <w:jc w:val="left"/>
              <w:rPr>
                <w:rFonts w:hint="eastAsia" w:ascii="仿宋" w:hAnsi="仿宋" w:eastAsia="仿宋" w:cs="仿宋"/>
                <w:b w:val="0"/>
                <w:bCs w:val="0"/>
                <w:sz w:val="24"/>
                <w:szCs w:val="24"/>
                <w:highlight w:val="none"/>
              </w:rPr>
            </w:pPr>
            <w:r>
              <w:rPr>
                <w:rFonts w:hint="eastAsia" w:ascii="仿宋" w:hAnsi="仿宋" w:eastAsia="仿宋" w:cs="仿宋"/>
                <w:b w:val="0"/>
                <w:bCs w:val="0"/>
                <w:kern w:val="0"/>
                <w:sz w:val="24"/>
                <w:szCs w:val="24"/>
                <w:highlight w:val="none"/>
                <w:lang w:val="en-US" w:eastAsia="zh-CN" w:bidi="ar"/>
              </w:rPr>
              <w:t>“违反本法规定，未按照排污许可证载明的污染物排放种类，或者超过载明的许可排放浓度、许可排放量、许可排放限值排放污染物的，由生态环境主管部门责令改正，处十万元以上一百万元以下的罚款，并可以责令限制生产、停产整治；情节严重的，吊销排污许可证，报经有批准权的人民政府批准，责令停业、关闭。其中，污染物为工业噪声的，罚款数额为二万元以上二十万元以下。</w:t>
            </w:r>
            <w:r>
              <w:rPr>
                <w:rStyle w:val="8"/>
                <w:rFonts w:hint="eastAsia" w:ascii="仿宋" w:hAnsi="仿宋" w:eastAsia="仿宋" w:cs="仿宋"/>
                <w:b w:val="0"/>
                <w:bCs w:val="0"/>
                <w:kern w:val="0"/>
                <w:sz w:val="24"/>
                <w:szCs w:val="24"/>
                <w:highlight w:val="none"/>
                <w:lang w:val="en-US" w:eastAsia="zh-CN" w:bidi="ar"/>
              </w:rPr>
              <w:t>”</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left"/>
              <w:textAlignment w:val="auto"/>
              <w:outlineLvl w:val="9"/>
              <w:rPr>
                <w:rFonts w:hint="eastAsia" w:ascii="仿宋" w:hAnsi="仿宋" w:eastAsia="仿宋" w:cs="仿宋"/>
                <w:color w:val="auto"/>
                <w:sz w:val="24"/>
                <w:szCs w:val="24"/>
                <w:highlight w:val="none"/>
                <w:shd w:val="clear" w:color="auto" w:fill="auto"/>
                <w:lang w:val="en-US" w:eastAsia="zh-CN"/>
              </w:rPr>
            </w:pPr>
          </w:p>
        </w:tc>
        <w:tc>
          <w:tcPr>
            <w:tcW w:w="3300" w:type="dxa"/>
            <w:noWrap w:val="0"/>
            <w:vAlign w:val="center"/>
          </w:tcPr>
          <w:p>
            <w:pPr>
              <w:keepNext w:val="0"/>
              <w:keepLines w:val="0"/>
              <w:pageBreakBefore w:val="0"/>
              <w:widowControl w:val="0"/>
              <w:numPr>
                <w:ilvl w:val="0"/>
                <w:numId w:val="6"/>
              </w:numPr>
              <w:kinsoku/>
              <w:wordWrap/>
              <w:overflowPunct/>
              <w:topLinePunct w:val="0"/>
              <w:autoSpaceDE/>
              <w:autoSpaceDN/>
              <w:bidi w:val="0"/>
              <w:adjustRightInd/>
              <w:snapToGrid/>
              <w:spacing w:line="400" w:lineRule="exact"/>
              <w:ind w:left="0" w:leftChars="0" w:right="0" w:rightChars="0" w:firstLine="0" w:firstLineChars="0"/>
              <w:jc w:val="left"/>
              <w:textAlignment w:val="auto"/>
              <w:outlineLvl w:val="9"/>
              <w:rPr>
                <w:rFonts w:hint="eastAsia" w:ascii="仿宋" w:hAnsi="仿宋" w:eastAsia="仿宋" w:cs="仿宋"/>
                <w:color w:val="auto"/>
                <w:sz w:val="24"/>
                <w:szCs w:val="24"/>
                <w:highlight w:val="none"/>
                <w:shd w:val="clear" w:color="auto" w:fill="auto"/>
                <w:lang w:val="en-US" w:eastAsia="zh-CN"/>
              </w:rPr>
            </w:pPr>
            <w:r>
              <w:rPr>
                <w:rFonts w:hint="eastAsia" w:ascii="仿宋" w:hAnsi="仿宋" w:eastAsia="仿宋" w:cs="仿宋"/>
                <w:color w:val="auto"/>
                <w:sz w:val="24"/>
                <w:szCs w:val="24"/>
                <w:highlight w:val="none"/>
                <w:shd w:val="clear" w:color="auto" w:fill="auto"/>
                <w:lang w:val="en-US" w:eastAsia="zh-CN"/>
              </w:rPr>
              <w:t>噪声超标1分贝以内；</w:t>
            </w:r>
          </w:p>
          <w:p>
            <w:pPr>
              <w:keepNext w:val="0"/>
              <w:keepLines w:val="0"/>
              <w:pageBreakBefore w:val="0"/>
              <w:widowControl w:val="0"/>
              <w:numPr>
                <w:ilvl w:val="0"/>
                <w:numId w:val="6"/>
              </w:numPr>
              <w:kinsoku/>
              <w:wordWrap/>
              <w:overflowPunct/>
              <w:topLinePunct w:val="0"/>
              <w:autoSpaceDE/>
              <w:autoSpaceDN/>
              <w:bidi w:val="0"/>
              <w:adjustRightInd/>
              <w:snapToGrid/>
              <w:spacing w:line="400" w:lineRule="exact"/>
              <w:ind w:left="0" w:leftChars="0" w:right="0" w:rightChars="0" w:firstLine="0" w:firstLineChars="0"/>
              <w:jc w:val="left"/>
              <w:textAlignment w:val="auto"/>
              <w:outlineLvl w:val="9"/>
              <w:rPr>
                <w:rFonts w:hint="eastAsia" w:ascii="仿宋" w:hAnsi="仿宋" w:eastAsia="仿宋" w:cs="仿宋"/>
                <w:color w:val="auto"/>
                <w:sz w:val="24"/>
                <w:szCs w:val="24"/>
                <w:highlight w:val="none"/>
                <w:shd w:val="clear" w:color="auto" w:fill="auto"/>
                <w:lang w:val="zh-TW" w:eastAsia="zh-TW"/>
              </w:rPr>
            </w:pPr>
            <w:r>
              <w:rPr>
                <w:rFonts w:hint="eastAsia" w:ascii="仿宋" w:hAnsi="仿宋" w:eastAsia="仿宋" w:cs="仿宋"/>
                <w:color w:val="auto"/>
                <w:sz w:val="24"/>
                <w:szCs w:val="24"/>
                <w:highlight w:val="none"/>
                <w:shd w:val="clear" w:color="auto" w:fill="auto"/>
                <w:lang w:val="en-US" w:eastAsia="zh-CN"/>
              </w:rPr>
              <w:t>在收到《责令改正违法行为通知书》之日起3个工作日内完成整改；</w:t>
            </w:r>
          </w:p>
          <w:p>
            <w:pPr>
              <w:keepNext w:val="0"/>
              <w:keepLines w:val="0"/>
              <w:pageBreakBefore w:val="0"/>
              <w:widowControl w:val="0"/>
              <w:numPr>
                <w:ilvl w:val="0"/>
                <w:numId w:val="6"/>
              </w:numPr>
              <w:kinsoku/>
              <w:wordWrap/>
              <w:overflowPunct/>
              <w:topLinePunct w:val="0"/>
              <w:autoSpaceDE/>
              <w:autoSpaceDN/>
              <w:bidi w:val="0"/>
              <w:adjustRightInd/>
              <w:snapToGrid/>
              <w:spacing w:line="400" w:lineRule="exact"/>
              <w:ind w:left="0" w:leftChars="0" w:right="0" w:rightChars="0" w:firstLine="0" w:firstLineChars="0"/>
              <w:jc w:val="left"/>
              <w:textAlignment w:val="auto"/>
              <w:outlineLvl w:val="9"/>
              <w:rPr>
                <w:rFonts w:hint="eastAsia" w:ascii="仿宋" w:hAnsi="仿宋" w:eastAsia="仿宋" w:cs="仿宋"/>
                <w:color w:val="auto"/>
                <w:sz w:val="24"/>
                <w:szCs w:val="24"/>
                <w:highlight w:val="none"/>
                <w:shd w:val="clear" w:color="auto" w:fill="auto"/>
                <w:lang w:val="zh-TW" w:eastAsia="zh-TW"/>
              </w:rPr>
            </w:pPr>
            <w:r>
              <w:rPr>
                <w:rFonts w:hint="eastAsia" w:ascii="仿宋" w:hAnsi="仿宋" w:eastAsia="仿宋" w:cs="仿宋"/>
                <w:color w:val="auto"/>
                <w:sz w:val="24"/>
                <w:szCs w:val="24"/>
                <w:highlight w:val="none"/>
                <w:shd w:val="clear" w:color="auto" w:fill="auto"/>
                <w:lang w:val="en-US" w:eastAsia="zh-CN"/>
              </w:rPr>
              <w:t>违法行为未造成其他环境污染、生态破坏或社会影响。</w:t>
            </w:r>
          </w:p>
        </w:tc>
        <w:tc>
          <w:tcPr>
            <w:tcW w:w="2145"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left"/>
              <w:textAlignment w:val="auto"/>
              <w:outlineLvl w:val="9"/>
              <w:rPr>
                <w:rFonts w:hint="eastAsia" w:ascii="仿宋" w:hAnsi="仿宋" w:eastAsia="仿宋" w:cs="仿宋"/>
                <w:color w:val="auto"/>
                <w:sz w:val="24"/>
                <w:szCs w:val="24"/>
                <w:highlight w:val="none"/>
                <w:shd w:val="clear" w:color="auto" w:fill="auto"/>
                <w:lang w:val="en-US" w:eastAsia="zh-CN"/>
              </w:rPr>
            </w:pPr>
            <w:r>
              <w:rPr>
                <w:rFonts w:hint="eastAsia" w:ascii="仿宋" w:hAnsi="仿宋" w:eastAsia="仿宋" w:cs="仿宋"/>
                <w:color w:val="auto"/>
                <w:sz w:val="24"/>
                <w:szCs w:val="24"/>
                <w:highlight w:val="none"/>
                <w:shd w:val="clear" w:color="auto" w:fill="auto"/>
                <w:lang w:val="en-US" w:eastAsia="zh-CN"/>
              </w:rPr>
              <w:t>《中华人民共和国行政处罚法》第三十三条第一款、第三款“违法行为轻微并及时改正，没有造成危害后果的，不予行政处罚。初次违法且危害后果轻微并及时改正的，可以不予行政处罚。  对当事人的违法行为依法不予行政处罚的，行政机关应当对当事人进行教育。”</w:t>
            </w:r>
          </w:p>
        </w:tc>
        <w:tc>
          <w:tcPr>
            <w:tcW w:w="1905"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仿宋" w:hAnsi="仿宋" w:eastAsia="仿宋" w:cs="仿宋"/>
                <w:color w:val="auto"/>
                <w:sz w:val="24"/>
                <w:szCs w:val="24"/>
                <w:highlight w:val="none"/>
                <w:shd w:val="clear" w:color="auto" w:fill="auto"/>
                <w:lang w:val="en-US" w:eastAsia="zh-CN"/>
              </w:rPr>
            </w:pPr>
          </w:p>
        </w:tc>
        <w:tc>
          <w:tcPr>
            <w:tcW w:w="781"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仿宋" w:hAnsi="仿宋" w:eastAsia="仿宋" w:cs="仿宋"/>
                <w:color w:val="auto"/>
                <w:sz w:val="24"/>
                <w:szCs w:val="24"/>
                <w:highlight w:val="none"/>
                <w:shd w:val="clear" w:color="auto" w:fill="auto"/>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813"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仿宋" w:hAnsi="仿宋" w:eastAsia="仿宋" w:cs="仿宋"/>
                <w:color w:val="auto"/>
                <w:sz w:val="24"/>
                <w:szCs w:val="24"/>
                <w:highlight w:val="none"/>
                <w:shd w:val="clear" w:color="auto" w:fill="auto"/>
                <w:lang w:val="en-US" w:eastAsia="zh-CN"/>
              </w:rPr>
            </w:pPr>
            <w:r>
              <w:rPr>
                <w:rFonts w:hint="eastAsia" w:ascii="仿宋" w:hAnsi="仿宋" w:eastAsia="仿宋" w:cs="仿宋"/>
                <w:color w:val="auto"/>
                <w:sz w:val="24"/>
                <w:szCs w:val="24"/>
                <w:highlight w:val="none"/>
                <w:shd w:val="clear" w:color="auto" w:fill="auto"/>
                <w:lang w:val="en-US" w:eastAsia="zh-CN"/>
              </w:rPr>
              <w:t>8</w:t>
            </w:r>
          </w:p>
        </w:tc>
        <w:tc>
          <w:tcPr>
            <w:tcW w:w="1395"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left"/>
              <w:textAlignment w:val="auto"/>
              <w:outlineLvl w:val="9"/>
              <w:rPr>
                <w:rFonts w:hint="eastAsia" w:ascii="仿宋" w:hAnsi="仿宋" w:eastAsia="仿宋" w:cs="仿宋"/>
                <w:color w:val="auto"/>
                <w:sz w:val="24"/>
                <w:szCs w:val="24"/>
                <w:highlight w:val="none"/>
                <w:shd w:val="clear" w:color="auto" w:fill="auto"/>
                <w:lang w:val="en-US" w:eastAsia="zh-CN"/>
              </w:rPr>
            </w:pPr>
            <w:r>
              <w:rPr>
                <w:rFonts w:hint="eastAsia" w:ascii="仿宋" w:hAnsi="仿宋" w:eastAsia="仿宋" w:cs="仿宋"/>
                <w:color w:val="auto"/>
                <w:sz w:val="24"/>
                <w:szCs w:val="24"/>
                <w:highlight w:val="none"/>
                <w:shd w:val="clear" w:color="auto" w:fill="auto"/>
                <w:lang w:val="en-US" w:eastAsia="zh-CN"/>
              </w:rPr>
              <w:t>医疗废物集中处置单位未确保污染物排放在线监控装置经常处于正常运行状态的行政处罚</w:t>
            </w:r>
          </w:p>
        </w:tc>
        <w:tc>
          <w:tcPr>
            <w:tcW w:w="4320" w:type="dxa"/>
            <w:noWrap w:val="0"/>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仿宋" w:hAnsi="仿宋" w:eastAsia="仿宋" w:cs="仿宋"/>
                <w:b w:val="0"/>
                <w:bCs w:val="0"/>
                <w:kern w:val="0"/>
                <w:sz w:val="24"/>
                <w:szCs w:val="24"/>
                <w:highlight w:val="none"/>
                <w:lang w:val="en-US" w:eastAsia="zh-CN" w:bidi="ar"/>
              </w:rPr>
            </w:pPr>
            <w:r>
              <w:rPr>
                <w:rFonts w:hint="eastAsia" w:ascii="仿宋" w:hAnsi="仿宋" w:eastAsia="仿宋" w:cs="仿宋"/>
                <w:b w:val="0"/>
                <w:bCs w:val="0"/>
                <w:kern w:val="0"/>
                <w:sz w:val="24"/>
                <w:szCs w:val="24"/>
                <w:highlight w:val="none"/>
                <w:lang w:val="en-US" w:eastAsia="zh-CN" w:bidi="ar"/>
              </w:rPr>
              <w:t>《医疗废物管理条例》第四十六条第四项“医疗卫生机构、医疗废物集中处置单位违反本条例规定，有下列情形之一的，由县级以上地方人民政府卫生行政主管部门或者环境保护行政主管部门按照各自的职责责令限期改正，给予警告，可以并处5000元以下的罚款；逾期不改正的，处5000元以上3万元以下的罚款：</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left"/>
              <w:textAlignment w:val="auto"/>
              <w:outlineLvl w:val="9"/>
              <w:rPr>
                <w:rFonts w:hint="eastAsia" w:ascii="仿宋" w:hAnsi="仿宋" w:eastAsia="仿宋" w:cs="仿宋"/>
                <w:color w:val="auto"/>
                <w:sz w:val="24"/>
                <w:szCs w:val="24"/>
                <w:highlight w:val="none"/>
                <w:shd w:val="clear" w:color="auto" w:fill="auto"/>
                <w:lang w:val="en-US" w:eastAsia="zh-CN"/>
              </w:rPr>
            </w:pPr>
            <w:r>
              <w:rPr>
                <w:rFonts w:hint="eastAsia" w:ascii="仿宋" w:hAnsi="仿宋" w:eastAsia="仿宋" w:cs="仿宋"/>
                <w:b w:val="0"/>
                <w:bCs w:val="0"/>
                <w:kern w:val="0"/>
                <w:sz w:val="24"/>
                <w:szCs w:val="24"/>
                <w:highlight w:val="none"/>
                <w:lang w:val="en-US" w:eastAsia="zh-CN" w:bidi="ar"/>
              </w:rPr>
              <w:t>（四）未安装污染物排放在线监控装置或者监控装置未经常处于正常运行状态的。”</w:t>
            </w:r>
          </w:p>
        </w:tc>
        <w:tc>
          <w:tcPr>
            <w:tcW w:w="3300" w:type="dxa"/>
            <w:noWrap w:val="0"/>
            <w:vAlign w:val="center"/>
          </w:tcPr>
          <w:p>
            <w:pPr>
              <w:keepNext w:val="0"/>
              <w:keepLines w:val="0"/>
              <w:pageBreakBefore w:val="0"/>
              <w:widowControl w:val="0"/>
              <w:numPr>
                <w:ilvl w:val="0"/>
                <w:numId w:val="7"/>
              </w:numPr>
              <w:kinsoku/>
              <w:wordWrap/>
              <w:overflowPunct/>
              <w:topLinePunct w:val="0"/>
              <w:autoSpaceDE/>
              <w:autoSpaceDN/>
              <w:bidi w:val="0"/>
              <w:adjustRightInd/>
              <w:snapToGrid/>
              <w:spacing w:line="400" w:lineRule="exact"/>
              <w:ind w:left="0" w:leftChars="0" w:right="0" w:rightChars="0" w:firstLine="0" w:firstLineChars="0"/>
              <w:jc w:val="left"/>
              <w:textAlignment w:val="auto"/>
              <w:outlineLvl w:val="9"/>
              <w:rPr>
                <w:rFonts w:hint="eastAsia" w:ascii="仿宋" w:hAnsi="仿宋" w:eastAsia="仿宋" w:cs="仿宋"/>
                <w:color w:val="auto"/>
                <w:sz w:val="24"/>
                <w:szCs w:val="24"/>
                <w:highlight w:val="none"/>
                <w:shd w:val="clear" w:color="auto" w:fill="auto"/>
                <w:lang w:val="en-US" w:eastAsia="zh-CN"/>
              </w:rPr>
            </w:pPr>
            <w:r>
              <w:rPr>
                <w:rFonts w:hint="eastAsia" w:ascii="仿宋" w:hAnsi="仿宋" w:eastAsia="仿宋" w:cs="仿宋"/>
                <w:color w:val="auto"/>
                <w:sz w:val="24"/>
                <w:szCs w:val="24"/>
                <w:highlight w:val="none"/>
                <w:shd w:val="clear" w:color="auto" w:fill="auto"/>
                <w:lang w:val="en-US" w:eastAsia="zh-CN"/>
              </w:rPr>
              <w:t>在线监控装置不正常运行，24小时内及时报告，并及时修复；</w:t>
            </w:r>
          </w:p>
          <w:p>
            <w:pPr>
              <w:keepNext w:val="0"/>
              <w:keepLines w:val="0"/>
              <w:pageBreakBefore w:val="0"/>
              <w:widowControl w:val="0"/>
              <w:numPr>
                <w:ilvl w:val="0"/>
                <w:numId w:val="7"/>
              </w:numPr>
              <w:kinsoku/>
              <w:wordWrap/>
              <w:overflowPunct/>
              <w:topLinePunct w:val="0"/>
              <w:autoSpaceDE/>
              <w:autoSpaceDN/>
              <w:bidi w:val="0"/>
              <w:adjustRightInd/>
              <w:snapToGrid/>
              <w:spacing w:line="400" w:lineRule="exact"/>
              <w:ind w:left="0" w:leftChars="0" w:right="0" w:rightChars="0" w:firstLine="0" w:firstLineChars="0"/>
              <w:jc w:val="left"/>
              <w:textAlignment w:val="auto"/>
              <w:outlineLvl w:val="9"/>
              <w:rPr>
                <w:rFonts w:hint="eastAsia" w:ascii="仿宋" w:hAnsi="仿宋" w:eastAsia="仿宋" w:cs="仿宋"/>
                <w:color w:val="auto"/>
                <w:sz w:val="24"/>
                <w:szCs w:val="24"/>
                <w:highlight w:val="none"/>
                <w:shd w:val="clear" w:color="auto" w:fill="auto"/>
                <w:lang w:val="en-US" w:eastAsia="zh-CN"/>
              </w:rPr>
            </w:pPr>
            <w:r>
              <w:rPr>
                <w:rFonts w:hint="eastAsia" w:ascii="仿宋" w:hAnsi="仿宋" w:eastAsia="仿宋" w:cs="仿宋"/>
                <w:color w:val="auto"/>
                <w:sz w:val="24"/>
                <w:szCs w:val="24"/>
                <w:highlight w:val="none"/>
                <w:shd w:val="clear" w:color="auto" w:fill="auto"/>
                <w:lang w:val="en-US" w:eastAsia="zh-CN"/>
              </w:rPr>
              <w:t>违法行为未造成其他环境污染、生态破坏或社会影响。</w:t>
            </w:r>
          </w:p>
        </w:tc>
        <w:tc>
          <w:tcPr>
            <w:tcW w:w="2145"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left"/>
              <w:textAlignment w:val="auto"/>
              <w:outlineLvl w:val="9"/>
              <w:rPr>
                <w:rFonts w:hint="eastAsia" w:ascii="仿宋" w:hAnsi="仿宋" w:eastAsia="仿宋" w:cs="仿宋"/>
                <w:color w:val="auto"/>
                <w:sz w:val="24"/>
                <w:szCs w:val="24"/>
                <w:highlight w:val="none"/>
                <w:shd w:val="clear" w:color="auto" w:fill="auto"/>
                <w:lang w:val="en-US" w:eastAsia="zh-CN"/>
              </w:rPr>
            </w:pPr>
            <w:r>
              <w:rPr>
                <w:rFonts w:hint="eastAsia" w:ascii="仿宋" w:hAnsi="仿宋" w:eastAsia="仿宋" w:cs="仿宋"/>
                <w:color w:val="auto"/>
                <w:sz w:val="24"/>
                <w:szCs w:val="24"/>
                <w:highlight w:val="none"/>
                <w:shd w:val="clear" w:color="auto" w:fill="auto"/>
                <w:lang w:val="en-US" w:eastAsia="zh-CN"/>
              </w:rPr>
              <w:t>《中华人民共和国行政处罚法》第三十三条第一款、第三款“违法行为轻微并及时改正，没有造成危害后果的，不予行政处罚。初次违法且危害后果轻微并及时改正的，可以不予行政处罚。  对当事人的违法行为依法不予行政处罚的，行政机关应当对当事人进行教育。”</w:t>
            </w:r>
          </w:p>
        </w:tc>
        <w:tc>
          <w:tcPr>
            <w:tcW w:w="1905"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仿宋" w:hAnsi="仿宋" w:eastAsia="仿宋" w:cs="仿宋"/>
                <w:color w:val="auto"/>
                <w:sz w:val="24"/>
                <w:szCs w:val="24"/>
                <w:highlight w:val="none"/>
                <w:shd w:val="clear" w:color="auto" w:fill="auto"/>
                <w:lang w:val="en-US" w:eastAsia="zh-CN"/>
              </w:rPr>
            </w:pPr>
            <w:r>
              <w:rPr>
                <w:rFonts w:hint="eastAsia" w:ascii="仿宋" w:hAnsi="仿宋" w:eastAsia="仿宋" w:cs="仿宋"/>
                <w:color w:val="auto"/>
                <w:sz w:val="24"/>
                <w:szCs w:val="24"/>
                <w:highlight w:val="none"/>
                <w:shd w:val="clear" w:color="auto" w:fill="auto"/>
                <w:lang w:val="en-US" w:eastAsia="zh-CN"/>
              </w:rPr>
              <w:t>加强教育、及时复查整改情况</w:t>
            </w:r>
          </w:p>
        </w:tc>
        <w:tc>
          <w:tcPr>
            <w:tcW w:w="781"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仿宋" w:hAnsi="仿宋" w:eastAsia="仿宋" w:cs="仿宋"/>
                <w:color w:val="auto"/>
                <w:sz w:val="24"/>
                <w:szCs w:val="24"/>
                <w:highlight w:val="none"/>
                <w:shd w:val="clear" w:color="auto" w:fill="auto"/>
                <w:lang w:val="en-US" w:eastAsia="zh-CN"/>
              </w:rPr>
            </w:pPr>
          </w:p>
        </w:tc>
      </w:tr>
    </w:tbl>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360" w:lineRule="exact"/>
        <w:ind w:left="0" w:right="0" w:firstLine="0"/>
        <w:jc w:val="left"/>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备注：1.对符合《广东省生态环境厅关于印发&lt;广东省生态环境行政处罚自由裁量权规定&gt;的通知》（粤环发〔2021〕7号）附件２</w:t>
      </w:r>
      <w:r>
        <w:rPr>
          <w:rFonts w:hint="eastAsia" w:ascii="仿宋" w:hAnsi="仿宋" w:eastAsia="仿宋" w:cs="仿宋"/>
          <w:color w:val="auto"/>
          <w:sz w:val="24"/>
          <w:szCs w:val="24"/>
          <w:highlight w:val="none"/>
          <w:lang w:val="en-US" w:eastAsia="zh-CN"/>
        </w:rPr>
        <w:t>《广东省生态环境不予行政处罚的轻微违法行为目录》条件</w:t>
      </w:r>
      <w:r>
        <w:rPr>
          <w:rFonts w:hint="eastAsia" w:ascii="仿宋" w:hAnsi="仿宋" w:eastAsia="仿宋" w:cs="仿宋"/>
          <w:sz w:val="24"/>
          <w:szCs w:val="24"/>
          <w:highlight w:val="none"/>
          <w:lang w:val="en-US" w:eastAsia="zh-CN"/>
        </w:rPr>
        <w:t>的直接适用。2.“改正违法行为”包括主动改正和被责令改正两种情形，应结合生态环境主管部门现场作出的书面指正、下发的责令</w:t>
      </w:r>
      <w:r>
        <w:rPr>
          <w:rFonts w:hint="eastAsia" w:ascii="仿宋" w:hAnsi="仿宋" w:eastAsia="仿宋" w:cs="仿宋"/>
          <w:sz w:val="24"/>
          <w:szCs w:val="24"/>
          <w:lang w:val="en-US" w:eastAsia="zh-CN"/>
        </w:rPr>
        <w:t>改正违法行为决定书等进行认定。3.本清单内对“违法行为造成的环境污染、生态破坏以及社会影</w:t>
      </w:r>
      <w:r>
        <w:rPr>
          <w:rFonts w:hint="eastAsia" w:ascii="仿宋" w:hAnsi="仿宋" w:eastAsia="仿宋" w:cs="仿宋"/>
          <w:sz w:val="24"/>
          <w:szCs w:val="24"/>
          <w:highlight w:val="none"/>
          <w:lang w:val="en-US" w:eastAsia="zh-CN"/>
        </w:rPr>
        <w:t>响或危害后果”的认定可</w:t>
      </w:r>
      <w:r>
        <w:rPr>
          <w:rFonts w:hint="eastAsia" w:ascii="仿宋" w:hAnsi="仿宋" w:eastAsia="仿宋" w:cs="仿宋"/>
          <w:sz w:val="24"/>
          <w:szCs w:val="24"/>
          <w:lang w:val="en-US" w:eastAsia="zh-CN"/>
        </w:rPr>
        <w:t>以根据以下因素判定：（一）项目地点是否涉及环境敏感区；（二）违法行为是否造成跨行政区域（区级以上）环境污染或生态破坏；（三）污染物的类别、排放量或排放持续或累计的时间；（四）违法行为是否造成土壤、植被、水体、景观等环境污染或生态破坏；（五）违法行为对公共安全、人民群众生命安全和身体健康的威胁或危害程度；（六）违法行为是否造成有效投诉举报；（七）违法行为是否造成社会负面影响或舆论影响；（八）违法行为的违法所得或者致使公私财产损失的情况；（九）造成环境污染、生态破坏或者社会影响的其他因素。</w:t>
      </w:r>
      <w:r>
        <w:rPr>
          <w:rFonts w:hint="eastAsia" w:ascii="仿宋" w:hAnsi="仿宋" w:eastAsia="仿宋" w:cs="仿宋"/>
          <w:sz w:val="24"/>
          <w:szCs w:val="24"/>
          <w:highlight w:val="none"/>
          <w:lang w:val="en-US" w:eastAsia="zh-CN"/>
        </w:rPr>
        <w:t>4.禁止适用不予行政处罚情形：（一）排放重金属、持久性有机污染物、剧毒、放射性、医疗危险废物等有毒有害污染物；（二）重污染天气应急管控期间、重大活动环保保障期发生环境违法；（三）存在监测数据造假、环评/验收弄虚作假、偷排漏排、私设暗管行为。</w:t>
      </w:r>
    </w:p>
    <w:p>
      <w:pP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br w:type="page"/>
      </w:r>
    </w:p>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600821"/>
    <w:multiLevelType w:val="singleLevel"/>
    <w:tmpl w:val="97600821"/>
    <w:lvl w:ilvl="0" w:tentative="0">
      <w:start w:val="1"/>
      <w:numFmt w:val="decimal"/>
      <w:suff w:val="nothing"/>
      <w:lvlText w:val="（%1）"/>
      <w:lvlJc w:val="left"/>
    </w:lvl>
  </w:abstractNum>
  <w:abstractNum w:abstractNumId="1">
    <w:nsid w:val="E8C9F6EA"/>
    <w:multiLevelType w:val="singleLevel"/>
    <w:tmpl w:val="E8C9F6EA"/>
    <w:lvl w:ilvl="0" w:tentative="0">
      <w:start w:val="1"/>
      <w:numFmt w:val="decimal"/>
      <w:suff w:val="nothing"/>
      <w:lvlText w:val="（%1）"/>
      <w:lvlJc w:val="left"/>
    </w:lvl>
  </w:abstractNum>
  <w:abstractNum w:abstractNumId="2">
    <w:nsid w:val="FD32F7BB"/>
    <w:multiLevelType w:val="singleLevel"/>
    <w:tmpl w:val="FD32F7BB"/>
    <w:lvl w:ilvl="0" w:tentative="0">
      <w:start w:val="1"/>
      <w:numFmt w:val="decimal"/>
      <w:suff w:val="nothing"/>
      <w:lvlText w:val="（%1）"/>
      <w:lvlJc w:val="left"/>
    </w:lvl>
  </w:abstractNum>
  <w:abstractNum w:abstractNumId="3">
    <w:nsid w:val="00000001"/>
    <w:multiLevelType w:val="multilevel"/>
    <w:tmpl w:val="00000001"/>
    <w:lvl w:ilvl="0" w:tentative="0">
      <w:start w:val="1"/>
      <w:numFmt w:val="decimal"/>
      <w:lvlText w:val="%1"/>
      <w:lvlJc w:val="left"/>
      <w:pPr>
        <w:ind w:left="432" w:hanging="432"/>
      </w:pPr>
    </w:lvl>
    <w:lvl w:ilvl="1" w:tentative="0">
      <w:start w:val="1"/>
      <w:numFmt w:val="decimal"/>
      <w:lvlText w:val="%1.%2"/>
      <w:lvlJc w:val="left"/>
      <w:pPr>
        <w:ind w:left="576" w:hanging="576"/>
      </w:pPr>
    </w:lvl>
    <w:lvl w:ilvl="2" w:tentative="0">
      <w:start w:val="1"/>
      <w:numFmt w:val="decimal"/>
      <w:pStyle w:val="2"/>
      <w:lvlText w:val="%1.%2.%3"/>
      <w:lvlJc w:val="left"/>
      <w:pPr>
        <w:ind w:left="720" w:hanging="720"/>
      </w:pPr>
    </w:lvl>
    <w:lvl w:ilvl="3" w:tentative="0">
      <w:start w:val="1"/>
      <w:numFmt w:val="decimal"/>
      <w:lvlText w:val="%1.%2.%3.%4"/>
      <w:lvlJc w:val="left"/>
      <w:pPr>
        <w:ind w:left="864" w:hanging="864"/>
      </w:pPr>
    </w:lvl>
    <w:lvl w:ilvl="4" w:tentative="0">
      <w:start w:val="1"/>
      <w:numFmt w:val="decimal"/>
      <w:lvlText w:val="%1.%2.%3.%4.%5"/>
      <w:lvlJc w:val="left"/>
      <w:pPr>
        <w:ind w:left="1008" w:hanging="1008"/>
      </w:pPr>
    </w:lvl>
    <w:lvl w:ilvl="5" w:tentative="0">
      <w:start w:val="1"/>
      <w:numFmt w:val="decimal"/>
      <w:lvlText w:val="%1.%2.%3.%4.%5.%6"/>
      <w:lvlJc w:val="left"/>
      <w:pPr>
        <w:ind w:left="1152" w:hanging="1152"/>
      </w:pPr>
    </w:lvl>
    <w:lvl w:ilvl="6" w:tentative="0">
      <w:start w:val="1"/>
      <w:numFmt w:val="decimal"/>
      <w:lvlText w:val="%1.%2.%3.%4.%5.%6.%7"/>
      <w:lvlJc w:val="left"/>
      <w:pPr>
        <w:ind w:left="1296" w:hanging="1296"/>
      </w:pPr>
    </w:lvl>
    <w:lvl w:ilvl="7" w:tentative="0">
      <w:start w:val="1"/>
      <w:numFmt w:val="decimal"/>
      <w:lvlText w:val="%1.%2.%3.%4.%5.%6.%7.%8"/>
      <w:lvlJc w:val="left"/>
      <w:pPr>
        <w:ind w:left="1440" w:hanging="1440"/>
      </w:pPr>
    </w:lvl>
    <w:lvl w:ilvl="8" w:tentative="0">
      <w:start w:val="1"/>
      <w:numFmt w:val="decimal"/>
      <w:lvlText w:val="%1.%2.%3.%4.%5.%6.%7.%8.%9"/>
      <w:lvlJc w:val="left"/>
      <w:pPr>
        <w:ind w:left="1584" w:hanging="1584"/>
      </w:pPr>
    </w:lvl>
  </w:abstractNum>
  <w:abstractNum w:abstractNumId="4">
    <w:nsid w:val="3524EF03"/>
    <w:multiLevelType w:val="singleLevel"/>
    <w:tmpl w:val="3524EF03"/>
    <w:lvl w:ilvl="0" w:tentative="0">
      <w:start w:val="1"/>
      <w:numFmt w:val="decimal"/>
      <w:suff w:val="nothing"/>
      <w:lvlText w:val="（%1）"/>
      <w:lvlJc w:val="left"/>
    </w:lvl>
  </w:abstractNum>
  <w:abstractNum w:abstractNumId="5">
    <w:nsid w:val="4321E106"/>
    <w:multiLevelType w:val="singleLevel"/>
    <w:tmpl w:val="4321E106"/>
    <w:lvl w:ilvl="0" w:tentative="0">
      <w:start w:val="1"/>
      <w:numFmt w:val="decimal"/>
      <w:suff w:val="nothing"/>
      <w:lvlText w:val="（%1）"/>
      <w:lvlJc w:val="left"/>
    </w:lvl>
  </w:abstractNum>
  <w:abstractNum w:abstractNumId="6">
    <w:nsid w:val="5CE277ED"/>
    <w:multiLevelType w:val="singleLevel"/>
    <w:tmpl w:val="5CE277ED"/>
    <w:lvl w:ilvl="0" w:tentative="0">
      <w:start w:val="1"/>
      <w:numFmt w:val="decimal"/>
      <w:suff w:val="nothing"/>
      <w:lvlText w:val="（%1）"/>
      <w:lvlJc w:val="left"/>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6"/>
  </w:num>
  <w:num w:numId="4">
    <w:abstractNumId w:val="5"/>
  </w:num>
  <w:num w:numId="5">
    <w:abstractNumId w:val="1"/>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liMmJkNmUzYjU3ZjA0MDFkMGJjYTY2MTNhOTAwODUifQ=="/>
  </w:docVars>
  <w:rsids>
    <w:rsidRoot w:val="0CCD6DB7"/>
    <w:rsid w:val="0CCD6DB7"/>
    <w:rsid w:val="287A6E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2">
    <w:name w:val="heading 3"/>
    <w:basedOn w:val="1"/>
    <w:next w:val="1"/>
    <w:qFormat/>
    <w:uiPriority w:val="0"/>
    <w:pPr>
      <w:keepNext/>
      <w:keepLines/>
      <w:widowControl w:val="0"/>
      <w:numPr>
        <w:ilvl w:val="2"/>
        <w:numId w:val="1"/>
      </w:numPr>
      <w:spacing w:before="260" w:after="260" w:line="408" w:lineRule="auto"/>
      <w:jc w:val="both"/>
      <w:outlineLvl w:val="2"/>
    </w:pPr>
    <w:rPr>
      <w:rFonts w:ascii="Times New Roman" w:hAnsi="Times New Roman" w:eastAsia="黑体" w:cs="Times New Roman"/>
      <w:b/>
      <w:bCs/>
      <w:kern w:val="2"/>
      <w:sz w:val="28"/>
      <w:szCs w:val="32"/>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table" w:styleId="6">
    <w:name w:val="Table Grid"/>
    <w:basedOn w:val="5"/>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Strong"/>
    <w:basedOn w:val="7"/>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4377</Words>
  <Characters>4396</Characters>
  <Lines>0</Lines>
  <Paragraphs>0</Paragraphs>
  <TotalTime>0</TotalTime>
  <ScaleCrop>false</ScaleCrop>
  <LinksUpToDate>false</LinksUpToDate>
  <CharactersWithSpaces>4429</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2026-08-20T02:23:00Z</dcterms:created>
  <dc:creator>徐建冬</dc:creator>
  <cp:lastModifiedBy>徐建冬</cp:lastModifiedBy>
  <dcterms:modified xsi:type="dcterms:W3CDTF">2026-08-24T03:09:37Z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A0F92C60349645C6A9DFEF6050FBE326_11</vt:lpwstr>
  </property>
</Properties>
</file>