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w:t>
      </w:r>
      <w:bookmarkStart w:id="0" w:name="OLE_LINK1"/>
      <w:r>
        <w:rPr>
          <w:rFonts w:hint="eastAsia" w:ascii="方正小标宋简体" w:hAnsi="方正小标宋简体" w:eastAsia="方正小标宋简体" w:cs="方正小标宋简体"/>
          <w:sz w:val="44"/>
          <w:szCs w:val="44"/>
          <w:lang w:val="en-US" w:eastAsia="zh-CN"/>
        </w:rPr>
        <w:t>汕尾市建设工程规划许可、乡村建设规划许可豁免项目清单</w:t>
      </w:r>
      <w:bookmarkEnd w:id="0"/>
      <w:r>
        <w:rPr>
          <w:rFonts w:hint="eastAsia" w:ascii="方正小标宋简体" w:hAnsi="方正小标宋简体" w:eastAsia="方正小标宋简体" w:cs="方正小标宋简体"/>
          <w:sz w:val="44"/>
          <w:szCs w:val="44"/>
        </w:rPr>
        <w:t>》起草说明</w:t>
      </w:r>
    </w:p>
    <w:p>
      <w:pPr>
        <w:spacing w:line="600" w:lineRule="exact"/>
        <w:jc w:val="center"/>
        <w:rPr>
          <w:rFonts w:hint="eastAsia" w:ascii="方正小标宋简体" w:hAnsi="方正小标宋简体" w:eastAsia="方正小标宋简体" w:cs="方正小标宋简体"/>
          <w:sz w:val="44"/>
          <w:szCs w:val="44"/>
        </w:rPr>
      </w:pPr>
    </w:p>
    <w:p>
      <w:pPr>
        <w:keepLines/>
        <w:snapToGrid w:val="0"/>
        <w:spacing w:line="60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一、起草背景</w:t>
      </w:r>
    </w:p>
    <w:p>
      <w:pPr>
        <w:keepLines/>
        <w:spacing w:line="600" w:lineRule="exact"/>
        <w:ind w:firstLine="640" w:firstLineChars="200"/>
        <w:jc w:val="left"/>
        <w:rPr>
          <w:rFonts w:hint="eastAsia" w:ascii="仿宋_GB2312" w:hAnsi="仿宋_GB2312" w:eastAsia="仿宋_GB2312" w:cs="仿宋_GB2312"/>
          <w:kern w:val="0"/>
          <w:sz w:val="32"/>
          <w:szCs w:val="32"/>
          <w:highlight w:val="none"/>
          <w:lang w:bidi="ar"/>
        </w:rPr>
      </w:pPr>
      <w:r>
        <w:rPr>
          <w:rStyle w:val="5"/>
          <w:rFonts w:hint="eastAsia" w:ascii="仿宋_GB2312" w:hAnsi="仿宋_GB2312" w:eastAsia="仿宋_GB2312" w:cs="仿宋_GB2312"/>
          <w:sz w:val="32"/>
          <w:szCs w:val="32"/>
          <w:lang w:val="en-US" w:eastAsia="zh-CN" w:bidi="ar"/>
        </w:rPr>
        <w:t>我市曾于</w:t>
      </w:r>
      <w:r>
        <w:rPr>
          <w:rStyle w:val="5"/>
          <w:rFonts w:hint="default" w:ascii="仿宋_GB2312" w:hAnsi="仿宋_GB2312" w:eastAsia="仿宋_GB2312" w:cs="仿宋_GB2312"/>
          <w:sz w:val="32"/>
          <w:szCs w:val="32"/>
          <w:lang w:val="en-US" w:eastAsia="zh-CN" w:bidi="ar"/>
        </w:rPr>
        <w:t>2019</w:t>
      </w:r>
      <w:r>
        <w:rPr>
          <w:rStyle w:val="5"/>
          <w:rFonts w:hint="eastAsia" w:ascii="仿宋_GB2312" w:hAnsi="仿宋_GB2312" w:eastAsia="仿宋_GB2312" w:cs="仿宋_GB2312"/>
          <w:sz w:val="32"/>
          <w:szCs w:val="32"/>
          <w:lang w:val="en-US" w:eastAsia="zh-CN" w:bidi="ar"/>
        </w:rPr>
        <w:t>年印发《汕尾市工程建设项目设计方案审查实施细则》第七条规定了免办事项，该文件于</w:t>
      </w:r>
      <w:r>
        <w:rPr>
          <w:rStyle w:val="5"/>
          <w:rFonts w:hint="default" w:ascii="仿宋_GB2312" w:hAnsi="仿宋_GB2312" w:eastAsia="仿宋_GB2312" w:cs="仿宋_GB2312"/>
          <w:sz w:val="32"/>
          <w:szCs w:val="32"/>
          <w:lang w:val="en-US" w:eastAsia="zh-CN" w:bidi="ar"/>
        </w:rPr>
        <w:t>2022</w:t>
      </w:r>
      <w:r>
        <w:rPr>
          <w:rStyle w:val="5"/>
          <w:rFonts w:hint="eastAsia" w:ascii="仿宋_GB2312" w:hAnsi="仿宋_GB2312" w:eastAsia="仿宋_GB2312" w:cs="仿宋_GB2312"/>
          <w:sz w:val="32"/>
          <w:szCs w:val="32"/>
          <w:lang w:val="en-US" w:eastAsia="zh-CN" w:bidi="ar"/>
        </w:rPr>
        <w:t>年过期，为持续推进政府职能转变、深化“放管服”改革和优化营商环境，</w:t>
      </w:r>
      <w:r>
        <w:rPr>
          <w:rFonts w:hint="eastAsia" w:ascii="Times New Roman" w:hAnsi="Times New Roman" w:eastAsia="仿宋_GB2312" w:cs="仿宋_GB2312"/>
          <w:sz w:val="32"/>
          <w:szCs w:val="32"/>
        </w:rPr>
        <w:t>加快推进汕尾市工程建设项目审批制度改革工作，提高工程建设项目审批效率，优化</w:t>
      </w:r>
      <w:r>
        <w:rPr>
          <w:rFonts w:hint="eastAsia" w:ascii="Times New Roman" w:hAnsi="Times New Roman" w:eastAsia="仿宋_GB2312" w:cs="仿宋_GB2312"/>
          <w:sz w:val="32"/>
          <w:szCs w:val="32"/>
          <w:lang w:val="en-US" w:eastAsia="zh-CN"/>
        </w:rPr>
        <w:t>建设</w:t>
      </w:r>
      <w:r>
        <w:rPr>
          <w:rFonts w:hint="eastAsia" w:ascii="Times New Roman" w:hAnsi="Times New Roman" w:eastAsia="仿宋_GB2312" w:cs="仿宋_GB2312"/>
          <w:sz w:val="32"/>
          <w:szCs w:val="32"/>
        </w:rPr>
        <w:t>工程许可</w:t>
      </w:r>
      <w:r>
        <w:rPr>
          <w:rStyle w:val="5"/>
          <w:rFonts w:hint="eastAsia" w:ascii="仿宋_GB2312" w:hAnsi="仿宋_GB2312" w:eastAsia="仿宋_GB2312" w:cs="仿宋_GB2312"/>
          <w:sz w:val="32"/>
          <w:szCs w:val="32"/>
          <w:lang w:val="en-US" w:eastAsia="zh-CN" w:bidi="ar"/>
        </w:rPr>
        <w:t>，根据《自然资源部关于深化规划用地“多审合一、多证合一”改革的通知》（自然资发〔2023〕69号）等文件要求，结合我市建设工程规划管理工作实际，我局起草了《汕尾市建设工程规划许可、乡村建设规划许可豁免项目清单》。</w:t>
      </w:r>
      <w:r>
        <w:rPr>
          <w:rFonts w:hint="eastAsia" w:ascii="仿宋_GB2312" w:hAnsi="仿宋_GB2312" w:eastAsia="仿宋_GB2312" w:cs="仿宋_GB2312"/>
          <w:kern w:val="0"/>
          <w:sz w:val="32"/>
          <w:szCs w:val="32"/>
          <w:highlight w:val="none"/>
          <w:lang w:bidi="ar"/>
        </w:rPr>
        <w:t>现将有关情况说明如下：</w:t>
      </w:r>
    </w:p>
    <w:p>
      <w:pPr>
        <w:keepLines/>
        <w:numPr>
          <w:ilvl w:val="0"/>
          <w:numId w:val="1"/>
        </w:numPr>
        <w:snapToGrid w:val="0"/>
        <w:spacing w:line="600" w:lineRule="exact"/>
        <w:ind w:firstLine="640" w:firstLineChars="200"/>
        <w:jc w:val="left"/>
        <w:rPr>
          <w:rFonts w:ascii="黑体" w:hAnsi="黑体" w:eastAsia="黑体" w:cs="黑体"/>
          <w:sz w:val="32"/>
          <w:szCs w:val="32"/>
          <w:highlight w:val="none"/>
        </w:rPr>
      </w:pPr>
      <w:r>
        <w:rPr>
          <w:rFonts w:hint="eastAsia" w:ascii="黑体" w:hAnsi="黑体" w:eastAsia="黑体" w:cs="黑体"/>
          <w:sz w:val="32"/>
          <w:szCs w:val="32"/>
          <w:highlight w:val="none"/>
        </w:rPr>
        <w:t>主要依据</w:t>
      </w:r>
    </w:p>
    <w:p>
      <w:pPr>
        <w:pStyle w:val="2"/>
        <w:spacing w:line="600" w:lineRule="exact"/>
        <w:ind w:firstLine="643" w:firstLineChars="200"/>
        <w:rPr>
          <w:rFonts w:ascii="仿宋_GB2312" w:hAnsi="仿宋_GB2312" w:eastAsia="仿宋_GB2312" w:cs="仿宋_GB2312"/>
          <w:b/>
          <w:bCs/>
          <w:kern w:val="0"/>
          <w:sz w:val="32"/>
          <w:szCs w:val="32"/>
          <w:highlight w:val="none"/>
          <w:lang w:bidi="ar"/>
        </w:rPr>
      </w:pPr>
      <w:r>
        <w:rPr>
          <w:rFonts w:hint="eastAsia" w:ascii="仿宋_GB2312" w:hAnsi="仿宋_GB2312" w:eastAsia="仿宋_GB2312" w:cs="仿宋_GB2312"/>
          <w:b/>
          <w:bCs/>
          <w:kern w:val="0"/>
          <w:sz w:val="32"/>
          <w:szCs w:val="32"/>
          <w:highlight w:val="none"/>
          <w:lang w:bidi="ar"/>
        </w:rPr>
        <w:t>（一）法律法规</w:t>
      </w:r>
    </w:p>
    <w:p>
      <w:pPr>
        <w:pStyle w:val="2"/>
        <w:numPr>
          <w:ilvl w:val="0"/>
          <w:numId w:val="2"/>
        </w:numPr>
        <w:ind w:left="0" w:firstLine="640" w:firstLineChars="200"/>
        <w:rPr>
          <w:rFonts w:ascii="仿宋_GB2312" w:hAnsi="仿宋_GB2312" w:eastAsia="仿宋_GB2312" w:cs="仿宋_GB2312"/>
          <w:kern w:val="0"/>
          <w:sz w:val="32"/>
          <w:szCs w:val="32"/>
          <w:highlight w:val="none"/>
          <w:lang w:bidi="ar"/>
        </w:rPr>
      </w:pPr>
      <w:r>
        <w:rPr>
          <w:rFonts w:hint="eastAsia" w:ascii="仿宋_GB2312" w:hAnsi="仿宋_GB2312" w:eastAsia="仿宋_GB2312" w:cs="仿宋_GB2312"/>
          <w:kern w:val="0"/>
          <w:sz w:val="32"/>
          <w:szCs w:val="32"/>
          <w:highlight w:val="none"/>
          <w:lang w:bidi="ar"/>
        </w:rPr>
        <w:t>《中华人民共和国</w:t>
      </w:r>
      <w:r>
        <w:rPr>
          <w:rFonts w:hint="eastAsia" w:ascii="仿宋_GB2312" w:hAnsi="仿宋_GB2312" w:eastAsia="仿宋_GB2312" w:cs="仿宋_GB2312"/>
          <w:kern w:val="0"/>
          <w:sz w:val="32"/>
          <w:szCs w:val="32"/>
          <w:highlight w:val="none"/>
          <w:lang w:val="en-US" w:eastAsia="zh-CN" w:bidi="ar"/>
        </w:rPr>
        <w:t>城乡规划法</w:t>
      </w:r>
      <w:r>
        <w:rPr>
          <w:rFonts w:hint="eastAsia" w:ascii="仿宋_GB2312" w:hAnsi="仿宋_GB2312" w:eastAsia="仿宋_GB2312" w:cs="仿宋_GB2312"/>
          <w:kern w:val="0"/>
          <w:sz w:val="32"/>
          <w:szCs w:val="32"/>
          <w:highlight w:val="none"/>
          <w:lang w:bidi="ar"/>
        </w:rPr>
        <w:t>》</w:t>
      </w:r>
    </w:p>
    <w:p>
      <w:pPr>
        <w:ind w:firstLine="640" w:firstLineChars="200"/>
        <w:rPr>
          <w:rFonts w:hint="eastAsia" w:eastAsia="仿宋_GB2312"/>
          <w:lang w:val="en-US" w:eastAsia="zh-CN"/>
        </w:rPr>
      </w:pPr>
      <w:r>
        <w:rPr>
          <w:rFonts w:hint="default" w:ascii="仿宋_GB2312" w:hAnsi="仿宋_GB2312" w:eastAsia="仿宋_GB2312" w:cs="仿宋_GB2312"/>
          <w:kern w:val="0"/>
          <w:sz w:val="32"/>
          <w:szCs w:val="32"/>
          <w:highlight w:val="none"/>
          <w:lang w:val="en-US" w:bidi="ar"/>
        </w:rPr>
        <w:t>2.</w:t>
      </w:r>
      <w:r>
        <w:rPr>
          <w:rFonts w:hint="eastAsia" w:ascii="仿宋_GB2312" w:hAnsi="仿宋_GB2312" w:eastAsia="仿宋_GB2312" w:cs="仿宋_GB2312"/>
          <w:kern w:val="0"/>
          <w:sz w:val="32"/>
          <w:szCs w:val="32"/>
          <w:highlight w:val="none"/>
          <w:lang w:val="en-US" w:eastAsia="zh-CN" w:bidi="ar"/>
        </w:rPr>
        <w:t>《广东省城乡规划条例》</w:t>
      </w:r>
    </w:p>
    <w:p>
      <w:pPr>
        <w:pStyle w:val="2"/>
        <w:ind w:firstLine="643" w:firstLineChars="200"/>
        <w:rPr>
          <w:rFonts w:hint="eastAsia" w:ascii="仿宋_GB2312" w:hAnsi="仿宋_GB2312" w:eastAsia="仿宋_GB2312" w:cs="仿宋_GB2312"/>
          <w:b/>
          <w:bCs/>
          <w:kern w:val="0"/>
          <w:sz w:val="32"/>
          <w:szCs w:val="32"/>
          <w:highlight w:val="none"/>
          <w:lang w:bidi="ar"/>
        </w:rPr>
      </w:pPr>
      <w:r>
        <w:rPr>
          <w:rFonts w:hint="eastAsia" w:ascii="仿宋_GB2312" w:hAnsi="仿宋_GB2312" w:eastAsia="仿宋_GB2312" w:cs="仿宋_GB2312"/>
          <w:b/>
          <w:bCs/>
          <w:kern w:val="0"/>
          <w:sz w:val="32"/>
          <w:szCs w:val="32"/>
          <w:highlight w:val="none"/>
          <w:lang w:bidi="ar"/>
        </w:rPr>
        <w:t>（二）政策文件</w:t>
      </w:r>
    </w:p>
    <w:p>
      <w:pPr>
        <w:ind w:firstLine="640" w:firstLineChars="200"/>
        <w:rPr>
          <w:rFonts w:hint="eastAsia" w:ascii="仿宋_GB2312" w:hAnsi="仿宋_GB2312" w:eastAsia="仿宋_GB2312" w:cs="仿宋_GB2312"/>
          <w:b w:val="0"/>
          <w:bCs w:val="0"/>
          <w:kern w:val="0"/>
          <w:sz w:val="32"/>
          <w:szCs w:val="32"/>
          <w:highlight w:val="none"/>
          <w:lang w:val="en-US" w:eastAsia="zh-CN" w:bidi="ar"/>
        </w:rPr>
      </w:pPr>
      <w:r>
        <w:rPr>
          <w:rFonts w:hint="default" w:ascii="仿宋_GB2312" w:hAnsi="仿宋_GB2312" w:eastAsia="仿宋_GB2312" w:cs="仿宋_GB2312"/>
          <w:b w:val="0"/>
          <w:bCs w:val="0"/>
          <w:kern w:val="0"/>
          <w:sz w:val="32"/>
          <w:szCs w:val="32"/>
          <w:highlight w:val="none"/>
          <w:lang w:val="en-US" w:bidi="ar"/>
        </w:rPr>
        <w:t>1.</w:t>
      </w:r>
      <w:r>
        <w:rPr>
          <w:rFonts w:hint="eastAsia" w:ascii="仿宋_GB2312" w:hAnsi="仿宋_GB2312" w:eastAsia="仿宋_GB2312" w:cs="仿宋_GB2312"/>
          <w:b w:val="0"/>
          <w:bCs w:val="0"/>
          <w:kern w:val="0"/>
          <w:sz w:val="32"/>
          <w:szCs w:val="32"/>
          <w:highlight w:val="none"/>
          <w:lang w:val="en-US" w:eastAsia="zh-CN" w:bidi="ar"/>
        </w:rPr>
        <w:t>《自然资源部关于深化规划用地“多审合一、多证合一”改革的通知》</w:t>
      </w:r>
    </w:p>
    <w:p>
      <w:pPr>
        <w:ind w:firstLine="640" w:firstLineChars="200"/>
        <w:rPr>
          <w:rFonts w:hint="eastAsia" w:ascii="仿宋_GB2312" w:hAnsi="仿宋_GB2312" w:eastAsia="仿宋_GB2312" w:cs="仿宋_GB2312"/>
          <w:b w:val="0"/>
          <w:bCs w:val="0"/>
          <w:kern w:val="0"/>
          <w:sz w:val="32"/>
          <w:szCs w:val="32"/>
          <w:highlight w:val="none"/>
          <w:lang w:val="en-US" w:eastAsia="zh-CN" w:bidi="ar"/>
        </w:rPr>
      </w:pPr>
    </w:p>
    <w:p>
      <w:pPr>
        <w:pStyle w:val="2"/>
        <w:numPr>
          <w:ilvl w:val="0"/>
          <w:numId w:val="0"/>
        </w:numPr>
        <w:ind w:firstLine="640" w:firstLineChars="200"/>
        <w:rPr>
          <w:rFonts w:ascii="仿宋_GB2312" w:hAnsi="仿宋_GB2312" w:eastAsia="仿宋_GB2312" w:cs="仿宋_GB2312"/>
          <w:kern w:val="0"/>
          <w:sz w:val="32"/>
          <w:szCs w:val="32"/>
          <w:highlight w:val="none"/>
          <w:lang w:bidi="ar"/>
        </w:rPr>
      </w:pPr>
      <w:r>
        <w:rPr>
          <w:rFonts w:hint="default" w:ascii="仿宋_GB2312" w:hAnsi="仿宋_GB2312" w:eastAsia="仿宋_GB2312" w:cs="仿宋_GB2312"/>
          <w:kern w:val="0"/>
          <w:sz w:val="32"/>
          <w:szCs w:val="32"/>
          <w:highlight w:val="none"/>
          <w:lang w:val="en-US" w:bidi="ar"/>
        </w:rPr>
        <w:t>2.</w:t>
      </w:r>
      <w:r>
        <w:rPr>
          <w:rFonts w:hint="eastAsia" w:ascii="仿宋_GB2312" w:hAnsi="仿宋_GB2312" w:eastAsia="仿宋_GB2312" w:cs="仿宋_GB2312"/>
          <w:kern w:val="0"/>
          <w:sz w:val="32"/>
          <w:szCs w:val="32"/>
          <w:highlight w:val="none"/>
          <w:lang w:bidi="ar"/>
        </w:rPr>
        <w:t>《广东省人民政府办公厅关于全面推进城镇老旧小区改造工作的实施意见》（粤府办〔2021〕3号）</w:t>
      </w:r>
    </w:p>
    <w:p>
      <w:pPr>
        <w:numPr>
          <w:ilvl w:val="0"/>
          <w:numId w:val="0"/>
        </w:numPr>
        <w:ind w:firstLine="640" w:firstLineChars="200"/>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val="en-US"/>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《广东省自然资源厅关于继续深化若干规划用地改革事项的通知》（粤自然资函〔2020〕552号）</w:t>
      </w:r>
    </w:p>
    <w:p>
      <w:pPr>
        <w:numPr>
          <w:ilvl w:val="0"/>
          <w:numId w:val="0"/>
        </w:numPr>
        <w:ind w:firstLine="640" w:firstLineChars="200"/>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val="en-US"/>
        </w:rPr>
        <w:t>4.</w:t>
      </w:r>
      <w:r>
        <w:rPr>
          <w:rFonts w:hint="eastAsia" w:ascii="仿宋_GB2312" w:hAnsi="仿宋_GB2312" w:eastAsia="仿宋_GB2312" w:cs="仿宋_GB2312"/>
          <w:sz w:val="32"/>
          <w:szCs w:val="32"/>
        </w:rPr>
        <w:t>《汕尾市工程建设项目设计方案审查实施细则》</w:t>
      </w:r>
    </w:p>
    <w:p>
      <w:pPr>
        <w:numPr>
          <w:ilvl w:val="0"/>
          <w:numId w:val="0"/>
        </w:numPr>
        <w:ind w:firstLine="640" w:firstLineChars="200"/>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val="en-US"/>
        </w:rPr>
        <w:t>5.</w:t>
      </w:r>
      <w:r>
        <w:rPr>
          <w:rFonts w:hint="eastAsia" w:ascii="仿宋_GB2312" w:hAnsi="仿宋_GB2312" w:eastAsia="仿宋_GB2312" w:cs="仿宋_GB2312"/>
          <w:sz w:val="32"/>
          <w:szCs w:val="32"/>
        </w:rPr>
        <w:t>《广东省发展改革委 广东省自然资源厅 广东省农业农村厅关于印发村庄建设项目施行简易审批实施意见的通知》（粤发改农经〔2021〕146号）</w:t>
      </w:r>
    </w:p>
    <w:p>
      <w:pPr>
        <w:numPr>
          <w:ilvl w:val="0"/>
          <w:numId w:val="0"/>
        </w:numPr>
        <w:ind w:firstLine="640" w:firstLineChars="200"/>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val="en-US"/>
        </w:rPr>
        <w:t>6.</w:t>
      </w:r>
      <w:r>
        <w:rPr>
          <w:rFonts w:hint="eastAsia" w:ascii="仿宋_GB2312" w:hAnsi="仿宋_GB2312" w:eastAsia="仿宋_GB2312" w:cs="仿宋_GB2312"/>
          <w:sz w:val="32"/>
          <w:szCs w:val="32"/>
        </w:rPr>
        <w:t>《广东省交通运输厅 广东省财政厅 广东省自然资源厅 广东省林业局关于印发 进一步加强农村公路建设管理的实施意见的通知》</w:t>
      </w:r>
    </w:p>
    <w:p>
      <w:pPr>
        <w:numPr>
          <w:ilvl w:val="0"/>
          <w:numId w:val="0"/>
        </w:numPr>
        <w:ind w:firstLine="640" w:firstLineChars="200"/>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val="en-US"/>
        </w:rPr>
        <w:t>7.</w:t>
      </w:r>
      <w:r>
        <w:rPr>
          <w:rFonts w:hint="eastAsia" w:ascii="仿宋_GB2312" w:hAnsi="仿宋_GB2312" w:eastAsia="仿宋_GB2312" w:cs="仿宋_GB2312"/>
          <w:sz w:val="32"/>
          <w:szCs w:val="32"/>
        </w:rPr>
        <w:t>《广东省自然资源厅关于印发〈广东省乡村振兴用地政策指引〉的通知》（粤自然资函〔2022〕1144号）</w:t>
      </w:r>
    </w:p>
    <w:p>
      <w:pPr>
        <w:numPr>
          <w:ilvl w:val="0"/>
          <w:numId w:val="0"/>
        </w:numPr>
        <w:ind w:firstLine="640" w:firstLineChars="200"/>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val="en-US"/>
        </w:rPr>
        <w:t>8</w:t>
      </w:r>
      <w:r>
        <w:rPr>
          <w:rFonts w:hint="eastAsia" w:ascii="仿宋_GB2312" w:hAnsi="仿宋_GB2312" w:eastAsia="仿宋_GB2312" w:cs="仿宋_GB2312"/>
          <w:sz w:val="32"/>
          <w:szCs w:val="32"/>
        </w:rPr>
        <w:t>. 广东省自然资源厅　广东省发展和改革委员会　广东省农业农村厅　广东省林业局关于保障农村一二三产业融合发展用地促进乡村振兴的指导意见</w:t>
      </w:r>
    </w:p>
    <w:p>
      <w:pPr>
        <w:numPr>
          <w:ilvl w:val="0"/>
          <w:numId w:val="0"/>
        </w:numPr>
        <w:ind w:firstLine="640" w:firstLineChars="200"/>
        <w:rPr>
          <w:rFonts w:ascii="仿宋_GB2312" w:hAnsi="仿宋_GB2312" w:eastAsia="仿宋_GB2312" w:cs="仿宋_GB2312"/>
          <w:b/>
          <w:bCs/>
          <w:kern w:val="0"/>
          <w:sz w:val="32"/>
          <w:szCs w:val="32"/>
          <w:highlight w:val="none"/>
          <w:lang w:bidi="ar"/>
        </w:rPr>
      </w:pPr>
      <w:r>
        <w:rPr>
          <w:rStyle w:val="6"/>
          <w:rFonts w:hint="default" w:ascii="仿宋_GB2312" w:hAnsi="仿宋_GB2312" w:eastAsia="仿宋_GB2312" w:cs="仿宋_GB2312"/>
          <w:sz w:val="32"/>
          <w:szCs w:val="32"/>
          <w:lang w:val="en-US" w:eastAsia="zh-CN" w:bidi="ar"/>
        </w:rPr>
        <w:t>9.</w:t>
      </w:r>
      <w:r>
        <w:rPr>
          <w:rStyle w:val="6"/>
          <w:rFonts w:hint="eastAsia" w:ascii="仿宋_GB2312" w:hAnsi="仿宋_GB2312" w:eastAsia="仿宋_GB2312" w:cs="仿宋_GB2312"/>
          <w:sz w:val="32"/>
          <w:szCs w:val="32"/>
          <w:lang w:val="en-US" w:eastAsia="zh-CN" w:bidi="ar"/>
        </w:rPr>
        <w:t>《汕尾市既有住宅加装电梯管理暂行办法》</w:t>
      </w:r>
    </w:p>
    <w:p>
      <w:pPr>
        <w:numPr>
          <w:ilvl w:val="0"/>
          <w:numId w:val="0"/>
        </w:numPr>
        <w:ind w:firstLine="640" w:firstLineChars="200"/>
        <w:rPr>
          <w:rFonts w:hint="eastAsia" w:ascii="仿宋_GB2312" w:hAnsi="仿宋_GB2312" w:eastAsia="仿宋_GB2312" w:cs="仿宋_GB2312"/>
          <w:b w:val="0"/>
          <w:bCs w:val="0"/>
          <w:kern w:val="0"/>
          <w:sz w:val="32"/>
          <w:szCs w:val="32"/>
          <w:highlight w:val="none"/>
          <w:lang w:val="en-US" w:eastAsia="zh-CN" w:bidi="ar"/>
        </w:rPr>
      </w:pPr>
      <w:r>
        <w:rPr>
          <w:rFonts w:hint="default" w:ascii="仿宋_GB2312" w:hAnsi="仿宋_GB2312" w:eastAsia="仿宋_GB2312" w:cs="仿宋_GB2312"/>
          <w:b w:val="0"/>
          <w:bCs w:val="0"/>
          <w:kern w:val="0"/>
          <w:sz w:val="32"/>
          <w:szCs w:val="32"/>
          <w:highlight w:val="none"/>
          <w:lang w:val="en-US" w:bidi="ar"/>
        </w:rPr>
        <w:t>10.</w:t>
      </w:r>
      <w:r>
        <w:rPr>
          <w:rFonts w:hint="eastAsia" w:ascii="仿宋_GB2312" w:hAnsi="仿宋_GB2312" w:eastAsia="仿宋_GB2312" w:cs="仿宋_GB2312"/>
          <w:b w:val="0"/>
          <w:bCs w:val="0"/>
          <w:kern w:val="0"/>
          <w:sz w:val="32"/>
          <w:szCs w:val="32"/>
          <w:highlight w:val="none"/>
          <w:lang w:bidi="ar"/>
        </w:rPr>
        <w:t>《广东省推进分布式光伏高质量发展行动方案》</w:t>
      </w:r>
    </w:p>
    <w:p>
      <w:pPr>
        <w:numPr>
          <w:ilvl w:val="0"/>
          <w:numId w:val="0"/>
        </w:numPr>
        <w:ind w:firstLine="643" w:firstLineChars="200"/>
        <w:rPr>
          <w:rFonts w:hint="eastAsia" w:ascii="仿宋_GB2312" w:hAnsi="仿宋_GB2312" w:eastAsia="仿宋_GB2312" w:cs="仿宋_GB2312"/>
          <w:b w:val="0"/>
          <w:bCs w:val="0"/>
          <w:kern w:val="0"/>
          <w:sz w:val="32"/>
          <w:szCs w:val="32"/>
          <w:highlight w:val="none"/>
          <w:lang w:val="en-US" w:eastAsia="zh-CN" w:bidi="ar"/>
        </w:rPr>
      </w:pPr>
      <w:r>
        <w:rPr>
          <w:rFonts w:hint="eastAsia" w:ascii="仿宋_GB2312" w:hAnsi="仿宋_GB2312" w:eastAsia="仿宋_GB2312" w:cs="仿宋_GB2312"/>
          <w:b/>
          <w:bCs/>
          <w:kern w:val="0"/>
          <w:sz w:val="32"/>
          <w:szCs w:val="32"/>
          <w:highlight w:val="none"/>
          <w:lang w:val="en-US" w:eastAsia="zh-CN" w:bidi="ar"/>
        </w:rPr>
        <w:t>（三）技术规范</w:t>
      </w:r>
    </w:p>
    <w:p>
      <w:pPr>
        <w:numPr>
          <w:ilvl w:val="0"/>
          <w:numId w:val="0"/>
        </w:numPr>
        <w:ind w:firstLine="640" w:firstLineChars="200"/>
        <w:rPr>
          <w:rFonts w:hint="default" w:ascii="仿宋_GB2312" w:hAnsi="仿宋_GB2312" w:eastAsia="仿宋_GB2312" w:cs="仿宋_GB2312"/>
          <w:b w:val="0"/>
          <w:bCs w:val="0"/>
          <w:kern w:val="0"/>
          <w:sz w:val="32"/>
          <w:szCs w:val="32"/>
          <w:highlight w:val="none"/>
          <w:lang w:val="en-US" w:eastAsia="zh-CN" w:bidi="ar"/>
        </w:rPr>
      </w:pPr>
      <w:r>
        <w:rPr>
          <w:rFonts w:hint="default" w:ascii="仿宋_GB2312" w:hAnsi="仿宋_GB2312" w:eastAsia="仿宋_GB2312" w:cs="仿宋_GB2312"/>
          <w:b w:val="0"/>
          <w:bCs w:val="0"/>
          <w:kern w:val="0"/>
          <w:sz w:val="32"/>
          <w:szCs w:val="32"/>
          <w:highlight w:val="none"/>
          <w:lang w:val="en-US" w:eastAsia="zh-CN" w:bidi="ar"/>
        </w:rPr>
        <w:t>1.《建筑工程建筑面积计算规范》</w:t>
      </w:r>
    </w:p>
    <w:p>
      <w:pPr>
        <w:numPr>
          <w:ilvl w:val="0"/>
          <w:numId w:val="0"/>
        </w:numPr>
        <w:ind w:firstLine="643" w:firstLineChars="200"/>
        <w:rPr>
          <w:rFonts w:ascii="仿宋_GB2312" w:hAnsi="仿宋_GB2312" w:eastAsia="仿宋_GB2312" w:cs="仿宋_GB2312"/>
          <w:b/>
          <w:bCs/>
          <w:kern w:val="0"/>
          <w:sz w:val="32"/>
          <w:szCs w:val="32"/>
          <w:highlight w:val="none"/>
          <w:lang w:bidi="ar"/>
        </w:rPr>
      </w:pPr>
      <w:r>
        <w:rPr>
          <w:rFonts w:hint="eastAsia" w:ascii="仿宋_GB2312" w:hAnsi="仿宋_GB2312" w:eastAsia="仿宋_GB2312" w:cs="仿宋_GB2312"/>
          <w:b/>
          <w:bCs/>
          <w:kern w:val="0"/>
          <w:sz w:val="32"/>
          <w:szCs w:val="32"/>
          <w:highlight w:val="none"/>
          <w:lang w:eastAsia="zh-CN" w:bidi="ar"/>
        </w:rPr>
        <w:t>（</w:t>
      </w:r>
      <w:r>
        <w:rPr>
          <w:rFonts w:hint="eastAsia" w:ascii="仿宋_GB2312" w:hAnsi="仿宋_GB2312" w:eastAsia="仿宋_GB2312" w:cs="仿宋_GB2312"/>
          <w:b/>
          <w:bCs/>
          <w:kern w:val="0"/>
          <w:sz w:val="32"/>
          <w:szCs w:val="32"/>
          <w:highlight w:val="none"/>
          <w:lang w:val="en-US" w:eastAsia="zh-CN" w:bidi="ar"/>
        </w:rPr>
        <w:t>四</w:t>
      </w:r>
      <w:r>
        <w:rPr>
          <w:rFonts w:hint="eastAsia" w:ascii="仿宋_GB2312" w:hAnsi="仿宋_GB2312" w:eastAsia="仿宋_GB2312" w:cs="仿宋_GB2312"/>
          <w:b/>
          <w:bCs/>
          <w:kern w:val="0"/>
          <w:sz w:val="32"/>
          <w:szCs w:val="32"/>
          <w:highlight w:val="none"/>
          <w:lang w:eastAsia="zh-CN" w:bidi="ar"/>
        </w:rPr>
        <w:t>）</w:t>
      </w:r>
      <w:r>
        <w:rPr>
          <w:rFonts w:hint="eastAsia" w:ascii="仿宋_GB2312" w:hAnsi="仿宋_GB2312" w:eastAsia="仿宋_GB2312" w:cs="仿宋_GB2312"/>
          <w:b/>
          <w:bCs/>
          <w:kern w:val="0"/>
          <w:sz w:val="32"/>
          <w:szCs w:val="32"/>
          <w:highlight w:val="none"/>
          <w:lang w:bidi="ar"/>
        </w:rPr>
        <w:t>参考依据</w:t>
      </w:r>
    </w:p>
    <w:p>
      <w:pPr>
        <w:pStyle w:val="2"/>
        <w:numPr>
          <w:ilvl w:val="0"/>
          <w:numId w:val="3"/>
        </w:numPr>
        <w:ind w:left="0" w:firstLine="640" w:firstLineChars="200"/>
        <w:rPr>
          <w:rFonts w:ascii="仿宋_GB2312" w:hAnsi="仿宋_GB2312" w:eastAsia="仿宋_GB2312" w:cs="仿宋_GB2312"/>
          <w:kern w:val="0"/>
          <w:sz w:val="32"/>
          <w:szCs w:val="32"/>
          <w:highlight w:val="none"/>
          <w:lang w:bidi="ar"/>
        </w:rPr>
      </w:pPr>
      <w:r>
        <w:rPr>
          <w:rFonts w:hint="eastAsia" w:ascii="仿宋_GB2312" w:hAnsi="仿宋_GB2312" w:eastAsia="仿宋_GB2312" w:cs="仿宋_GB2312"/>
          <w:kern w:val="0"/>
          <w:sz w:val="32"/>
          <w:szCs w:val="32"/>
          <w:highlight w:val="none"/>
          <w:lang w:bidi="ar"/>
        </w:rPr>
        <w:t>《佛山市建设工程规划许可、乡村建设规划许可豁免项目清单（2025版）》</w:t>
      </w:r>
    </w:p>
    <w:p>
      <w:pPr>
        <w:pStyle w:val="2"/>
        <w:numPr>
          <w:ilvl w:val="0"/>
          <w:numId w:val="3"/>
        </w:numPr>
        <w:ind w:left="0" w:firstLine="640" w:firstLineChars="200"/>
        <w:rPr>
          <w:rFonts w:ascii="仿宋_GB2312" w:hAnsi="仿宋_GB2312" w:eastAsia="仿宋_GB2312" w:cs="仿宋_GB2312"/>
          <w:kern w:val="0"/>
          <w:sz w:val="32"/>
          <w:szCs w:val="32"/>
          <w:highlight w:val="none"/>
          <w:lang w:bidi="ar"/>
        </w:rPr>
      </w:pPr>
      <w:r>
        <w:rPr>
          <w:rFonts w:hint="eastAsia" w:ascii="仿宋_GB2312" w:hAnsi="仿宋_GB2312" w:eastAsia="仿宋_GB2312" w:cs="仿宋_GB2312"/>
          <w:kern w:val="0"/>
          <w:sz w:val="32"/>
          <w:szCs w:val="32"/>
          <w:highlight w:val="none"/>
          <w:lang w:bidi="ar"/>
        </w:rPr>
        <w:t>《珠海市建筑类建设工程规划许可证豁免清单（2024版）》</w:t>
      </w:r>
    </w:p>
    <w:p>
      <w:pPr>
        <w:keepLines/>
        <w:spacing w:line="600" w:lineRule="exact"/>
        <w:ind w:firstLine="640" w:firstLineChars="200"/>
        <w:jc w:val="left"/>
        <w:rPr>
          <w:rFonts w:hint="eastAsia" w:ascii="黑体" w:hAnsi="黑体" w:eastAsia="黑体" w:cs="黑体"/>
          <w:kern w:val="0"/>
          <w:sz w:val="32"/>
          <w:szCs w:val="32"/>
          <w:highlight w:val="none"/>
          <w:lang w:val="en-US" w:eastAsia="zh-CN" w:bidi="ar"/>
        </w:rPr>
      </w:pPr>
      <w:r>
        <w:rPr>
          <w:rFonts w:hint="eastAsia" w:ascii="黑体" w:hAnsi="黑体" w:eastAsia="黑体" w:cs="黑体"/>
          <w:kern w:val="0"/>
          <w:sz w:val="32"/>
          <w:szCs w:val="32"/>
          <w:highlight w:val="none"/>
          <w:lang w:val="en-US" w:eastAsia="zh-CN" w:bidi="ar"/>
        </w:rPr>
        <w:t>三、主要内容</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《汕尾市建设工程规划许可、乡村建设规划许可豁免项目清单》</w:t>
      </w:r>
      <w:r>
        <w:rPr>
          <w:rFonts w:hint="eastAsia" w:ascii="仿宋_GB2312" w:hAnsi="仿宋_GB2312" w:eastAsia="仿宋_GB2312" w:cs="仿宋_GB2312"/>
          <w:sz w:val="32"/>
          <w:szCs w:val="32"/>
          <w:lang w:val="en-US" w:eastAsia="zh-CN"/>
        </w:rPr>
        <w:t>主要包括：免于办理规划许可的情形、经审查免于办理了规划许可的情形、无需管理规划许可的情形及其他事项，共四条二十四小项，说明如下：</w:t>
      </w:r>
    </w:p>
    <w:p>
      <w:pPr>
        <w:keepNext w:val="0"/>
        <w:keepLines w:val="0"/>
        <w:widowControl/>
        <w:numPr>
          <w:ilvl w:val="0"/>
          <w:numId w:val="0"/>
        </w:numPr>
        <w:suppressLineNumbers w:val="0"/>
        <w:shd w:val="clear"/>
        <w:ind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（一）第一类为免于办理规划许可类，其中六项为上位政策法规及《汕尾市工程建设项目设计方案审查实施细则》已明确为免办事项的，部分事项我局结合我市实际情况做进一步优化。第</w:t>
      </w:r>
      <w:r>
        <w:rPr>
          <w:rFonts w:hint="default"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lang w:val="en-US" w:eastAsia="zh-CN"/>
        </w:rPr>
        <w:t>项为新增内容，包括</w:t>
      </w:r>
      <w:r>
        <w:rPr>
          <w:rStyle w:val="6"/>
          <w:rFonts w:hint="eastAsia" w:ascii="仿宋_GB2312" w:hAnsi="仿宋_GB2312" w:eastAsia="仿宋_GB2312" w:cs="仿宋_GB2312"/>
          <w:sz w:val="32"/>
          <w:szCs w:val="32"/>
          <w:lang w:val="en-US" w:eastAsia="zh-CN" w:bidi="ar"/>
        </w:rPr>
        <w:t>无柱雨篷；不涉及城市道路的管线工程，建设项目排水接出外线工程；现状地下管线或架空敷设管线进行检测、清理、更换、维修、穿管施工，以及非市政主干管的雨污分流改造、二次供水设施改造等工程；在道路原有红线内各种道路维修整治工程，宽8米以下的道路及步道建设工程；</w:t>
      </w:r>
      <w:r>
        <w:rPr>
          <w:rStyle w:val="6"/>
          <w:rFonts w:hint="eastAsia" w:ascii="仿宋_GB2312" w:hAnsi="仿宋_GB2312" w:eastAsia="仿宋_GB2312" w:cs="仿宋_GB2312"/>
          <w:sz w:val="32"/>
          <w:szCs w:val="32"/>
          <w:highlight w:val="none"/>
          <w:lang w:val="en-US" w:eastAsia="zh-CN" w:bidi="ar"/>
        </w:rPr>
        <w:t>对符合国土空间规划和用途管制的农村零星公共服务设施、基础设施项目以及农业种养设施项目，免于办理乡村建设规划许可证。</w:t>
      </w:r>
    </w:p>
    <w:p>
      <w:pPr>
        <w:numPr>
          <w:ilvl w:val="0"/>
          <w:numId w:val="0"/>
        </w:num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（二）第二类为经审查后，免于办理规划许可类，除第</w:t>
      </w:r>
      <w:r>
        <w:rPr>
          <w:rFonts w:hint="default"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en-US" w:eastAsia="zh-CN"/>
        </w:rPr>
        <w:t>项为上位政策文件明确免办事项，其余均为新增内容，具体包括：</w:t>
      </w:r>
      <w:r>
        <w:rPr>
          <w:rStyle w:val="6"/>
          <w:rFonts w:hint="eastAsia" w:ascii="仿宋_GB2312" w:hAnsi="仿宋_GB2312" w:eastAsia="仿宋_GB2312" w:cs="仿宋_GB2312"/>
          <w:sz w:val="32"/>
          <w:szCs w:val="32"/>
          <w:lang w:val="en-US" w:eastAsia="zh-CN" w:bidi="ar"/>
        </w:rPr>
        <w:t>符合《汕尾市既有住宅加装电梯管理暂行办法》适用条件的既有住宅加装电梯工程；外立面局部更新和改造；既有用地红线范围内，在空地上建设无基础、可移动且可拆卸的建（构）筑物；既有用地红线范围内，在空地上建设无基础、可移动且可拆卸的建（构）筑物；已建成的“平急两用”公共基础设施项目为满足“平转急”功能转换而搭建的建（构）筑物。</w:t>
      </w:r>
    </w:p>
    <w:p>
      <w:pPr>
        <w:numPr>
          <w:ilvl w:val="0"/>
          <w:numId w:val="0"/>
        </w:num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第三类为无需办理规划许可类，均为新增事项，根据《中华人民共和国城乡规划法》第四十条和第四十一条规定的《建设工程规划许可》和《乡村建设规划许可》的核发范围，第三类内容属于设施设备类、可移动式成品类或临时型搭建类，不属于永久使用的建构筑物，无需核发建设工程规划许可。</w:t>
      </w:r>
    </w:p>
    <w:p>
      <w:pPr>
        <w:numPr>
          <w:ilvl w:val="0"/>
          <w:numId w:val="0"/>
        </w:num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（四）第四条为其他，规定了包括征求相关部门的意见、符合相关法律要求等程序性或合法合规性要求，及清单</w:t>
      </w:r>
      <w:bookmarkStart w:id="1" w:name="_GoBack"/>
      <w:bookmarkEnd w:id="1"/>
      <w:r>
        <w:rPr>
          <w:rFonts w:hint="eastAsia" w:ascii="仿宋_GB2312" w:hAnsi="仿宋_GB2312" w:eastAsia="仿宋_GB2312" w:cs="仿宋_GB2312"/>
          <w:sz w:val="32"/>
          <w:szCs w:val="32"/>
          <w:lang w:val="en-US" w:eastAsia="zh-CN"/>
        </w:rPr>
        <w:t>的动态更新。</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ZXBSJW--GB1-0">
    <w:altName w:val="ESRI AMFM Electric"/>
    <w:panose1 w:val="00000000000000000000"/>
    <w:charset w:val="00"/>
    <w:family w:val="auto"/>
    <w:pitch w:val="default"/>
    <w:sig w:usb0="00000000" w:usb1="00000000" w:usb2="00000000" w:usb3="00000000" w:csb0="00000000" w:csb1="00000000"/>
  </w:font>
  <w:font w:name="ESRI AMFM Electric">
    <w:panose1 w:val="02000400000000000000"/>
    <w:charset w:val="00"/>
    <w:family w:val="auto"/>
    <w:pitch w:val="default"/>
    <w:sig w:usb0="00000003"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234E63"/>
    <w:multiLevelType w:val="singleLevel"/>
    <w:tmpl w:val="E4234E63"/>
    <w:lvl w:ilvl="0" w:tentative="0">
      <w:start w:val="1"/>
      <w:numFmt w:val="decimal"/>
      <w:suff w:val="nothing"/>
      <w:lvlText w:val="%1."/>
      <w:lvlJc w:val="left"/>
      <w:pPr>
        <w:ind w:left="425" w:hanging="425"/>
      </w:pPr>
      <w:rPr>
        <w:rFonts w:hint="default"/>
      </w:rPr>
    </w:lvl>
  </w:abstractNum>
  <w:abstractNum w:abstractNumId="1">
    <w:nsid w:val="43F8BDBB"/>
    <w:multiLevelType w:val="singleLevel"/>
    <w:tmpl w:val="43F8BDBB"/>
    <w:lvl w:ilvl="0" w:tentative="0">
      <w:start w:val="1"/>
      <w:numFmt w:val="decimal"/>
      <w:suff w:val="nothing"/>
      <w:lvlText w:val="%1."/>
      <w:lvlJc w:val="left"/>
      <w:pPr>
        <w:ind w:left="425" w:hanging="425"/>
      </w:pPr>
      <w:rPr>
        <w:rFonts w:hint="default"/>
      </w:rPr>
    </w:lvl>
  </w:abstractNum>
  <w:abstractNum w:abstractNumId="2">
    <w:nsid w:val="568471E0"/>
    <w:multiLevelType w:val="singleLevel"/>
    <w:tmpl w:val="568471E0"/>
    <w:lvl w:ilvl="0" w:tentative="0">
      <w:start w:val="2"/>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CD31D8"/>
    <w:rsid w:val="0B9B498D"/>
    <w:rsid w:val="17766133"/>
    <w:rsid w:val="66CD31D8"/>
    <w:rsid w:val="72D7178F"/>
    <w:rsid w:val="7F1579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keepNext/>
      <w:keepLines/>
      <w:spacing w:line="413" w:lineRule="auto"/>
      <w:outlineLvl w:val="2"/>
    </w:pPr>
    <w:rPr>
      <w:rFonts w:ascii="Times New Roman" w:hAnsi="Times New Roman" w:eastAsia="宋体" w:cs="Times New Roman"/>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customStyle="1" w:styleId="5">
    <w:name w:val="fontstyle01"/>
    <w:basedOn w:val="4"/>
    <w:qFormat/>
    <w:uiPriority w:val="0"/>
    <w:rPr>
      <w:rFonts w:ascii="FZXBSJW--GB1-0" w:hAnsi="FZXBSJW--GB1-0" w:eastAsia="FZXBSJW--GB1-0" w:cs="FZXBSJW--GB1-0"/>
      <w:color w:val="000000"/>
      <w:sz w:val="44"/>
      <w:szCs w:val="44"/>
    </w:rPr>
  </w:style>
  <w:style w:type="character" w:customStyle="1" w:styleId="6">
    <w:name w:val="fontstyle31"/>
    <w:basedOn w:val="4"/>
    <w:qFormat/>
    <w:uiPriority w:val="0"/>
    <w:rPr>
      <w:rFonts w:ascii="仿宋_GB2312" w:hAnsi="仿宋_GB2312" w:eastAsia="仿宋_GB2312" w:cs="仿宋_GB2312"/>
      <w:color w:val="000000"/>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2026-04-06T16:38:00Z</dcterms:created>
  <dc:creator>WPS_1528703704</dc:creator>
  <cp:lastModifiedBy>WPS_1528703704</cp:lastModifiedBy>
  <dcterms:modified xsi:type="dcterms:W3CDTF">2026-04-07T10:04:26Z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AD1945343EE24CA7BCAC5C6307FCECAD</vt:lpwstr>
  </property>
</Properties>
</file>