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6F828">
      <w:pPr>
        <w:jc w:val="center"/>
        <w:rPr>
          <w:rFonts w:hint="eastAsia" w:ascii="黑体" w:hAnsi="黑体" w:eastAsia="黑体" w:cs="黑体"/>
          <w:sz w:val="44"/>
          <w:szCs w:val="44"/>
          <w:lang w:val="en-US" w:eastAsia="zh-CN"/>
        </w:rPr>
      </w:pPr>
    </w:p>
    <w:p w14:paraId="09067339">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起草说明</w:t>
      </w:r>
    </w:p>
    <w:p w14:paraId="321B9E09">
      <w:pPr>
        <w:jc w:val="center"/>
        <w:rPr>
          <w:rFonts w:hint="eastAsia" w:ascii="黑体" w:hAnsi="黑体" w:eastAsia="黑体" w:cs="黑体"/>
          <w:sz w:val="44"/>
          <w:szCs w:val="44"/>
          <w:lang w:val="en-US" w:eastAsia="zh-CN"/>
        </w:rPr>
      </w:pPr>
    </w:p>
    <w:p w14:paraId="2903F223">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规范市本级农村集体建设用地审批管理，保障乡村产业、公共设施与公益事业合理用地，落实乡村振兴百千万用地保障要求，我局起草了《汕尾市自然资源局关于明确集体建设用地审批有关事项的通知》（以下简称《通知》），现将起草有关情况说明如下：</w:t>
      </w:r>
    </w:p>
    <w:p w14:paraId="0C933943">
      <w:pPr>
        <w:numPr>
          <w:ilvl w:val="0"/>
          <w:numId w:val="1"/>
        </w:numPr>
        <w:ind w:firstLine="643" w:firstLineChars="20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制定必要性及起草经过</w:t>
      </w:r>
    </w:p>
    <w:p w14:paraId="7D67493E">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0" w:lineRule="atLeast"/>
        <w:ind w:left="0" w:right="0" w:firstLine="640" w:firstLineChars="200"/>
        <w:jc w:val="left"/>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现行《土地管理法》《广东省土地管理条例》仅对集体建设用地作出原则性规定，未细化适用范围、准入条件、分级审批流程等实操细则。日常工作中，各</w:t>
      </w:r>
      <w:r>
        <w:rPr>
          <w:rFonts w:hint="eastAsia" w:ascii="仿宋_GB2312" w:hAnsi="仿宋_GB2312" w:eastAsia="仿宋_GB2312" w:cs="仿宋_GB2312"/>
          <w:sz w:val="32"/>
          <w:szCs w:val="32"/>
          <w:lang w:val="en-US" w:eastAsia="zh-CN"/>
        </w:rPr>
        <w:t>县（市、</w:t>
      </w:r>
      <w:r>
        <w:rPr>
          <w:rFonts w:hint="default"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自然资源部门对</w:t>
      </w:r>
      <w:r>
        <w:rPr>
          <w:rFonts w:hint="eastAsia" w:ascii="仿宋_GB2312" w:hAnsi="仿宋_GB2312" w:eastAsia="仿宋_GB2312" w:cs="仿宋_GB2312"/>
          <w:sz w:val="32"/>
          <w:szCs w:val="32"/>
          <w:lang w:val="en-US" w:eastAsia="zh-CN"/>
        </w:rPr>
        <w:t>乡村</w:t>
      </w:r>
      <w:r>
        <w:rPr>
          <w:rFonts w:hint="default" w:ascii="仿宋_GB2312" w:hAnsi="仿宋_GB2312" w:eastAsia="仿宋_GB2312" w:cs="仿宋_GB2312"/>
          <w:sz w:val="32"/>
          <w:szCs w:val="32"/>
          <w:lang w:val="en-US" w:eastAsia="zh-CN"/>
        </w:rPr>
        <w:t>产业融合用地、集体留用地、村公共设施用地审批口径不一，材料清单、层级报批流程存在执行差异，易出现申报材料反复补正、审批周期拉长等问题，</w:t>
      </w:r>
      <w:r>
        <w:rPr>
          <w:rFonts w:hint="eastAsia" w:ascii="仿宋_GB2312" w:hAnsi="仿宋_GB2312" w:eastAsia="仿宋_GB2312" w:cs="仿宋_GB2312"/>
          <w:sz w:val="32"/>
          <w:szCs w:val="32"/>
          <w:lang w:val="en-US" w:eastAsia="zh-CN"/>
        </w:rPr>
        <w:t>亟须</w:t>
      </w:r>
      <w:r>
        <w:rPr>
          <w:rFonts w:hint="default" w:ascii="仿宋_GB2312" w:hAnsi="仿宋_GB2312" w:eastAsia="仿宋_GB2312" w:cs="仿宋_GB2312"/>
          <w:sz w:val="32"/>
          <w:szCs w:val="32"/>
          <w:lang w:val="en-US" w:eastAsia="zh-CN"/>
        </w:rPr>
        <w:t>出台统一操作规范。为此出台本通知，既能补齐本地制度空白、统一全流程审批标准，盘活集体土地资源以壮大村集体经济，也能明确权属、规划、用途、到期处置等闭环监管要求，厘清不同类型集体用地政策适用范围，有效防范</w:t>
      </w:r>
      <w:r>
        <w:rPr>
          <w:rFonts w:hint="eastAsia" w:ascii="仿宋_GB2312" w:hAnsi="仿宋_GB2312" w:eastAsia="仿宋_GB2312" w:cs="仿宋_GB2312"/>
          <w:sz w:val="32"/>
          <w:szCs w:val="32"/>
          <w:lang w:val="en-US" w:eastAsia="zh-CN"/>
        </w:rPr>
        <w:t>违法用地</w:t>
      </w:r>
      <w:r>
        <w:rPr>
          <w:rFonts w:hint="default" w:ascii="仿宋_GB2312" w:hAnsi="仿宋_GB2312" w:eastAsia="仿宋_GB2312" w:cs="仿宋_GB2312"/>
          <w:sz w:val="32"/>
          <w:szCs w:val="32"/>
          <w:lang w:val="en-US" w:eastAsia="zh-CN"/>
        </w:rPr>
        <w:t>风险，为落实乡村振兴、“百县千镇万村高质量发展工程” 提供坚实用地制度保障。</w:t>
      </w:r>
    </w:p>
    <w:p w14:paraId="4310E1BB">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0" w:lineRule="atLeast"/>
        <w:ind w:left="0" w:right="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市自然资源局全面梳理全市近几年</w:t>
      </w:r>
      <w:r>
        <w:rPr>
          <w:rFonts w:hint="default" w:ascii="仿宋_GB2312" w:hAnsi="仿宋_GB2312" w:eastAsia="仿宋_GB2312" w:cs="仿宋_GB2312"/>
          <w:sz w:val="32"/>
          <w:szCs w:val="32"/>
          <w:lang w:val="en-US" w:eastAsia="zh-CN"/>
        </w:rPr>
        <w:t>集体建设用地审批案例，</w:t>
      </w:r>
      <w:r>
        <w:rPr>
          <w:rFonts w:hint="eastAsia" w:ascii="仿宋_GB2312" w:hAnsi="仿宋_GB2312" w:eastAsia="仿宋_GB2312" w:cs="仿宋_GB2312"/>
          <w:sz w:val="32"/>
          <w:szCs w:val="32"/>
          <w:lang w:val="en-US" w:eastAsia="zh-CN"/>
        </w:rPr>
        <w:t>收集各县（市、区）工作中遇到的难点问题，汇总形成实操问题清单，锚定制度细化方向。严格对照上位法律法规及外地有关工作措施，划分适用范围、审批条件、审批流程、监督管理四大核心板块，完成文件初稿编制。组织局用途管制、规划、确权登记、执法监管等业务科室开展多轮内部研讨，针对跨城镇开发边界村庄规划条件核定、历史遗留不动产确权、留用地指标管理、用地到期处置等争议条款逐一优化完善，形成征求意见稿，并已征求各县（市、区）人民政府、发改、农业农村等行业主管部门意见汇总各方反馈修改完善文稿。</w:t>
      </w:r>
    </w:p>
    <w:p w14:paraId="1307714E">
      <w:pPr>
        <w:numPr>
          <w:ilvl w:val="0"/>
          <w:numId w:val="0"/>
        </w:numPr>
        <w:ind w:firstLine="643" w:firstLineChars="200"/>
        <w:jc w:val="left"/>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二、主要起草内容</w:t>
      </w:r>
    </w:p>
    <w:p w14:paraId="3759AEA9">
      <w:pPr>
        <w:numPr>
          <w:ilvl w:val="0"/>
          <w:numId w:val="0"/>
        </w:numPr>
        <w:ind w:firstLine="640" w:firstLineChars="200"/>
        <w:jc w:val="left"/>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本通知全文包含适用范围、审批条件、审批流程、其它管理要求四大主体内容，核心内容如下：</w:t>
      </w:r>
    </w:p>
    <w:p w14:paraId="06F691A2">
      <w:pPr>
        <w:numPr>
          <w:ilvl w:val="0"/>
          <w:numId w:val="0"/>
        </w:num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lang w:val="en-US" w:eastAsia="zh-CN"/>
        </w:rPr>
        <w:t>划定适用用地范围。一是农村一二三产业融合发展用地，涵盖农产品加工、乡村旅游、电商物流、农贸市场等混合业态，可核定工业、商业、仓储等用地性质；二是镇村级公共设施、公益事业用地，包含行政办公、教育医疗、供水供电、停车场、养老机构等民生配套用地；三是符合国土空间规划、保留集体土地性质的集体留用地。同时明确集体经营性建设用地入市、农村村民住宅审批不适用本文件，点状供地项目集体建设用地可参照执行。</w:t>
      </w:r>
    </w:p>
    <w:p w14:paraId="0DDB7C20">
      <w:pPr>
        <w:numPr>
          <w:ilvl w:val="0"/>
          <w:numId w:val="0"/>
        </w:numPr>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lang w:val="en-US" w:eastAsia="zh-CN"/>
        </w:rPr>
        <w:t>明确审批准入条件。限定申请主体为村集体经济组织或公共利益代表；要求土地权属清晰并完成所有权登记，存量用地完善使用权登记，历史遗留权属问题可按省级文件办理确权，占用农用地、未利用地须先行完成转用审批；用地必须符合法定国土空间规划、控规或村庄规划；项目需完成立项审批或备案手续。</w:t>
      </w:r>
    </w:p>
    <w:p w14:paraId="14AC6461">
      <w:pPr>
        <w:numPr>
          <w:ilvl w:val="0"/>
          <w:numId w:val="0"/>
        </w:num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lang w:val="en-US" w:eastAsia="zh-CN"/>
        </w:rPr>
        <w:t>规范审批流程标准。依次为项目立项、村集体内部表决公示后提交用地申请、镇（街道）初审上报、区分城镇开发边界内外分级核定规划条件并拟定审批方案、区政府（管委会）批复并报市局备案、办理规划许可，实现全流程闭环管理。</w:t>
      </w:r>
    </w:p>
    <w:p w14:paraId="74CF432B">
      <w:pPr>
        <w:numPr>
          <w:ilvl w:val="0"/>
          <w:numId w:val="0"/>
        </w:num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细化配套管理要求。明确集体建设用地使用权登记主体与使用年限参照同类国有土地标准；压实属地自然资源部门用途监管责任；建立产业融合用地留用地指标抵扣、预支机制；规范土地使用权期满续期申请、到期收回及地上附着物处置规则；确定文件仅适用于市本级，陆丰、海丰、陆河县可参照执行，文件试行三年，由市自然资源局负责解释。</w:t>
      </w:r>
    </w:p>
    <w:p w14:paraId="0FB52180">
      <w:pPr>
        <w:numPr>
          <w:ilvl w:val="0"/>
          <w:numId w:val="0"/>
        </w:numPr>
        <w:ind w:firstLine="643" w:firstLineChars="20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三、主要法律政策依据、合理性和可行性</w:t>
      </w:r>
    </w:p>
    <w:p w14:paraId="53DC8523">
      <w:pPr>
        <w:numPr>
          <w:ilvl w:val="0"/>
          <w:numId w:val="0"/>
        </w:numPr>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制定主要依据《中华人民共和国土地管理法》《中华人民共和国城乡规划法》《广东省土地管理条例》，并结合《社旗县集体建设用地使用权审批暂行办法（试行）》《隆昌市农村集体建设用地审批工作实施办法》等外地市集体建设用地管理相关政策文件制定。《通知》贴合汕尾城乡发展实际，精准覆盖乡村产业、民生配套、征地留用地三类高频用地场景，针对性解决基层审批实操盲区；平衡村集体权益与土地监管底线，既简化集体土地开发审批流程、盘活集体资产，又强化用途管制、权属管理，遏制违法用地，具备合理性和可行性。</w:t>
      </w:r>
    </w:p>
    <w:p w14:paraId="39014AE3">
      <w:pPr>
        <w:numPr>
          <w:ilvl w:val="0"/>
          <w:numId w:val="0"/>
        </w:numPr>
        <w:ind w:firstLine="643" w:firstLineChars="20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四、对经济社会各方面可能产生影响的评估分析</w:t>
      </w:r>
    </w:p>
    <w:p w14:paraId="794664DD">
      <w:pPr>
        <w:numPr>
          <w:ilvl w:val="0"/>
          <w:numId w:val="0"/>
        </w:numPr>
        <w:ind w:firstLine="640" w:firstLineChars="200"/>
        <w:jc w:val="left"/>
        <w:rPr>
          <w:rFonts w:hint="eastAsia" w:ascii="仿宋_GB2312" w:hAnsi="仿宋_GB2312" w:eastAsia="仿宋_GB2312" w:cs="仿宋_GB2312"/>
          <w:b w:val="0"/>
          <w:sz w:val="32"/>
          <w:szCs w:val="32"/>
          <w:u w:val="none"/>
          <w:lang w:val="en-US" w:eastAsia="zh-CN"/>
        </w:rPr>
      </w:pPr>
      <w:r>
        <w:rPr>
          <w:rFonts w:hint="eastAsia" w:ascii="仿宋_GB2312" w:hAnsi="仿宋_GB2312" w:eastAsia="仿宋_GB2312" w:cs="仿宋_GB2312"/>
          <w:b w:val="0"/>
          <w:sz w:val="32"/>
          <w:szCs w:val="32"/>
          <w:u w:val="none"/>
          <w:lang w:val="en-US" w:eastAsia="zh-CN"/>
        </w:rPr>
        <w:t>本《通知》施行后，将规范集体土地开发路径，激活农村沉睡土地资源，推动土地资源转化为发展资本，带动乡村投资，助力 “百县千镇万村高质量发展工程” 落地见效。统一全市本级审批标准，减少企业、村集体申报材料反复补正，压缩审批时限，降低市场主体办事成本，提升乡村项目落地便利度。</w:t>
      </w:r>
      <w:bookmarkStart w:id="0" w:name="_GoBack"/>
      <w:bookmarkEnd w:id="0"/>
    </w:p>
    <w:p w14:paraId="6E64ED98">
      <w:pPr>
        <w:numPr>
          <w:ilvl w:val="0"/>
          <w:numId w:val="0"/>
        </w:numPr>
        <w:ind w:firstLine="643" w:firstLineChars="20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五、征求意见情况</w:t>
      </w:r>
    </w:p>
    <w:p w14:paraId="099F4B6E">
      <w:pPr>
        <w:numPr>
          <w:ilvl w:val="0"/>
          <w:numId w:val="0"/>
        </w:numPr>
        <w:adjustRightInd w:val="0"/>
        <w:snapToGrid w:val="0"/>
        <w:spacing w:line="360" w:lineRule="auto"/>
        <w:ind w:firstLine="640" w:firstLineChars="200"/>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本《通知》已经征求了各县（市、区）人民政府、市政府各职能部门的意见，我局根据征集的修改意见对《通知》进行了修改完善。也根据要求公开征求了社会的意见，截至征求意见期限没有收到社会反馈的意见。</w:t>
      </w:r>
    </w:p>
    <w:p w14:paraId="2E6437CC">
      <w:pPr>
        <w:numPr>
          <w:ilvl w:val="0"/>
          <w:numId w:val="0"/>
        </w:numPr>
        <w:adjustRightInd w:val="0"/>
        <w:snapToGrid w:val="0"/>
        <w:spacing w:line="360" w:lineRule="auto"/>
        <w:ind w:firstLine="640" w:firstLineChars="200"/>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特此说明</w:t>
      </w:r>
      <w:r>
        <w:rPr>
          <w:rFonts w:hint="eastAsia" w:ascii="仿宋_GB2312" w:hAnsi="仿宋_GB2312" w:eastAsia="仿宋_GB2312" w:cs="仿宋_GB2312"/>
          <w:b w:val="0"/>
          <w:bCs w:val="0"/>
          <w:color w:val="auto"/>
          <w:kern w:val="2"/>
          <w:sz w:val="32"/>
          <w:szCs w:val="32"/>
          <w:lang w:val="en-US" w:eastAsia="zh-CN" w:bidi="ar-SA"/>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1DA654"/>
    <w:multiLevelType w:val="singleLevel"/>
    <w:tmpl w:val="4E1DA65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606B1"/>
    <w:rsid w:val="042337BE"/>
    <w:rsid w:val="117F17B3"/>
    <w:rsid w:val="1AE67F2F"/>
    <w:rsid w:val="1E42510C"/>
    <w:rsid w:val="24D87D63"/>
    <w:rsid w:val="2585646C"/>
    <w:rsid w:val="28FA0D5C"/>
    <w:rsid w:val="389C3C94"/>
    <w:rsid w:val="49120F38"/>
    <w:rsid w:val="50D01829"/>
    <w:rsid w:val="53172497"/>
    <w:rsid w:val="64EF09EB"/>
    <w:rsid w:val="6F6A791C"/>
    <w:rsid w:val="752346DB"/>
    <w:rsid w:val="78F95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1854</Words>
  <Characters>1854</Characters>
  <Lines>0</Lines>
  <Paragraphs>0</Paragraphs>
  <TotalTime>2</TotalTime>
  <ScaleCrop>false</ScaleCrop>
  <LinksUpToDate>false</LinksUpToDate>
  <CharactersWithSpaces>1857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2026-06-18T07:25:00Z</dcterms:created>
  <dc:creator>Administrator</dc:creator>
  <cp:lastModifiedBy>陈海琛</cp:lastModifiedBy>
  <dcterms:modified xsi:type="dcterms:W3CDTF">2026-06-30T01:15:50Z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eyJoZGlkIjoiZGFkNWM0NWM2ZGU3Yzg0MjUwZTk1Y2ExMGNiNzU4NmIiLCJ1c2VySWQiOiIzNDM3NTQ5NDYifQ==</vt:lpwstr>
  </property>
  <property fmtid="{D5CDD505-2E9C-101B-9397-08002B2CF9AE}" pid="4" name="ICV">
    <vt:lpwstr>E87184670A5D45D6813C04DC9EC03B9F_12</vt:lpwstr>
  </property>
</Properties>
</file>