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A0246">
      <w:pPr>
        <w:spacing w:before="0" w:after="0" w:line="80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起草说明</w:t>
      </w:r>
    </w:p>
    <w:p w14:paraId="6855FFBC">
      <w:pPr>
        <w:snapToGrid w:val="0"/>
        <w:spacing w:before="0" w:after="0" w:line="590" w:lineRule="exact"/>
        <w:ind w:firstLine="642" w:firstLineChars="200"/>
        <w:jc w:val="both"/>
        <w:outlineLvl w:val="0"/>
        <w:rPr>
          <w:rFonts w:hint="eastAsia" w:ascii="黑体" w:hAnsi="黑体" w:eastAsia="黑体" w:cs="Times New Roman"/>
          <w:sz w:val="32"/>
          <w:szCs w:val="32"/>
        </w:rPr>
      </w:pPr>
      <w:r>
        <w:rPr>
          <w:rFonts w:ascii="黑体" w:hAnsi="黑体" w:eastAsia="黑体" w:cs="Times New Roman"/>
          <w:sz w:val="32"/>
          <w:szCs w:val="32"/>
        </w:rPr>
        <w:t>一、</w:t>
      </w:r>
      <w:r>
        <w:rPr>
          <w:rFonts w:hint="eastAsia" w:ascii="黑体" w:hAnsi="黑体" w:eastAsia="黑体" w:cs="Times New Roman"/>
          <w:sz w:val="32"/>
          <w:szCs w:val="32"/>
        </w:rPr>
        <w:t>背景及依据</w:t>
      </w:r>
    </w:p>
    <w:p w14:paraId="4640B400">
      <w:pPr>
        <w:widowControl w:val="0"/>
        <w:adjustRightInd w:val="0"/>
        <w:snapToGrid w:val="0"/>
        <w:spacing w:before="0" w:after="0" w:line="590" w:lineRule="exact"/>
        <w:ind w:firstLine="642" w:firstLineChars="200"/>
        <w:jc w:val="both"/>
        <w:rPr>
          <w:rFonts w:ascii="Times New Roman" w:hAnsi="Times New Roman" w:eastAsia="仿宋_GB2312" w:cs="Times New Roman"/>
          <w:sz w:val="32"/>
          <w:szCs w:val="32"/>
          <w14:ligatures w14:val="none"/>
        </w:rPr>
      </w:pPr>
      <w:r>
        <w:rPr>
          <w:rFonts w:hint="eastAsia" w:ascii="Times New Roman" w:hAnsi="Times New Roman" w:eastAsia="仿宋_GB2312"/>
          <w:sz w:val="32"/>
          <w:szCs w:val="32"/>
        </w:rPr>
        <w:t>根据《中华人民共和国土地管理法》</w:t>
      </w:r>
      <w:r>
        <w:rPr>
          <w:rFonts w:ascii="Times New Roman" w:hAnsi="Times New Roman" w:eastAsia="仿宋_GB2312"/>
          <w:sz w:val="32"/>
          <w:szCs w:val="32"/>
        </w:rPr>
        <w:t>《广东省自然资源厅转发自然资源部办公厅关于做好2022年度自然资源评价评估有关工作的通知》（粤自然资利用〔2022〕1274号）</w:t>
      </w:r>
      <w:r>
        <w:rPr>
          <w:rFonts w:hint="eastAsia" w:ascii="Times New Roman" w:hAnsi="Times New Roman" w:eastAsia="仿宋_GB2312"/>
          <w:sz w:val="32"/>
          <w:szCs w:val="32"/>
        </w:rPr>
        <w:t>等相关文件要求</w:t>
      </w:r>
      <w:r>
        <w:rPr>
          <w:rFonts w:hint="eastAsia" w:ascii="Times New Roman" w:hAnsi="Times New Roman" w:eastAsia="仿宋_GB2312" w:cs="Times New Roman"/>
          <w:sz w:val="32"/>
          <w:szCs w:val="32"/>
          <w14:ligatures w14:val="none"/>
        </w:rPr>
        <w:t>，</w:t>
      </w:r>
      <w:r>
        <w:rPr>
          <w:rFonts w:ascii="Times New Roman" w:hAnsi="Times New Roman" w:eastAsia="仿宋_GB2312" w:cs="Times New Roman"/>
          <w:sz w:val="32"/>
          <w:szCs w:val="32"/>
          <w14:ligatures w14:val="none"/>
        </w:rPr>
        <w:t>推动落实基准地价成果定期制订更新，</w:t>
      </w:r>
      <w:r>
        <w:rPr>
          <w:rFonts w:hint="eastAsia" w:ascii="Times New Roman" w:hAnsi="Times New Roman" w:eastAsia="仿宋_GB2312" w:cs="Times New Roman"/>
          <w:sz w:val="32"/>
          <w:szCs w:val="32"/>
          <w14:ligatures w14:val="none"/>
        </w:rPr>
        <w:t>汕尾市自然资源局</w:t>
      </w:r>
      <w:r>
        <w:rPr>
          <w:rFonts w:ascii="Times New Roman" w:hAnsi="Times New Roman" w:eastAsia="仿宋_GB2312" w:cs="Times New Roman"/>
          <w:sz w:val="32"/>
          <w:szCs w:val="32"/>
          <w14:ligatures w14:val="none"/>
        </w:rPr>
        <w:t>开展汕尾市市区2026年国有建设用地和集体建设用地基准地价更新工作</w:t>
      </w:r>
      <w:r>
        <w:rPr>
          <w:rFonts w:hint="eastAsia" w:ascii="Times New Roman" w:hAnsi="Times New Roman" w:eastAsia="仿宋_GB2312" w:cs="Times New Roman"/>
          <w:sz w:val="32"/>
          <w:szCs w:val="32"/>
          <w14:ligatures w14:val="none"/>
        </w:rPr>
        <w:t>。</w:t>
      </w:r>
    </w:p>
    <w:p w14:paraId="3B4642A3">
      <w:pPr>
        <w:snapToGrid w:val="0"/>
        <w:spacing w:before="0" w:after="0" w:line="590" w:lineRule="exact"/>
        <w:ind w:firstLine="642" w:firstLineChars="200"/>
        <w:jc w:val="both"/>
        <w:outlineLvl w:val="0"/>
        <w:rPr>
          <w:rFonts w:hint="eastAsia" w:ascii="黑体" w:hAnsi="黑体" w:eastAsia="黑体" w:cs="Times New Roman"/>
          <w:sz w:val="32"/>
          <w:szCs w:val="32"/>
        </w:rPr>
      </w:pPr>
      <w:r>
        <w:rPr>
          <w:rFonts w:hint="eastAsia" w:ascii="黑体" w:hAnsi="黑体" w:eastAsia="黑体" w:cs="Times New Roman"/>
          <w:sz w:val="32"/>
          <w:szCs w:val="32"/>
        </w:rPr>
        <w:t>二</w:t>
      </w:r>
      <w:r>
        <w:rPr>
          <w:rFonts w:ascii="黑体" w:hAnsi="黑体" w:eastAsia="黑体" w:cs="Times New Roman"/>
          <w:sz w:val="32"/>
          <w:szCs w:val="32"/>
        </w:rPr>
        <w:t>、</w:t>
      </w:r>
      <w:r>
        <w:rPr>
          <w:rFonts w:hint="eastAsia" w:ascii="黑体" w:hAnsi="黑体" w:eastAsia="黑体" w:cs="Times New Roman"/>
          <w:sz w:val="32"/>
          <w:szCs w:val="32"/>
        </w:rPr>
        <w:t>主要内容</w:t>
      </w:r>
      <w:bookmarkStart w:id="0" w:name="_GoBack"/>
      <w:bookmarkEnd w:id="0"/>
    </w:p>
    <w:p w14:paraId="11772A81">
      <w:pPr>
        <w:widowControl w:val="0"/>
        <w:adjustRightInd w:val="0"/>
        <w:snapToGrid w:val="0"/>
        <w:spacing w:before="0" w:after="0" w:line="590" w:lineRule="exact"/>
        <w:ind w:firstLine="642" w:firstLineChars="200"/>
        <w:jc w:val="both"/>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（一）城镇</w:t>
      </w:r>
      <w:r>
        <w:rPr>
          <w:rFonts w:ascii="Times New Roman" w:hAnsi="Times New Roman" w:eastAsia="仿宋_GB2312" w:cs="Times New Roman"/>
          <w:sz w:val="32"/>
          <w:szCs w:val="32"/>
          <w14:ligatures w14:val="none"/>
        </w:rPr>
        <w:t>建设用地基准地价成果</w:t>
      </w:r>
    </w:p>
    <w:p w14:paraId="6A410D35">
      <w:pPr>
        <w:widowControl w:val="0"/>
        <w:adjustRightInd w:val="0"/>
        <w:snapToGrid w:val="0"/>
        <w:spacing w:before="0" w:after="0" w:line="590" w:lineRule="exact"/>
        <w:ind w:firstLine="642" w:firstLineChars="200"/>
        <w:jc w:val="both"/>
        <w:rPr>
          <w:rFonts w:hint="eastAsia"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本次汕尾市市区2026年国有建设用地更新的工作范围为汕尾市城区和红海湾经济开发区。本次基准地价是指熟地条件下的地价，即指在设定容积率、法定最高使用年期，土地开发程度为“五通一平”条件下，分用途的土地使用权价格。同时，为适应商服用地地价空间分布特点和地价管理的需求，方便成果应用，在部分商服繁华路段设立了商业路线价。国有建设用地基准地价更新可以指导和规范地产市场，在价格上理顺地产市场关系，维护正常的地产市场秩序，合理引导投资方向和土地利用方式，为土地投资者或其他市场交易行为提供价格指导和决策参考。</w:t>
      </w:r>
    </w:p>
    <w:p w14:paraId="3E2575C7">
      <w:pPr>
        <w:widowControl w:val="0"/>
        <w:adjustRightInd w:val="0"/>
        <w:snapToGrid w:val="0"/>
        <w:spacing w:before="0" w:after="0" w:line="590" w:lineRule="exact"/>
        <w:ind w:firstLine="642" w:firstLineChars="200"/>
        <w:jc w:val="both"/>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（二）集体</w:t>
      </w:r>
      <w:r>
        <w:rPr>
          <w:rFonts w:ascii="Times New Roman" w:hAnsi="Times New Roman" w:eastAsia="仿宋_GB2312" w:cs="Times New Roman"/>
          <w:sz w:val="32"/>
          <w:szCs w:val="32"/>
          <w14:ligatures w14:val="none"/>
        </w:rPr>
        <w:t>建设用地基准地价成果</w:t>
      </w:r>
    </w:p>
    <w:p w14:paraId="3E2423D7">
      <w:pPr>
        <w:widowControl w:val="0"/>
        <w:adjustRightInd w:val="0"/>
        <w:snapToGrid w:val="0"/>
        <w:spacing w:before="0" w:after="0" w:line="590" w:lineRule="exact"/>
        <w:ind w:firstLine="642" w:firstLineChars="200"/>
        <w:jc w:val="both"/>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本次汕尾市市区2026年集体建设用地更新的工作范围为汕尾市城区和红海湾经济开发区。</w:t>
      </w:r>
      <w:r>
        <w:rPr>
          <w:rFonts w:ascii="Times New Roman" w:hAnsi="Times New Roman" w:eastAsia="仿宋_GB2312" w:cs="Times New Roman"/>
          <w:sz w:val="32"/>
          <w:szCs w:val="32"/>
          <w14:ligatures w14:val="none"/>
        </w:rPr>
        <w:t>本次基准地价是在区域平均土地开发利用条件下，针对不同级别或不同均质地域，按照集体商服用地、农村宅基地、集体工业用地三种用地类型进行评估</w:t>
      </w:r>
      <w:r>
        <w:rPr>
          <w:rFonts w:hint="eastAsia" w:ascii="Times New Roman" w:hAnsi="Times New Roman" w:eastAsia="仿宋_GB2312" w:cs="Times New Roman"/>
          <w:sz w:val="32"/>
          <w:szCs w:val="32"/>
          <w14:ligatures w14:val="none"/>
        </w:rPr>
        <w:t>的价格</w:t>
      </w:r>
      <w:r>
        <w:rPr>
          <w:rFonts w:ascii="Times New Roman" w:hAnsi="Times New Roman" w:eastAsia="仿宋_GB2312" w:cs="Times New Roman"/>
          <w:sz w:val="32"/>
          <w:szCs w:val="32"/>
          <w14:ligatures w14:val="none"/>
        </w:rPr>
        <w:t>，</w:t>
      </w:r>
      <w:r>
        <w:rPr>
          <w:rFonts w:hint="eastAsia" w:ascii="Times New Roman" w:hAnsi="Times New Roman" w:eastAsia="仿宋_GB2312" w:cs="Times New Roman"/>
          <w:sz w:val="32"/>
          <w:szCs w:val="32"/>
          <w14:ligatures w14:val="none"/>
        </w:rPr>
        <w:t>即指在设定容积率、法定最高使用年期，土地开发程度为“五通一平”或“三通一平”条件下，分用途的土地使用权价格。集体建设用地基准地价更新为农民流转集体建设用地时提供参考依据，保障农民的利益，作为企业清产核资和改制中土地资产价格核算的依据。</w:t>
      </w:r>
    </w:p>
    <w:sectPr>
      <w:pgSz w:w="11906" w:h="16838"/>
      <w:pgMar w:top="1984" w:right="1474" w:bottom="1871" w:left="1587" w:header="851" w:footer="992" w:gutter="0"/>
      <w:cols w:space="0" w:num="1"/>
      <w:docGrid w:type="linesAndChars" w:linePitch="316" w:charSpace="2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altName w:val="AmdtSymbols"/>
    <w:panose1 w:val="020B0502020202020204"/>
    <w:charset w:val="00"/>
    <w:family w:val="swiss"/>
    <w:pitch w:val="default"/>
    <w:sig w:usb0="00000000" w:usb1="00000000" w:usb2="00000000" w:usb3="00000000" w:csb0="000000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mdtSymbols">
    <w:panose1 w:val="02000500000000020004"/>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1"/>
  <w:drawingGridVerticalSpacing w:val="158"/>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hODI4ZGYyMTcwZjkwZTQ2NjAwODg4NDI5MzAxNGQifQ=="/>
  </w:docVars>
  <w:rsids>
    <w:rsidRoot w:val="00B03179"/>
    <w:rsid w:val="00003C99"/>
    <w:rsid w:val="00014FE0"/>
    <w:rsid w:val="000210AD"/>
    <w:rsid w:val="00057A9F"/>
    <w:rsid w:val="00066869"/>
    <w:rsid w:val="000D0370"/>
    <w:rsid w:val="00152A44"/>
    <w:rsid w:val="00171B3C"/>
    <w:rsid w:val="00174BE8"/>
    <w:rsid w:val="001F5345"/>
    <w:rsid w:val="002236AA"/>
    <w:rsid w:val="002A1801"/>
    <w:rsid w:val="002A329E"/>
    <w:rsid w:val="002E1CC9"/>
    <w:rsid w:val="002F40A5"/>
    <w:rsid w:val="003417EA"/>
    <w:rsid w:val="003954CD"/>
    <w:rsid w:val="003C29FF"/>
    <w:rsid w:val="00413549"/>
    <w:rsid w:val="00426E76"/>
    <w:rsid w:val="00435683"/>
    <w:rsid w:val="00474213"/>
    <w:rsid w:val="00505615"/>
    <w:rsid w:val="005E26C0"/>
    <w:rsid w:val="00612800"/>
    <w:rsid w:val="006A10EB"/>
    <w:rsid w:val="00704FEE"/>
    <w:rsid w:val="0071529B"/>
    <w:rsid w:val="007158F3"/>
    <w:rsid w:val="00766DE7"/>
    <w:rsid w:val="00793C16"/>
    <w:rsid w:val="007E2652"/>
    <w:rsid w:val="009915DF"/>
    <w:rsid w:val="009B6B91"/>
    <w:rsid w:val="009D4806"/>
    <w:rsid w:val="00A01B84"/>
    <w:rsid w:val="00A11A15"/>
    <w:rsid w:val="00A12021"/>
    <w:rsid w:val="00A969C3"/>
    <w:rsid w:val="00AA2061"/>
    <w:rsid w:val="00B03179"/>
    <w:rsid w:val="00B86F95"/>
    <w:rsid w:val="00BB3177"/>
    <w:rsid w:val="00C13E96"/>
    <w:rsid w:val="00C4118B"/>
    <w:rsid w:val="00C53F6E"/>
    <w:rsid w:val="00C627FF"/>
    <w:rsid w:val="00C70366"/>
    <w:rsid w:val="00C9253C"/>
    <w:rsid w:val="00CA33F5"/>
    <w:rsid w:val="00CE2628"/>
    <w:rsid w:val="00CE552B"/>
    <w:rsid w:val="00D41F60"/>
    <w:rsid w:val="00D9762C"/>
    <w:rsid w:val="00DC13D5"/>
    <w:rsid w:val="00E419E9"/>
    <w:rsid w:val="00E85987"/>
    <w:rsid w:val="00EA40E5"/>
    <w:rsid w:val="00F228D3"/>
    <w:rsid w:val="00F30535"/>
    <w:rsid w:val="00F9759F"/>
    <w:rsid w:val="1D956B42"/>
    <w:rsid w:val="20A61992"/>
    <w:rsid w:val="2B0C6B93"/>
    <w:rsid w:val="2B3E337D"/>
    <w:rsid w:val="3E6A1150"/>
    <w:rsid w:val="4EFD4A0F"/>
    <w:rsid w:val="64391EFE"/>
    <w:rsid w:val="66D25469"/>
    <w:rsid w:val="68236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after="200" w:line="276" w:lineRule="auto"/>
    </w:pPr>
    <w:rPr>
      <w:rFonts w:asciiTheme="minorHAnsi" w:hAnsiTheme="minorHAnsi" w:eastAsiaTheme="minorEastAsia" w:cstheme="minorBidi"/>
      <w:kern w:val="2"/>
      <w:lang w:val="en-US" w:eastAsia="zh-CN" w:bidi="ar-SA"/>
      <w14:ligatures w14:val="standardContextual"/>
    </w:rPr>
  </w:style>
  <w:style w:type="paragraph" w:styleId="2">
    <w:name w:val="heading 1"/>
    <w:basedOn w:val="1"/>
    <w:next w:val="1"/>
    <w:link w:val="20"/>
    <w:autoRedefine/>
    <w:qFormat/>
    <w:uiPriority w:val="9"/>
    <w:pPr>
      <w:pBdr>
        <w:top w:val="single" w:color="549E39" w:themeColor="accent1" w:sz="24" w:space="0"/>
        <w:left w:val="single" w:color="549E39" w:themeColor="accent1" w:sz="24" w:space="0"/>
        <w:bottom w:val="single" w:color="549E39" w:themeColor="accent1" w:sz="24" w:space="0"/>
        <w:right w:val="single" w:color="549E39" w:themeColor="accent1" w:sz="24" w:space="0"/>
      </w:pBdr>
      <w:shd w:val="clear" w:color="auto" w:fill="549E39" w:themeFill="accent1"/>
      <w:spacing w:after="0"/>
      <w:outlineLvl w:val="0"/>
    </w:pPr>
    <w:rPr>
      <w:caps/>
      <w:color w:val="FFFFFF" w:themeColor="background1"/>
      <w:spacing w:val="15"/>
      <w:sz w:val="22"/>
      <w:szCs w:val="22"/>
      <w14:textFill>
        <w14:solidFill>
          <w14:schemeClr w14:val="bg1"/>
        </w14:solidFill>
      </w14:textFill>
    </w:rPr>
  </w:style>
  <w:style w:type="paragraph" w:styleId="3">
    <w:name w:val="heading 2"/>
    <w:basedOn w:val="1"/>
    <w:next w:val="1"/>
    <w:link w:val="21"/>
    <w:semiHidden/>
    <w:unhideWhenUsed/>
    <w:qFormat/>
    <w:uiPriority w:val="9"/>
    <w:pPr>
      <w:pBdr>
        <w:top w:val="single" w:color="DBEFD3" w:themeColor="accent1" w:themeTint="33" w:sz="24" w:space="0"/>
        <w:left w:val="single" w:color="DBEFD3" w:themeColor="accent1" w:themeTint="33" w:sz="24" w:space="0"/>
        <w:bottom w:val="single" w:color="DBEFD3" w:themeColor="accent1" w:themeTint="33" w:sz="24" w:space="0"/>
        <w:right w:val="single" w:color="DBEFD3" w:themeColor="accent1" w:themeTint="33" w:sz="24" w:space="0"/>
      </w:pBdr>
      <w:shd w:val="clear" w:color="auto" w:fill="DBEFD3" w:themeFill="accent1" w:themeFillTint="33"/>
      <w:spacing w:after="0"/>
      <w:outlineLvl w:val="1"/>
    </w:pPr>
    <w:rPr>
      <w:caps/>
      <w:spacing w:val="15"/>
    </w:rPr>
  </w:style>
  <w:style w:type="paragraph" w:styleId="4">
    <w:name w:val="heading 3"/>
    <w:basedOn w:val="1"/>
    <w:next w:val="1"/>
    <w:link w:val="22"/>
    <w:autoRedefine/>
    <w:semiHidden/>
    <w:unhideWhenUsed/>
    <w:qFormat/>
    <w:uiPriority w:val="9"/>
    <w:pPr>
      <w:pBdr>
        <w:top w:val="single" w:color="549E39" w:themeColor="accent1" w:sz="6" w:space="2"/>
      </w:pBdr>
      <w:spacing w:before="300" w:after="0"/>
      <w:outlineLvl w:val="2"/>
    </w:pPr>
    <w:rPr>
      <w:caps/>
      <w:color w:val="2A4F1D" w:themeColor="accent1" w:themeShade="80"/>
      <w:spacing w:val="15"/>
    </w:rPr>
  </w:style>
  <w:style w:type="paragraph" w:styleId="5">
    <w:name w:val="heading 4"/>
    <w:basedOn w:val="1"/>
    <w:next w:val="1"/>
    <w:link w:val="23"/>
    <w:autoRedefine/>
    <w:unhideWhenUsed/>
    <w:qFormat/>
    <w:uiPriority w:val="9"/>
    <w:pPr>
      <w:pBdr>
        <w:top w:val="dotted" w:color="549E39" w:themeColor="accent1" w:sz="6" w:space="2"/>
      </w:pBdr>
      <w:spacing w:before="200" w:after="0"/>
      <w:outlineLvl w:val="3"/>
    </w:pPr>
    <w:rPr>
      <w:caps/>
      <w:color w:val="3F772B" w:themeColor="accent1" w:themeShade="BF"/>
      <w:spacing w:val="10"/>
    </w:rPr>
  </w:style>
  <w:style w:type="paragraph" w:styleId="6">
    <w:name w:val="heading 5"/>
    <w:basedOn w:val="1"/>
    <w:next w:val="1"/>
    <w:link w:val="24"/>
    <w:semiHidden/>
    <w:unhideWhenUsed/>
    <w:qFormat/>
    <w:uiPriority w:val="9"/>
    <w:pPr>
      <w:pBdr>
        <w:bottom w:val="single" w:color="549E39" w:themeColor="accent1" w:sz="6" w:space="1"/>
      </w:pBdr>
      <w:spacing w:before="200" w:after="0"/>
      <w:outlineLvl w:val="4"/>
    </w:pPr>
    <w:rPr>
      <w:caps/>
      <w:color w:val="3F772B" w:themeColor="accent1" w:themeShade="BF"/>
      <w:spacing w:val="10"/>
    </w:rPr>
  </w:style>
  <w:style w:type="paragraph" w:styleId="7">
    <w:name w:val="heading 6"/>
    <w:basedOn w:val="1"/>
    <w:next w:val="1"/>
    <w:link w:val="25"/>
    <w:autoRedefine/>
    <w:semiHidden/>
    <w:unhideWhenUsed/>
    <w:qFormat/>
    <w:uiPriority w:val="9"/>
    <w:pPr>
      <w:pBdr>
        <w:bottom w:val="dotted" w:color="549E39" w:themeColor="accent1" w:sz="6" w:space="1"/>
      </w:pBdr>
      <w:spacing w:before="200" w:after="0"/>
      <w:outlineLvl w:val="5"/>
    </w:pPr>
    <w:rPr>
      <w:caps/>
      <w:color w:val="3F772B" w:themeColor="accent1" w:themeShade="BF"/>
      <w:spacing w:val="10"/>
    </w:rPr>
  </w:style>
  <w:style w:type="paragraph" w:styleId="8">
    <w:name w:val="heading 7"/>
    <w:basedOn w:val="1"/>
    <w:next w:val="1"/>
    <w:link w:val="26"/>
    <w:semiHidden/>
    <w:unhideWhenUsed/>
    <w:qFormat/>
    <w:uiPriority w:val="9"/>
    <w:pPr>
      <w:spacing w:before="200" w:after="0"/>
      <w:outlineLvl w:val="6"/>
    </w:pPr>
    <w:rPr>
      <w:caps/>
      <w:color w:val="3F772B" w:themeColor="accent1" w:themeShade="BF"/>
      <w:spacing w:val="10"/>
    </w:rPr>
  </w:style>
  <w:style w:type="paragraph" w:styleId="9">
    <w:name w:val="heading 8"/>
    <w:basedOn w:val="1"/>
    <w:next w:val="1"/>
    <w:link w:val="27"/>
    <w:autoRedefine/>
    <w:semiHidden/>
    <w:unhideWhenUsed/>
    <w:qFormat/>
    <w:uiPriority w:val="9"/>
    <w:pPr>
      <w:spacing w:before="200" w:after="0"/>
      <w:outlineLvl w:val="7"/>
    </w:pPr>
    <w:rPr>
      <w:caps/>
      <w:spacing w:val="10"/>
      <w:sz w:val="18"/>
      <w:szCs w:val="18"/>
    </w:rPr>
  </w:style>
  <w:style w:type="paragraph" w:styleId="10">
    <w:name w:val="heading 9"/>
    <w:basedOn w:val="1"/>
    <w:next w:val="1"/>
    <w:link w:val="28"/>
    <w:semiHidden/>
    <w:unhideWhenUsed/>
    <w:qFormat/>
    <w:uiPriority w:val="9"/>
    <w:pPr>
      <w:spacing w:before="200" w:after="0"/>
      <w:outlineLvl w:val="8"/>
    </w:pPr>
    <w:rPr>
      <w:i/>
      <w:iCs/>
      <w:caps/>
      <w:spacing w:val="10"/>
      <w:sz w:val="18"/>
      <w:szCs w:val="18"/>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rPr>
      <w:b/>
      <w:bCs/>
      <w:color w:val="3F772B" w:themeColor="accent1" w:themeShade="BF"/>
      <w:sz w:val="16"/>
      <w:szCs w:val="16"/>
    </w:rPr>
  </w:style>
  <w:style w:type="paragraph" w:styleId="12">
    <w:name w:val="footer"/>
    <w:basedOn w:val="1"/>
    <w:link w:val="44"/>
    <w:autoRedefine/>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43"/>
    <w:autoRedefine/>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autoRedefine/>
    <w:qFormat/>
    <w:uiPriority w:val="11"/>
    <w:pPr>
      <w:spacing w:before="0" w:after="500" w:line="240" w:lineRule="auto"/>
    </w:pPr>
    <w:rPr>
      <w:caps/>
      <w:color w:val="595959" w:themeColor="text1" w:themeTint="A6"/>
      <w:spacing w:val="10"/>
      <w:sz w:val="21"/>
      <w:szCs w:val="21"/>
      <w14:textFill>
        <w14:solidFill>
          <w14:schemeClr w14:val="tx1">
            <w14:lumMod w14:val="65000"/>
            <w14:lumOff w14:val="35000"/>
          </w14:schemeClr>
        </w14:solidFill>
      </w14:textFill>
    </w:rPr>
  </w:style>
  <w:style w:type="paragraph" w:styleId="15">
    <w:name w:val="Title"/>
    <w:basedOn w:val="1"/>
    <w:next w:val="1"/>
    <w:link w:val="29"/>
    <w:autoRedefine/>
    <w:qFormat/>
    <w:uiPriority w:val="10"/>
    <w:pPr>
      <w:spacing w:before="0" w:after="0"/>
    </w:pPr>
    <w:rPr>
      <w:rFonts w:asciiTheme="majorHAnsi" w:hAnsiTheme="majorHAnsi" w:eastAsiaTheme="majorEastAsia" w:cstheme="majorBidi"/>
      <w:caps/>
      <w:color w:val="549E39" w:themeColor="accent1"/>
      <w:spacing w:val="10"/>
      <w:sz w:val="52"/>
      <w:szCs w:val="52"/>
      <w14:textFill>
        <w14:solidFill>
          <w14:schemeClr w14:val="accent1"/>
        </w14:solidFill>
      </w14:textFill>
    </w:rPr>
  </w:style>
  <w:style w:type="character" w:styleId="18">
    <w:name w:val="Strong"/>
    <w:autoRedefine/>
    <w:qFormat/>
    <w:uiPriority w:val="22"/>
    <w:rPr>
      <w:b/>
      <w:bCs/>
    </w:rPr>
  </w:style>
  <w:style w:type="character" w:styleId="19">
    <w:name w:val="Emphasis"/>
    <w:autoRedefine/>
    <w:qFormat/>
    <w:uiPriority w:val="20"/>
    <w:rPr>
      <w:caps/>
      <w:color w:val="2A4F1D" w:themeColor="accent1" w:themeShade="80"/>
      <w:spacing w:val="5"/>
    </w:rPr>
  </w:style>
  <w:style w:type="character" w:customStyle="1" w:styleId="20">
    <w:name w:val="标题 1 字符"/>
    <w:basedOn w:val="17"/>
    <w:link w:val="2"/>
    <w:autoRedefine/>
    <w:qFormat/>
    <w:uiPriority w:val="9"/>
    <w:rPr>
      <w:caps/>
      <w:color w:val="FFFFFF" w:themeColor="background1"/>
      <w:spacing w:val="15"/>
      <w:sz w:val="22"/>
      <w:szCs w:val="22"/>
      <w:shd w:val="clear" w:color="auto" w:fill="549E39" w:themeFill="accent1"/>
      <w14:textFill>
        <w14:solidFill>
          <w14:schemeClr w14:val="bg1"/>
        </w14:solidFill>
      </w14:textFill>
    </w:rPr>
  </w:style>
  <w:style w:type="character" w:customStyle="1" w:styleId="21">
    <w:name w:val="标题 2 字符"/>
    <w:basedOn w:val="17"/>
    <w:link w:val="3"/>
    <w:autoRedefine/>
    <w:semiHidden/>
    <w:qFormat/>
    <w:uiPriority w:val="9"/>
    <w:rPr>
      <w:caps/>
      <w:spacing w:val="15"/>
      <w:shd w:val="clear" w:color="auto" w:fill="DBEFD3" w:themeFill="accent1" w:themeFillTint="33"/>
    </w:rPr>
  </w:style>
  <w:style w:type="character" w:customStyle="1" w:styleId="22">
    <w:name w:val="标题 3 字符"/>
    <w:basedOn w:val="17"/>
    <w:link w:val="4"/>
    <w:autoRedefine/>
    <w:semiHidden/>
    <w:qFormat/>
    <w:uiPriority w:val="9"/>
    <w:rPr>
      <w:caps/>
      <w:color w:val="2A4F1D" w:themeColor="accent1" w:themeShade="80"/>
      <w:spacing w:val="15"/>
    </w:rPr>
  </w:style>
  <w:style w:type="character" w:customStyle="1" w:styleId="23">
    <w:name w:val="标题 4 字符"/>
    <w:basedOn w:val="17"/>
    <w:link w:val="5"/>
    <w:autoRedefine/>
    <w:qFormat/>
    <w:uiPriority w:val="9"/>
    <w:rPr>
      <w:caps/>
      <w:color w:val="3F772B" w:themeColor="accent1" w:themeShade="BF"/>
      <w:spacing w:val="10"/>
    </w:rPr>
  </w:style>
  <w:style w:type="character" w:customStyle="1" w:styleId="24">
    <w:name w:val="标题 5 字符"/>
    <w:basedOn w:val="17"/>
    <w:link w:val="6"/>
    <w:autoRedefine/>
    <w:semiHidden/>
    <w:qFormat/>
    <w:uiPriority w:val="9"/>
    <w:rPr>
      <w:caps/>
      <w:color w:val="3F772B" w:themeColor="accent1" w:themeShade="BF"/>
      <w:spacing w:val="10"/>
    </w:rPr>
  </w:style>
  <w:style w:type="character" w:customStyle="1" w:styleId="25">
    <w:name w:val="标题 6 字符"/>
    <w:basedOn w:val="17"/>
    <w:link w:val="7"/>
    <w:autoRedefine/>
    <w:semiHidden/>
    <w:qFormat/>
    <w:uiPriority w:val="9"/>
    <w:rPr>
      <w:caps/>
      <w:color w:val="3F772B" w:themeColor="accent1" w:themeShade="BF"/>
      <w:spacing w:val="10"/>
    </w:rPr>
  </w:style>
  <w:style w:type="character" w:customStyle="1" w:styleId="26">
    <w:name w:val="标题 7 字符"/>
    <w:basedOn w:val="17"/>
    <w:link w:val="8"/>
    <w:autoRedefine/>
    <w:semiHidden/>
    <w:qFormat/>
    <w:uiPriority w:val="9"/>
    <w:rPr>
      <w:caps/>
      <w:color w:val="3F772B" w:themeColor="accent1" w:themeShade="BF"/>
      <w:spacing w:val="10"/>
    </w:rPr>
  </w:style>
  <w:style w:type="character" w:customStyle="1" w:styleId="27">
    <w:name w:val="标题 8 字符"/>
    <w:basedOn w:val="17"/>
    <w:link w:val="9"/>
    <w:autoRedefine/>
    <w:semiHidden/>
    <w:qFormat/>
    <w:uiPriority w:val="9"/>
    <w:rPr>
      <w:caps/>
      <w:spacing w:val="10"/>
      <w:sz w:val="18"/>
      <w:szCs w:val="18"/>
    </w:rPr>
  </w:style>
  <w:style w:type="character" w:customStyle="1" w:styleId="28">
    <w:name w:val="标题 9 字符"/>
    <w:basedOn w:val="17"/>
    <w:link w:val="10"/>
    <w:autoRedefine/>
    <w:semiHidden/>
    <w:qFormat/>
    <w:uiPriority w:val="9"/>
    <w:rPr>
      <w:i/>
      <w:iCs/>
      <w:caps/>
      <w:spacing w:val="10"/>
      <w:sz w:val="18"/>
      <w:szCs w:val="18"/>
    </w:rPr>
  </w:style>
  <w:style w:type="character" w:customStyle="1" w:styleId="29">
    <w:name w:val="标题 字符"/>
    <w:basedOn w:val="17"/>
    <w:link w:val="15"/>
    <w:autoRedefine/>
    <w:qFormat/>
    <w:uiPriority w:val="10"/>
    <w:rPr>
      <w:rFonts w:asciiTheme="majorHAnsi" w:hAnsiTheme="majorHAnsi" w:eastAsiaTheme="majorEastAsia" w:cstheme="majorBidi"/>
      <w:caps/>
      <w:color w:val="549E39" w:themeColor="accent1"/>
      <w:spacing w:val="10"/>
      <w:sz w:val="52"/>
      <w:szCs w:val="52"/>
      <w14:textFill>
        <w14:solidFill>
          <w14:schemeClr w14:val="accent1"/>
        </w14:solidFill>
      </w14:textFill>
    </w:rPr>
  </w:style>
  <w:style w:type="character" w:customStyle="1" w:styleId="30">
    <w:name w:val="副标题 字符"/>
    <w:basedOn w:val="17"/>
    <w:link w:val="14"/>
    <w:autoRedefine/>
    <w:qFormat/>
    <w:uiPriority w:val="11"/>
    <w:rPr>
      <w:caps/>
      <w:color w:val="595959" w:themeColor="text1" w:themeTint="A6"/>
      <w:spacing w:val="10"/>
      <w:sz w:val="21"/>
      <w:szCs w:val="21"/>
      <w14:textFill>
        <w14:solidFill>
          <w14:schemeClr w14:val="tx1">
            <w14:lumMod w14:val="65000"/>
            <w14:lumOff w14:val="35000"/>
          </w14:schemeClr>
        </w14:solidFill>
      </w14:textFill>
    </w:rPr>
  </w:style>
  <w:style w:type="paragraph" w:styleId="31">
    <w:name w:val="No Spacing"/>
    <w:qFormat/>
    <w:uiPriority w:val="1"/>
    <w:pPr>
      <w:spacing w:before="100"/>
    </w:pPr>
    <w:rPr>
      <w:rFonts w:asciiTheme="minorHAnsi" w:hAnsiTheme="minorHAnsi" w:eastAsiaTheme="minorEastAsia" w:cstheme="minorBidi"/>
      <w:kern w:val="2"/>
      <w:lang w:val="en-US" w:eastAsia="zh-CN" w:bidi="ar-SA"/>
      <w14:ligatures w14:val="standardContextual"/>
    </w:rPr>
  </w:style>
  <w:style w:type="paragraph" w:styleId="32">
    <w:name w:val="List Paragraph"/>
    <w:basedOn w:val="1"/>
    <w:autoRedefine/>
    <w:qFormat/>
    <w:uiPriority w:val="34"/>
    <w:pPr>
      <w:ind w:firstLine="420" w:firstLineChars="200"/>
    </w:pPr>
  </w:style>
  <w:style w:type="paragraph" w:styleId="33">
    <w:name w:val="Quote"/>
    <w:basedOn w:val="1"/>
    <w:next w:val="1"/>
    <w:link w:val="34"/>
    <w:autoRedefine/>
    <w:qFormat/>
    <w:uiPriority w:val="29"/>
    <w:rPr>
      <w:i/>
      <w:iCs/>
      <w:sz w:val="24"/>
      <w:szCs w:val="24"/>
    </w:rPr>
  </w:style>
  <w:style w:type="character" w:customStyle="1" w:styleId="34">
    <w:name w:val="引用 字符"/>
    <w:basedOn w:val="17"/>
    <w:link w:val="33"/>
    <w:autoRedefine/>
    <w:qFormat/>
    <w:uiPriority w:val="29"/>
    <w:rPr>
      <w:i/>
      <w:iCs/>
      <w:sz w:val="24"/>
      <w:szCs w:val="24"/>
    </w:rPr>
  </w:style>
  <w:style w:type="paragraph" w:styleId="35">
    <w:name w:val="Intense Quote"/>
    <w:basedOn w:val="1"/>
    <w:next w:val="1"/>
    <w:link w:val="36"/>
    <w:autoRedefine/>
    <w:qFormat/>
    <w:uiPriority w:val="30"/>
    <w:pPr>
      <w:spacing w:before="240" w:after="240" w:line="240" w:lineRule="auto"/>
      <w:ind w:left="1080" w:right="1080"/>
      <w:jc w:val="center"/>
    </w:pPr>
    <w:rPr>
      <w:color w:val="549E39" w:themeColor="accent1"/>
      <w:sz w:val="24"/>
      <w:szCs w:val="24"/>
      <w14:textFill>
        <w14:solidFill>
          <w14:schemeClr w14:val="accent1"/>
        </w14:solidFill>
      </w14:textFill>
    </w:rPr>
  </w:style>
  <w:style w:type="character" w:customStyle="1" w:styleId="36">
    <w:name w:val="明显引用 字符"/>
    <w:basedOn w:val="17"/>
    <w:link w:val="35"/>
    <w:autoRedefine/>
    <w:qFormat/>
    <w:uiPriority w:val="30"/>
    <w:rPr>
      <w:color w:val="549E39" w:themeColor="accent1"/>
      <w:sz w:val="24"/>
      <w:szCs w:val="24"/>
      <w14:textFill>
        <w14:solidFill>
          <w14:schemeClr w14:val="accent1"/>
        </w14:solidFill>
      </w14:textFill>
    </w:rPr>
  </w:style>
  <w:style w:type="character" w:customStyle="1" w:styleId="37">
    <w:name w:val="不明显强调1"/>
    <w:qFormat/>
    <w:uiPriority w:val="19"/>
    <w:rPr>
      <w:i/>
      <w:iCs/>
      <w:color w:val="2A4F1D" w:themeColor="accent1" w:themeShade="80"/>
    </w:rPr>
  </w:style>
  <w:style w:type="character" w:customStyle="1" w:styleId="38">
    <w:name w:val="明显强调1"/>
    <w:autoRedefine/>
    <w:qFormat/>
    <w:uiPriority w:val="21"/>
    <w:rPr>
      <w:b/>
      <w:bCs/>
      <w:caps/>
      <w:color w:val="2A4F1D" w:themeColor="accent1" w:themeShade="80"/>
      <w:spacing w:val="10"/>
    </w:rPr>
  </w:style>
  <w:style w:type="character" w:customStyle="1" w:styleId="39">
    <w:name w:val="不明显参考1"/>
    <w:autoRedefine/>
    <w:qFormat/>
    <w:uiPriority w:val="31"/>
    <w:rPr>
      <w:b/>
      <w:bCs/>
      <w:color w:val="549E39" w:themeColor="accent1"/>
      <w14:textFill>
        <w14:solidFill>
          <w14:schemeClr w14:val="accent1"/>
        </w14:solidFill>
      </w14:textFill>
    </w:rPr>
  </w:style>
  <w:style w:type="character" w:customStyle="1" w:styleId="40">
    <w:name w:val="明显参考1"/>
    <w:autoRedefine/>
    <w:qFormat/>
    <w:uiPriority w:val="32"/>
    <w:rPr>
      <w:b/>
      <w:bCs/>
      <w:i/>
      <w:iCs/>
      <w:caps/>
      <w:color w:val="549E39" w:themeColor="accent1"/>
      <w14:textFill>
        <w14:solidFill>
          <w14:schemeClr w14:val="accent1"/>
        </w14:solidFill>
      </w14:textFill>
    </w:rPr>
  </w:style>
  <w:style w:type="character" w:customStyle="1" w:styleId="41">
    <w:name w:val="书籍标题1"/>
    <w:autoRedefine/>
    <w:qFormat/>
    <w:uiPriority w:val="33"/>
    <w:rPr>
      <w:b/>
      <w:bCs/>
      <w:i/>
      <w:iCs/>
      <w:spacing w:val="0"/>
    </w:rPr>
  </w:style>
  <w:style w:type="paragraph" w:customStyle="1" w:styleId="42">
    <w:name w:val="TOC 标题1"/>
    <w:basedOn w:val="2"/>
    <w:next w:val="1"/>
    <w:autoRedefine/>
    <w:semiHidden/>
    <w:unhideWhenUsed/>
    <w:qFormat/>
    <w:uiPriority w:val="39"/>
    <w:pPr>
      <w:outlineLvl w:val="9"/>
    </w:pPr>
  </w:style>
  <w:style w:type="character" w:customStyle="1" w:styleId="43">
    <w:name w:val="页眉 字符"/>
    <w:basedOn w:val="17"/>
    <w:link w:val="13"/>
    <w:autoRedefine/>
    <w:qFormat/>
    <w:uiPriority w:val="99"/>
    <w:rPr>
      <w:kern w:val="2"/>
      <w:sz w:val="18"/>
      <w:szCs w:val="18"/>
      <w14:ligatures w14:val="standardContextual"/>
    </w:rPr>
  </w:style>
  <w:style w:type="character" w:customStyle="1" w:styleId="44">
    <w:name w:val="页脚 字符"/>
    <w:basedOn w:val="17"/>
    <w:link w:val="12"/>
    <w:autoRedefine/>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离子">
  <a:themeElements>
    <a:clrScheme name="绿色">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离子">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离子">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fillRect/>
          </a:stretch>
        </a:blip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Zhuoyue</Company>
  <Pages>2</Pages>
  <Words>635</Words>
  <Characters>653</Characters>
  <Lines>4</Lines>
  <Paragraphs>1</Paragraphs>
  <TotalTime>0</TotalTime>
  <ScaleCrop>false</ScaleCrop>
  <LinksUpToDate>false</LinksUpToDate>
  <CharactersWithSpaces>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2024-01-04T04:41:00Z</dcterms:created>
  <dc:creator>Administrator</dc:creator>
  <cp:lastModifiedBy>ben</cp:lastModifiedBy>
  <cp:lastPrinted>2026-08-13T06:53:38Z</cp:lastPrinted>
  <dcterms:modified xsi:type="dcterms:W3CDTF">2026-08-13T06:57:38Z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389A6D4A5160479B9C6DBEE1E8C22201_13</vt:lpwstr>
  </property>
  <property fmtid="{D5CDD505-2E9C-101B-9397-08002B2CF9AE}" pid="4" name="KSOTemplateDocerSaveRecord">
    <vt:lpwstr>eyJoZGlkIjoiM2NmNjlkNjI0NGRlNjNjYzc5NmE4NmU5MTc5ZGZhZjYiLCJ1c2VySWQiOiI0MzA4NjM4MzAifQ==</vt:lpwstr>
  </property>
</Properties>
</file>