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spacing w:line="620" w:lineRule="exact"/>
        <w:ind w:firstLine="640" w:firstLineChars="200"/>
        <w:jc w:val="center"/>
        <w:outlineLvl w:val="9"/>
        <w:rPr>
          <w:rFonts w:eastAsia="黑体" w:cs="Times New Roman"/>
          <w:bCs w:val="0"/>
          <w:color w:val="auto"/>
        </w:rPr>
      </w:pPr>
    </w:p>
    <w:p>
      <w:pPr>
        <w:widowControl/>
        <w:adjustRightInd w:val="0"/>
        <w:snapToGrid w:val="0"/>
        <w:spacing w:line="620" w:lineRule="exact"/>
        <w:ind w:firstLine="640"/>
        <w:jc w:val="center"/>
        <w:rPr>
          <w:rFonts w:eastAsia="黑体" w:cs="Times New Roman"/>
          <w:bCs w:val="0"/>
          <w:color w:val="auto"/>
        </w:rPr>
      </w:pPr>
    </w:p>
    <w:p>
      <w:pPr>
        <w:widowControl/>
        <w:adjustRightInd w:val="0"/>
        <w:snapToGrid w:val="0"/>
        <w:spacing w:line="620" w:lineRule="exact"/>
        <w:ind w:firstLine="640"/>
        <w:jc w:val="center"/>
        <w:rPr>
          <w:rFonts w:eastAsia="黑体" w:cs="Times New Roman"/>
          <w:bCs w:val="0"/>
          <w:color w:val="auto"/>
        </w:rPr>
      </w:pPr>
    </w:p>
    <w:p>
      <w:pPr>
        <w:widowControl/>
        <w:adjustRightInd w:val="0"/>
        <w:snapToGrid w:val="0"/>
        <w:spacing w:line="620" w:lineRule="exact"/>
        <w:ind w:firstLine="640"/>
        <w:jc w:val="center"/>
        <w:rPr>
          <w:rFonts w:eastAsia="黑体" w:cs="Times New Roman"/>
          <w:bCs w:val="0"/>
          <w:color w:val="auto"/>
          <w:lang w:val="zh-CN"/>
        </w:rPr>
      </w:pPr>
    </w:p>
    <w:p>
      <w:pPr>
        <w:widowControl/>
        <w:autoSpaceDE w:val="0"/>
        <w:autoSpaceDN w:val="0"/>
        <w:spacing w:line="240" w:lineRule="auto"/>
        <w:ind w:firstLine="0" w:firstLineChars="0"/>
        <w:jc w:val="center"/>
        <w:outlineLvl w:val="9"/>
        <w:rPr>
          <w:rFonts w:ascii="黑体" w:hAnsi="黑体" w:eastAsia="黑体" w:cs="Times New Roman"/>
          <w:bCs w:val="0"/>
          <w:color w:val="auto"/>
          <w:kern w:val="0"/>
          <w:sz w:val="48"/>
          <w:szCs w:val="48"/>
          <w:lang w:val="zh-CN" w:bidi="zh-CN"/>
        </w:rPr>
      </w:pPr>
      <w:bookmarkStart w:id="0" w:name="_Toc2768"/>
      <w:r>
        <w:rPr>
          <w:rFonts w:hint="eastAsia" w:ascii="黑体" w:hAnsi="黑体" w:eastAsia="黑体" w:cs="Times New Roman"/>
          <w:bCs w:val="0"/>
          <w:color w:val="auto"/>
          <w:kern w:val="0"/>
          <w:sz w:val="48"/>
          <w:szCs w:val="48"/>
          <w:lang w:val="zh-CN" w:bidi="zh-CN"/>
        </w:rPr>
        <w:t>汕尾市农业农村现代化“十五五”规划（征求意见稿）</w:t>
      </w:r>
      <w:bookmarkEnd w:id="0"/>
    </w:p>
    <w:p>
      <w:pPr>
        <w:widowControl/>
        <w:adjustRightInd w:val="0"/>
        <w:snapToGrid w:val="0"/>
        <w:spacing w:line="620" w:lineRule="exact"/>
        <w:ind w:firstLine="640"/>
        <w:rPr>
          <w:color w:val="auto"/>
        </w:rPr>
      </w:pPr>
    </w:p>
    <w:p>
      <w:pPr>
        <w:widowControl/>
        <w:adjustRightInd w:val="0"/>
        <w:snapToGrid w:val="0"/>
        <w:spacing w:line="620" w:lineRule="exact"/>
        <w:ind w:firstLine="640"/>
        <w:jc w:val="center"/>
        <w:rPr>
          <w:rFonts w:eastAsia="方正小标宋简体"/>
          <w:color w:val="auto"/>
          <w:kern w:val="44"/>
          <w14:ligatures w14:val="standardContextual"/>
        </w:rPr>
      </w:pPr>
    </w:p>
    <w:p>
      <w:pPr>
        <w:widowControl/>
        <w:adjustRightInd w:val="0"/>
        <w:snapToGrid w:val="0"/>
        <w:spacing w:line="620" w:lineRule="exact"/>
        <w:ind w:firstLine="640"/>
        <w:jc w:val="center"/>
        <w:rPr>
          <w:rFonts w:eastAsia="方正小标宋简体"/>
          <w:color w:val="auto"/>
          <w:kern w:val="44"/>
          <w14:ligatures w14:val="standardContextual"/>
        </w:rPr>
      </w:pPr>
    </w:p>
    <w:p>
      <w:pPr>
        <w:widowControl/>
        <w:adjustRightInd w:val="0"/>
        <w:snapToGrid w:val="0"/>
        <w:spacing w:line="620" w:lineRule="exact"/>
        <w:ind w:firstLine="640"/>
        <w:jc w:val="center"/>
        <w:rPr>
          <w:rFonts w:eastAsia="方正小标宋简体"/>
          <w:color w:val="auto"/>
          <w:kern w:val="44"/>
          <w14:ligatures w14:val="standardContextual"/>
        </w:rPr>
      </w:pPr>
    </w:p>
    <w:p>
      <w:pPr>
        <w:widowControl/>
        <w:adjustRightInd w:val="0"/>
        <w:snapToGrid w:val="0"/>
        <w:spacing w:line="620" w:lineRule="exact"/>
        <w:ind w:firstLine="640"/>
        <w:jc w:val="center"/>
        <w:rPr>
          <w:rFonts w:eastAsia="方正小标宋简体"/>
          <w:color w:val="auto"/>
          <w:kern w:val="44"/>
          <w14:ligatures w14:val="standardContextual"/>
        </w:rPr>
      </w:pPr>
    </w:p>
    <w:p>
      <w:pPr>
        <w:widowControl/>
        <w:adjustRightInd w:val="0"/>
        <w:snapToGrid w:val="0"/>
        <w:spacing w:line="620" w:lineRule="exact"/>
        <w:ind w:firstLine="640"/>
        <w:jc w:val="center"/>
        <w:rPr>
          <w:rFonts w:eastAsia="方正小标宋简体"/>
          <w:color w:val="auto"/>
          <w:kern w:val="44"/>
          <w14:ligatures w14:val="standardContextual"/>
        </w:rPr>
      </w:pPr>
    </w:p>
    <w:p>
      <w:pPr>
        <w:widowControl/>
        <w:adjustRightInd w:val="0"/>
        <w:snapToGrid w:val="0"/>
        <w:spacing w:line="620" w:lineRule="exact"/>
        <w:ind w:firstLine="640"/>
        <w:jc w:val="center"/>
        <w:rPr>
          <w:rFonts w:eastAsia="方正小标宋简体"/>
          <w:color w:val="auto"/>
          <w:kern w:val="44"/>
          <w14:ligatures w14:val="standardContextual"/>
        </w:rPr>
      </w:pPr>
    </w:p>
    <w:p>
      <w:pPr>
        <w:widowControl/>
        <w:adjustRightInd w:val="0"/>
        <w:snapToGrid w:val="0"/>
        <w:spacing w:line="620" w:lineRule="exact"/>
        <w:ind w:firstLine="640"/>
        <w:jc w:val="center"/>
        <w:rPr>
          <w:rFonts w:eastAsia="方正小标宋简体"/>
          <w:color w:val="auto"/>
          <w:kern w:val="44"/>
          <w14:ligatures w14:val="standardContextual"/>
        </w:rPr>
      </w:pPr>
    </w:p>
    <w:p>
      <w:pPr>
        <w:widowControl/>
        <w:adjustRightInd w:val="0"/>
        <w:snapToGrid w:val="0"/>
        <w:spacing w:line="620" w:lineRule="exact"/>
        <w:ind w:firstLine="640"/>
        <w:jc w:val="center"/>
        <w:rPr>
          <w:rFonts w:eastAsia="方正小标宋简体"/>
          <w:color w:val="auto"/>
          <w:kern w:val="44"/>
          <w14:ligatures w14:val="standardContextual"/>
        </w:rPr>
      </w:pPr>
    </w:p>
    <w:p>
      <w:pPr>
        <w:widowControl/>
        <w:adjustRightInd w:val="0"/>
        <w:snapToGrid w:val="0"/>
        <w:spacing w:line="620" w:lineRule="exact"/>
        <w:ind w:firstLine="640"/>
        <w:jc w:val="center"/>
        <w:rPr>
          <w:rFonts w:eastAsia="方正小标宋简体"/>
          <w:color w:val="auto"/>
          <w:kern w:val="44"/>
          <w14:ligatures w14:val="standardContextual"/>
        </w:rPr>
      </w:pPr>
    </w:p>
    <w:p>
      <w:pPr>
        <w:widowControl/>
        <w:adjustRightInd w:val="0"/>
        <w:snapToGrid w:val="0"/>
        <w:spacing w:line="620" w:lineRule="exact"/>
        <w:ind w:firstLine="640"/>
        <w:jc w:val="center"/>
        <w:rPr>
          <w:rFonts w:eastAsia="方正小标宋简体"/>
          <w:color w:val="auto"/>
          <w:kern w:val="44"/>
          <w14:ligatures w14:val="standardContextual"/>
        </w:rPr>
      </w:pPr>
    </w:p>
    <w:p>
      <w:pPr>
        <w:widowControl/>
        <w:adjustRightInd w:val="0"/>
        <w:snapToGrid w:val="0"/>
        <w:spacing w:line="620" w:lineRule="exact"/>
        <w:ind w:firstLine="640"/>
        <w:jc w:val="center"/>
        <w:rPr>
          <w:rFonts w:eastAsia="方正小标宋简体"/>
          <w:color w:val="auto"/>
          <w:kern w:val="44"/>
          <w14:ligatures w14:val="standardContextual"/>
        </w:rPr>
      </w:pPr>
    </w:p>
    <w:p>
      <w:pPr>
        <w:widowControl/>
        <w:adjustRightInd w:val="0"/>
        <w:snapToGrid w:val="0"/>
        <w:spacing w:line="620" w:lineRule="exact"/>
        <w:ind w:firstLine="640"/>
        <w:jc w:val="center"/>
        <w:rPr>
          <w:rFonts w:eastAsia="方正小标宋简体"/>
          <w:color w:val="auto"/>
          <w:kern w:val="44"/>
          <w14:ligatures w14:val="standardContextual"/>
        </w:rPr>
      </w:pPr>
    </w:p>
    <w:p>
      <w:pPr>
        <w:widowControl/>
        <w:adjustRightInd w:val="0"/>
        <w:snapToGrid w:val="0"/>
        <w:spacing w:line="620" w:lineRule="exact"/>
        <w:ind w:firstLine="640"/>
        <w:jc w:val="center"/>
        <w:rPr>
          <w:rFonts w:eastAsia="方正小标宋简体"/>
          <w:color w:val="auto"/>
          <w:kern w:val="44"/>
          <w14:ligatures w14:val="standardContextual"/>
        </w:rPr>
      </w:pPr>
    </w:p>
    <w:p>
      <w:pPr>
        <w:widowControl/>
        <w:autoSpaceDE w:val="0"/>
        <w:autoSpaceDN w:val="0"/>
        <w:ind w:firstLine="0" w:firstLineChars="0"/>
        <w:jc w:val="center"/>
        <w:rPr>
          <w:rFonts w:cs="Times New Roman"/>
          <w:bCs w:val="0"/>
          <w:color w:val="auto"/>
          <w:kern w:val="0"/>
          <w:lang w:val="zh-CN" w:bidi="zh-CN"/>
        </w:rPr>
      </w:pPr>
      <w:r>
        <w:rPr>
          <w:rFonts w:cs="Times New Roman"/>
          <w:bCs w:val="0"/>
          <w:color w:val="auto"/>
          <w:kern w:val="0"/>
          <w:lang w:val="zh-CN" w:bidi="zh-CN"/>
        </w:rPr>
        <w:t>汕尾市农业农村局</w:t>
      </w:r>
    </w:p>
    <w:p>
      <w:pPr>
        <w:widowControl/>
        <w:autoSpaceDE w:val="0"/>
        <w:autoSpaceDN w:val="0"/>
        <w:ind w:firstLine="0" w:firstLineChars="0"/>
        <w:jc w:val="center"/>
        <w:rPr>
          <w:rFonts w:cs="Times New Roman"/>
          <w:bCs w:val="0"/>
          <w:color w:val="auto"/>
          <w:kern w:val="0"/>
          <w:lang w:val="zh-CN" w:bidi="zh-CN"/>
        </w:rPr>
      </w:pPr>
      <w:r>
        <w:rPr>
          <w:rFonts w:cs="Times New Roman"/>
          <w:bCs w:val="0"/>
          <w:color w:val="auto"/>
          <w:kern w:val="0"/>
          <w:lang w:val="zh-CN" w:bidi="zh-CN"/>
        </w:rPr>
        <w:t>2026年</w:t>
      </w:r>
      <w:r>
        <w:rPr>
          <w:rFonts w:hint="eastAsia" w:cs="Times New Roman"/>
          <w:bCs w:val="0"/>
          <w:color w:val="auto"/>
          <w:kern w:val="0"/>
          <w:lang w:val="en-US" w:bidi="zh-CN"/>
        </w:rPr>
        <w:t>8</w:t>
      </w:r>
      <w:r>
        <w:rPr>
          <w:rFonts w:cs="Times New Roman"/>
          <w:bCs w:val="0"/>
          <w:color w:val="auto"/>
          <w:kern w:val="0"/>
          <w:lang w:val="zh-CN" w:bidi="zh-CN"/>
        </w:rPr>
        <w:t>月</w:t>
      </w:r>
    </w:p>
    <w:p>
      <w:pPr>
        <w:adjustRightInd w:val="0"/>
        <w:snapToGrid w:val="0"/>
        <w:spacing w:line="620" w:lineRule="exact"/>
        <w:ind w:firstLine="640"/>
        <w:rPr>
          <w:rFonts w:eastAsia="方正小标宋简体"/>
          <w:color w:val="auto"/>
          <w:kern w:val="44"/>
          <w14:ligatures w14:val="standardContextual"/>
        </w:rPr>
      </w:pPr>
      <w:r>
        <w:rPr>
          <w:rFonts w:hint="eastAsia" w:eastAsia="方正小标宋简体"/>
          <w:color w:val="auto"/>
          <w:kern w:val="44"/>
          <w14:ligatures w14:val="standardContextual"/>
        </w:rPr>
        <w:br w:type="page"/>
      </w:r>
    </w:p>
    <w:sdt>
      <w:sdtPr>
        <w:rPr>
          <w:rFonts w:hint="eastAsia" w:ascii="方正小标宋简体" w:hAnsi="方正小标宋简体" w:eastAsia="方正小标宋简体" w:cs="方正小标宋简体"/>
          <w:bCs/>
          <w:color w:val="auto"/>
          <w:kern w:val="2"/>
          <w:sz w:val="36"/>
          <w:szCs w:val="36"/>
          <w:lang w:val="en-US" w:eastAsia="zh-CN" w:bidi="ar-SA"/>
        </w:rPr>
        <w:id w:val="147481797"/>
        <w15:color w:val="DBDBDB"/>
        <w:docPartObj>
          <w:docPartGallery w:val="Table of Contents"/>
          <w:docPartUnique/>
        </w:docPartObj>
      </w:sdtPr>
      <w:sdtEndP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lang w:val="en-US" w:eastAsia="zh-CN" w:bidi="ar-SA"/>
        </w:rPr>
      </w:sdtEndPr>
      <w:sdtContent>
        <w:p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rFonts w:hint="eastAsia" w:ascii="方正小标宋简体" w:hAnsi="方正小标宋简体" w:eastAsia="方正小标宋简体" w:cs="方正小标宋简体"/>
              <w:color w:val="auto"/>
              <w:sz w:val="36"/>
              <w:szCs w:val="36"/>
            </w:rPr>
          </w:pPr>
          <w:r>
            <w:rPr>
              <w:rFonts w:hint="eastAsia" w:ascii="方正小标宋简体" w:hAnsi="方正小标宋简体" w:eastAsia="方正小标宋简体" w:cs="方正小标宋简体"/>
              <w:color w:val="auto"/>
              <w:sz w:val="36"/>
              <w:szCs w:val="36"/>
            </w:rPr>
            <w:t>目录</w:t>
          </w:r>
        </w:p>
        <w:p>
          <w:pPr>
            <w:pStyle w:val="11"/>
            <w:tabs>
              <w:tab w:val="right" w:leader="dot" w:pos="8306"/>
            </w:tabs>
          </w:pPr>
          <w:r>
            <w:rPr>
              <w:rFonts w:ascii="Times New Roman" w:hAnsi="Times New Roman" w:eastAsia="仿宋_GB2312" w:cs="Times New Roman"/>
              <w:bCs/>
              <w:color w:val="auto"/>
              <w:kern w:val="0"/>
              <w:sz w:val="32"/>
              <w:szCs w:val="32"/>
              <w:lang w:val="en-US" w:eastAsia="zh-CN" w:bidi="ar-SA"/>
            </w:rPr>
            <w:fldChar w:fldCharType="begin"/>
          </w:r>
          <w:r>
            <w:rPr>
              <w:rFonts w:ascii="Times New Roman" w:hAnsi="Times New Roman" w:eastAsia="仿宋_GB2312" w:cs="Times New Roman"/>
              <w:bCs/>
              <w:color w:val="auto"/>
              <w:kern w:val="0"/>
              <w:sz w:val="32"/>
              <w:szCs w:val="32"/>
              <w:lang w:val="en-US" w:eastAsia="zh-CN" w:bidi="ar-SA"/>
            </w:rPr>
            <w:instrText xml:space="preserve">TOC \o "1-3" \h \u </w:instrText>
          </w:r>
          <w:r>
            <w:rPr>
              <w:rFonts w:ascii="Times New Roman" w:hAnsi="Times New Roman" w:eastAsia="仿宋_GB2312" w:cs="Times New Roman"/>
              <w:bCs/>
              <w:color w:val="auto"/>
              <w:kern w:val="0"/>
              <w:sz w:val="32"/>
              <w:szCs w:val="32"/>
              <w:lang w:val="en-US" w:eastAsia="zh-CN" w:bidi="ar-SA"/>
            </w:rPr>
            <w:fldChar w:fldCharType="separate"/>
          </w:r>
          <w:r>
            <w:rPr>
              <w:rFonts w:ascii="Times New Roman" w:hAnsi="Times New Roman" w:eastAsia="仿宋_GB2312" w:cs="Times New Roman"/>
              <w:bCs/>
              <w:color w:val="auto"/>
              <w:kern w:val="0"/>
              <w:szCs w:val="32"/>
              <w:lang w:val="en-US" w:eastAsia="zh-CN" w:bidi="ar-SA"/>
            </w:rPr>
            <w:fldChar w:fldCharType="begin"/>
          </w:r>
          <w:r>
            <w:rPr>
              <w:rFonts w:ascii="Times New Roman" w:hAnsi="Times New Roman" w:eastAsia="仿宋_GB2312" w:cs="Times New Roman"/>
              <w:bCs/>
              <w:kern w:val="0"/>
              <w:szCs w:val="32"/>
              <w:lang w:val="en-US" w:eastAsia="zh-CN" w:bidi="ar-SA"/>
            </w:rPr>
            <w:instrText xml:space="preserve"> HYPERLINK \l _Toc17803 </w:instrText>
          </w:r>
          <w:r>
            <w:rPr>
              <w:rFonts w:ascii="Times New Roman" w:hAnsi="Times New Roman" w:eastAsia="仿宋_GB2312" w:cs="Times New Roman"/>
              <w:bCs/>
              <w:kern w:val="0"/>
              <w:szCs w:val="32"/>
              <w:lang w:val="en-US" w:eastAsia="zh-CN" w:bidi="ar-SA"/>
            </w:rPr>
            <w:fldChar w:fldCharType="separate"/>
          </w:r>
          <w:r>
            <w:rPr>
              <w:rFonts w:hint="eastAsia" w:ascii="黑体" w:hAnsi="黑体" w:eastAsia="黑体" w:cs="黑体"/>
              <w:kern w:val="0"/>
              <w:lang w:val="en-US" w:eastAsia="zh-CN"/>
            </w:rPr>
            <w:t>一、总体要求</w:t>
          </w:r>
          <w:r>
            <w:tab/>
          </w:r>
          <w:r>
            <w:fldChar w:fldCharType="begin"/>
          </w:r>
          <w:r>
            <w:instrText xml:space="preserve"> PAGEREF _Toc17803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ascii="Times New Roman" w:hAnsi="Times New Roman" w:eastAsia="仿宋_GB2312" w:cs="Times New Roman"/>
              <w:bCs/>
              <w:color w:val="auto"/>
              <w:kern w:val="0"/>
              <w:szCs w:val="32"/>
              <w:lang w:val="en-US" w:eastAsia="zh-CN" w:bidi="ar-SA"/>
            </w:rPr>
            <w:fldChar w:fldCharType="end"/>
          </w:r>
        </w:p>
        <w:p>
          <w:pPr>
            <w:pStyle w:val="11"/>
            <w:tabs>
              <w:tab w:val="right" w:leader="dot" w:pos="8306"/>
            </w:tabs>
          </w:pPr>
          <w:r>
            <w:rPr>
              <w:rFonts w:ascii="Times New Roman" w:hAnsi="Times New Roman" w:eastAsia="仿宋_GB2312" w:cs="Times New Roman"/>
              <w:bCs/>
              <w:color w:val="auto"/>
              <w:kern w:val="0"/>
              <w:szCs w:val="32"/>
              <w:lang w:val="en-US" w:eastAsia="zh-CN" w:bidi="ar-SA"/>
            </w:rPr>
            <w:fldChar w:fldCharType="begin"/>
          </w:r>
          <w:r>
            <w:rPr>
              <w:rFonts w:ascii="Times New Roman" w:hAnsi="Times New Roman" w:eastAsia="仿宋_GB2312" w:cs="Times New Roman"/>
              <w:bCs/>
              <w:kern w:val="0"/>
              <w:szCs w:val="32"/>
              <w:lang w:val="en-US" w:eastAsia="zh-CN" w:bidi="ar-SA"/>
            </w:rPr>
            <w:instrText xml:space="preserve"> HYPERLINK \l _Toc16361 </w:instrText>
          </w:r>
          <w:r>
            <w:rPr>
              <w:rFonts w:ascii="Times New Roman" w:hAnsi="Times New Roman" w:eastAsia="仿宋_GB2312" w:cs="Times New Roman"/>
              <w:bCs/>
              <w:kern w:val="0"/>
              <w:szCs w:val="32"/>
              <w:lang w:val="en-US" w:eastAsia="zh-CN" w:bidi="ar-SA"/>
            </w:rPr>
            <w:fldChar w:fldCharType="separate"/>
          </w:r>
          <w:r>
            <w:rPr>
              <w:rFonts w:hint="eastAsia" w:ascii="黑体" w:hAnsi="黑体" w:eastAsia="黑体" w:cs="黑体"/>
              <w:lang w:val="en-US" w:eastAsia="zh-CN"/>
            </w:rPr>
            <w:t>二、</w:t>
          </w:r>
          <w:r>
            <w:rPr>
              <w:rFonts w:hint="eastAsia" w:ascii="黑体" w:hAnsi="黑体" w:eastAsia="黑体" w:cs="黑体"/>
            </w:rPr>
            <w:t>全方位夯实汕尾市稳产保供根基</w:t>
          </w:r>
          <w:r>
            <w:tab/>
          </w:r>
          <w:r>
            <w:fldChar w:fldCharType="begin"/>
          </w:r>
          <w:r>
            <w:instrText xml:space="preserve"> PAGEREF _Toc16361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rFonts w:ascii="Times New Roman" w:hAnsi="Times New Roman" w:eastAsia="仿宋_GB2312" w:cs="Times New Roman"/>
              <w:bCs/>
              <w:color w:val="auto"/>
              <w:kern w:val="0"/>
              <w:szCs w:val="32"/>
              <w:lang w:val="en-US" w:eastAsia="zh-CN" w:bidi="ar-SA"/>
            </w:rPr>
            <w:fldChar w:fldCharType="end"/>
          </w:r>
        </w:p>
        <w:p>
          <w:pPr>
            <w:pStyle w:val="12"/>
            <w:tabs>
              <w:tab w:val="right" w:leader="dot" w:pos="8306"/>
            </w:tabs>
          </w:pPr>
          <w:r>
            <w:rPr>
              <w:rFonts w:ascii="Times New Roman" w:hAnsi="Times New Roman" w:eastAsia="仿宋_GB2312" w:cs="Times New Roman"/>
              <w:bCs/>
              <w:color w:val="auto"/>
              <w:kern w:val="0"/>
              <w:szCs w:val="32"/>
              <w:lang w:val="en-US" w:eastAsia="zh-CN" w:bidi="ar-SA"/>
            </w:rPr>
            <w:fldChar w:fldCharType="begin"/>
          </w:r>
          <w:r>
            <w:rPr>
              <w:rFonts w:ascii="Times New Roman" w:hAnsi="Times New Roman" w:eastAsia="仿宋_GB2312" w:cs="Times New Roman"/>
              <w:bCs/>
              <w:kern w:val="0"/>
              <w:szCs w:val="32"/>
              <w:lang w:val="en-US" w:eastAsia="zh-CN" w:bidi="ar-SA"/>
            </w:rPr>
            <w:instrText xml:space="preserve"> HYPERLINK \l _Toc12504 </w:instrText>
          </w:r>
          <w:r>
            <w:rPr>
              <w:rFonts w:ascii="Times New Roman" w:hAnsi="Times New Roman" w:eastAsia="仿宋_GB2312" w:cs="Times New Roman"/>
              <w:bCs/>
              <w:kern w:val="0"/>
              <w:szCs w:val="32"/>
              <w:lang w:val="en-US" w:eastAsia="zh-CN" w:bidi="ar-SA"/>
            </w:rPr>
            <w:fldChar w:fldCharType="separate"/>
          </w:r>
          <w:r>
            <w:rPr>
              <w:rFonts w:hint="eastAsia" w:ascii="仿宋_GB2312" w:hAnsi="仿宋_GB2312" w:eastAsia="仿宋_GB2312" w:cs="仿宋_GB2312"/>
              <w:bCs w:val="0"/>
              <w:lang w:eastAsia="zh-CN"/>
            </w:rPr>
            <w:t>（</w:t>
          </w:r>
          <w:r>
            <w:rPr>
              <w:rFonts w:hint="eastAsia" w:ascii="仿宋_GB2312" w:hAnsi="仿宋_GB2312" w:eastAsia="仿宋_GB2312" w:cs="仿宋_GB2312"/>
              <w:bCs w:val="0"/>
            </w:rPr>
            <w:t>一</w:t>
          </w:r>
          <w:r>
            <w:rPr>
              <w:rFonts w:hint="eastAsia" w:ascii="仿宋_GB2312" w:hAnsi="仿宋_GB2312" w:eastAsia="仿宋_GB2312" w:cs="仿宋_GB2312"/>
              <w:bCs w:val="0"/>
              <w:lang w:eastAsia="zh-CN"/>
            </w:rPr>
            <w:t>）</w:t>
          </w:r>
          <w:r>
            <w:rPr>
              <w:rFonts w:hint="eastAsia" w:ascii="仿宋_GB2312" w:hAnsi="仿宋_GB2312" w:eastAsia="仿宋_GB2312" w:cs="仿宋_GB2312"/>
              <w:bCs w:val="0"/>
            </w:rPr>
            <w:t>筑牢耕地基础</w:t>
          </w:r>
          <w:r>
            <w:tab/>
          </w:r>
          <w:r>
            <w:fldChar w:fldCharType="begin"/>
          </w:r>
          <w:r>
            <w:instrText xml:space="preserve"> PAGEREF _Toc12504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rFonts w:ascii="Times New Roman" w:hAnsi="Times New Roman" w:eastAsia="仿宋_GB2312" w:cs="Times New Roman"/>
              <w:bCs/>
              <w:color w:val="auto"/>
              <w:kern w:val="0"/>
              <w:szCs w:val="32"/>
              <w:lang w:val="en-US" w:eastAsia="zh-CN" w:bidi="ar-SA"/>
            </w:rPr>
            <w:fldChar w:fldCharType="end"/>
          </w:r>
        </w:p>
        <w:p>
          <w:pPr>
            <w:pStyle w:val="12"/>
            <w:tabs>
              <w:tab w:val="right" w:leader="dot" w:pos="8306"/>
            </w:tabs>
          </w:pPr>
          <w:r>
            <w:rPr>
              <w:rFonts w:ascii="Times New Roman" w:hAnsi="Times New Roman" w:eastAsia="仿宋_GB2312" w:cs="Times New Roman"/>
              <w:bCs/>
              <w:color w:val="auto"/>
              <w:kern w:val="0"/>
              <w:szCs w:val="32"/>
              <w:lang w:val="en-US" w:eastAsia="zh-CN" w:bidi="ar-SA"/>
            </w:rPr>
            <w:fldChar w:fldCharType="begin"/>
          </w:r>
          <w:r>
            <w:rPr>
              <w:rFonts w:ascii="Times New Roman" w:hAnsi="Times New Roman" w:eastAsia="仿宋_GB2312" w:cs="Times New Roman"/>
              <w:bCs/>
              <w:kern w:val="0"/>
              <w:szCs w:val="32"/>
              <w:lang w:val="en-US" w:eastAsia="zh-CN" w:bidi="ar-SA"/>
            </w:rPr>
            <w:instrText xml:space="preserve"> HYPERLINK \l _Toc23393 </w:instrText>
          </w:r>
          <w:r>
            <w:rPr>
              <w:rFonts w:ascii="Times New Roman" w:hAnsi="Times New Roman" w:eastAsia="仿宋_GB2312" w:cs="Times New Roman"/>
              <w:bCs/>
              <w:kern w:val="0"/>
              <w:szCs w:val="32"/>
              <w:lang w:val="en-US" w:eastAsia="zh-CN" w:bidi="ar-SA"/>
            </w:rPr>
            <w:fldChar w:fldCharType="separate"/>
          </w:r>
          <w:r>
            <w:rPr>
              <w:rFonts w:hint="eastAsia" w:ascii="仿宋_GB2312" w:hAnsi="仿宋_GB2312" w:eastAsia="仿宋_GB2312" w:cs="仿宋_GB2312"/>
              <w:bCs w:val="0"/>
              <w:lang w:eastAsia="zh-CN"/>
            </w:rPr>
            <w:t>（</w:t>
          </w:r>
          <w:r>
            <w:rPr>
              <w:rFonts w:hint="eastAsia" w:ascii="仿宋_GB2312" w:hAnsi="仿宋_GB2312" w:eastAsia="仿宋_GB2312" w:cs="仿宋_GB2312"/>
              <w:bCs w:val="0"/>
            </w:rPr>
            <w:t>二</w:t>
          </w:r>
          <w:r>
            <w:rPr>
              <w:rFonts w:hint="eastAsia" w:ascii="仿宋_GB2312" w:hAnsi="仿宋_GB2312" w:eastAsia="仿宋_GB2312" w:cs="仿宋_GB2312"/>
              <w:bCs w:val="0"/>
              <w:lang w:eastAsia="zh-CN"/>
            </w:rPr>
            <w:t>）</w:t>
          </w:r>
          <w:r>
            <w:rPr>
              <w:rFonts w:hint="eastAsia" w:ascii="仿宋_GB2312" w:hAnsi="仿宋_GB2312" w:eastAsia="仿宋_GB2312" w:cs="仿宋_GB2312"/>
              <w:bCs w:val="0"/>
            </w:rPr>
            <w:t>巩固粮食和重要农产品生产能力</w:t>
          </w:r>
          <w:r>
            <w:tab/>
          </w:r>
          <w:r>
            <w:fldChar w:fldCharType="begin"/>
          </w:r>
          <w:r>
            <w:instrText xml:space="preserve"> PAGEREF _Toc23393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rFonts w:ascii="Times New Roman" w:hAnsi="Times New Roman" w:eastAsia="仿宋_GB2312" w:cs="Times New Roman"/>
              <w:bCs/>
              <w:color w:val="auto"/>
              <w:kern w:val="0"/>
              <w:szCs w:val="32"/>
              <w:lang w:val="en-US" w:eastAsia="zh-CN" w:bidi="ar-SA"/>
            </w:rPr>
            <w:fldChar w:fldCharType="end"/>
          </w:r>
        </w:p>
        <w:p>
          <w:pPr>
            <w:pStyle w:val="12"/>
            <w:tabs>
              <w:tab w:val="right" w:leader="dot" w:pos="8306"/>
            </w:tabs>
          </w:pPr>
          <w:r>
            <w:rPr>
              <w:rFonts w:ascii="Times New Roman" w:hAnsi="Times New Roman" w:eastAsia="仿宋_GB2312" w:cs="Times New Roman"/>
              <w:bCs/>
              <w:color w:val="auto"/>
              <w:kern w:val="0"/>
              <w:szCs w:val="32"/>
              <w:lang w:val="en-US" w:eastAsia="zh-CN" w:bidi="ar-SA"/>
            </w:rPr>
            <w:fldChar w:fldCharType="begin"/>
          </w:r>
          <w:r>
            <w:rPr>
              <w:rFonts w:ascii="Times New Roman" w:hAnsi="Times New Roman" w:eastAsia="仿宋_GB2312" w:cs="Times New Roman"/>
              <w:bCs/>
              <w:kern w:val="0"/>
              <w:szCs w:val="32"/>
              <w:lang w:val="en-US" w:eastAsia="zh-CN" w:bidi="ar-SA"/>
            </w:rPr>
            <w:instrText xml:space="preserve"> HYPERLINK \l _Toc19317 </w:instrText>
          </w:r>
          <w:r>
            <w:rPr>
              <w:rFonts w:ascii="Times New Roman" w:hAnsi="Times New Roman" w:eastAsia="仿宋_GB2312" w:cs="Times New Roman"/>
              <w:bCs/>
              <w:kern w:val="0"/>
              <w:szCs w:val="32"/>
              <w:lang w:val="en-US" w:eastAsia="zh-CN" w:bidi="ar-SA"/>
            </w:rPr>
            <w:fldChar w:fldCharType="separate"/>
          </w:r>
          <w:r>
            <w:rPr>
              <w:rFonts w:hint="eastAsia" w:ascii="仿宋_GB2312" w:hAnsi="仿宋_GB2312" w:eastAsia="仿宋_GB2312" w:cs="仿宋_GB2312"/>
              <w:bCs w:val="0"/>
              <w:lang w:eastAsia="zh-CN"/>
            </w:rPr>
            <w:t>（</w:t>
          </w:r>
          <w:r>
            <w:rPr>
              <w:rFonts w:hint="eastAsia" w:ascii="仿宋_GB2312" w:hAnsi="仿宋_GB2312" w:eastAsia="仿宋_GB2312" w:cs="仿宋_GB2312"/>
              <w:bCs w:val="0"/>
            </w:rPr>
            <w:t>三</w:t>
          </w:r>
          <w:r>
            <w:rPr>
              <w:rFonts w:hint="eastAsia" w:ascii="仿宋_GB2312" w:hAnsi="仿宋_GB2312" w:eastAsia="仿宋_GB2312" w:cs="仿宋_GB2312"/>
              <w:bCs w:val="0"/>
              <w:lang w:eastAsia="zh-CN"/>
            </w:rPr>
            <w:t>）</w:t>
          </w:r>
          <w:r>
            <w:rPr>
              <w:rFonts w:hint="eastAsia" w:ascii="仿宋_GB2312" w:hAnsi="仿宋_GB2312" w:eastAsia="仿宋_GB2312" w:cs="仿宋_GB2312"/>
              <w:bCs w:val="0"/>
            </w:rPr>
            <w:t>构建多元化食物供给体系</w:t>
          </w:r>
          <w:r>
            <w:tab/>
          </w:r>
          <w:r>
            <w:fldChar w:fldCharType="begin"/>
          </w:r>
          <w:r>
            <w:instrText xml:space="preserve"> PAGEREF _Toc19317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rFonts w:ascii="Times New Roman" w:hAnsi="Times New Roman" w:eastAsia="仿宋_GB2312" w:cs="Times New Roman"/>
              <w:bCs/>
              <w:color w:val="auto"/>
              <w:kern w:val="0"/>
              <w:szCs w:val="32"/>
              <w:lang w:val="en-US" w:eastAsia="zh-CN" w:bidi="ar-SA"/>
            </w:rPr>
            <w:fldChar w:fldCharType="end"/>
          </w:r>
        </w:p>
        <w:p>
          <w:pPr>
            <w:pStyle w:val="12"/>
            <w:tabs>
              <w:tab w:val="right" w:leader="dot" w:pos="8306"/>
            </w:tabs>
          </w:pPr>
          <w:r>
            <w:rPr>
              <w:rFonts w:ascii="Times New Roman" w:hAnsi="Times New Roman" w:eastAsia="仿宋_GB2312" w:cs="Times New Roman"/>
              <w:bCs/>
              <w:color w:val="auto"/>
              <w:kern w:val="0"/>
              <w:szCs w:val="32"/>
              <w:lang w:val="en-US" w:eastAsia="zh-CN" w:bidi="ar-SA"/>
            </w:rPr>
            <w:fldChar w:fldCharType="begin"/>
          </w:r>
          <w:r>
            <w:rPr>
              <w:rFonts w:ascii="Times New Roman" w:hAnsi="Times New Roman" w:eastAsia="仿宋_GB2312" w:cs="Times New Roman"/>
              <w:bCs/>
              <w:kern w:val="0"/>
              <w:szCs w:val="32"/>
              <w:lang w:val="en-US" w:eastAsia="zh-CN" w:bidi="ar-SA"/>
            </w:rPr>
            <w:instrText xml:space="preserve"> HYPERLINK \l _Toc13602 </w:instrText>
          </w:r>
          <w:r>
            <w:rPr>
              <w:rFonts w:ascii="Times New Roman" w:hAnsi="Times New Roman" w:eastAsia="仿宋_GB2312" w:cs="Times New Roman"/>
              <w:bCs/>
              <w:kern w:val="0"/>
              <w:szCs w:val="32"/>
              <w:lang w:val="en-US" w:eastAsia="zh-CN" w:bidi="ar-SA"/>
            </w:rPr>
            <w:fldChar w:fldCharType="separate"/>
          </w:r>
          <w:r>
            <w:rPr>
              <w:rFonts w:hint="eastAsia" w:ascii="仿宋_GB2312" w:hAnsi="仿宋_GB2312" w:eastAsia="仿宋_GB2312" w:cs="仿宋_GB2312"/>
              <w:bCs w:val="0"/>
              <w:lang w:eastAsia="zh-CN"/>
            </w:rPr>
            <w:t>（</w:t>
          </w:r>
          <w:r>
            <w:rPr>
              <w:rFonts w:hint="eastAsia" w:ascii="仿宋_GB2312" w:hAnsi="仿宋_GB2312" w:eastAsia="仿宋_GB2312" w:cs="仿宋_GB2312"/>
              <w:bCs w:val="0"/>
            </w:rPr>
            <w:t>四</w:t>
          </w:r>
          <w:r>
            <w:rPr>
              <w:rFonts w:hint="eastAsia" w:ascii="仿宋_GB2312" w:hAnsi="仿宋_GB2312" w:eastAsia="仿宋_GB2312" w:cs="仿宋_GB2312"/>
              <w:bCs w:val="0"/>
              <w:lang w:eastAsia="zh-CN"/>
            </w:rPr>
            <w:t>）</w:t>
          </w:r>
          <w:r>
            <w:rPr>
              <w:rFonts w:hint="eastAsia" w:ascii="仿宋_GB2312" w:hAnsi="仿宋_GB2312" w:eastAsia="仿宋_GB2312" w:cs="仿宋_GB2312"/>
              <w:bCs w:val="0"/>
            </w:rPr>
            <w:t>提升农业防灾减灾救灾能力</w:t>
          </w:r>
          <w:r>
            <w:tab/>
          </w:r>
          <w:r>
            <w:fldChar w:fldCharType="begin"/>
          </w:r>
          <w:r>
            <w:instrText xml:space="preserve"> PAGEREF _Toc13602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rPr>
              <w:rFonts w:ascii="Times New Roman" w:hAnsi="Times New Roman" w:eastAsia="仿宋_GB2312" w:cs="Times New Roman"/>
              <w:bCs/>
              <w:color w:val="auto"/>
              <w:kern w:val="0"/>
              <w:szCs w:val="32"/>
              <w:lang w:val="en-US" w:eastAsia="zh-CN" w:bidi="ar-SA"/>
            </w:rPr>
            <w:fldChar w:fldCharType="end"/>
          </w:r>
        </w:p>
        <w:p>
          <w:pPr>
            <w:pStyle w:val="11"/>
            <w:tabs>
              <w:tab w:val="right" w:leader="dot" w:pos="8306"/>
            </w:tabs>
          </w:pPr>
          <w:r>
            <w:rPr>
              <w:rFonts w:ascii="Times New Roman" w:hAnsi="Times New Roman" w:eastAsia="仿宋_GB2312" w:cs="Times New Roman"/>
              <w:bCs/>
              <w:color w:val="auto"/>
              <w:kern w:val="0"/>
              <w:szCs w:val="32"/>
              <w:lang w:val="en-US" w:eastAsia="zh-CN" w:bidi="ar-SA"/>
            </w:rPr>
            <w:fldChar w:fldCharType="begin"/>
          </w:r>
          <w:r>
            <w:rPr>
              <w:rFonts w:ascii="Times New Roman" w:hAnsi="Times New Roman" w:eastAsia="仿宋_GB2312" w:cs="Times New Roman"/>
              <w:bCs/>
              <w:kern w:val="0"/>
              <w:szCs w:val="32"/>
              <w:lang w:val="en-US" w:eastAsia="zh-CN" w:bidi="ar-SA"/>
            </w:rPr>
            <w:instrText xml:space="preserve"> HYPERLINK \l _Toc28563 </w:instrText>
          </w:r>
          <w:r>
            <w:rPr>
              <w:rFonts w:ascii="Times New Roman" w:hAnsi="Times New Roman" w:eastAsia="仿宋_GB2312" w:cs="Times New Roman"/>
              <w:bCs/>
              <w:kern w:val="0"/>
              <w:szCs w:val="32"/>
              <w:lang w:val="en-US" w:eastAsia="zh-CN" w:bidi="ar-SA"/>
            </w:rPr>
            <w:fldChar w:fldCharType="separate"/>
          </w:r>
          <w:r>
            <w:rPr>
              <w:rFonts w:hint="eastAsia" w:ascii="黑体" w:hAnsi="黑体" w:eastAsia="黑体" w:cs="黑体"/>
              <w:lang w:val="en-US" w:eastAsia="zh-CN"/>
            </w:rPr>
            <w:t>三、</w:t>
          </w:r>
          <w:r>
            <w:rPr>
              <w:rFonts w:hint="eastAsia" w:ascii="黑体" w:hAnsi="黑体" w:eastAsia="黑体" w:cs="黑体"/>
            </w:rPr>
            <w:t>推动农业新质生产力与产业深度融合</w:t>
          </w:r>
          <w:r>
            <w:tab/>
          </w:r>
          <w:r>
            <w:fldChar w:fldCharType="begin"/>
          </w:r>
          <w:r>
            <w:instrText xml:space="preserve"> PAGEREF _Toc28563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rPr>
              <w:rFonts w:ascii="Times New Roman" w:hAnsi="Times New Roman" w:eastAsia="仿宋_GB2312" w:cs="Times New Roman"/>
              <w:bCs/>
              <w:color w:val="auto"/>
              <w:kern w:val="0"/>
              <w:szCs w:val="32"/>
              <w:lang w:val="en-US" w:eastAsia="zh-CN" w:bidi="ar-SA"/>
            </w:rPr>
            <w:fldChar w:fldCharType="end"/>
          </w:r>
        </w:p>
        <w:p>
          <w:pPr>
            <w:pStyle w:val="12"/>
            <w:tabs>
              <w:tab w:val="right" w:leader="dot" w:pos="8306"/>
            </w:tabs>
          </w:pPr>
          <w:r>
            <w:rPr>
              <w:rFonts w:ascii="Times New Roman" w:hAnsi="Times New Roman" w:eastAsia="仿宋_GB2312" w:cs="Times New Roman"/>
              <w:bCs/>
              <w:color w:val="auto"/>
              <w:kern w:val="0"/>
              <w:szCs w:val="32"/>
              <w:lang w:val="en-US" w:eastAsia="zh-CN" w:bidi="ar-SA"/>
            </w:rPr>
            <w:fldChar w:fldCharType="begin"/>
          </w:r>
          <w:r>
            <w:rPr>
              <w:rFonts w:ascii="Times New Roman" w:hAnsi="Times New Roman" w:eastAsia="仿宋_GB2312" w:cs="Times New Roman"/>
              <w:bCs/>
              <w:kern w:val="0"/>
              <w:szCs w:val="32"/>
              <w:lang w:val="en-US" w:eastAsia="zh-CN" w:bidi="ar-SA"/>
            </w:rPr>
            <w:instrText xml:space="preserve"> HYPERLINK \l _Toc10820 </w:instrText>
          </w:r>
          <w:r>
            <w:rPr>
              <w:rFonts w:ascii="Times New Roman" w:hAnsi="Times New Roman" w:eastAsia="仿宋_GB2312" w:cs="Times New Roman"/>
              <w:bCs/>
              <w:kern w:val="0"/>
              <w:szCs w:val="32"/>
              <w:lang w:val="en-US" w:eastAsia="zh-CN" w:bidi="ar-SA"/>
            </w:rPr>
            <w:fldChar w:fldCharType="separate"/>
          </w:r>
          <w:r>
            <w:rPr>
              <w:rFonts w:hint="eastAsia" w:ascii="仿宋_GB2312" w:hAnsi="仿宋_GB2312" w:eastAsia="仿宋_GB2312" w:cs="仿宋_GB2312"/>
              <w:bCs w:val="0"/>
              <w:lang w:eastAsia="zh-CN"/>
            </w:rPr>
            <w:t>（</w:t>
          </w:r>
          <w:r>
            <w:rPr>
              <w:rFonts w:hint="eastAsia" w:ascii="仿宋_GB2312" w:hAnsi="仿宋_GB2312" w:eastAsia="仿宋_GB2312" w:cs="仿宋_GB2312"/>
              <w:bCs w:val="0"/>
              <w:lang w:val="en-US" w:eastAsia="zh-CN"/>
            </w:rPr>
            <w:t>五</w:t>
          </w:r>
          <w:r>
            <w:rPr>
              <w:rFonts w:hint="eastAsia" w:ascii="仿宋_GB2312" w:hAnsi="仿宋_GB2312" w:eastAsia="仿宋_GB2312" w:cs="仿宋_GB2312"/>
              <w:bCs w:val="0"/>
              <w:lang w:eastAsia="zh-CN"/>
            </w:rPr>
            <w:t>）</w:t>
          </w:r>
          <w:r>
            <w:rPr>
              <w:rFonts w:hint="eastAsia" w:ascii="仿宋_GB2312" w:hAnsi="仿宋_GB2312" w:eastAsia="仿宋_GB2312" w:cs="仿宋_GB2312"/>
              <w:bCs w:val="0"/>
            </w:rPr>
            <w:t>提升农业科技创新体系整体效能</w:t>
          </w:r>
          <w:r>
            <w:tab/>
          </w:r>
          <w:r>
            <w:fldChar w:fldCharType="begin"/>
          </w:r>
          <w:r>
            <w:instrText xml:space="preserve"> PAGEREF _Toc10820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rPr>
              <w:rFonts w:ascii="Times New Roman" w:hAnsi="Times New Roman" w:eastAsia="仿宋_GB2312" w:cs="Times New Roman"/>
              <w:bCs/>
              <w:color w:val="auto"/>
              <w:kern w:val="0"/>
              <w:szCs w:val="32"/>
              <w:lang w:val="en-US" w:eastAsia="zh-CN" w:bidi="ar-SA"/>
            </w:rPr>
            <w:fldChar w:fldCharType="end"/>
          </w:r>
        </w:p>
        <w:p>
          <w:pPr>
            <w:pStyle w:val="12"/>
            <w:tabs>
              <w:tab w:val="right" w:leader="dot" w:pos="8306"/>
            </w:tabs>
          </w:pPr>
          <w:r>
            <w:rPr>
              <w:rFonts w:ascii="Times New Roman" w:hAnsi="Times New Roman" w:eastAsia="仿宋_GB2312" w:cs="Times New Roman"/>
              <w:bCs/>
              <w:color w:val="auto"/>
              <w:kern w:val="0"/>
              <w:szCs w:val="32"/>
              <w:lang w:val="en-US" w:eastAsia="zh-CN" w:bidi="ar-SA"/>
            </w:rPr>
            <w:fldChar w:fldCharType="begin"/>
          </w:r>
          <w:r>
            <w:rPr>
              <w:rFonts w:ascii="Times New Roman" w:hAnsi="Times New Roman" w:eastAsia="仿宋_GB2312" w:cs="Times New Roman"/>
              <w:bCs/>
              <w:kern w:val="0"/>
              <w:szCs w:val="32"/>
              <w:lang w:val="en-US" w:eastAsia="zh-CN" w:bidi="ar-SA"/>
            </w:rPr>
            <w:instrText xml:space="preserve"> HYPERLINK \l _Toc2773 </w:instrText>
          </w:r>
          <w:r>
            <w:rPr>
              <w:rFonts w:ascii="Times New Roman" w:hAnsi="Times New Roman" w:eastAsia="仿宋_GB2312" w:cs="Times New Roman"/>
              <w:bCs/>
              <w:kern w:val="0"/>
              <w:szCs w:val="32"/>
              <w:lang w:val="en-US" w:eastAsia="zh-CN" w:bidi="ar-SA"/>
            </w:rPr>
            <w:fldChar w:fldCharType="separate"/>
          </w:r>
          <w:r>
            <w:rPr>
              <w:rFonts w:hint="eastAsia" w:ascii="仿宋_GB2312" w:hAnsi="仿宋_GB2312" w:eastAsia="仿宋_GB2312" w:cs="仿宋_GB2312"/>
              <w:bCs w:val="0"/>
              <w:lang w:eastAsia="zh-CN"/>
            </w:rPr>
            <w:t>（</w:t>
          </w:r>
          <w:r>
            <w:rPr>
              <w:rFonts w:hint="eastAsia" w:ascii="仿宋_GB2312" w:hAnsi="仿宋_GB2312" w:eastAsia="仿宋_GB2312" w:cs="仿宋_GB2312"/>
              <w:bCs w:val="0"/>
              <w:lang w:val="en-US" w:eastAsia="zh-CN"/>
            </w:rPr>
            <w:t>六</w:t>
          </w:r>
          <w:r>
            <w:rPr>
              <w:rFonts w:hint="eastAsia" w:ascii="仿宋_GB2312" w:hAnsi="仿宋_GB2312" w:eastAsia="仿宋_GB2312" w:cs="仿宋_GB2312"/>
              <w:bCs w:val="0"/>
              <w:lang w:eastAsia="zh-CN"/>
            </w:rPr>
            <w:t>）</w:t>
          </w:r>
          <w:r>
            <w:rPr>
              <w:rFonts w:hint="eastAsia" w:ascii="仿宋_GB2312" w:hAnsi="仿宋_GB2312" w:eastAsia="仿宋_GB2312" w:cs="仿宋_GB2312"/>
              <w:bCs w:val="0"/>
            </w:rPr>
            <w:t>持续深化种业振兴行动</w:t>
          </w:r>
          <w:r>
            <w:tab/>
          </w:r>
          <w:r>
            <w:fldChar w:fldCharType="begin"/>
          </w:r>
          <w:r>
            <w:instrText xml:space="preserve"> PAGEREF _Toc2773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rPr>
              <w:rFonts w:ascii="Times New Roman" w:hAnsi="Times New Roman" w:eastAsia="仿宋_GB2312" w:cs="Times New Roman"/>
              <w:bCs/>
              <w:color w:val="auto"/>
              <w:kern w:val="0"/>
              <w:szCs w:val="32"/>
              <w:lang w:val="en-US" w:eastAsia="zh-CN" w:bidi="ar-SA"/>
            </w:rPr>
            <w:fldChar w:fldCharType="end"/>
          </w:r>
        </w:p>
        <w:p>
          <w:pPr>
            <w:pStyle w:val="12"/>
            <w:tabs>
              <w:tab w:val="right" w:leader="dot" w:pos="8306"/>
            </w:tabs>
          </w:pPr>
          <w:r>
            <w:rPr>
              <w:rFonts w:ascii="Times New Roman" w:hAnsi="Times New Roman" w:eastAsia="仿宋_GB2312" w:cs="Times New Roman"/>
              <w:bCs/>
              <w:color w:val="auto"/>
              <w:kern w:val="0"/>
              <w:szCs w:val="32"/>
              <w:lang w:val="en-US" w:eastAsia="zh-CN" w:bidi="ar-SA"/>
            </w:rPr>
            <w:fldChar w:fldCharType="begin"/>
          </w:r>
          <w:r>
            <w:rPr>
              <w:rFonts w:ascii="Times New Roman" w:hAnsi="Times New Roman" w:eastAsia="仿宋_GB2312" w:cs="Times New Roman"/>
              <w:bCs/>
              <w:kern w:val="0"/>
              <w:szCs w:val="32"/>
              <w:lang w:val="en-US" w:eastAsia="zh-CN" w:bidi="ar-SA"/>
            </w:rPr>
            <w:instrText xml:space="preserve"> HYPERLINK \l _Toc2853 </w:instrText>
          </w:r>
          <w:r>
            <w:rPr>
              <w:rFonts w:ascii="Times New Roman" w:hAnsi="Times New Roman" w:eastAsia="仿宋_GB2312" w:cs="Times New Roman"/>
              <w:bCs/>
              <w:kern w:val="0"/>
              <w:szCs w:val="32"/>
              <w:lang w:val="en-US" w:eastAsia="zh-CN" w:bidi="ar-SA"/>
            </w:rPr>
            <w:fldChar w:fldCharType="separate"/>
          </w:r>
          <w:r>
            <w:rPr>
              <w:rFonts w:hint="eastAsia" w:ascii="仿宋_GB2312" w:hAnsi="仿宋_GB2312" w:eastAsia="仿宋_GB2312" w:cs="仿宋_GB2312"/>
              <w:bCs w:val="0"/>
              <w:lang w:eastAsia="zh-CN"/>
            </w:rPr>
            <w:t>（</w:t>
          </w:r>
          <w:r>
            <w:rPr>
              <w:rFonts w:hint="eastAsia" w:ascii="仿宋_GB2312" w:hAnsi="仿宋_GB2312" w:eastAsia="仿宋_GB2312" w:cs="仿宋_GB2312"/>
              <w:bCs w:val="0"/>
              <w:lang w:val="en-US" w:eastAsia="zh-CN"/>
            </w:rPr>
            <w:t>七</w:t>
          </w:r>
          <w:r>
            <w:rPr>
              <w:rFonts w:hint="eastAsia" w:ascii="仿宋_GB2312" w:hAnsi="仿宋_GB2312" w:eastAsia="仿宋_GB2312" w:cs="仿宋_GB2312"/>
              <w:bCs w:val="0"/>
              <w:lang w:eastAsia="zh-CN"/>
            </w:rPr>
            <w:t>）</w:t>
          </w:r>
          <w:r>
            <w:rPr>
              <w:rFonts w:hint="eastAsia" w:ascii="仿宋_GB2312" w:hAnsi="仿宋_GB2312" w:eastAsia="仿宋_GB2312" w:cs="仿宋_GB2312"/>
              <w:bCs w:val="0"/>
            </w:rPr>
            <w:t>推进农机装备全程全面升级</w:t>
          </w:r>
          <w:r>
            <w:tab/>
          </w:r>
          <w:r>
            <w:fldChar w:fldCharType="begin"/>
          </w:r>
          <w:r>
            <w:instrText xml:space="preserve"> PAGEREF _Toc2853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rPr>
              <w:rFonts w:ascii="Times New Roman" w:hAnsi="Times New Roman" w:eastAsia="仿宋_GB2312" w:cs="Times New Roman"/>
              <w:bCs/>
              <w:color w:val="auto"/>
              <w:kern w:val="0"/>
              <w:szCs w:val="32"/>
              <w:lang w:val="en-US" w:eastAsia="zh-CN" w:bidi="ar-SA"/>
            </w:rPr>
            <w:fldChar w:fldCharType="end"/>
          </w:r>
        </w:p>
        <w:p>
          <w:pPr>
            <w:pStyle w:val="12"/>
            <w:tabs>
              <w:tab w:val="right" w:leader="dot" w:pos="8306"/>
            </w:tabs>
          </w:pPr>
          <w:r>
            <w:rPr>
              <w:rFonts w:ascii="Times New Roman" w:hAnsi="Times New Roman" w:eastAsia="仿宋_GB2312" w:cs="Times New Roman"/>
              <w:bCs/>
              <w:color w:val="auto"/>
              <w:kern w:val="0"/>
              <w:szCs w:val="32"/>
              <w:lang w:val="en-US" w:eastAsia="zh-CN" w:bidi="ar-SA"/>
            </w:rPr>
            <w:fldChar w:fldCharType="begin"/>
          </w:r>
          <w:r>
            <w:rPr>
              <w:rFonts w:ascii="Times New Roman" w:hAnsi="Times New Roman" w:eastAsia="仿宋_GB2312" w:cs="Times New Roman"/>
              <w:bCs/>
              <w:kern w:val="0"/>
              <w:szCs w:val="32"/>
              <w:lang w:val="en-US" w:eastAsia="zh-CN" w:bidi="ar-SA"/>
            </w:rPr>
            <w:instrText xml:space="preserve"> HYPERLINK \l _Toc26716 </w:instrText>
          </w:r>
          <w:r>
            <w:rPr>
              <w:rFonts w:ascii="Times New Roman" w:hAnsi="Times New Roman" w:eastAsia="仿宋_GB2312" w:cs="Times New Roman"/>
              <w:bCs/>
              <w:kern w:val="0"/>
              <w:szCs w:val="32"/>
              <w:lang w:val="en-US" w:eastAsia="zh-CN" w:bidi="ar-SA"/>
            </w:rPr>
            <w:fldChar w:fldCharType="separate"/>
          </w:r>
          <w:r>
            <w:rPr>
              <w:rFonts w:hint="eastAsia" w:ascii="仿宋_GB2312" w:hAnsi="仿宋_GB2312" w:eastAsia="仿宋_GB2312" w:cs="仿宋_GB2312"/>
              <w:bCs w:val="0"/>
              <w:lang w:eastAsia="zh-CN"/>
            </w:rPr>
            <w:t>（</w:t>
          </w:r>
          <w:r>
            <w:rPr>
              <w:rFonts w:hint="eastAsia" w:ascii="仿宋_GB2312" w:hAnsi="仿宋_GB2312" w:eastAsia="仿宋_GB2312" w:cs="仿宋_GB2312"/>
              <w:bCs w:val="0"/>
              <w:lang w:val="en-US" w:eastAsia="zh-CN"/>
            </w:rPr>
            <w:t>八</w:t>
          </w:r>
          <w:r>
            <w:rPr>
              <w:rFonts w:hint="eastAsia" w:ascii="仿宋_GB2312" w:hAnsi="仿宋_GB2312" w:eastAsia="仿宋_GB2312" w:cs="仿宋_GB2312"/>
              <w:bCs w:val="0"/>
              <w:lang w:eastAsia="zh-CN"/>
            </w:rPr>
            <w:t>）</w:t>
          </w:r>
          <w:r>
            <w:rPr>
              <w:rFonts w:hint="eastAsia" w:ascii="仿宋_GB2312" w:hAnsi="仿宋_GB2312" w:eastAsia="仿宋_GB2312" w:cs="仿宋_GB2312"/>
              <w:bCs w:val="0"/>
            </w:rPr>
            <w:t>加快实施智慧农业行动计划</w:t>
          </w:r>
          <w:r>
            <w:tab/>
          </w:r>
          <w:r>
            <w:fldChar w:fldCharType="begin"/>
          </w:r>
          <w:r>
            <w:instrText xml:space="preserve"> PAGEREF _Toc26716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rPr>
              <w:rFonts w:ascii="Times New Roman" w:hAnsi="Times New Roman" w:eastAsia="仿宋_GB2312" w:cs="Times New Roman"/>
              <w:bCs/>
              <w:color w:val="auto"/>
              <w:kern w:val="0"/>
              <w:szCs w:val="32"/>
              <w:lang w:val="en-US" w:eastAsia="zh-CN" w:bidi="ar-SA"/>
            </w:rPr>
            <w:fldChar w:fldCharType="end"/>
          </w:r>
        </w:p>
        <w:p>
          <w:pPr>
            <w:pStyle w:val="11"/>
            <w:tabs>
              <w:tab w:val="right" w:leader="dot" w:pos="8306"/>
            </w:tabs>
          </w:pPr>
          <w:r>
            <w:rPr>
              <w:rFonts w:ascii="Times New Roman" w:hAnsi="Times New Roman" w:eastAsia="仿宋_GB2312" w:cs="Times New Roman"/>
              <w:bCs/>
              <w:color w:val="auto"/>
              <w:kern w:val="0"/>
              <w:szCs w:val="32"/>
              <w:lang w:val="en-US" w:eastAsia="zh-CN" w:bidi="ar-SA"/>
            </w:rPr>
            <w:fldChar w:fldCharType="begin"/>
          </w:r>
          <w:r>
            <w:rPr>
              <w:rFonts w:ascii="Times New Roman" w:hAnsi="Times New Roman" w:eastAsia="仿宋_GB2312" w:cs="Times New Roman"/>
              <w:bCs/>
              <w:kern w:val="0"/>
              <w:szCs w:val="32"/>
              <w:lang w:val="en-US" w:eastAsia="zh-CN" w:bidi="ar-SA"/>
            </w:rPr>
            <w:instrText xml:space="preserve"> HYPERLINK \l _Toc10677 </w:instrText>
          </w:r>
          <w:r>
            <w:rPr>
              <w:rFonts w:ascii="Times New Roman" w:hAnsi="Times New Roman" w:eastAsia="仿宋_GB2312" w:cs="Times New Roman"/>
              <w:bCs/>
              <w:kern w:val="0"/>
              <w:szCs w:val="32"/>
              <w:lang w:val="en-US" w:eastAsia="zh-CN" w:bidi="ar-SA"/>
            </w:rPr>
            <w:fldChar w:fldCharType="separate"/>
          </w:r>
          <w:r>
            <w:rPr>
              <w:rFonts w:hint="eastAsia" w:ascii="黑体" w:hAnsi="黑体" w:eastAsia="黑体" w:cs="黑体"/>
              <w:lang w:val="en-US" w:eastAsia="zh-CN"/>
            </w:rPr>
            <w:t>四、</w:t>
          </w:r>
          <w:r>
            <w:rPr>
              <w:rFonts w:hint="eastAsia" w:ascii="黑体" w:hAnsi="黑体" w:eastAsia="黑体" w:cs="黑体"/>
            </w:rPr>
            <w:t>培育壮大汕尾市现代农业产业集群</w:t>
          </w:r>
          <w:r>
            <w:tab/>
          </w:r>
          <w:r>
            <w:fldChar w:fldCharType="begin"/>
          </w:r>
          <w:r>
            <w:instrText xml:space="preserve"> PAGEREF _Toc10677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rPr>
              <w:rFonts w:ascii="Times New Roman" w:hAnsi="Times New Roman" w:eastAsia="仿宋_GB2312" w:cs="Times New Roman"/>
              <w:bCs/>
              <w:color w:val="auto"/>
              <w:kern w:val="0"/>
              <w:szCs w:val="32"/>
              <w:lang w:val="en-US" w:eastAsia="zh-CN" w:bidi="ar-SA"/>
            </w:rPr>
            <w:fldChar w:fldCharType="end"/>
          </w:r>
        </w:p>
        <w:p>
          <w:pPr>
            <w:pStyle w:val="12"/>
            <w:tabs>
              <w:tab w:val="right" w:leader="dot" w:pos="8306"/>
            </w:tabs>
          </w:pPr>
          <w:r>
            <w:rPr>
              <w:rFonts w:ascii="Times New Roman" w:hAnsi="Times New Roman" w:eastAsia="仿宋_GB2312" w:cs="Times New Roman"/>
              <w:bCs/>
              <w:color w:val="auto"/>
              <w:kern w:val="0"/>
              <w:szCs w:val="32"/>
              <w:lang w:val="en-US" w:eastAsia="zh-CN" w:bidi="ar-SA"/>
            </w:rPr>
            <w:fldChar w:fldCharType="begin"/>
          </w:r>
          <w:r>
            <w:rPr>
              <w:rFonts w:ascii="Times New Roman" w:hAnsi="Times New Roman" w:eastAsia="仿宋_GB2312" w:cs="Times New Roman"/>
              <w:bCs/>
              <w:kern w:val="0"/>
              <w:szCs w:val="32"/>
              <w:lang w:val="en-US" w:eastAsia="zh-CN" w:bidi="ar-SA"/>
            </w:rPr>
            <w:instrText xml:space="preserve"> HYPERLINK \l _Toc16481 </w:instrText>
          </w:r>
          <w:r>
            <w:rPr>
              <w:rFonts w:ascii="Times New Roman" w:hAnsi="Times New Roman" w:eastAsia="仿宋_GB2312" w:cs="Times New Roman"/>
              <w:bCs/>
              <w:kern w:val="0"/>
              <w:szCs w:val="32"/>
              <w:lang w:val="en-US" w:eastAsia="zh-CN" w:bidi="ar-SA"/>
            </w:rPr>
            <w:fldChar w:fldCharType="separate"/>
          </w:r>
          <w:r>
            <w:rPr>
              <w:rFonts w:hint="eastAsia" w:ascii="仿宋_GB2312" w:hAnsi="仿宋_GB2312" w:eastAsia="仿宋_GB2312" w:cs="仿宋_GB2312"/>
              <w:bCs w:val="0"/>
              <w:lang w:eastAsia="zh-CN"/>
            </w:rPr>
            <w:t>（</w:t>
          </w:r>
          <w:r>
            <w:rPr>
              <w:rFonts w:hint="eastAsia" w:ascii="仿宋_GB2312" w:hAnsi="仿宋_GB2312" w:eastAsia="仿宋_GB2312" w:cs="仿宋_GB2312"/>
              <w:bCs w:val="0"/>
              <w:lang w:val="en-US" w:eastAsia="zh-CN"/>
            </w:rPr>
            <w:t>九</w:t>
          </w:r>
          <w:r>
            <w:rPr>
              <w:rFonts w:hint="eastAsia" w:ascii="仿宋_GB2312" w:hAnsi="仿宋_GB2312" w:eastAsia="仿宋_GB2312" w:cs="仿宋_GB2312"/>
              <w:bCs w:val="0"/>
              <w:lang w:eastAsia="zh-CN"/>
            </w:rPr>
            <w:t>）</w:t>
          </w:r>
          <w:r>
            <w:rPr>
              <w:rFonts w:hint="eastAsia" w:ascii="仿宋_GB2312" w:hAnsi="仿宋_GB2312" w:eastAsia="仿宋_GB2312" w:cs="仿宋_GB2312"/>
              <w:bCs w:val="0"/>
            </w:rPr>
            <w:t>聚力提升现代农业集群化水平</w:t>
          </w:r>
          <w:r>
            <w:tab/>
          </w:r>
          <w:r>
            <w:fldChar w:fldCharType="begin"/>
          </w:r>
          <w:r>
            <w:instrText xml:space="preserve"> PAGEREF _Toc16481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rPr>
              <w:rFonts w:ascii="Times New Roman" w:hAnsi="Times New Roman" w:eastAsia="仿宋_GB2312" w:cs="Times New Roman"/>
              <w:bCs/>
              <w:color w:val="auto"/>
              <w:kern w:val="0"/>
              <w:szCs w:val="32"/>
              <w:lang w:val="en-US" w:eastAsia="zh-CN" w:bidi="ar-SA"/>
            </w:rPr>
            <w:fldChar w:fldCharType="end"/>
          </w:r>
        </w:p>
        <w:p>
          <w:pPr>
            <w:pStyle w:val="12"/>
            <w:tabs>
              <w:tab w:val="right" w:leader="dot" w:pos="8306"/>
            </w:tabs>
          </w:pPr>
          <w:r>
            <w:rPr>
              <w:rFonts w:ascii="Times New Roman" w:hAnsi="Times New Roman" w:eastAsia="仿宋_GB2312" w:cs="Times New Roman"/>
              <w:bCs/>
              <w:color w:val="auto"/>
              <w:kern w:val="0"/>
              <w:szCs w:val="32"/>
              <w:lang w:val="en-US" w:eastAsia="zh-CN" w:bidi="ar-SA"/>
            </w:rPr>
            <w:fldChar w:fldCharType="begin"/>
          </w:r>
          <w:r>
            <w:rPr>
              <w:rFonts w:ascii="Times New Roman" w:hAnsi="Times New Roman" w:eastAsia="仿宋_GB2312" w:cs="Times New Roman"/>
              <w:bCs/>
              <w:kern w:val="0"/>
              <w:szCs w:val="32"/>
              <w:lang w:val="en-US" w:eastAsia="zh-CN" w:bidi="ar-SA"/>
            </w:rPr>
            <w:instrText xml:space="preserve"> HYPERLINK \l _Toc31527 </w:instrText>
          </w:r>
          <w:r>
            <w:rPr>
              <w:rFonts w:ascii="Times New Roman" w:hAnsi="Times New Roman" w:eastAsia="仿宋_GB2312" w:cs="Times New Roman"/>
              <w:bCs/>
              <w:kern w:val="0"/>
              <w:szCs w:val="32"/>
              <w:lang w:val="en-US" w:eastAsia="zh-CN" w:bidi="ar-SA"/>
            </w:rPr>
            <w:fldChar w:fldCharType="separate"/>
          </w:r>
          <w:r>
            <w:rPr>
              <w:rFonts w:hint="eastAsia" w:ascii="仿宋_GB2312" w:hAnsi="仿宋_GB2312" w:eastAsia="仿宋_GB2312" w:cs="仿宋_GB2312"/>
              <w:bCs w:val="0"/>
              <w:lang w:eastAsia="zh-CN"/>
            </w:rPr>
            <w:t>（</w:t>
          </w:r>
          <w:r>
            <w:rPr>
              <w:rFonts w:hint="eastAsia" w:ascii="仿宋_GB2312" w:hAnsi="仿宋_GB2312" w:eastAsia="仿宋_GB2312" w:cs="仿宋_GB2312"/>
              <w:bCs w:val="0"/>
              <w:lang w:val="en-US" w:eastAsia="zh-CN"/>
            </w:rPr>
            <w:t>十</w:t>
          </w:r>
          <w:r>
            <w:rPr>
              <w:rFonts w:hint="eastAsia" w:ascii="仿宋_GB2312" w:hAnsi="仿宋_GB2312" w:eastAsia="仿宋_GB2312" w:cs="仿宋_GB2312"/>
              <w:bCs w:val="0"/>
              <w:lang w:eastAsia="zh-CN"/>
            </w:rPr>
            <w:t>）</w:t>
          </w:r>
          <w:r>
            <w:rPr>
              <w:rFonts w:hint="eastAsia" w:ascii="仿宋_GB2312" w:hAnsi="仿宋_GB2312" w:eastAsia="仿宋_GB2312" w:cs="仿宋_GB2312"/>
              <w:bCs w:val="0"/>
            </w:rPr>
            <w:t>推动农业优质化品牌化提升</w:t>
          </w:r>
          <w:r>
            <w:tab/>
          </w:r>
          <w:r>
            <w:fldChar w:fldCharType="begin"/>
          </w:r>
          <w:r>
            <w:instrText xml:space="preserve"> PAGEREF _Toc31527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rPr>
              <w:rFonts w:ascii="Times New Roman" w:hAnsi="Times New Roman" w:eastAsia="仿宋_GB2312" w:cs="Times New Roman"/>
              <w:bCs/>
              <w:color w:val="auto"/>
              <w:kern w:val="0"/>
              <w:szCs w:val="32"/>
              <w:lang w:val="en-US" w:eastAsia="zh-CN" w:bidi="ar-SA"/>
            </w:rPr>
            <w:fldChar w:fldCharType="end"/>
          </w:r>
        </w:p>
        <w:p>
          <w:pPr>
            <w:pStyle w:val="12"/>
            <w:tabs>
              <w:tab w:val="right" w:leader="dot" w:pos="8306"/>
            </w:tabs>
          </w:pPr>
          <w:r>
            <w:rPr>
              <w:rFonts w:ascii="Times New Roman" w:hAnsi="Times New Roman" w:eastAsia="仿宋_GB2312" w:cs="Times New Roman"/>
              <w:bCs/>
              <w:color w:val="auto"/>
              <w:kern w:val="0"/>
              <w:szCs w:val="32"/>
              <w:lang w:val="en-US" w:eastAsia="zh-CN" w:bidi="ar-SA"/>
            </w:rPr>
            <w:fldChar w:fldCharType="begin"/>
          </w:r>
          <w:r>
            <w:rPr>
              <w:rFonts w:ascii="Times New Roman" w:hAnsi="Times New Roman" w:eastAsia="仿宋_GB2312" w:cs="Times New Roman"/>
              <w:bCs/>
              <w:kern w:val="0"/>
              <w:szCs w:val="32"/>
              <w:lang w:val="en-US" w:eastAsia="zh-CN" w:bidi="ar-SA"/>
            </w:rPr>
            <w:instrText xml:space="preserve"> HYPERLINK \l _Toc24995 </w:instrText>
          </w:r>
          <w:r>
            <w:rPr>
              <w:rFonts w:ascii="Times New Roman" w:hAnsi="Times New Roman" w:eastAsia="仿宋_GB2312" w:cs="Times New Roman"/>
              <w:bCs/>
              <w:kern w:val="0"/>
              <w:szCs w:val="32"/>
              <w:lang w:val="en-US" w:eastAsia="zh-CN" w:bidi="ar-SA"/>
            </w:rPr>
            <w:fldChar w:fldCharType="separate"/>
          </w:r>
          <w:r>
            <w:rPr>
              <w:rFonts w:hint="eastAsia" w:ascii="仿宋_GB2312" w:hAnsi="仿宋_GB2312" w:eastAsia="仿宋_GB2312" w:cs="仿宋_GB2312"/>
              <w:bCs w:val="0"/>
              <w:kern w:val="0"/>
              <w:szCs w:val="32"/>
              <w:lang w:val="en-US" w:eastAsia="zh-CN" w:bidi="ar"/>
            </w:rPr>
            <w:t>（十一）全面推进农产品质量建设</w:t>
          </w:r>
          <w:r>
            <w:tab/>
          </w:r>
          <w:r>
            <w:fldChar w:fldCharType="begin"/>
          </w:r>
          <w:r>
            <w:instrText xml:space="preserve"> PAGEREF _Toc24995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rPr>
              <w:rFonts w:ascii="Times New Roman" w:hAnsi="Times New Roman" w:eastAsia="仿宋_GB2312" w:cs="Times New Roman"/>
              <w:bCs/>
              <w:color w:val="auto"/>
              <w:kern w:val="0"/>
              <w:szCs w:val="32"/>
              <w:lang w:val="en-US" w:eastAsia="zh-CN" w:bidi="ar-SA"/>
            </w:rPr>
            <w:fldChar w:fldCharType="end"/>
          </w:r>
        </w:p>
        <w:p>
          <w:pPr>
            <w:pStyle w:val="12"/>
            <w:tabs>
              <w:tab w:val="right" w:leader="dot" w:pos="8306"/>
            </w:tabs>
          </w:pPr>
          <w:r>
            <w:rPr>
              <w:rFonts w:ascii="Times New Roman" w:hAnsi="Times New Roman" w:eastAsia="仿宋_GB2312" w:cs="Times New Roman"/>
              <w:bCs/>
              <w:color w:val="auto"/>
              <w:kern w:val="0"/>
              <w:szCs w:val="32"/>
              <w:lang w:val="en-US" w:eastAsia="zh-CN" w:bidi="ar-SA"/>
            </w:rPr>
            <w:fldChar w:fldCharType="begin"/>
          </w:r>
          <w:r>
            <w:rPr>
              <w:rFonts w:ascii="Times New Roman" w:hAnsi="Times New Roman" w:eastAsia="仿宋_GB2312" w:cs="Times New Roman"/>
              <w:bCs/>
              <w:kern w:val="0"/>
              <w:szCs w:val="32"/>
              <w:lang w:val="en-US" w:eastAsia="zh-CN" w:bidi="ar-SA"/>
            </w:rPr>
            <w:instrText xml:space="preserve"> HYPERLINK \l _Toc28723 </w:instrText>
          </w:r>
          <w:r>
            <w:rPr>
              <w:rFonts w:ascii="Times New Roman" w:hAnsi="Times New Roman" w:eastAsia="仿宋_GB2312" w:cs="Times New Roman"/>
              <w:bCs/>
              <w:kern w:val="0"/>
              <w:szCs w:val="32"/>
              <w:lang w:val="en-US" w:eastAsia="zh-CN" w:bidi="ar-SA"/>
            </w:rPr>
            <w:fldChar w:fldCharType="separate"/>
          </w:r>
          <w:r>
            <w:rPr>
              <w:rFonts w:hint="eastAsia" w:ascii="仿宋_GB2312" w:hAnsi="仿宋_GB2312" w:eastAsia="仿宋_GB2312" w:cs="仿宋_GB2312"/>
              <w:bCs w:val="0"/>
              <w:lang w:val="en-US" w:eastAsia="zh-CN"/>
            </w:rPr>
            <w:t>（十二）深化农村一二三产业融合发展</w:t>
          </w:r>
          <w:r>
            <w:tab/>
          </w:r>
          <w:r>
            <w:fldChar w:fldCharType="begin"/>
          </w:r>
          <w:r>
            <w:instrText xml:space="preserve"> PAGEREF _Toc28723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rPr>
              <w:rFonts w:ascii="Times New Roman" w:hAnsi="Times New Roman" w:eastAsia="仿宋_GB2312" w:cs="Times New Roman"/>
              <w:bCs/>
              <w:color w:val="auto"/>
              <w:kern w:val="0"/>
              <w:szCs w:val="32"/>
              <w:lang w:val="en-US" w:eastAsia="zh-CN" w:bidi="ar-SA"/>
            </w:rPr>
            <w:fldChar w:fldCharType="end"/>
          </w:r>
        </w:p>
        <w:p>
          <w:pPr>
            <w:pStyle w:val="12"/>
            <w:tabs>
              <w:tab w:val="right" w:leader="dot" w:pos="8306"/>
            </w:tabs>
          </w:pPr>
          <w:r>
            <w:rPr>
              <w:rFonts w:ascii="Times New Roman" w:hAnsi="Times New Roman" w:eastAsia="仿宋_GB2312" w:cs="Times New Roman"/>
              <w:bCs/>
              <w:color w:val="auto"/>
              <w:kern w:val="0"/>
              <w:szCs w:val="32"/>
              <w:lang w:val="en-US" w:eastAsia="zh-CN" w:bidi="ar-SA"/>
            </w:rPr>
            <w:fldChar w:fldCharType="begin"/>
          </w:r>
          <w:r>
            <w:rPr>
              <w:rFonts w:ascii="Times New Roman" w:hAnsi="Times New Roman" w:eastAsia="仿宋_GB2312" w:cs="Times New Roman"/>
              <w:bCs/>
              <w:kern w:val="0"/>
              <w:szCs w:val="32"/>
              <w:lang w:val="en-US" w:eastAsia="zh-CN" w:bidi="ar-SA"/>
            </w:rPr>
            <w:instrText xml:space="preserve"> HYPERLINK \l _Toc11050 </w:instrText>
          </w:r>
          <w:r>
            <w:rPr>
              <w:rFonts w:ascii="Times New Roman" w:hAnsi="Times New Roman" w:eastAsia="仿宋_GB2312" w:cs="Times New Roman"/>
              <w:bCs/>
              <w:kern w:val="0"/>
              <w:szCs w:val="32"/>
              <w:lang w:val="en-US" w:eastAsia="zh-CN" w:bidi="ar-SA"/>
            </w:rPr>
            <w:fldChar w:fldCharType="separate"/>
          </w:r>
          <w:r>
            <w:rPr>
              <w:rFonts w:hint="eastAsia" w:ascii="仿宋_GB2312" w:hAnsi="仿宋_GB2312" w:eastAsia="仿宋_GB2312" w:cs="仿宋_GB2312"/>
              <w:bCs w:val="0"/>
              <w:lang w:val="en-US" w:eastAsia="zh-CN"/>
            </w:rPr>
            <w:t>（十三）推进农业产业供应链融湾合作</w:t>
          </w:r>
          <w:r>
            <w:tab/>
          </w:r>
          <w:r>
            <w:fldChar w:fldCharType="begin"/>
          </w:r>
          <w:r>
            <w:instrText xml:space="preserve"> PAGEREF _Toc11050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rPr>
              <w:rFonts w:ascii="Times New Roman" w:hAnsi="Times New Roman" w:eastAsia="仿宋_GB2312" w:cs="Times New Roman"/>
              <w:bCs/>
              <w:color w:val="auto"/>
              <w:kern w:val="0"/>
              <w:szCs w:val="32"/>
              <w:lang w:val="en-US" w:eastAsia="zh-CN" w:bidi="ar-SA"/>
            </w:rPr>
            <w:fldChar w:fldCharType="end"/>
          </w:r>
        </w:p>
        <w:p>
          <w:pPr>
            <w:pStyle w:val="12"/>
            <w:tabs>
              <w:tab w:val="right" w:leader="dot" w:pos="8306"/>
            </w:tabs>
          </w:pPr>
          <w:r>
            <w:rPr>
              <w:rFonts w:ascii="Times New Roman" w:hAnsi="Times New Roman" w:eastAsia="仿宋_GB2312" w:cs="Times New Roman"/>
              <w:bCs/>
              <w:color w:val="auto"/>
              <w:kern w:val="0"/>
              <w:szCs w:val="32"/>
              <w:lang w:val="en-US" w:eastAsia="zh-CN" w:bidi="ar-SA"/>
            </w:rPr>
            <w:fldChar w:fldCharType="begin"/>
          </w:r>
          <w:r>
            <w:rPr>
              <w:rFonts w:ascii="Times New Roman" w:hAnsi="Times New Roman" w:eastAsia="仿宋_GB2312" w:cs="Times New Roman"/>
              <w:bCs/>
              <w:kern w:val="0"/>
              <w:szCs w:val="32"/>
              <w:lang w:val="en-US" w:eastAsia="zh-CN" w:bidi="ar-SA"/>
            </w:rPr>
            <w:instrText xml:space="preserve"> HYPERLINK \l _Toc68 </w:instrText>
          </w:r>
          <w:r>
            <w:rPr>
              <w:rFonts w:ascii="Times New Roman" w:hAnsi="Times New Roman" w:eastAsia="仿宋_GB2312" w:cs="Times New Roman"/>
              <w:bCs/>
              <w:kern w:val="0"/>
              <w:szCs w:val="32"/>
              <w:lang w:val="en-US" w:eastAsia="zh-CN" w:bidi="ar-SA"/>
            </w:rPr>
            <w:fldChar w:fldCharType="separate"/>
          </w:r>
          <w:r>
            <w:rPr>
              <w:rFonts w:hint="eastAsia" w:ascii="仿宋_GB2312" w:hAnsi="仿宋_GB2312" w:eastAsia="仿宋_GB2312" w:cs="仿宋_GB2312"/>
              <w:bCs w:val="0"/>
              <w:lang w:val="en-US" w:eastAsia="zh-CN"/>
            </w:rPr>
            <w:t>（十四）扎实推进农业全面绿色转型</w:t>
          </w:r>
          <w:r>
            <w:tab/>
          </w:r>
          <w:r>
            <w:fldChar w:fldCharType="begin"/>
          </w:r>
          <w:r>
            <w:instrText xml:space="preserve"> PAGEREF _Toc68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rPr>
              <w:rFonts w:ascii="Times New Roman" w:hAnsi="Times New Roman" w:eastAsia="仿宋_GB2312" w:cs="Times New Roman"/>
              <w:bCs/>
              <w:color w:val="auto"/>
              <w:kern w:val="0"/>
              <w:szCs w:val="32"/>
              <w:lang w:val="en-US" w:eastAsia="zh-CN" w:bidi="ar-SA"/>
            </w:rPr>
            <w:fldChar w:fldCharType="end"/>
          </w:r>
        </w:p>
        <w:p>
          <w:pPr>
            <w:pStyle w:val="11"/>
            <w:tabs>
              <w:tab w:val="right" w:leader="dot" w:pos="8306"/>
            </w:tabs>
          </w:pPr>
          <w:r>
            <w:rPr>
              <w:rFonts w:ascii="Times New Roman" w:hAnsi="Times New Roman" w:eastAsia="仿宋_GB2312" w:cs="Times New Roman"/>
              <w:bCs/>
              <w:color w:val="auto"/>
              <w:kern w:val="0"/>
              <w:szCs w:val="32"/>
              <w:lang w:val="en-US" w:eastAsia="zh-CN" w:bidi="ar-SA"/>
            </w:rPr>
            <w:fldChar w:fldCharType="begin"/>
          </w:r>
          <w:r>
            <w:rPr>
              <w:rFonts w:ascii="Times New Roman" w:hAnsi="Times New Roman" w:eastAsia="仿宋_GB2312" w:cs="Times New Roman"/>
              <w:bCs/>
              <w:kern w:val="0"/>
              <w:szCs w:val="32"/>
              <w:lang w:val="en-US" w:eastAsia="zh-CN" w:bidi="ar-SA"/>
            </w:rPr>
            <w:instrText xml:space="preserve"> HYPERLINK \l _Toc298 </w:instrText>
          </w:r>
          <w:r>
            <w:rPr>
              <w:rFonts w:ascii="Times New Roman" w:hAnsi="Times New Roman" w:eastAsia="仿宋_GB2312" w:cs="Times New Roman"/>
              <w:bCs/>
              <w:kern w:val="0"/>
              <w:szCs w:val="32"/>
              <w:lang w:val="en-US" w:eastAsia="zh-CN" w:bidi="ar-SA"/>
            </w:rPr>
            <w:fldChar w:fldCharType="separate"/>
          </w:r>
          <w:r>
            <w:rPr>
              <w:rFonts w:hint="eastAsia" w:ascii="黑体" w:hAnsi="黑体" w:eastAsia="黑体" w:cs="黑体"/>
              <w:lang w:val="en-US" w:eastAsia="zh-CN"/>
            </w:rPr>
            <w:t>五、</w:t>
          </w:r>
          <w:r>
            <w:rPr>
              <w:rFonts w:hint="eastAsia" w:ascii="黑体" w:hAnsi="黑体" w:eastAsia="黑体" w:cs="黑体"/>
            </w:rPr>
            <w:t>全链条发展现代化海洋牧场</w:t>
          </w:r>
          <w:r>
            <w:tab/>
          </w:r>
          <w:r>
            <w:fldChar w:fldCharType="begin"/>
          </w:r>
          <w:r>
            <w:instrText xml:space="preserve"> PAGEREF _Toc298 \h </w:instrText>
          </w:r>
          <w:r>
            <w:fldChar w:fldCharType="separate"/>
          </w:r>
          <w:r>
            <w:t>12</w:t>
          </w:r>
          <w:r>
            <w:fldChar w:fldCharType="end"/>
          </w:r>
          <w:r>
            <w:rPr>
              <w:rFonts w:ascii="Times New Roman" w:hAnsi="Times New Roman" w:eastAsia="仿宋_GB2312" w:cs="Times New Roman"/>
              <w:bCs/>
              <w:color w:val="auto"/>
              <w:kern w:val="0"/>
              <w:szCs w:val="32"/>
              <w:lang w:val="en-US" w:eastAsia="zh-CN" w:bidi="ar-SA"/>
            </w:rPr>
            <w:fldChar w:fldCharType="end"/>
          </w:r>
        </w:p>
        <w:p>
          <w:pPr>
            <w:pStyle w:val="12"/>
            <w:tabs>
              <w:tab w:val="right" w:leader="dot" w:pos="8306"/>
            </w:tabs>
          </w:pPr>
          <w:r>
            <w:rPr>
              <w:rFonts w:ascii="Times New Roman" w:hAnsi="Times New Roman" w:eastAsia="仿宋_GB2312" w:cs="Times New Roman"/>
              <w:bCs/>
              <w:color w:val="auto"/>
              <w:kern w:val="0"/>
              <w:szCs w:val="32"/>
              <w:lang w:val="en-US" w:eastAsia="zh-CN" w:bidi="ar-SA"/>
            </w:rPr>
            <w:fldChar w:fldCharType="begin"/>
          </w:r>
          <w:r>
            <w:rPr>
              <w:rFonts w:ascii="Times New Roman" w:hAnsi="Times New Roman" w:eastAsia="仿宋_GB2312" w:cs="Times New Roman"/>
              <w:bCs/>
              <w:kern w:val="0"/>
              <w:szCs w:val="32"/>
              <w:lang w:val="en-US" w:eastAsia="zh-CN" w:bidi="ar-SA"/>
            </w:rPr>
            <w:instrText xml:space="preserve"> HYPERLINK \l _Toc1869 </w:instrText>
          </w:r>
          <w:r>
            <w:rPr>
              <w:rFonts w:ascii="Times New Roman" w:hAnsi="Times New Roman" w:eastAsia="仿宋_GB2312" w:cs="Times New Roman"/>
              <w:bCs/>
              <w:kern w:val="0"/>
              <w:szCs w:val="32"/>
              <w:lang w:val="en-US" w:eastAsia="zh-CN" w:bidi="ar-SA"/>
            </w:rPr>
            <w:fldChar w:fldCharType="separate"/>
          </w:r>
          <w:r>
            <w:rPr>
              <w:rFonts w:hint="eastAsia" w:ascii="仿宋_GB2312" w:hAnsi="仿宋_GB2312" w:eastAsia="仿宋_GB2312" w:cs="仿宋_GB2312"/>
              <w:bCs w:val="0"/>
              <w:lang w:val="en-US" w:eastAsia="zh-CN"/>
            </w:rPr>
            <w:t>（十五）拓展深远海生态养殖空间</w:t>
          </w:r>
          <w:r>
            <w:tab/>
          </w:r>
          <w:r>
            <w:fldChar w:fldCharType="begin"/>
          </w:r>
          <w:r>
            <w:instrText xml:space="preserve"> PAGEREF _Toc1869 \h </w:instrText>
          </w:r>
          <w:r>
            <w:fldChar w:fldCharType="separate"/>
          </w:r>
          <w:r>
            <w:t>12</w:t>
          </w:r>
          <w:r>
            <w:fldChar w:fldCharType="end"/>
          </w:r>
          <w:r>
            <w:rPr>
              <w:rFonts w:ascii="Times New Roman" w:hAnsi="Times New Roman" w:eastAsia="仿宋_GB2312" w:cs="Times New Roman"/>
              <w:bCs/>
              <w:color w:val="auto"/>
              <w:kern w:val="0"/>
              <w:szCs w:val="32"/>
              <w:lang w:val="en-US" w:eastAsia="zh-CN" w:bidi="ar-SA"/>
            </w:rPr>
            <w:fldChar w:fldCharType="end"/>
          </w:r>
        </w:p>
        <w:p>
          <w:pPr>
            <w:pStyle w:val="12"/>
            <w:tabs>
              <w:tab w:val="right" w:leader="dot" w:pos="8306"/>
            </w:tabs>
          </w:pPr>
          <w:r>
            <w:rPr>
              <w:rFonts w:ascii="Times New Roman" w:hAnsi="Times New Roman" w:eastAsia="仿宋_GB2312" w:cs="Times New Roman"/>
              <w:bCs/>
              <w:color w:val="auto"/>
              <w:kern w:val="0"/>
              <w:szCs w:val="32"/>
              <w:lang w:val="en-US" w:eastAsia="zh-CN" w:bidi="ar-SA"/>
            </w:rPr>
            <w:fldChar w:fldCharType="begin"/>
          </w:r>
          <w:r>
            <w:rPr>
              <w:rFonts w:ascii="Times New Roman" w:hAnsi="Times New Roman" w:eastAsia="仿宋_GB2312" w:cs="Times New Roman"/>
              <w:bCs/>
              <w:kern w:val="0"/>
              <w:szCs w:val="32"/>
              <w:lang w:val="en-US" w:eastAsia="zh-CN" w:bidi="ar-SA"/>
            </w:rPr>
            <w:instrText xml:space="preserve"> HYPERLINK \l _Toc32276 </w:instrText>
          </w:r>
          <w:r>
            <w:rPr>
              <w:rFonts w:ascii="Times New Roman" w:hAnsi="Times New Roman" w:eastAsia="仿宋_GB2312" w:cs="Times New Roman"/>
              <w:bCs/>
              <w:kern w:val="0"/>
              <w:szCs w:val="32"/>
              <w:lang w:val="en-US" w:eastAsia="zh-CN" w:bidi="ar-SA"/>
            </w:rPr>
            <w:fldChar w:fldCharType="separate"/>
          </w:r>
          <w:r>
            <w:rPr>
              <w:rFonts w:hint="eastAsia" w:ascii="仿宋_GB2312" w:hAnsi="仿宋_GB2312" w:eastAsia="仿宋_GB2312" w:cs="仿宋_GB2312"/>
              <w:bCs w:val="0"/>
              <w:lang w:val="en-US" w:eastAsia="zh-CN"/>
            </w:rPr>
            <w:t>（十六）提质升级渔港渔船体系</w:t>
          </w:r>
          <w:r>
            <w:tab/>
          </w:r>
          <w:r>
            <w:fldChar w:fldCharType="begin"/>
          </w:r>
          <w:r>
            <w:instrText xml:space="preserve"> PAGEREF _Toc32276 \h </w:instrText>
          </w:r>
          <w:r>
            <w:fldChar w:fldCharType="separate"/>
          </w:r>
          <w:r>
            <w:t>12</w:t>
          </w:r>
          <w:r>
            <w:fldChar w:fldCharType="end"/>
          </w:r>
          <w:r>
            <w:rPr>
              <w:rFonts w:ascii="Times New Roman" w:hAnsi="Times New Roman" w:eastAsia="仿宋_GB2312" w:cs="Times New Roman"/>
              <w:bCs/>
              <w:color w:val="auto"/>
              <w:kern w:val="0"/>
              <w:szCs w:val="32"/>
              <w:lang w:val="en-US" w:eastAsia="zh-CN" w:bidi="ar-SA"/>
            </w:rPr>
            <w:fldChar w:fldCharType="end"/>
          </w:r>
        </w:p>
        <w:p>
          <w:pPr>
            <w:pStyle w:val="12"/>
            <w:tabs>
              <w:tab w:val="right" w:leader="dot" w:pos="8306"/>
            </w:tabs>
          </w:pPr>
          <w:r>
            <w:rPr>
              <w:rFonts w:ascii="Times New Roman" w:hAnsi="Times New Roman" w:eastAsia="仿宋_GB2312" w:cs="Times New Roman"/>
              <w:bCs/>
              <w:color w:val="auto"/>
              <w:kern w:val="0"/>
              <w:szCs w:val="32"/>
              <w:lang w:val="en-US" w:eastAsia="zh-CN" w:bidi="ar-SA"/>
            </w:rPr>
            <w:fldChar w:fldCharType="begin"/>
          </w:r>
          <w:r>
            <w:rPr>
              <w:rFonts w:ascii="Times New Roman" w:hAnsi="Times New Roman" w:eastAsia="仿宋_GB2312" w:cs="Times New Roman"/>
              <w:bCs/>
              <w:kern w:val="0"/>
              <w:szCs w:val="32"/>
              <w:lang w:val="en-US" w:eastAsia="zh-CN" w:bidi="ar-SA"/>
            </w:rPr>
            <w:instrText xml:space="preserve"> HYPERLINK \l _Toc21278 </w:instrText>
          </w:r>
          <w:r>
            <w:rPr>
              <w:rFonts w:ascii="Times New Roman" w:hAnsi="Times New Roman" w:eastAsia="仿宋_GB2312" w:cs="Times New Roman"/>
              <w:bCs/>
              <w:kern w:val="0"/>
              <w:szCs w:val="32"/>
              <w:lang w:val="en-US" w:eastAsia="zh-CN" w:bidi="ar-SA"/>
            </w:rPr>
            <w:fldChar w:fldCharType="separate"/>
          </w:r>
          <w:r>
            <w:rPr>
              <w:rFonts w:hint="eastAsia" w:ascii="仿宋_GB2312" w:hAnsi="仿宋_GB2312" w:eastAsia="仿宋_GB2312" w:cs="仿宋_GB2312"/>
              <w:bCs w:val="0"/>
              <w:lang w:val="en-US" w:eastAsia="zh-CN"/>
            </w:rPr>
            <w:t>（十七）迭代升级陆基精品养殖产业</w:t>
          </w:r>
          <w:r>
            <w:tab/>
          </w:r>
          <w:r>
            <w:fldChar w:fldCharType="begin"/>
          </w:r>
          <w:r>
            <w:instrText xml:space="preserve"> PAGEREF _Toc21278 \h </w:instrText>
          </w:r>
          <w:r>
            <w:fldChar w:fldCharType="separate"/>
          </w:r>
          <w:r>
            <w:t>13</w:t>
          </w:r>
          <w:r>
            <w:fldChar w:fldCharType="end"/>
          </w:r>
          <w:r>
            <w:rPr>
              <w:rFonts w:ascii="Times New Roman" w:hAnsi="Times New Roman" w:eastAsia="仿宋_GB2312" w:cs="Times New Roman"/>
              <w:bCs/>
              <w:color w:val="auto"/>
              <w:kern w:val="0"/>
              <w:szCs w:val="32"/>
              <w:lang w:val="en-US" w:eastAsia="zh-CN" w:bidi="ar-SA"/>
            </w:rPr>
            <w:fldChar w:fldCharType="end"/>
          </w:r>
        </w:p>
        <w:p>
          <w:pPr>
            <w:pStyle w:val="12"/>
            <w:tabs>
              <w:tab w:val="right" w:leader="dot" w:pos="8306"/>
            </w:tabs>
          </w:pPr>
          <w:r>
            <w:rPr>
              <w:rFonts w:ascii="Times New Roman" w:hAnsi="Times New Roman" w:eastAsia="仿宋_GB2312" w:cs="Times New Roman"/>
              <w:bCs/>
              <w:color w:val="auto"/>
              <w:kern w:val="0"/>
              <w:szCs w:val="32"/>
              <w:lang w:val="en-US" w:eastAsia="zh-CN" w:bidi="ar-SA"/>
            </w:rPr>
            <w:fldChar w:fldCharType="begin"/>
          </w:r>
          <w:r>
            <w:rPr>
              <w:rFonts w:ascii="Times New Roman" w:hAnsi="Times New Roman" w:eastAsia="仿宋_GB2312" w:cs="Times New Roman"/>
              <w:bCs/>
              <w:kern w:val="0"/>
              <w:szCs w:val="32"/>
              <w:lang w:val="en-US" w:eastAsia="zh-CN" w:bidi="ar-SA"/>
            </w:rPr>
            <w:instrText xml:space="preserve"> HYPERLINK \l _Toc26900 </w:instrText>
          </w:r>
          <w:r>
            <w:rPr>
              <w:rFonts w:ascii="Times New Roman" w:hAnsi="Times New Roman" w:eastAsia="仿宋_GB2312" w:cs="Times New Roman"/>
              <w:bCs/>
              <w:kern w:val="0"/>
              <w:szCs w:val="32"/>
              <w:lang w:val="en-US" w:eastAsia="zh-CN" w:bidi="ar-SA"/>
            </w:rPr>
            <w:fldChar w:fldCharType="separate"/>
          </w:r>
          <w:r>
            <w:rPr>
              <w:rFonts w:hint="eastAsia" w:ascii="仿宋_GB2312" w:hAnsi="仿宋_GB2312" w:eastAsia="仿宋_GB2312" w:cs="仿宋_GB2312"/>
              <w:bCs w:val="0"/>
              <w:lang w:val="en-US" w:eastAsia="zh-CN"/>
            </w:rPr>
            <w:t>（十八）推动海洋牧场全产业链协同融合发展</w:t>
          </w:r>
          <w:r>
            <w:tab/>
          </w:r>
          <w:r>
            <w:fldChar w:fldCharType="begin"/>
          </w:r>
          <w:r>
            <w:instrText xml:space="preserve"> PAGEREF _Toc26900 \h </w:instrText>
          </w:r>
          <w:r>
            <w:fldChar w:fldCharType="separate"/>
          </w:r>
          <w:r>
            <w:t>13</w:t>
          </w:r>
          <w:r>
            <w:fldChar w:fldCharType="end"/>
          </w:r>
          <w:r>
            <w:rPr>
              <w:rFonts w:ascii="Times New Roman" w:hAnsi="Times New Roman" w:eastAsia="仿宋_GB2312" w:cs="Times New Roman"/>
              <w:bCs/>
              <w:color w:val="auto"/>
              <w:kern w:val="0"/>
              <w:szCs w:val="32"/>
              <w:lang w:val="en-US" w:eastAsia="zh-CN" w:bidi="ar-SA"/>
            </w:rPr>
            <w:fldChar w:fldCharType="end"/>
          </w:r>
        </w:p>
        <w:p>
          <w:pPr>
            <w:pStyle w:val="11"/>
            <w:tabs>
              <w:tab w:val="right" w:leader="dot" w:pos="8306"/>
            </w:tabs>
          </w:pPr>
          <w:r>
            <w:rPr>
              <w:rFonts w:ascii="Times New Roman" w:hAnsi="Times New Roman" w:eastAsia="仿宋_GB2312" w:cs="Times New Roman"/>
              <w:bCs/>
              <w:color w:val="auto"/>
              <w:kern w:val="0"/>
              <w:szCs w:val="32"/>
              <w:lang w:val="en-US" w:eastAsia="zh-CN" w:bidi="ar-SA"/>
            </w:rPr>
            <w:fldChar w:fldCharType="begin"/>
          </w:r>
          <w:r>
            <w:rPr>
              <w:rFonts w:ascii="Times New Roman" w:hAnsi="Times New Roman" w:eastAsia="仿宋_GB2312" w:cs="Times New Roman"/>
              <w:bCs/>
              <w:kern w:val="0"/>
              <w:szCs w:val="32"/>
              <w:lang w:val="en-US" w:eastAsia="zh-CN" w:bidi="ar-SA"/>
            </w:rPr>
            <w:instrText xml:space="preserve"> HYPERLINK \l _Toc25701 </w:instrText>
          </w:r>
          <w:r>
            <w:rPr>
              <w:rFonts w:ascii="Times New Roman" w:hAnsi="Times New Roman" w:eastAsia="仿宋_GB2312" w:cs="Times New Roman"/>
              <w:bCs/>
              <w:kern w:val="0"/>
              <w:szCs w:val="32"/>
              <w:lang w:val="en-US" w:eastAsia="zh-CN" w:bidi="ar-SA"/>
            </w:rPr>
            <w:fldChar w:fldCharType="separate"/>
          </w:r>
          <w:r>
            <w:rPr>
              <w:rFonts w:hint="eastAsia" w:ascii="黑体" w:hAnsi="黑体" w:eastAsia="黑体" w:cs="黑体"/>
              <w:kern w:val="44"/>
              <w:lang w:val="en-US" w:eastAsia="zh-CN"/>
              <w14:ligatures w14:val="standardContextual"/>
            </w:rPr>
            <w:t>六</w:t>
          </w:r>
          <w:r>
            <w:rPr>
              <w:rFonts w:hint="eastAsia" w:ascii="黑体" w:hAnsi="黑体" w:eastAsia="黑体" w:cs="黑体"/>
              <w:kern w:val="44"/>
              <w14:ligatures w14:val="standardContextual"/>
            </w:rPr>
            <w:t>、推进农民增收致富</w:t>
          </w:r>
          <w:r>
            <w:rPr>
              <w:rFonts w:hint="eastAsia" w:ascii="黑体" w:hAnsi="黑体" w:eastAsia="黑体" w:cs="黑体"/>
              <w:kern w:val="44"/>
              <w:lang w:eastAsia="zh-CN"/>
              <w14:ligatures w14:val="standardContextual"/>
            </w:rPr>
            <w:t>、</w:t>
          </w:r>
          <w:r>
            <w:rPr>
              <w:rFonts w:hint="eastAsia" w:ascii="黑体" w:hAnsi="黑体" w:eastAsia="黑体" w:cs="黑体"/>
              <w:kern w:val="44"/>
              <w14:ligatures w14:val="standardContextual"/>
            </w:rPr>
            <w:t>共同富裕</w:t>
          </w:r>
          <w:r>
            <w:rPr>
              <w:rFonts w:hint="eastAsia" w:ascii="黑体" w:hAnsi="黑体" w:eastAsia="黑体" w:cs="黑体"/>
              <w:kern w:val="44"/>
              <w:lang w:val="en-US" w:eastAsia="zh-CN"/>
              <w14:ligatures w14:val="standardContextual"/>
            </w:rPr>
            <w:t>取得</w:t>
          </w:r>
          <w:r>
            <w:rPr>
              <w:rFonts w:hint="eastAsia" w:ascii="黑体" w:hAnsi="黑体" w:eastAsia="黑体" w:cs="黑体"/>
              <w:kern w:val="44"/>
              <w14:ligatures w14:val="standardContextual"/>
            </w:rPr>
            <w:t>进展</w:t>
          </w:r>
          <w:r>
            <w:tab/>
          </w:r>
          <w:r>
            <w:fldChar w:fldCharType="begin"/>
          </w:r>
          <w:r>
            <w:instrText xml:space="preserve"> PAGEREF _Toc25701 \h </w:instrText>
          </w:r>
          <w:r>
            <w:fldChar w:fldCharType="separate"/>
          </w:r>
          <w:r>
            <w:t>14</w:t>
          </w:r>
          <w:r>
            <w:fldChar w:fldCharType="end"/>
          </w:r>
          <w:r>
            <w:rPr>
              <w:rFonts w:ascii="Times New Roman" w:hAnsi="Times New Roman" w:eastAsia="仿宋_GB2312" w:cs="Times New Roman"/>
              <w:bCs/>
              <w:color w:val="auto"/>
              <w:kern w:val="0"/>
              <w:szCs w:val="32"/>
              <w:lang w:val="en-US" w:eastAsia="zh-CN" w:bidi="ar-SA"/>
            </w:rPr>
            <w:fldChar w:fldCharType="end"/>
          </w:r>
        </w:p>
        <w:p>
          <w:pPr>
            <w:pStyle w:val="12"/>
            <w:tabs>
              <w:tab w:val="right" w:leader="dot" w:pos="8306"/>
            </w:tabs>
          </w:pPr>
          <w:r>
            <w:rPr>
              <w:rFonts w:ascii="Times New Roman" w:hAnsi="Times New Roman" w:eastAsia="仿宋_GB2312" w:cs="Times New Roman"/>
              <w:bCs/>
              <w:color w:val="auto"/>
              <w:kern w:val="0"/>
              <w:szCs w:val="32"/>
              <w:lang w:val="en-US" w:eastAsia="zh-CN" w:bidi="ar-SA"/>
            </w:rPr>
            <w:fldChar w:fldCharType="begin"/>
          </w:r>
          <w:r>
            <w:rPr>
              <w:rFonts w:ascii="Times New Roman" w:hAnsi="Times New Roman" w:eastAsia="仿宋_GB2312" w:cs="Times New Roman"/>
              <w:bCs/>
              <w:kern w:val="0"/>
              <w:szCs w:val="32"/>
              <w:lang w:val="en-US" w:eastAsia="zh-CN" w:bidi="ar-SA"/>
            </w:rPr>
            <w:instrText xml:space="preserve"> HYPERLINK \l _Toc1417 </w:instrText>
          </w:r>
          <w:r>
            <w:rPr>
              <w:rFonts w:ascii="Times New Roman" w:hAnsi="Times New Roman" w:eastAsia="仿宋_GB2312" w:cs="Times New Roman"/>
              <w:bCs/>
              <w:kern w:val="0"/>
              <w:szCs w:val="32"/>
              <w:lang w:val="en-US" w:eastAsia="zh-CN" w:bidi="ar-SA"/>
            </w:rPr>
            <w:fldChar w:fldCharType="separate"/>
          </w:r>
          <w:r>
            <w:rPr>
              <w:rFonts w:hint="eastAsia" w:ascii="仿宋_GB2312" w:hAnsi="仿宋_GB2312" w:eastAsia="仿宋_GB2312" w:cs="仿宋_GB2312"/>
              <w:bCs w:val="0"/>
              <w:kern w:val="0"/>
              <w14:ligatures w14:val="standardContextual"/>
            </w:rPr>
            <w:t>（</w:t>
          </w:r>
          <w:r>
            <w:rPr>
              <w:rFonts w:hint="eastAsia" w:ascii="仿宋_GB2312" w:hAnsi="仿宋_GB2312" w:eastAsia="仿宋_GB2312" w:cs="仿宋_GB2312"/>
              <w:bCs w:val="0"/>
              <w:kern w:val="0"/>
              <w:lang w:val="en-US" w:eastAsia="zh-CN"/>
              <w14:ligatures w14:val="standardContextual"/>
            </w:rPr>
            <w:t>十九</w:t>
          </w:r>
          <w:r>
            <w:rPr>
              <w:rFonts w:hint="eastAsia" w:ascii="仿宋_GB2312" w:hAnsi="仿宋_GB2312" w:eastAsia="仿宋_GB2312" w:cs="仿宋_GB2312"/>
              <w:bCs w:val="0"/>
              <w:kern w:val="0"/>
              <w14:ligatures w14:val="standardContextual"/>
            </w:rPr>
            <w:t>）大力培育乡村新产业新业态</w:t>
          </w:r>
          <w:r>
            <w:tab/>
          </w:r>
          <w:r>
            <w:fldChar w:fldCharType="begin"/>
          </w:r>
          <w:r>
            <w:instrText xml:space="preserve"> PAGEREF _Toc1417 \h </w:instrText>
          </w:r>
          <w:r>
            <w:fldChar w:fldCharType="separate"/>
          </w:r>
          <w:r>
            <w:t>14</w:t>
          </w:r>
          <w:r>
            <w:fldChar w:fldCharType="end"/>
          </w:r>
          <w:r>
            <w:rPr>
              <w:rFonts w:ascii="Times New Roman" w:hAnsi="Times New Roman" w:eastAsia="仿宋_GB2312" w:cs="Times New Roman"/>
              <w:bCs/>
              <w:color w:val="auto"/>
              <w:kern w:val="0"/>
              <w:szCs w:val="32"/>
              <w:lang w:val="en-US" w:eastAsia="zh-CN" w:bidi="ar-SA"/>
            </w:rPr>
            <w:fldChar w:fldCharType="end"/>
          </w:r>
        </w:p>
        <w:p>
          <w:pPr>
            <w:pStyle w:val="12"/>
            <w:tabs>
              <w:tab w:val="right" w:leader="dot" w:pos="8306"/>
            </w:tabs>
          </w:pPr>
          <w:r>
            <w:rPr>
              <w:rFonts w:ascii="Times New Roman" w:hAnsi="Times New Roman" w:eastAsia="仿宋_GB2312" w:cs="Times New Roman"/>
              <w:bCs/>
              <w:color w:val="auto"/>
              <w:kern w:val="0"/>
              <w:szCs w:val="32"/>
              <w:lang w:val="en-US" w:eastAsia="zh-CN" w:bidi="ar-SA"/>
            </w:rPr>
            <w:fldChar w:fldCharType="begin"/>
          </w:r>
          <w:r>
            <w:rPr>
              <w:rFonts w:ascii="Times New Roman" w:hAnsi="Times New Roman" w:eastAsia="仿宋_GB2312" w:cs="Times New Roman"/>
              <w:bCs/>
              <w:kern w:val="0"/>
              <w:szCs w:val="32"/>
              <w:lang w:val="en-US" w:eastAsia="zh-CN" w:bidi="ar-SA"/>
            </w:rPr>
            <w:instrText xml:space="preserve"> HYPERLINK \l _Toc18631 </w:instrText>
          </w:r>
          <w:r>
            <w:rPr>
              <w:rFonts w:ascii="Times New Roman" w:hAnsi="Times New Roman" w:eastAsia="仿宋_GB2312" w:cs="Times New Roman"/>
              <w:bCs/>
              <w:kern w:val="0"/>
              <w:szCs w:val="32"/>
              <w:lang w:val="en-US" w:eastAsia="zh-CN" w:bidi="ar-SA"/>
            </w:rPr>
            <w:fldChar w:fldCharType="separate"/>
          </w:r>
          <w:r>
            <w:rPr>
              <w:rFonts w:hint="eastAsia" w:ascii="仿宋_GB2312" w:hAnsi="仿宋_GB2312" w:eastAsia="仿宋_GB2312" w:cs="仿宋_GB2312"/>
              <w:bCs w:val="0"/>
              <w:kern w:val="0"/>
              <w:lang w:val="en-US" w:eastAsia="zh-CN"/>
              <w14:ligatures w14:val="standardContextual"/>
            </w:rPr>
            <w:t>（二十）</w:t>
          </w:r>
          <w:r>
            <w:rPr>
              <w:rFonts w:hint="eastAsia" w:ascii="仿宋_GB2312" w:hAnsi="仿宋_GB2312" w:eastAsia="仿宋_GB2312" w:cs="仿宋_GB2312"/>
              <w:bCs w:val="0"/>
              <w:kern w:val="0"/>
              <w14:ligatures w14:val="standardContextual"/>
            </w:rPr>
            <w:t>推进小生产与大市场紧密衔接</w:t>
          </w:r>
          <w:r>
            <w:tab/>
          </w:r>
          <w:r>
            <w:fldChar w:fldCharType="begin"/>
          </w:r>
          <w:r>
            <w:instrText xml:space="preserve"> PAGEREF _Toc18631 \h </w:instrText>
          </w:r>
          <w:r>
            <w:fldChar w:fldCharType="separate"/>
          </w:r>
          <w:r>
            <w:t>15</w:t>
          </w:r>
          <w:r>
            <w:fldChar w:fldCharType="end"/>
          </w:r>
          <w:r>
            <w:rPr>
              <w:rFonts w:ascii="Times New Roman" w:hAnsi="Times New Roman" w:eastAsia="仿宋_GB2312" w:cs="Times New Roman"/>
              <w:bCs/>
              <w:color w:val="auto"/>
              <w:kern w:val="0"/>
              <w:szCs w:val="32"/>
              <w:lang w:val="en-US" w:eastAsia="zh-CN" w:bidi="ar-SA"/>
            </w:rPr>
            <w:fldChar w:fldCharType="end"/>
          </w:r>
        </w:p>
        <w:p>
          <w:pPr>
            <w:pStyle w:val="12"/>
            <w:tabs>
              <w:tab w:val="right" w:leader="dot" w:pos="8306"/>
            </w:tabs>
          </w:pPr>
          <w:r>
            <w:rPr>
              <w:rFonts w:ascii="Times New Roman" w:hAnsi="Times New Roman" w:eastAsia="仿宋_GB2312" w:cs="Times New Roman"/>
              <w:bCs/>
              <w:color w:val="auto"/>
              <w:kern w:val="0"/>
              <w:szCs w:val="32"/>
              <w:lang w:val="en-US" w:eastAsia="zh-CN" w:bidi="ar-SA"/>
            </w:rPr>
            <w:fldChar w:fldCharType="begin"/>
          </w:r>
          <w:r>
            <w:rPr>
              <w:rFonts w:ascii="Times New Roman" w:hAnsi="Times New Roman" w:eastAsia="仿宋_GB2312" w:cs="Times New Roman"/>
              <w:bCs/>
              <w:kern w:val="0"/>
              <w:szCs w:val="32"/>
              <w:lang w:val="en-US" w:eastAsia="zh-CN" w:bidi="ar-SA"/>
            </w:rPr>
            <w:instrText xml:space="preserve"> HYPERLINK \l _Toc11071 </w:instrText>
          </w:r>
          <w:r>
            <w:rPr>
              <w:rFonts w:ascii="Times New Roman" w:hAnsi="Times New Roman" w:eastAsia="仿宋_GB2312" w:cs="Times New Roman"/>
              <w:bCs/>
              <w:kern w:val="0"/>
              <w:szCs w:val="32"/>
              <w:lang w:val="en-US" w:eastAsia="zh-CN" w:bidi="ar-SA"/>
            </w:rPr>
            <w:fldChar w:fldCharType="separate"/>
          </w:r>
          <w:r>
            <w:rPr>
              <w:rFonts w:hint="eastAsia" w:ascii="仿宋_GB2312" w:hAnsi="仿宋_GB2312" w:eastAsia="仿宋_GB2312" w:cs="仿宋_GB2312"/>
              <w:bCs w:val="0"/>
              <w:kern w:val="0"/>
              <w:lang w:val="en-US" w:eastAsia="zh-CN"/>
              <w14:ligatures w14:val="standardContextual"/>
            </w:rPr>
            <w:t>（二十一）</w:t>
          </w:r>
          <w:r>
            <w:rPr>
              <w:rFonts w:hint="eastAsia" w:ascii="仿宋_GB2312" w:hAnsi="仿宋_GB2312" w:eastAsia="仿宋_GB2312" w:cs="仿宋_GB2312"/>
              <w:bCs w:val="0"/>
              <w:kern w:val="0"/>
              <w14:ligatures w14:val="standardContextual"/>
            </w:rPr>
            <w:t>健全多元长效</w:t>
          </w:r>
          <w:r>
            <w:rPr>
              <w:rFonts w:hint="eastAsia" w:ascii="仿宋_GB2312" w:hAnsi="仿宋_GB2312" w:eastAsia="仿宋_GB2312" w:cs="仿宋_GB2312"/>
              <w:bCs w:val="0"/>
              <w:kern w:val="0"/>
              <w:lang w:val="en-US" w:eastAsia="zh-CN"/>
              <w14:ligatures w14:val="standardContextual"/>
            </w:rPr>
            <w:t>农民</w:t>
          </w:r>
          <w:r>
            <w:rPr>
              <w:rFonts w:hint="eastAsia" w:ascii="仿宋_GB2312" w:hAnsi="仿宋_GB2312" w:eastAsia="仿宋_GB2312" w:cs="仿宋_GB2312"/>
              <w:bCs w:val="0"/>
              <w:kern w:val="0"/>
              <w14:ligatures w14:val="standardContextual"/>
            </w:rPr>
            <w:t>增收机制</w:t>
          </w:r>
          <w:r>
            <w:tab/>
          </w:r>
          <w:r>
            <w:fldChar w:fldCharType="begin"/>
          </w:r>
          <w:r>
            <w:instrText xml:space="preserve"> PAGEREF _Toc11071 \h </w:instrText>
          </w:r>
          <w:r>
            <w:fldChar w:fldCharType="separate"/>
          </w:r>
          <w:r>
            <w:t>15</w:t>
          </w:r>
          <w:r>
            <w:fldChar w:fldCharType="end"/>
          </w:r>
          <w:r>
            <w:rPr>
              <w:rFonts w:ascii="Times New Roman" w:hAnsi="Times New Roman" w:eastAsia="仿宋_GB2312" w:cs="Times New Roman"/>
              <w:bCs/>
              <w:color w:val="auto"/>
              <w:kern w:val="0"/>
              <w:szCs w:val="32"/>
              <w:lang w:val="en-US" w:eastAsia="zh-CN" w:bidi="ar-SA"/>
            </w:rPr>
            <w:fldChar w:fldCharType="end"/>
          </w:r>
        </w:p>
        <w:p>
          <w:pPr>
            <w:pStyle w:val="12"/>
            <w:tabs>
              <w:tab w:val="right" w:leader="dot" w:pos="8306"/>
            </w:tabs>
          </w:pPr>
          <w:r>
            <w:rPr>
              <w:rFonts w:ascii="Times New Roman" w:hAnsi="Times New Roman" w:eastAsia="仿宋_GB2312" w:cs="Times New Roman"/>
              <w:bCs/>
              <w:color w:val="auto"/>
              <w:kern w:val="0"/>
              <w:szCs w:val="32"/>
              <w:lang w:val="en-US" w:eastAsia="zh-CN" w:bidi="ar-SA"/>
            </w:rPr>
            <w:fldChar w:fldCharType="begin"/>
          </w:r>
          <w:r>
            <w:rPr>
              <w:rFonts w:ascii="Times New Roman" w:hAnsi="Times New Roman" w:eastAsia="仿宋_GB2312" w:cs="Times New Roman"/>
              <w:bCs/>
              <w:kern w:val="0"/>
              <w:szCs w:val="32"/>
              <w:lang w:val="en-US" w:eastAsia="zh-CN" w:bidi="ar-SA"/>
            </w:rPr>
            <w:instrText xml:space="preserve"> HYPERLINK \l _Toc24244 </w:instrText>
          </w:r>
          <w:r>
            <w:rPr>
              <w:rFonts w:ascii="Times New Roman" w:hAnsi="Times New Roman" w:eastAsia="仿宋_GB2312" w:cs="Times New Roman"/>
              <w:bCs/>
              <w:kern w:val="0"/>
              <w:szCs w:val="32"/>
              <w:lang w:val="en-US" w:eastAsia="zh-CN" w:bidi="ar-SA"/>
            </w:rPr>
            <w:fldChar w:fldCharType="separate"/>
          </w:r>
          <w:r>
            <w:rPr>
              <w:rFonts w:hint="eastAsia" w:ascii="仿宋_GB2312" w:hAnsi="仿宋_GB2312" w:eastAsia="仿宋_GB2312" w:cs="仿宋_GB2312"/>
              <w:bCs w:val="0"/>
              <w:kern w:val="0"/>
              <w:lang w:val="en-US" w:eastAsia="zh-CN"/>
              <w14:ligatures w14:val="standardContextual"/>
            </w:rPr>
            <w:t>（二十二）</w:t>
          </w:r>
          <w:r>
            <w:rPr>
              <w:rFonts w:hint="eastAsia" w:ascii="仿宋_GB2312" w:hAnsi="仿宋_GB2312" w:eastAsia="仿宋_GB2312" w:cs="仿宋_GB2312"/>
              <w:bCs w:val="0"/>
              <w:kern w:val="0"/>
              <w14:ligatures w14:val="standardContextual"/>
            </w:rPr>
            <w:t>多措并举扩大乡村消费</w:t>
          </w:r>
          <w:r>
            <w:tab/>
          </w:r>
          <w:r>
            <w:fldChar w:fldCharType="begin"/>
          </w:r>
          <w:r>
            <w:instrText xml:space="preserve"> PAGEREF _Toc24244 \h </w:instrText>
          </w:r>
          <w:r>
            <w:fldChar w:fldCharType="separate"/>
          </w:r>
          <w:r>
            <w:t>16</w:t>
          </w:r>
          <w:r>
            <w:fldChar w:fldCharType="end"/>
          </w:r>
          <w:r>
            <w:rPr>
              <w:rFonts w:ascii="Times New Roman" w:hAnsi="Times New Roman" w:eastAsia="仿宋_GB2312" w:cs="Times New Roman"/>
              <w:bCs/>
              <w:color w:val="auto"/>
              <w:kern w:val="0"/>
              <w:szCs w:val="32"/>
              <w:lang w:val="en-US" w:eastAsia="zh-CN" w:bidi="ar-SA"/>
            </w:rPr>
            <w:fldChar w:fldCharType="end"/>
          </w:r>
        </w:p>
        <w:p>
          <w:pPr>
            <w:pStyle w:val="11"/>
            <w:tabs>
              <w:tab w:val="right" w:leader="dot" w:pos="8306"/>
            </w:tabs>
          </w:pPr>
          <w:r>
            <w:rPr>
              <w:rFonts w:ascii="Times New Roman" w:hAnsi="Times New Roman" w:eastAsia="仿宋_GB2312" w:cs="Times New Roman"/>
              <w:bCs/>
              <w:color w:val="auto"/>
              <w:kern w:val="0"/>
              <w:szCs w:val="32"/>
              <w:lang w:val="en-US" w:eastAsia="zh-CN" w:bidi="ar-SA"/>
            </w:rPr>
            <w:fldChar w:fldCharType="begin"/>
          </w:r>
          <w:r>
            <w:rPr>
              <w:rFonts w:ascii="Times New Roman" w:hAnsi="Times New Roman" w:eastAsia="仿宋_GB2312" w:cs="Times New Roman"/>
              <w:bCs/>
              <w:kern w:val="0"/>
              <w:szCs w:val="32"/>
              <w:lang w:val="en-US" w:eastAsia="zh-CN" w:bidi="ar-SA"/>
            </w:rPr>
            <w:instrText xml:space="preserve"> HYPERLINK \l _Toc21870 </w:instrText>
          </w:r>
          <w:r>
            <w:rPr>
              <w:rFonts w:ascii="Times New Roman" w:hAnsi="Times New Roman" w:eastAsia="仿宋_GB2312" w:cs="Times New Roman"/>
              <w:bCs/>
              <w:kern w:val="0"/>
              <w:szCs w:val="32"/>
              <w:lang w:val="en-US" w:eastAsia="zh-CN" w:bidi="ar-SA"/>
            </w:rPr>
            <w:fldChar w:fldCharType="separate"/>
          </w:r>
          <w:r>
            <w:rPr>
              <w:rFonts w:hint="eastAsia" w:ascii="黑体" w:hAnsi="黑体" w:eastAsia="黑体" w:cs="黑体"/>
              <w:kern w:val="44"/>
              <w:lang w:val="en-US" w:eastAsia="zh-CN"/>
              <w14:ligatures w14:val="standardContextual"/>
            </w:rPr>
            <w:t>七、</w:t>
          </w:r>
          <w:r>
            <w:rPr>
              <w:rFonts w:hint="eastAsia" w:ascii="黑体" w:hAnsi="黑体" w:eastAsia="黑体" w:cs="黑体"/>
              <w:color w:val="auto"/>
              <w:kern w:val="44"/>
              <w:lang w:val="en-US" w:eastAsia="zh-CN"/>
              <w14:ligatures w14:val="standardContextual"/>
            </w:rPr>
            <w:t>推进片区化组团式发展和</w:t>
          </w:r>
          <w:r>
            <w:rPr>
              <w:rFonts w:hint="eastAsia" w:ascii="黑体" w:hAnsi="黑体" w:eastAsia="黑体" w:cs="黑体"/>
              <w:color w:val="auto"/>
              <w:kern w:val="44"/>
              <w14:ligatures w14:val="standardContextual"/>
            </w:rPr>
            <w:t>现代化</w:t>
          </w:r>
          <w:r>
            <w:rPr>
              <w:rFonts w:hint="eastAsia" w:ascii="黑体" w:hAnsi="黑体" w:eastAsia="黑体" w:cs="黑体"/>
              <w:color w:val="auto"/>
              <w:kern w:val="44"/>
              <w:lang w:val="en-US" w:eastAsia="zh-CN"/>
              <w14:ligatures w14:val="standardContextual"/>
            </w:rPr>
            <w:t>村镇</w:t>
          </w:r>
          <w:r>
            <w:rPr>
              <w:rFonts w:hint="eastAsia" w:ascii="黑体" w:hAnsi="黑体" w:eastAsia="黑体" w:cs="黑体"/>
              <w:color w:val="auto"/>
              <w:kern w:val="44"/>
              <w14:ligatures w14:val="standardContextual"/>
            </w:rPr>
            <w:t>高质量</w:t>
          </w:r>
          <w:r>
            <w:rPr>
              <w:rFonts w:hint="eastAsia" w:ascii="黑体" w:hAnsi="黑体" w:eastAsia="黑体" w:cs="黑体"/>
              <w:color w:val="auto"/>
              <w:kern w:val="44"/>
              <w:lang w:val="en-US" w:eastAsia="zh-CN"/>
              <w14:ligatures w14:val="standardContextual"/>
            </w:rPr>
            <w:t>发展</w:t>
          </w:r>
          <w:r>
            <w:tab/>
          </w:r>
          <w:r>
            <w:fldChar w:fldCharType="begin"/>
          </w:r>
          <w:r>
            <w:instrText xml:space="preserve"> PAGEREF _Toc21870 \h </w:instrText>
          </w:r>
          <w:r>
            <w:fldChar w:fldCharType="separate"/>
          </w:r>
          <w:r>
            <w:t>16</w:t>
          </w:r>
          <w:r>
            <w:fldChar w:fldCharType="end"/>
          </w:r>
          <w:r>
            <w:rPr>
              <w:rFonts w:ascii="Times New Roman" w:hAnsi="Times New Roman" w:eastAsia="仿宋_GB2312" w:cs="Times New Roman"/>
              <w:bCs/>
              <w:color w:val="auto"/>
              <w:kern w:val="0"/>
              <w:szCs w:val="32"/>
              <w:lang w:val="en-US" w:eastAsia="zh-CN" w:bidi="ar-SA"/>
            </w:rPr>
            <w:fldChar w:fldCharType="end"/>
          </w:r>
        </w:p>
        <w:p>
          <w:pPr>
            <w:pStyle w:val="12"/>
            <w:tabs>
              <w:tab w:val="right" w:leader="dot" w:pos="8306"/>
            </w:tabs>
          </w:pPr>
          <w:r>
            <w:rPr>
              <w:rFonts w:ascii="Times New Roman" w:hAnsi="Times New Roman" w:eastAsia="仿宋_GB2312" w:cs="Times New Roman"/>
              <w:bCs/>
              <w:color w:val="auto"/>
              <w:kern w:val="0"/>
              <w:szCs w:val="32"/>
              <w:lang w:val="en-US" w:eastAsia="zh-CN" w:bidi="ar-SA"/>
            </w:rPr>
            <w:fldChar w:fldCharType="begin"/>
          </w:r>
          <w:r>
            <w:rPr>
              <w:rFonts w:ascii="Times New Roman" w:hAnsi="Times New Roman" w:eastAsia="仿宋_GB2312" w:cs="Times New Roman"/>
              <w:bCs/>
              <w:kern w:val="0"/>
              <w:szCs w:val="32"/>
              <w:lang w:val="en-US" w:eastAsia="zh-CN" w:bidi="ar-SA"/>
            </w:rPr>
            <w:instrText xml:space="preserve"> HYPERLINK \l _Toc6369 </w:instrText>
          </w:r>
          <w:r>
            <w:rPr>
              <w:rFonts w:ascii="Times New Roman" w:hAnsi="Times New Roman" w:eastAsia="仿宋_GB2312" w:cs="Times New Roman"/>
              <w:bCs/>
              <w:kern w:val="0"/>
              <w:szCs w:val="32"/>
              <w:lang w:val="en-US" w:eastAsia="zh-CN" w:bidi="ar-SA"/>
            </w:rPr>
            <w:fldChar w:fldCharType="separate"/>
          </w:r>
          <w:r>
            <w:rPr>
              <w:rFonts w:hint="eastAsia" w:ascii="仿宋_GB2312" w:hAnsi="仿宋_GB2312" w:eastAsia="仿宋_GB2312" w:cs="仿宋_GB2312"/>
              <w:bCs w:val="0"/>
              <w:lang w:val="en-US" w:eastAsia="zh-CN"/>
            </w:rPr>
            <w:t>（二十三）推动乡村片区化组团式发展</w:t>
          </w:r>
          <w:r>
            <w:tab/>
          </w:r>
          <w:r>
            <w:fldChar w:fldCharType="begin"/>
          </w:r>
          <w:r>
            <w:instrText xml:space="preserve"> PAGEREF _Toc6369 \h </w:instrText>
          </w:r>
          <w:r>
            <w:fldChar w:fldCharType="separate"/>
          </w:r>
          <w:r>
            <w:t>16</w:t>
          </w:r>
          <w:r>
            <w:fldChar w:fldCharType="end"/>
          </w:r>
          <w:r>
            <w:rPr>
              <w:rFonts w:ascii="Times New Roman" w:hAnsi="Times New Roman" w:eastAsia="仿宋_GB2312" w:cs="Times New Roman"/>
              <w:bCs/>
              <w:color w:val="auto"/>
              <w:kern w:val="0"/>
              <w:szCs w:val="32"/>
              <w:lang w:val="en-US" w:eastAsia="zh-CN" w:bidi="ar-SA"/>
            </w:rPr>
            <w:fldChar w:fldCharType="end"/>
          </w:r>
        </w:p>
        <w:p>
          <w:pPr>
            <w:pStyle w:val="12"/>
            <w:tabs>
              <w:tab w:val="right" w:leader="dot" w:pos="8306"/>
            </w:tabs>
          </w:pPr>
          <w:r>
            <w:rPr>
              <w:rFonts w:ascii="Times New Roman" w:hAnsi="Times New Roman" w:eastAsia="仿宋_GB2312" w:cs="Times New Roman"/>
              <w:bCs/>
              <w:color w:val="auto"/>
              <w:kern w:val="0"/>
              <w:szCs w:val="32"/>
              <w:lang w:val="en-US" w:eastAsia="zh-CN" w:bidi="ar-SA"/>
            </w:rPr>
            <w:fldChar w:fldCharType="begin"/>
          </w:r>
          <w:r>
            <w:rPr>
              <w:rFonts w:ascii="Times New Roman" w:hAnsi="Times New Roman" w:eastAsia="仿宋_GB2312" w:cs="Times New Roman"/>
              <w:bCs/>
              <w:kern w:val="0"/>
              <w:szCs w:val="32"/>
              <w:lang w:val="en-US" w:eastAsia="zh-CN" w:bidi="ar-SA"/>
            </w:rPr>
            <w:instrText xml:space="preserve"> HYPERLINK \l _Toc1747 </w:instrText>
          </w:r>
          <w:r>
            <w:rPr>
              <w:rFonts w:ascii="Times New Roman" w:hAnsi="Times New Roman" w:eastAsia="仿宋_GB2312" w:cs="Times New Roman"/>
              <w:bCs/>
              <w:kern w:val="0"/>
              <w:szCs w:val="32"/>
              <w:lang w:val="en-US" w:eastAsia="zh-CN" w:bidi="ar-SA"/>
            </w:rPr>
            <w:fldChar w:fldCharType="separate"/>
          </w:r>
          <w:r>
            <w:rPr>
              <w:rFonts w:hint="eastAsia" w:ascii="仿宋_GB2312" w:hAnsi="仿宋_GB2312" w:eastAsia="仿宋_GB2312" w:cs="仿宋_GB2312"/>
              <w:bCs w:val="0"/>
              <w:lang w:val="en-US" w:eastAsia="zh-CN"/>
            </w:rPr>
            <w:t>（二十四）优化农村人居环境</w:t>
          </w:r>
          <w:r>
            <w:tab/>
          </w:r>
          <w:r>
            <w:fldChar w:fldCharType="begin"/>
          </w:r>
          <w:r>
            <w:instrText xml:space="preserve"> PAGEREF _Toc1747 \h </w:instrText>
          </w:r>
          <w:r>
            <w:fldChar w:fldCharType="separate"/>
          </w:r>
          <w:r>
            <w:t>17</w:t>
          </w:r>
          <w:r>
            <w:fldChar w:fldCharType="end"/>
          </w:r>
          <w:r>
            <w:rPr>
              <w:rFonts w:ascii="Times New Roman" w:hAnsi="Times New Roman" w:eastAsia="仿宋_GB2312" w:cs="Times New Roman"/>
              <w:bCs/>
              <w:color w:val="auto"/>
              <w:kern w:val="0"/>
              <w:szCs w:val="32"/>
              <w:lang w:val="en-US" w:eastAsia="zh-CN" w:bidi="ar-SA"/>
            </w:rPr>
            <w:fldChar w:fldCharType="end"/>
          </w:r>
        </w:p>
        <w:p>
          <w:pPr>
            <w:pStyle w:val="12"/>
            <w:tabs>
              <w:tab w:val="right" w:leader="dot" w:pos="8306"/>
            </w:tabs>
          </w:pPr>
          <w:r>
            <w:rPr>
              <w:rFonts w:ascii="Times New Roman" w:hAnsi="Times New Roman" w:eastAsia="仿宋_GB2312" w:cs="Times New Roman"/>
              <w:bCs/>
              <w:color w:val="auto"/>
              <w:kern w:val="0"/>
              <w:szCs w:val="32"/>
              <w:lang w:val="en-US" w:eastAsia="zh-CN" w:bidi="ar-SA"/>
            </w:rPr>
            <w:fldChar w:fldCharType="begin"/>
          </w:r>
          <w:r>
            <w:rPr>
              <w:rFonts w:ascii="Times New Roman" w:hAnsi="Times New Roman" w:eastAsia="仿宋_GB2312" w:cs="Times New Roman"/>
              <w:bCs/>
              <w:kern w:val="0"/>
              <w:szCs w:val="32"/>
              <w:lang w:val="en-US" w:eastAsia="zh-CN" w:bidi="ar-SA"/>
            </w:rPr>
            <w:instrText xml:space="preserve"> HYPERLINK \l _Toc18062 </w:instrText>
          </w:r>
          <w:r>
            <w:rPr>
              <w:rFonts w:ascii="Times New Roman" w:hAnsi="Times New Roman" w:eastAsia="仿宋_GB2312" w:cs="Times New Roman"/>
              <w:bCs/>
              <w:kern w:val="0"/>
              <w:szCs w:val="32"/>
              <w:lang w:val="en-US" w:eastAsia="zh-CN" w:bidi="ar-SA"/>
            </w:rPr>
            <w:fldChar w:fldCharType="separate"/>
          </w:r>
          <w:r>
            <w:rPr>
              <w:rFonts w:hint="eastAsia" w:ascii="仿宋_GB2312" w:hAnsi="仿宋_GB2312" w:eastAsia="仿宋_GB2312" w:cs="仿宋_GB2312"/>
              <w:bCs w:val="0"/>
              <w:lang w:val="en-US" w:eastAsia="zh-CN"/>
            </w:rPr>
            <w:t>（二十五）补齐农村基础设施短板</w:t>
          </w:r>
          <w:r>
            <w:tab/>
          </w:r>
          <w:r>
            <w:fldChar w:fldCharType="begin"/>
          </w:r>
          <w:r>
            <w:instrText xml:space="preserve"> PAGEREF _Toc18062 \h </w:instrText>
          </w:r>
          <w:r>
            <w:fldChar w:fldCharType="separate"/>
          </w:r>
          <w:r>
            <w:t>17</w:t>
          </w:r>
          <w:r>
            <w:fldChar w:fldCharType="end"/>
          </w:r>
          <w:r>
            <w:rPr>
              <w:rFonts w:ascii="Times New Roman" w:hAnsi="Times New Roman" w:eastAsia="仿宋_GB2312" w:cs="Times New Roman"/>
              <w:bCs/>
              <w:color w:val="auto"/>
              <w:kern w:val="0"/>
              <w:szCs w:val="32"/>
              <w:lang w:val="en-US" w:eastAsia="zh-CN" w:bidi="ar-SA"/>
            </w:rPr>
            <w:fldChar w:fldCharType="end"/>
          </w:r>
        </w:p>
        <w:p>
          <w:pPr>
            <w:pStyle w:val="12"/>
            <w:tabs>
              <w:tab w:val="right" w:leader="dot" w:pos="8306"/>
            </w:tabs>
          </w:pPr>
          <w:r>
            <w:rPr>
              <w:rFonts w:ascii="Times New Roman" w:hAnsi="Times New Roman" w:eastAsia="仿宋_GB2312" w:cs="Times New Roman"/>
              <w:bCs/>
              <w:color w:val="auto"/>
              <w:kern w:val="0"/>
              <w:szCs w:val="32"/>
              <w:lang w:val="en-US" w:eastAsia="zh-CN" w:bidi="ar-SA"/>
            </w:rPr>
            <w:fldChar w:fldCharType="begin"/>
          </w:r>
          <w:r>
            <w:rPr>
              <w:rFonts w:ascii="Times New Roman" w:hAnsi="Times New Roman" w:eastAsia="仿宋_GB2312" w:cs="Times New Roman"/>
              <w:bCs/>
              <w:kern w:val="0"/>
              <w:szCs w:val="32"/>
              <w:lang w:val="en-US" w:eastAsia="zh-CN" w:bidi="ar-SA"/>
            </w:rPr>
            <w:instrText xml:space="preserve"> HYPERLINK \l _Toc4950 </w:instrText>
          </w:r>
          <w:r>
            <w:rPr>
              <w:rFonts w:ascii="Times New Roman" w:hAnsi="Times New Roman" w:eastAsia="仿宋_GB2312" w:cs="Times New Roman"/>
              <w:bCs/>
              <w:kern w:val="0"/>
              <w:szCs w:val="32"/>
              <w:lang w:val="en-US" w:eastAsia="zh-CN" w:bidi="ar-SA"/>
            </w:rPr>
            <w:fldChar w:fldCharType="separate"/>
          </w:r>
          <w:r>
            <w:rPr>
              <w:rFonts w:hint="eastAsia" w:ascii="仿宋_GB2312" w:hAnsi="仿宋_GB2312" w:eastAsia="仿宋_GB2312" w:cs="仿宋_GB2312"/>
              <w:bCs w:val="0"/>
              <w:lang w:val="en-US" w:eastAsia="zh-CN"/>
            </w:rPr>
            <w:t>（二十六）优化农村公共服务供给</w:t>
          </w:r>
          <w:r>
            <w:tab/>
          </w:r>
          <w:r>
            <w:fldChar w:fldCharType="begin"/>
          </w:r>
          <w:r>
            <w:instrText xml:space="preserve"> PAGEREF _Toc4950 \h </w:instrText>
          </w:r>
          <w:r>
            <w:fldChar w:fldCharType="separate"/>
          </w:r>
          <w:r>
            <w:t>18</w:t>
          </w:r>
          <w:r>
            <w:fldChar w:fldCharType="end"/>
          </w:r>
          <w:r>
            <w:rPr>
              <w:rFonts w:ascii="Times New Roman" w:hAnsi="Times New Roman" w:eastAsia="仿宋_GB2312" w:cs="Times New Roman"/>
              <w:bCs/>
              <w:color w:val="auto"/>
              <w:kern w:val="0"/>
              <w:szCs w:val="32"/>
              <w:lang w:val="en-US" w:eastAsia="zh-CN" w:bidi="ar-SA"/>
            </w:rPr>
            <w:fldChar w:fldCharType="end"/>
          </w:r>
        </w:p>
        <w:p>
          <w:pPr>
            <w:pStyle w:val="11"/>
            <w:tabs>
              <w:tab w:val="right" w:leader="dot" w:pos="8306"/>
            </w:tabs>
          </w:pPr>
          <w:r>
            <w:rPr>
              <w:rFonts w:ascii="Times New Roman" w:hAnsi="Times New Roman" w:eastAsia="仿宋_GB2312" w:cs="Times New Roman"/>
              <w:bCs/>
              <w:color w:val="auto"/>
              <w:kern w:val="0"/>
              <w:szCs w:val="32"/>
              <w:lang w:val="en-US" w:eastAsia="zh-CN" w:bidi="ar-SA"/>
            </w:rPr>
            <w:fldChar w:fldCharType="begin"/>
          </w:r>
          <w:r>
            <w:rPr>
              <w:rFonts w:ascii="Times New Roman" w:hAnsi="Times New Roman" w:eastAsia="仿宋_GB2312" w:cs="Times New Roman"/>
              <w:bCs/>
              <w:kern w:val="0"/>
              <w:szCs w:val="32"/>
              <w:lang w:val="en-US" w:eastAsia="zh-CN" w:bidi="ar-SA"/>
            </w:rPr>
            <w:instrText xml:space="preserve"> HYPERLINK \l _Toc20227 </w:instrText>
          </w:r>
          <w:r>
            <w:rPr>
              <w:rFonts w:ascii="Times New Roman" w:hAnsi="Times New Roman" w:eastAsia="仿宋_GB2312" w:cs="Times New Roman"/>
              <w:bCs/>
              <w:kern w:val="0"/>
              <w:szCs w:val="32"/>
              <w:lang w:val="en-US" w:eastAsia="zh-CN" w:bidi="ar-SA"/>
            </w:rPr>
            <w:fldChar w:fldCharType="separate"/>
          </w:r>
          <w:r>
            <w:rPr>
              <w:rFonts w:hint="eastAsia" w:ascii="黑体" w:hAnsi="黑体" w:eastAsia="黑体" w:cs="黑体"/>
            </w:rPr>
            <w:t>八</w:t>
          </w:r>
          <w:r>
            <w:rPr>
              <w:rFonts w:hint="eastAsia" w:ascii="黑体" w:hAnsi="黑体" w:eastAsia="黑体" w:cs="黑体"/>
              <w:lang w:eastAsia="zh-CN"/>
            </w:rPr>
            <w:t>、</w:t>
          </w:r>
          <w:r>
            <w:rPr>
              <w:rFonts w:hint="eastAsia" w:ascii="黑体" w:hAnsi="黑体" w:eastAsia="黑体" w:cs="黑体"/>
            </w:rPr>
            <w:t>提升乡村治理体系和治理能力现代化水平</w:t>
          </w:r>
          <w:r>
            <w:tab/>
          </w:r>
          <w:r>
            <w:fldChar w:fldCharType="begin"/>
          </w:r>
          <w:r>
            <w:instrText xml:space="preserve"> PAGEREF _Toc20227 \h </w:instrText>
          </w:r>
          <w:r>
            <w:fldChar w:fldCharType="separate"/>
          </w:r>
          <w:r>
            <w:t>20</w:t>
          </w:r>
          <w:r>
            <w:fldChar w:fldCharType="end"/>
          </w:r>
          <w:r>
            <w:rPr>
              <w:rFonts w:ascii="Times New Roman" w:hAnsi="Times New Roman" w:eastAsia="仿宋_GB2312" w:cs="Times New Roman"/>
              <w:bCs/>
              <w:color w:val="auto"/>
              <w:kern w:val="0"/>
              <w:szCs w:val="32"/>
              <w:lang w:val="en-US" w:eastAsia="zh-CN" w:bidi="ar-SA"/>
            </w:rPr>
            <w:fldChar w:fldCharType="end"/>
          </w:r>
        </w:p>
        <w:p>
          <w:pPr>
            <w:pStyle w:val="12"/>
            <w:tabs>
              <w:tab w:val="right" w:leader="dot" w:pos="8306"/>
            </w:tabs>
          </w:pPr>
          <w:r>
            <w:rPr>
              <w:rFonts w:ascii="Times New Roman" w:hAnsi="Times New Roman" w:eastAsia="仿宋_GB2312" w:cs="Times New Roman"/>
              <w:bCs/>
              <w:color w:val="auto"/>
              <w:kern w:val="0"/>
              <w:szCs w:val="32"/>
              <w:lang w:val="en-US" w:eastAsia="zh-CN" w:bidi="ar-SA"/>
            </w:rPr>
            <w:fldChar w:fldCharType="begin"/>
          </w:r>
          <w:r>
            <w:rPr>
              <w:rFonts w:ascii="Times New Roman" w:hAnsi="Times New Roman" w:eastAsia="仿宋_GB2312" w:cs="Times New Roman"/>
              <w:bCs/>
              <w:kern w:val="0"/>
              <w:szCs w:val="32"/>
              <w:lang w:val="en-US" w:eastAsia="zh-CN" w:bidi="ar-SA"/>
            </w:rPr>
            <w:instrText xml:space="preserve"> HYPERLINK \l _Toc9243 </w:instrText>
          </w:r>
          <w:r>
            <w:rPr>
              <w:rFonts w:ascii="Times New Roman" w:hAnsi="Times New Roman" w:eastAsia="仿宋_GB2312" w:cs="Times New Roman"/>
              <w:bCs/>
              <w:kern w:val="0"/>
              <w:szCs w:val="32"/>
              <w:lang w:val="en-US" w:eastAsia="zh-CN" w:bidi="ar-SA"/>
            </w:rPr>
            <w:fldChar w:fldCharType="separate"/>
          </w:r>
          <w:r>
            <w:rPr>
              <w:rFonts w:hint="eastAsia" w:ascii="仿宋_GB2312" w:hAnsi="仿宋_GB2312" w:eastAsia="仿宋_GB2312" w:cs="仿宋_GB2312"/>
              <w:bCs w:val="0"/>
              <w:lang w:val="en-US" w:eastAsia="zh-CN"/>
            </w:rPr>
            <w:t>（二十七）健全党建引领乡村治理体系</w:t>
          </w:r>
          <w:r>
            <w:tab/>
          </w:r>
          <w:r>
            <w:fldChar w:fldCharType="begin"/>
          </w:r>
          <w:r>
            <w:instrText xml:space="preserve"> PAGEREF _Toc9243 \h </w:instrText>
          </w:r>
          <w:r>
            <w:fldChar w:fldCharType="separate"/>
          </w:r>
          <w:r>
            <w:t>20</w:t>
          </w:r>
          <w:r>
            <w:fldChar w:fldCharType="end"/>
          </w:r>
          <w:r>
            <w:rPr>
              <w:rFonts w:ascii="Times New Roman" w:hAnsi="Times New Roman" w:eastAsia="仿宋_GB2312" w:cs="Times New Roman"/>
              <w:bCs/>
              <w:color w:val="auto"/>
              <w:kern w:val="0"/>
              <w:szCs w:val="32"/>
              <w:lang w:val="en-US" w:eastAsia="zh-CN" w:bidi="ar-SA"/>
            </w:rPr>
            <w:fldChar w:fldCharType="end"/>
          </w:r>
        </w:p>
        <w:p>
          <w:pPr>
            <w:pStyle w:val="12"/>
            <w:tabs>
              <w:tab w:val="right" w:leader="dot" w:pos="8306"/>
            </w:tabs>
          </w:pPr>
          <w:r>
            <w:rPr>
              <w:rFonts w:ascii="Times New Roman" w:hAnsi="Times New Roman" w:eastAsia="仿宋_GB2312" w:cs="Times New Roman"/>
              <w:bCs/>
              <w:color w:val="auto"/>
              <w:kern w:val="0"/>
              <w:szCs w:val="32"/>
              <w:lang w:val="en-US" w:eastAsia="zh-CN" w:bidi="ar-SA"/>
            </w:rPr>
            <w:fldChar w:fldCharType="begin"/>
          </w:r>
          <w:r>
            <w:rPr>
              <w:rFonts w:ascii="Times New Roman" w:hAnsi="Times New Roman" w:eastAsia="仿宋_GB2312" w:cs="Times New Roman"/>
              <w:bCs/>
              <w:kern w:val="0"/>
              <w:szCs w:val="32"/>
              <w:lang w:val="en-US" w:eastAsia="zh-CN" w:bidi="ar-SA"/>
            </w:rPr>
            <w:instrText xml:space="preserve"> HYPERLINK \l _Toc487 </w:instrText>
          </w:r>
          <w:r>
            <w:rPr>
              <w:rFonts w:ascii="Times New Roman" w:hAnsi="Times New Roman" w:eastAsia="仿宋_GB2312" w:cs="Times New Roman"/>
              <w:bCs/>
              <w:kern w:val="0"/>
              <w:szCs w:val="32"/>
              <w:lang w:val="en-US" w:eastAsia="zh-CN" w:bidi="ar-SA"/>
            </w:rPr>
            <w:fldChar w:fldCharType="separate"/>
          </w:r>
          <w:r>
            <w:rPr>
              <w:rFonts w:hint="eastAsia" w:ascii="仿宋_GB2312" w:hAnsi="仿宋_GB2312" w:eastAsia="仿宋_GB2312" w:cs="仿宋_GB2312"/>
              <w:bCs w:val="0"/>
              <w:lang w:val="en-US" w:eastAsia="zh-CN"/>
            </w:rPr>
            <w:t>（二十八）涵养新时代乡村文明</w:t>
          </w:r>
          <w:r>
            <w:tab/>
          </w:r>
          <w:r>
            <w:fldChar w:fldCharType="begin"/>
          </w:r>
          <w:r>
            <w:instrText xml:space="preserve"> PAGEREF _Toc487 \h </w:instrText>
          </w:r>
          <w:r>
            <w:fldChar w:fldCharType="separate"/>
          </w:r>
          <w:r>
            <w:t>21</w:t>
          </w:r>
          <w:r>
            <w:fldChar w:fldCharType="end"/>
          </w:r>
          <w:r>
            <w:rPr>
              <w:rFonts w:ascii="Times New Roman" w:hAnsi="Times New Roman" w:eastAsia="仿宋_GB2312" w:cs="Times New Roman"/>
              <w:bCs/>
              <w:color w:val="auto"/>
              <w:kern w:val="0"/>
              <w:szCs w:val="32"/>
              <w:lang w:val="en-US" w:eastAsia="zh-CN" w:bidi="ar-SA"/>
            </w:rPr>
            <w:fldChar w:fldCharType="end"/>
          </w:r>
        </w:p>
        <w:p>
          <w:pPr>
            <w:pStyle w:val="12"/>
            <w:tabs>
              <w:tab w:val="right" w:leader="dot" w:pos="8306"/>
            </w:tabs>
          </w:pPr>
          <w:r>
            <w:rPr>
              <w:rFonts w:ascii="Times New Roman" w:hAnsi="Times New Roman" w:eastAsia="仿宋_GB2312" w:cs="Times New Roman"/>
              <w:bCs/>
              <w:color w:val="auto"/>
              <w:kern w:val="0"/>
              <w:szCs w:val="32"/>
              <w:lang w:val="en-US" w:eastAsia="zh-CN" w:bidi="ar-SA"/>
            </w:rPr>
            <w:fldChar w:fldCharType="begin"/>
          </w:r>
          <w:r>
            <w:rPr>
              <w:rFonts w:ascii="Times New Roman" w:hAnsi="Times New Roman" w:eastAsia="仿宋_GB2312" w:cs="Times New Roman"/>
              <w:bCs/>
              <w:kern w:val="0"/>
              <w:szCs w:val="32"/>
              <w:lang w:val="en-US" w:eastAsia="zh-CN" w:bidi="ar-SA"/>
            </w:rPr>
            <w:instrText xml:space="preserve"> HYPERLINK \l _Toc12534 </w:instrText>
          </w:r>
          <w:r>
            <w:rPr>
              <w:rFonts w:ascii="Times New Roman" w:hAnsi="Times New Roman" w:eastAsia="仿宋_GB2312" w:cs="Times New Roman"/>
              <w:bCs/>
              <w:kern w:val="0"/>
              <w:szCs w:val="32"/>
              <w:lang w:val="en-US" w:eastAsia="zh-CN" w:bidi="ar-SA"/>
            </w:rPr>
            <w:fldChar w:fldCharType="separate"/>
          </w:r>
          <w:r>
            <w:rPr>
              <w:rFonts w:hint="eastAsia" w:ascii="仿宋_GB2312" w:hAnsi="仿宋_GB2312" w:eastAsia="仿宋_GB2312" w:cs="仿宋_GB2312"/>
              <w:bCs w:val="0"/>
              <w:lang w:val="en-US" w:eastAsia="zh-CN"/>
            </w:rPr>
            <w:t>（二十九）建设平安法治乡村</w:t>
          </w:r>
          <w:r>
            <w:tab/>
          </w:r>
          <w:r>
            <w:fldChar w:fldCharType="begin"/>
          </w:r>
          <w:r>
            <w:instrText xml:space="preserve"> PAGEREF _Toc12534 \h </w:instrText>
          </w:r>
          <w:r>
            <w:fldChar w:fldCharType="separate"/>
          </w:r>
          <w:r>
            <w:t>21</w:t>
          </w:r>
          <w:r>
            <w:fldChar w:fldCharType="end"/>
          </w:r>
          <w:r>
            <w:rPr>
              <w:rFonts w:ascii="Times New Roman" w:hAnsi="Times New Roman" w:eastAsia="仿宋_GB2312" w:cs="Times New Roman"/>
              <w:bCs/>
              <w:color w:val="auto"/>
              <w:kern w:val="0"/>
              <w:szCs w:val="32"/>
              <w:lang w:val="en-US" w:eastAsia="zh-CN" w:bidi="ar-SA"/>
            </w:rPr>
            <w:fldChar w:fldCharType="end"/>
          </w:r>
        </w:p>
        <w:p>
          <w:pPr>
            <w:pStyle w:val="11"/>
            <w:tabs>
              <w:tab w:val="right" w:leader="dot" w:pos="8306"/>
            </w:tabs>
          </w:pPr>
          <w:r>
            <w:rPr>
              <w:rFonts w:ascii="Times New Roman" w:hAnsi="Times New Roman" w:eastAsia="仿宋_GB2312" w:cs="Times New Roman"/>
              <w:bCs/>
              <w:color w:val="auto"/>
              <w:kern w:val="0"/>
              <w:szCs w:val="32"/>
              <w:lang w:val="en-US" w:eastAsia="zh-CN" w:bidi="ar-SA"/>
            </w:rPr>
            <w:fldChar w:fldCharType="begin"/>
          </w:r>
          <w:r>
            <w:rPr>
              <w:rFonts w:ascii="Times New Roman" w:hAnsi="Times New Roman" w:eastAsia="仿宋_GB2312" w:cs="Times New Roman"/>
              <w:bCs/>
              <w:kern w:val="0"/>
              <w:szCs w:val="32"/>
              <w:lang w:val="en-US" w:eastAsia="zh-CN" w:bidi="ar-SA"/>
            </w:rPr>
            <w:instrText xml:space="preserve"> HYPERLINK \l _Toc27487 </w:instrText>
          </w:r>
          <w:r>
            <w:rPr>
              <w:rFonts w:ascii="Times New Roman" w:hAnsi="Times New Roman" w:eastAsia="仿宋_GB2312" w:cs="Times New Roman"/>
              <w:bCs/>
              <w:kern w:val="0"/>
              <w:szCs w:val="32"/>
              <w:lang w:val="en-US" w:eastAsia="zh-CN" w:bidi="ar-SA"/>
            </w:rPr>
            <w:fldChar w:fldCharType="separate"/>
          </w:r>
          <w:r>
            <w:rPr>
              <w:rFonts w:hint="eastAsia" w:ascii="黑体" w:hAnsi="黑体" w:eastAsia="黑体" w:cs="黑体"/>
            </w:rPr>
            <w:t>九</w:t>
          </w:r>
          <w:r>
            <w:rPr>
              <w:rFonts w:hint="eastAsia" w:ascii="黑体" w:hAnsi="黑体" w:eastAsia="黑体" w:cs="黑体"/>
              <w:lang w:eastAsia="zh-CN"/>
            </w:rPr>
            <w:t>、</w:t>
          </w:r>
          <w:r>
            <w:rPr>
              <w:rFonts w:hint="eastAsia" w:ascii="黑体" w:hAnsi="黑体" w:eastAsia="黑体" w:cs="黑体"/>
            </w:rPr>
            <w:t>促进城乡融合共同繁荣发展</w:t>
          </w:r>
          <w:r>
            <w:tab/>
          </w:r>
          <w:r>
            <w:fldChar w:fldCharType="begin"/>
          </w:r>
          <w:r>
            <w:instrText xml:space="preserve"> PAGEREF _Toc27487 \h </w:instrText>
          </w:r>
          <w:r>
            <w:fldChar w:fldCharType="separate"/>
          </w:r>
          <w:r>
            <w:t>22</w:t>
          </w:r>
          <w:r>
            <w:fldChar w:fldCharType="end"/>
          </w:r>
          <w:r>
            <w:rPr>
              <w:rFonts w:ascii="Times New Roman" w:hAnsi="Times New Roman" w:eastAsia="仿宋_GB2312" w:cs="Times New Roman"/>
              <w:bCs/>
              <w:color w:val="auto"/>
              <w:kern w:val="0"/>
              <w:szCs w:val="32"/>
              <w:lang w:val="en-US" w:eastAsia="zh-CN" w:bidi="ar-SA"/>
            </w:rPr>
            <w:fldChar w:fldCharType="end"/>
          </w:r>
        </w:p>
        <w:p>
          <w:pPr>
            <w:pStyle w:val="12"/>
            <w:tabs>
              <w:tab w:val="right" w:leader="dot" w:pos="8306"/>
            </w:tabs>
          </w:pPr>
          <w:r>
            <w:rPr>
              <w:rFonts w:ascii="Times New Roman" w:hAnsi="Times New Roman" w:eastAsia="仿宋_GB2312" w:cs="Times New Roman"/>
              <w:bCs/>
              <w:color w:val="auto"/>
              <w:kern w:val="0"/>
              <w:szCs w:val="32"/>
              <w:lang w:val="en-US" w:eastAsia="zh-CN" w:bidi="ar-SA"/>
            </w:rPr>
            <w:fldChar w:fldCharType="begin"/>
          </w:r>
          <w:r>
            <w:rPr>
              <w:rFonts w:ascii="Times New Roman" w:hAnsi="Times New Roman" w:eastAsia="仿宋_GB2312" w:cs="Times New Roman"/>
              <w:bCs/>
              <w:kern w:val="0"/>
              <w:szCs w:val="32"/>
              <w:lang w:val="en-US" w:eastAsia="zh-CN" w:bidi="ar-SA"/>
            </w:rPr>
            <w:instrText xml:space="preserve"> HYPERLINK \l _Toc17044 </w:instrText>
          </w:r>
          <w:r>
            <w:rPr>
              <w:rFonts w:ascii="Times New Roman" w:hAnsi="Times New Roman" w:eastAsia="仿宋_GB2312" w:cs="Times New Roman"/>
              <w:bCs/>
              <w:kern w:val="0"/>
              <w:szCs w:val="32"/>
              <w:lang w:val="en-US" w:eastAsia="zh-CN" w:bidi="ar-SA"/>
            </w:rPr>
            <w:fldChar w:fldCharType="separate"/>
          </w:r>
          <w:r>
            <w:rPr>
              <w:rFonts w:hint="eastAsia" w:ascii="仿宋_GB2312" w:hAnsi="仿宋_GB2312" w:eastAsia="仿宋_GB2312" w:cs="仿宋_GB2312"/>
              <w:bCs w:val="0"/>
              <w:lang w:val="en-US" w:eastAsia="zh-CN"/>
            </w:rPr>
            <w:t>（三十）统筹推进新型城镇化建设</w:t>
          </w:r>
          <w:r>
            <w:tab/>
          </w:r>
          <w:r>
            <w:fldChar w:fldCharType="begin"/>
          </w:r>
          <w:r>
            <w:instrText xml:space="preserve"> PAGEREF _Toc17044 \h </w:instrText>
          </w:r>
          <w:r>
            <w:fldChar w:fldCharType="separate"/>
          </w:r>
          <w:r>
            <w:t>22</w:t>
          </w:r>
          <w:r>
            <w:fldChar w:fldCharType="end"/>
          </w:r>
          <w:r>
            <w:rPr>
              <w:rFonts w:ascii="Times New Roman" w:hAnsi="Times New Roman" w:eastAsia="仿宋_GB2312" w:cs="Times New Roman"/>
              <w:bCs/>
              <w:color w:val="auto"/>
              <w:kern w:val="0"/>
              <w:szCs w:val="32"/>
              <w:lang w:val="en-US" w:eastAsia="zh-CN" w:bidi="ar-SA"/>
            </w:rPr>
            <w:fldChar w:fldCharType="end"/>
          </w:r>
        </w:p>
        <w:p>
          <w:pPr>
            <w:pStyle w:val="12"/>
            <w:tabs>
              <w:tab w:val="right" w:leader="dot" w:pos="8306"/>
            </w:tabs>
          </w:pPr>
          <w:r>
            <w:rPr>
              <w:rFonts w:ascii="Times New Roman" w:hAnsi="Times New Roman" w:eastAsia="仿宋_GB2312" w:cs="Times New Roman"/>
              <w:bCs/>
              <w:color w:val="auto"/>
              <w:kern w:val="0"/>
              <w:szCs w:val="32"/>
              <w:lang w:val="en-US" w:eastAsia="zh-CN" w:bidi="ar-SA"/>
            </w:rPr>
            <w:fldChar w:fldCharType="begin"/>
          </w:r>
          <w:r>
            <w:rPr>
              <w:rFonts w:ascii="Times New Roman" w:hAnsi="Times New Roman" w:eastAsia="仿宋_GB2312" w:cs="Times New Roman"/>
              <w:bCs/>
              <w:kern w:val="0"/>
              <w:szCs w:val="32"/>
              <w:lang w:val="en-US" w:eastAsia="zh-CN" w:bidi="ar-SA"/>
            </w:rPr>
            <w:instrText xml:space="preserve"> HYPERLINK \l _Toc21015 </w:instrText>
          </w:r>
          <w:r>
            <w:rPr>
              <w:rFonts w:ascii="Times New Roman" w:hAnsi="Times New Roman" w:eastAsia="仿宋_GB2312" w:cs="Times New Roman"/>
              <w:bCs/>
              <w:kern w:val="0"/>
              <w:szCs w:val="32"/>
              <w:lang w:val="en-US" w:eastAsia="zh-CN" w:bidi="ar-SA"/>
            </w:rPr>
            <w:fldChar w:fldCharType="separate"/>
          </w:r>
          <w:r>
            <w:rPr>
              <w:rFonts w:hint="eastAsia" w:ascii="仿宋_GB2312" w:hAnsi="仿宋_GB2312" w:eastAsia="仿宋_GB2312" w:cs="仿宋_GB2312"/>
              <w:bCs w:val="0"/>
              <w:lang w:val="en-US" w:eastAsia="zh-CN"/>
            </w:rPr>
            <w:t>（三十一）深化城乡要素市场化改革</w:t>
          </w:r>
          <w:r>
            <w:tab/>
          </w:r>
          <w:r>
            <w:fldChar w:fldCharType="begin"/>
          </w:r>
          <w:r>
            <w:instrText xml:space="preserve"> PAGEREF _Toc21015 \h </w:instrText>
          </w:r>
          <w:r>
            <w:fldChar w:fldCharType="separate"/>
          </w:r>
          <w:r>
            <w:t>22</w:t>
          </w:r>
          <w:r>
            <w:fldChar w:fldCharType="end"/>
          </w:r>
          <w:r>
            <w:rPr>
              <w:rFonts w:ascii="Times New Roman" w:hAnsi="Times New Roman" w:eastAsia="仿宋_GB2312" w:cs="Times New Roman"/>
              <w:bCs/>
              <w:color w:val="auto"/>
              <w:kern w:val="0"/>
              <w:szCs w:val="32"/>
              <w:lang w:val="en-US" w:eastAsia="zh-CN" w:bidi="ar-SA"/>
            </w:rPr>
            <w:fldChar w:fldCharType="end"/>
          </w:r>
        </w:p>
        <w:p>
          <w:pPr>
            <w:pStyle w:val="12"/>
            <w:tabs>
              <w:tab w:val="right" w:leader="dot" w:pos="8306"/>
            </w:tabs>
          </w:pPr>
          <w:r>
            <w:rPr>
              <w:rFonts w:ascii="Times New Roman" w:hAnsi="Times New Roman" w:eastAsia="仿宋_GB2312" w:cs="Times New Roman"/>
              <w:bCs/>
              <w:color w:val="auto"/>
              <w:kern w:val="0"/>
              <w:szCs w:val="32"/>
              <w:lang w:val="en-US" w:eastAsia="zh-CN" w:bidi="ar-SA"/>
            </w:rPr>
            <w:fldChar w:fldCharType="begin"/>
          </w:r>
          <w:r>
            <w:rPr>
              <w:rFonts w:ascii="Times New Roman" w:hAnsi="Times New Roman" w:eastAsia="仿宋_GB2312" w:cs="Times New Roman"/>
              <w:bCs/>
              <w:kern w:val="0"/>
              <w:szCs w:val="32"/>
              <w:lang w:val="en-US" w:eastAsia="zh-CN" w:bidi="ar-SA"/>
            </w:rPr>
            <w:instrText xml:space="preserve"> HYPERLINK \l _Toc10970 </w:instrText>
          </w:r>
          <w:r>
            <w:rPr>
              <w:rFonts w:ascii="Times New Roman" w:hAnsi="Times New Roman" w:eastAsia="仿宋_GB2312" w:cs="Times New Roman"/>
              <w:bCs/>
              <w:kern w:val="0"/>
              <w:szCs w:val="32"/>
              <w:lang w:val="en-US" w:eastAsia="zh-CN" w:bidi="ar-SA"/>
            </w:rPr>
            <w:fldChar w:fldCharType="separate"/>
          </w:r>
          <w:r>
            <w:rPr>
              <w:rFonts w:hint="eastAsia" w:ascii="仿宋_GB2312" w:hAnsi="仿宋_GB2312" w:eastAsia="仿宋_GB2312" w:cs="仿宋_GB2312"/>
              <w:bCs w:val="0"/>
              <w:lang w:val="en-US" w:eastAsia="zh-CN"/>
            </w:rPr>
            <w:t>（三十二）健全现代乡村经营服务体系</w:t>
          </w:r>
          <w:r>
            <w:tab/>
          </w:r>
          <w:r>
            <w:fldChar w:fldCharType="begin"/>
          </w:r>
          <w:r>
            <w:instrText xml:space="preserve"> PAGEREF _Toc10970 \h </w:instrText>
          </w:r>
          <w:r>
            <w:fldChar w:fldCharType="separate"/>
          </w:r>
          <w:r>
            <w:t>22</w:t>
          </w:r>
          <w:r>
            <w:fldChar w:fldCharType="end"/>
          </w:r>
          <w:r>
            <w:rPr>
              <w:rFonts w:ascii="Times New Roman" w:hAnsi="Times New Roman" w:eastAsia="仿宋_GB2312" w:cs="Times New Roman"/>
              <w:bCs/>
              <w:color w:val="auto"/>
              <w:kern w:val="0"/>
              <w:szCs w:val="32"/>
              <w:lang w:val="en-US" w:eastAsia="zh-CN" w:bidi="ar-SA"/>
            </w:rPr>
            <w:fldChar w:fldCharType="end"/>
          </w:r>
        </w:p>
        <w:p>
          <w:pPr>
            <w:pStyle w:val="12"/>
            <w:tabs>
              <w:tab w:val="right" w:leader="dot" w:pos="8306"/>
            </w:tabs>
          </w:pPr>
          <w:r>
            <w:rPr>
              <w:rFonts w:ascii="Times New Roman" w:hAnsi="Times New Roman" w:eastAsia="仿宋_GB2312" w:cs="Times New Roman"/>
              <w:bCs/>
              <w:color w:val="auto"/>
              <w:kern w:val="0"/>
              <w:szCs w:val="32"/>
              <w:lang w:val="en-US" w:eastAsia="zh-CN" w:bidi="ar-SA"/>
            </w:rPr>
            <w:fldChar w:fldCharType="begin"/>
          </w:r>
          <w:r>
            <w:rPr>
              <w:rFonts w:ascii="Times New Roman" w:hAnsi="Times New Roman" w:eastAsia="仿宋_GB2312" w:cs="Times New Roman"/>
              <w:bCs/>
              <w:kern w:val="0"/>
              <w:szCs w:val="32"/>
              <w:lang w:val="en-US" w:eastAsia="zh-CN" w:bidi="ar-SA"/>
            </w:rPr>
            <w:instrText xml:space="preserve"> HYPERLINK \l _Toc30370 </w:instrText>
          </w:r>
          <w:r>
            <w:rPr>
              <w:rFonts w:ascii="Times New Roman" w:hAnsi="Times New Roman" w:eastAsia="仿宋_GB2312" w:cs="Times New Roman"/>
              <w:bCs/>
              <w:kern w:val="0"/>
              <w:szCs w:val="32"/>
              <w:lang w:val="en-US" w:eastAsia="zh-CN" w:bidi="ar-SA"/>
            </w:rPr>
            <w:fldChar w:fldCharType="separate"/>
          </w:r>
          <w:r>
            <w:rPr>
              <w:rFonts w:hint="eastAsia" w:ascii="仿宋_GB2312" w:hAnsi="仿宋_GB2312" w:eastAsia="仿宋_GB2312" w:cs="仿宋_GB2312"/>
              <w:bCs w:val="0"/>
              <w:lang w:val="en-US" w:eastAsia="zh-CN"/>
              <w14:ligatures w14:val="standardContextual"/>
            </w:rPr>
            <w:t>（三十三）</w:t>
          </w:r>
          <w:r>
            <w:rPr>
              <w:rFonts w:hint="eastAsia" w:ascii="仿宋_GB2312" w:hAnsi="仿宋_GB2312" w:eastAsia="仿宋_GB2312" w:cs="仿宋_GB2312"/>
              <w:bCs w:val="0"/>
              <w14:ligatures w14:val="standardContextual"/>
            </w:rPr>
            <w:t>推进农村集体产权制度改革</w:t>
          </w:r>
          <w:r>
            <w:tab/>
          </w:r>
          <w:r>
            <w:fldChar w:fldCharType="begin"/>
          </w:r>
          <w:r>
            <w:instrText xml:space="preserve"> PAGEREF _Toc30370 \h </w:instrText>
          </w:r>
          <w:r>
            <w:fldChar w:fldCharType="separate"/>
          </w:r>
          <w:r>
            <w:t>23</w:t>
          </w:r>
          <w:r>
            <w:fldChar w:fldCharType="end"/>
          </w:r>
          <w:r>
            <w:rPr>
              <w:rFonts w:ascii="Times New Roman" w:hAnsi="Times New Roman" w:eastAsia="仿宋_GB2312" w:cs="Times New Roman"/>
              <w:bCs/>
              <w:color w:val="auto"/>
              <w:kern w:val="0"/>
              <w:szCs w:val="32"/>
              <w:lang w:val="en-US" w:eastAsia="zh-CN" w:bidi="ar-SA"/>
            </w:rPr>
            <w:fldChar w:fldCharType="end"/>
          </w:r>
        </w:p>
        <w:p>
          <w:pPr>
            <w:pStyle w:val="12"/>
            <w:tabs>
              <w:tab w:val="right" w:leader="dot" w:pos="8306"/>
            </w:tabs>
          </w:pPr>
          <w:r>
            <w:rPr>
              <w:rFonts w:ascii="Times New Roman" w:hAnsi="Times New Roman" w:eastAsia="仿宋_GB2312" w:cs="Times New Roman"/>
              <w:bCs/>
              <w:color w:val="auto"/>
              <w:kern w:val="0"/>
              <w:szCs w:val="32"/>
              <w:lang w:val="en-US" w:eastAsia="zh-CN" w:bidi="ar-SA"/>
            </w:rPr>
            <w:fldChar w:fldCharType="begin"/>
          </w:r>
          <w:r>
            <w:rPr>
              <w:rFonts w:ascii="Times New Roman" w:hAnsi="Times New Roman" w:eastAsia="仿宋_GB2312" w:cs="Times New Roman"/>
              <w:bCs/>
              <w:kern w:val="0"/>
              <w:szCs w:val="32"/>
              <w:lang w:val="en-US" w:eastAsia="zh-CN" w:bidi="ar-SA"/>
            </w:rPr>
            <w:instrText xml:space="preserve"> HYPERLINK \l _Toc3396 </w:instrText>
          </w:r>
          <w:r>
            <w:rPr>
              <w:rFonts w:ascii="Times New Roman" w:hAnsi="Times New Roman" w:eastAsia="仿宋_GB2312" w:cs="Times New Roman"/>
              <w:bCs/>
              <w:kern w:val="0"/>
              <w:szCs w:val="32"/>
              <w:lang w:val="en-US" w:eastAsia="zh-CN" w:bidi="ar-SA"/>
            </w:rPr>
            <w:fldChar w:fldCharType="separate"/>
          </w:r>
          <w:r>
            <w:rPr>
              <w:rFonts w:hint="eastAsia" w:ascii="仿宋_GB2312" w:hAnsi="仿宋_GB2312" w:eastAsia="仿宋_GB2312" w:cs="仿宋_GB2312"/>
              <w:bCs w:val="0"/>
              <w:lang w:val="en-US" w:eastAsia="zh-CN"/>
            </w:rPr>
            <w:t>（三十四）强化多元资金投入保障机制</w:t>
          </w:r>
          <w:r>
            <w:tab/>
          </w:r>
          <w:r>
            <w:fldChar w:fldCharType="begin"/>
          </w:r>
          <w:r>
            <w:instrText xml:space="preserve"> PAGEREF _Toc3396 \h </w:instrText>
          </w:r>
          <w:r>
            <w:fldChar w:fldCharType="separate"/>
          </w:r>
          <w:r>
            <w:t>23</w:t>
          </w:r>
          <w:r>
            <w:fldChar w:fldCharType="end"/>
          </w:r>
          <w:r>
            <w:rPr>
              <w:rFonts w:ascii="Times New Roman" w:hAnsi="Times New Roman" w:eastAsia="仿宋_GB2312" w:cs="Times New Roman"/>
              <w:bCs/>
              <w:color w:val="auto"/>
              <w:kern w:val="0"/>
              <w:szCs w:val="32"/>
              <w:lang w:val="en-US" w:eastAsia="zh-CN" w:bidi="ar-SA"/>
            </w:rPr>
            <w:fldChar w:fldCharType="end"/>
          </w:r>
        </w:p>
        <w:p>
          <w:pPr>
            <w:pStyle w:val="12"/>
            <w:tabs>
              <w:tab w:val="right" w:leader="dot" w:pos="8306"/>
            </w:tabs>
          </w:pPr>
          <w:r>
            <w:rPr>
              <w:rFonts w:ascii="Times New Roman" w:hAnsi="Times New Roman" w:eastAsia="仿宋_GB2312" w:cs="Times New Roman"/>
              <w:bCs/>
              <w:color w:val="auto"/>
              <w:kern w:val="0"/>
              <w:szCs w:val="32"/>
              <w:lang w:val="en-US" w:eastAsia="zh-CN" w:bidi="ar-SA"/>
            </w:rPr>
            <w:fldChar w:fldCharType="begin"/>
          </w:r>
          <w:r>
            <w:rPr>
              <w:rFonts w:ascii="Times New Roman" w:hAnsi="Times New Roman" w:eastAsia="仿宋_GB2312" w:cs="Times New Roman"/>
              <w:bCs/>
              <w:kern w:val="0"/>
              <w:szCs w:val="32"/>
              <w:lang w:val="en-US" w:eastAsia="zh-CN" w:bidi="ar-SA"/>
            </w:rPr>
            <w:instrText xml:space="preserve"> HYPERLINK \l _Toc9946 </w:instrText>
          </w:r>
          <w:r>
            <w:rPr>
              <w:rFonts w:ascii="Times New Roman" w:hAnsi="Times New Roman" w:eastAsia="仿宋_GB2312" w:cs="Times New Roman"/>
              <w:bCs/>
              <w:kern w:val="0"/>
              <w:szCs w:val="32"/>
              <w:lang w:val="en-US" w:eastAsia="zh-CN" w:bidi="ar-SA"/>
            </w:rPr>
            <w:fldChar w:fldCharType="separate"/>
          </w:r>
          <w:r>
            <w:rPr>
              <w:rFonts w:hint="eastAsia" w:ascii="仿宋_GB2312" w:hAnsi="仿宋_GB2312" w:eastAsia="仿宋_GB2312" w:cs="仿宋_GB2312"/>
              <w:bCs w:val="0"/>
              <w:lang w:val="en-US" w:eastAsia="zh-CN"/>
            </w:rPr>
            <w:t>（三十五）强化人才队伍支撑</w:t>
          </w:r>
          <w:r>
            <w:tab/>
          </w:r>
          <w:r>
            <w:fldChar w:fldCharType="begin"/>
          </w:r>
          <w:r>
            <w:instrText xml:space="preserve"> PAGEREF _Toc9946 \h </w:instrText>
          </w:r>
          <w:r>
            <w:fldChar w:fldCharType="separate"/>
          </w:r>
          <w:r>
            <w:t>23</w:t>
          </w:r>
          <w:r>
            <w:fldChar w:fldCharType="end"/>
          </w:r>
          <w:r>
            <w:rPr>
              <w:rFonts w:ascii="Times New Roman" w:hAnsi="Times New Roman" w:eastAsia="仿宋_GB2312" w:cs="Times New Roman"/>
              <w:bCs/>
              <w:color w:val="auto"/>
              <w:kern w:val="0"/>
              <w:szCs w:val="32"/>
              <w:lang w:val="en-US" w:eastAsia="zh-CN" w:bidi="ar-SA"/>
            </w:rPr>
            <w:fldChar w:fldCharType="end"/>
          </w:r>
        </w:p>
        <w:p>
          <w:pPr>
            <w:pStyle w:val="11"/>
            <w:tabs>
              <w:tab w:val="right" w:leader="dot" w:pos="8306"/>
            </w:tabs>
          </w:pPr>
          <w:r>
            <w:rPr>
              <w:rFonts w:ascii="Times New Roman" w:hAnsi="Times New Roman" w:eastAsia="仿宋_GB2312" w:cs="Times New Roman"/>
              <w:bCs/>
              <w:color w:val="auto"/>
              <w:kern w:val="0"/>
              <w:szCs w:val="32"/>
              <w:lang w:val="en-US" w:eastAsia="zh-CN" w:bidi="ar-SA"/>
            </w:rPr>
            <w:fldChar w:fldCharType="begin"/>
          </w:r>
          <w:r>
            <w:rPr>
              <w:rFonts w:ascii="Times New Roman" w:hAnsi="Times New Roman" w:eastAsia="仿宋_GB2312" w:cs="Times New Roman"/>
              <w:bCs/>
              <w:kern w:val="0"/>
              <w:szCs w:val="32"/>
              <w:lang w:val="en-US" w:eastAsia="zh-CN" w:bidi="ar-SA"/>
            </w:rPr>
            <w:instrText xml:space="preserve"> HYPERLINK \l _Toc8022 </w:instrText>
          </w:r>
          <w:r>
            <w:rPr>
              <w:rFonts w:ascii="Times New Roman" w:hAnsi="Times New Roman" w:eastAsia="仿宋_GB2312" w:cs="Times New Roman"/>
              <w:bCs/>
              <w:kern w:val="0"/>
              <w:szCs w:val="32"/>
              <w:lang w:val="en-US" w:eastAsia="zh-CN" w:bidi="ar-SA"/>
            </w:rPr>
            <w:fldChar w:fldCharType="separate"/>
          </w:r>
          <w:r>
            <w:rPr>
              <w:rFonts w:hint="eastAsia" w:ascii="黑体" w:hAnsi="黑体" w:eastAsia="黑体" w:cs="黑体"/>
              <w:lang w:val="en-US" w:eastAsia="zh-CN"/>
            </w:rPr>
            <w:t>十、</w:t>
          </w:r>
          <w:r>
            <w:rPr>
              <w:rFonts w:hint="eastAsia" w:ascii="黑体" w:hAnsi="黑体" w:eastAsia="黑体" w:cs="黑体"/>
            </w:rPr>
            <w:t>建立健全规划</w:t>
          </w:r>
          <w:r>
            <w:rPr>
              <w:rFonts w:hint="eastAsia" w:ascii="黑体" w:hAnsi="黑体" w:eastAsia="黑体" w:cs="黑体"/>
              <w:lang w:eastAsia="zh-CN"/>
            </w:rPr>
            <w:t>实施</w:t>
          </w:r>
          <w:r>
            <w:rPr>
              <w:rFonts w:hint="eastAsia" w:ascii="黑体" w:hAnsi="黑体" w:eastAsia="黑体" w:cs="黑体"/>
            </w:rPr>
            <w:t>保障</w:t>
          </w:r>
          <w:r>
            <w:tab/>
          </w:r>
          <w:r>
            <w:fldChar w:fldCharType="begin"/>
          </w:r>
          <w:r>
            <w:instrText xml:space="preserve"> PAGEREF _Toc8022 \h </w:instrText>
          </w:r>
          <w:r>
            <w:fldChar w:fldCharType="separate"/>
          </w:r>
          <w:r>
            <w:t>24</w:t>
          </w:r>
          <w:r>
            <w:fldChar w:fldCharType="end"/>
          </w:r>
          <w:r>
            <w:rPr>
              <w:rFonts w:ascii="Times New Roman" w:hAnsi="Times New Roman" w:eastAsia="仿宋_GB2312" w:cs="Times New Roman"/>
              <w:bCs/>
              <w:color w:val="auto"/>
              <w:kern w:val="0"/>
              <w:szCs w:val="32"/>
              <w:lang w:val="en-US" w:eastAsia="zh-CN" w:bidi="ar-SA"/>
            </w:rPr>
            <w:fldChar w:fldCharType="end"/>
          </w:r>
        </w:p>
        <w:p>
          <w:pPr>
            <w:pStyle w:val="12"/>
            <w:tabs>
              <w:tab w:val="right" w:leader="dot" w:pos="8306"/>
            </w:tabs>
          </w:pPr>
          <w:r>
            <w:rPr>
              <w:rFonts w:ascii="Times New Roman" w:hAnsi="Times New Roman" w:eastAsia="仿宋_GB2312" w:cs="Times New Roman"/>
              <w:bCs/>
              <w:color w:val="auto"/>
              <w:kern w:val="0"/>
              <w:szCs w:val="32"/>
              <w:lang w:val="en-US" w:eastAsia="zh-CN" w:bidi="ar-SA"/>
            </w:rPr>
            <w:fldChar w:fldCharType="begin"/>
          </w:r>
          <w:r>
            <w:rPr>
              <w:rFonts w:ascii="Times New Roman" w:hAnsi="Times New Roman" w:eastAsia="仿宋_GB2312" w:cs="Times New Roman"/>
              <w:bCs/>
              <w:kern w:val="0"/>
              <w:szCs w:val="32"/>
              <w:lang w:val="en-US" w:eastAsia="zh-CN" w:bidi="ar-SA"/>
            </w:rPr>
            <w:instrText xml:space="preserve"> HYPERLINK \l _Toc3356 </w:instrText>
          </w:r>
          <w:r>
            <w:rPr>
              <w:rFonts w:ascii="Times New Roman" w:hAnsi="Times New Roman" w:eastAsia="仿宋_GB2312" w:cs="Times New Roman"/>
              <w:bCs/>
              <w:kern w:val="0"/>
              <w:szCs w:val="32"/>
              <w:lang w:val="en-US" w:eastAsia="zh-CN" w:bidi="ar-SA"/>
            </w:rPr>
            <w:fldChar w:fldCharType="separate"/>
          </w:r>
          <w:r>
            <w:rPr>
              <w:rFonts w:hint="eastAsia" w:ascii="仿宋_GB2312" w:hAnsi="仿宋_GB2312" w:eastAsia="仿宋_GB2312" w:cs="仿宋_GB2312"/>
              <w:bCs w:val="0"/>
              <w:lang w:val="en-US" w:eastAsia="zh-CN"/>
            </w:rPr>
            <w:t>（三十六）强化党的全面领导</w:t>
          </w:r>
          <w:r>
            <w:tab/>
          </w:r>
          <w:r>
            <w:fldChar w:fldCharType="begin"/>
          </w:r>
          <w:r>
            <w:instrText xml:space="preserve"> PAGEREF _Toc3356 \h </w:instrText>
          </w:r>
          <w:r>
            <w:fldChar w:fldCharType="separate"/>
          </w:r>
          <w:r>
            <w:t>24</w:t>
          </w:r>
          <w:r>
            <w:fldChar w:fldCharType="end"/>
          </w:r>
          <w:r>
            <w:rPr>
              <w:rFonts w:ascii="Times New Roman" w:hAnsi="Times New Roman" w:eastAsia="仿宋_GB2312" w:cs="Times New Roman"/>
              <w:bCs/>
              <w:color w:val="auto"/>
              <w:kern w:val="0"/>
              <w:szCs w:val="32"/>
              <w:lang w:val="en-US" w:eastAsia="zh-CN" w:bidi="ar-SA"/>
            </w:rPr>
            <w:fldChar w:fldCharType="end"/>
          </w:r>
        </w:p>
        <w:p>
          <w:pPr>
            <w:pStyle w:val="12"/>
            <w:tabs>
              <w:tab w:val="right" w:leader="dot" w:pos="8306"/>
            </w:tabs>
          </w:pPr>
          <w:r>
            <w:rPr>
              <w:rFonts w:ascii="Times New Roman" w:hAnsi="Times New Roman" w:eastAsia="仿宋_GB2312" w:cs="Times New Roman"/>
              <w:bCs/>
              <w:color w:val="auto"/>
              <w:kern w:val="0"/>
              <w:szCs w:val="32"/>
              <w:lang w:val="en-US" w:eastAsia="zh-CN" w:bidi="ar-SA"/>
            </w:rPr>
            <w:fldChar w:fldCharType="begin"/>
          </w:r>
          <w:r>
            <w:rPr>
              <w:rFonts w:ascii="Times New Roman" w:hAnsi="Times New Roman" w:eastAsia="仿宋_GB2312" w:cs="Times New Roman"/>
              <w:bCs/>
              <w:kern w:val="0"/>
              <w:szCs w:val="32"/>
              <w:lang w:val="en-US" w:eastAsia="zh-CN" w:bidi="ar-SA"/>
            </w:rPr>
            <w:instrText xml:space="preserve"> HYPERLINK \l _Toc2381 </w:instrText>
          </w:r>
          <w:r>
            <w:rPr>
              <w:rFonts w:ascii="Times New Roman" w:hAnsi="Times New Roman" w:eastAsia="仿宋_GB2312" w:cs="Times New Roman"/>
              <w:bCs/>
              <w:kern w:val="0"/>
              <w:szCs w:val="32"/>
              <w:lang w:val="en-US" w:eastAsia="zh-CN" w:bidi="ar-SA"/>
            </w:rPr>
            <w:fldChar w:fldCharType="separate"/>
          </w:r>
          <w:r>
            <w:rPr>
              <w:rFonts w:hint="eastAsia" w:ascii="仿宋_GB2312" w:hAnsi="仿宋_GB2312" w:eastAsia="仿宋_GB2312" w:cs="仿宋_GB2312"/>
              <w:bCs w:val="0"/>
              <w:lang w:val="en-US" w:eastAsia="zh-CN"/>
            </w:rPr>
            <w:t>（三十七）压实各级组织实施责任</w:t>
          </w:r>
          <w:r>
            <w:tab/>
          </w:r>
          <w:r>
            <w:fldChar w:fldCharType="begin"/>
          </w:r>
          <w:r>
            <w:instrText xml:space="preserve"> PAGEREF _Toc2381 \h </w:instrText>
          </w:r>
          <w:r>
            <w:fldChar w:fldCharType="separate"/>
          </w:r>
          <w:r>
            <w:t>24</w:t>
          </w:r>
          <w:r>
            <w:fldChar w:fldCharType="end"/>
          </w:r>
          <w:r>
            <w:rPr>
              <w:rFonts w:ascii="Times New Roman" w:hAnsi="Times New Roman" w:eastAsia="仿宋_GB2312" w:cs="Times New Roman"/>
              <w:bCs/>
              <w:color w:val="auto"/>
              <w:kern w:val="0"/>
              <w:szCs w:val="32"/>
              <w:lang w:val="en-US" w:eastAsia="zh-CN" w:bidi="ar-SA"/>
            </w:rPr>
            <w:fldChar w:fldCharType="end"/>
          </w:r>
        </w:p>
        <w:p>
          <w:pPr>
            <w:pStyle w:val="12"/>
            <w:tabs>
              <w:tab w:val="right" w:leader="dot" w:pos="8306"/>
            </w:tabs>
          </w:pPr>
          <w:r>
            <w:rPr>
              <w:rFonts w:ascii="Times New Roman" w:hAnsi="Times New Roman" w:eastAsia="仿宋_GB2312" w:cs="Times New Roman"/>
              <w:bCs/>
              <w:color w:val="auto"/>
              <w:kern w:val="0"/>
              <w:szCs w:val="32"/>
              <w:lang w:val="en-US" w:eastAsia="zh-CN" w:bidi="ar-SA"/>
            </w:rPr>
            <w:fldChar w:fldCharType="begin"/>
          </w:r>
          <w:r>
            <w:rPr>
              <w:rFonts w:ascii="Times New Roman" w:hAnsi="Times New Roman" w:eastAsia="仿宋_GB2312" w:cs="Times New Roman"/>
              <w:bCs/>
              <w:kern w:val="0"/>
              <w:szCs w:val="32"/>
              <w:lang w:val="en-US" w:eastAsia="zh-CN" w:bidi="ar-SA"/>
            </w:rPr>
            <w:instrText xml:space="preserve"> HYPERLINK \l _Toc8859 </w:instrText>
          </w:r>
          <w:r>
            <w:rPr>
              <w:rFonts w:ascii="Times New Roman" w:hAnsi="Times New Roman" w:eastAsia="仿宋_GB2312" w:cs="Times New Roman"/>
              <w:bCs/>
              <w:kern w:val="0"/>
              <w:szCs w:val="32"/>
              <w:lang w:val="en-US" w:eastAsia="zh-CN" w:bidi="ar-SA"/>
            </w:rPr>
            <w:fldChar w:fldCharType="separate"/>
          </w:r>
          <w:r>
            <w:rPr>
              <w:rFonts w:hint="eastAsia" w:ascii="仿宋_GB2312" w:hAnsi="仿宋_GB2312" w:eastAsia="仿宋_GB2312" w:cs="仿宋_GB2312"/>
              <w:bCs w:val="0"/>
              <w:lang w:val="en-US" w:eastAsia="zh-CN"/>
            </w:rPr>
            <w:t>（三十八）强化政策协同落地</w:t>
          </w:r>
          <w:r>
            <w:tab/>
          </w:r>
          <w:r>
            <w:fldChar w:fldCharType="begin"/>
          </w:r>
          <w:r>
            <w:instrText xml:space="preserve"> PAGEREF _Toc8859 \h </w:instrText>
          </w:r>
          <w:r>
            <w:fldChar w:fldCharType="separate"/>
          </w:r>
          <w:r>
            <w:t>24</w:t>
          </w:r>
          <w:r>
            <w:fldChar w:fldCharType="end"/>
          </w:r>
          <w:r>
            <w:rPr>
              <w:rFonts w:ascii="Times New Roman" w:hAnsi="Times New Roman" w:eastAsia="仿宋_GB2312" w:cs="Times New Roman"/>
              <w:bCs/>
              <w:color w:val="auto"/>
              <w:kern w:val="0"/>
              <w:szCs w:val="32"/>
              <w:lang w:val="en-US" w:eastAsia="zh-CN" w:bidi="ar-SA"/>
            </w:rPr>
            <w:fldChar w:fldCharType="end"/>
          </w:r>
        </w:p>
        <w:p>
          <w:pPr>
            <w:pStyle w:val="12"/>
            <w:tabs>
              <w:tab w:val="right" w:leader="dot" w:pos="8306"/>
            </w:tabs>
          </w:pPr>
          <w:r>
            <w:rPr>
              <w:rFonts w:ascii="Times New Roman" w:hAnsi="Times New Roman" w:eastAsia="仿宋_GB2312" w:cs="Times New Roman"/>
              <w:bCs/>
              <w:color w:val="auto"/>
              <w:kern w:val="0"/>
              <w:szCs w:val="32"/>
              <w:lang w:val="en-US" w:eastAsia="zh-CN" w:bidi="ar-SA"/>
            </w:rPr>
            <w:fldChar w:fldCharType="begin"/>
          </w:r>
          <w:r>
            <w:rPr>
              <w:rFonts w:ascii="Times New Roman" w:hAnsi="Times New Roman" w:eastAsia="仿宋_GB2312" w:cs="Times New Roman"/>
              <w:bCs/>
              <w:kern w:val="0"/>
              <w:szCs w:val="32"/>
              <w:lang w:val="en-US" w:eastAsia="zh-CN" w:bidi="ar-SA"/>
            </w:rPr>
            <w:instrText xml:space="preserve"> HYPERLINK \l _Toc20926 </w:instrText>
          </w:r>
          <w:r>
            <w:rPr>
              <w:rFonts w:ascii="Times New Roman" w:hAnsi="Times New Roman" w:eastAsia="仿宋_GB2312" w:cs="Times New Roman"/>
              <w:bCs/>
              <w:kern w:val="0"/>
              <w:szCs w:val="32"/>
              <w:lang w:val="en-US" w:eastAsia="zh-CN" w:bidi="ar-SA"/>
            </w:rPr>
            <w:fldChar w:fldCharType="separate"/>
          </w:r>
          <w:r>
            <w:rPr>
              <w:rFonts w:hint="eastAsia" w:ascii="仿宋_GB2312" w:hAnsi="仿宋_GB2312" w:eastAsia="仿宋_GB2312" w:cs="仿宋_GB2312"/>
              <w:bCs w:val="0"/>
              <w:lang w:val="en-US" w:eastAsia="zh-CN"/>
            </w:rPr>
            <w:t>（三十九）强化用地服务保障</w:t>
          </w:r>
          <w:r>
            <w:tab/>
          </w:r>
          <w:r>
            <w:fldChar w:fldCharType="begin"/>
          </w:r>
          <w:r>
            <w:instrText xml:space="preserve"> PAGEREF _Toc20926 \h </w:instrText>
          </w:r>
          <w:r>
            <w:fldChar w:fldCharType="separate"/>
          </w:r>
          <w:r>
            <w:t>24</w:t>
          </w:r>
          <w:r>
            <w:fldChar w:fldCharType="end"/>
          </w:r>
          <w:r>
            <w:rPr>
              <w:rFonts w:ascii="Times New Roman" w:hAnsi="Times New Roman" w:eastAsia="仿宋_GB2312" w:cs="Times New Roman"/>
              <w:bCs/>
              <w:color w:val="auto"/>
              <w:kern w:val="0"/>
              <w:szCs w:val="32"/>
              <w:lang w:val="en-US" w:eastAsia="zh-CN" w:bidi="ar-SA"/>
            </w:rPr>
            <w:fldChar w:fldCharType="end"/>
          </w:r>
        </w:p>
        <w:p>
          <w:pPr>
            <w:adjustRightInd w:val="0"/>
            <w:snapToGrid w:val="0"/>
            <w:spacing w:line="620" w:lineRule="exact"/>
            <w:ind w:left="1600" w:leftChars="200" w:hanging="960" w:hangingChars="300"/>
            <w:outlineLvl w:val="1"/>
            <w:rPr>
              <w:rFonts w:ascii="Times New Roman" w:hAnsi="Times New Roman" w:eastAsia="仿宋_GB2312" w:cs="Times New Roman"/>
              <w:bCs/>
              <w:color w:val="auto"/>
              <w:kern w:val="0"/>
              <w:szCs w:val="32"/>
              <w:lang w:val="en-US" w:eastAsia="zh-CN" w:bidi="ar-SA"/>
            </w:rPr>
          </w:pPr>
          <w:r>
            <w:rPr>
              <w:rFonts w:ascii="Times New Roman" w:hAnsi="Times New Roman" w:eastAsia="仿宋_GB2312" w:cs="Times New Roman"/>
              <w:bCs/>
              <w:color w:val="auto"/>
              <w:kern w:val="0"/>
              <w:szCs w:val="32"/>
              <w:lang w:val="en-US" w:eastAsia="zh-CN" w:bidi="ar-SA"/>
            </w:rPr>
            <w:fldChar w:fldCharType="end"/>
          </w:r>
        </w:p>
        <w:p>
          <w:pPr>
            <w:adjustRightInd w:val="0"/>
            <w:snapToGrid w:val="0"/>
            <w:spacing w:line="620" w:lineRule="exact"/>
            <w:ind w:left="1600" w:leftChars="200" w:hanging="960" w:hangingChars="300"/>
            <w:outlineLvl w:val="1"/>
            <w:rPr>
              <w:rFonts w:ascii="Times New Roman" w:hAnsi="Times New Roman" w:eastAsia="仿宋_GB2312" w:cs="Times New Roman"/>
              <w:bCs/>
              <w:color w:val="auto"/>
              <w:kern w:val="0"/>
              <w:sz w:val="32"/>
              <w:szCs w:val="32"/>
              <w:lang w:val="en-US" w:eastAsia="zh-CN" w:bidi="ar-SA"/>
            </w:rPr>
          </w:pPr>
        </w:p>
      </w:sdtContent>
    </w:sdt>
    <w:p>
      <w:pPr>
        <w:adjustRightInd w:val="0"/>
        <w:snapToGrid w:val="0"/>
        <w:spacing w:line="620" w:lineRule="exact"/>
        <w:ind w:firstLine="640"/>
        <w:outlineLvl w:val="1"/>
        <w:rPr>
          <w:rFonts w:ascii="Times New Roman" w:hAnsi="Times New Roman" w:eastAsia="仿宋_GB2312" w:cs="Times New Roman"/>
          <w:bCs/>
          <w:color w:val="auto"/>
          <w:kern w:val="0"/>
          <w:sz w:val="32"/>
          <w:szCs w:val="32"/>
          <w:lang w:val="en-US" w:eastAsia="zh-CN" w:bidi="ar-SA"/>
        </w:rPr>
      </w:pPr>
    </w:p>
    <w:p>
      <w:pPr>
        <w:adjustRightInd w:val="0"/>
        <w:snapToGrid w:val="0"/>
        <w:spacing w:line="620" w:lineRule="exact"/>
        <w:ind w:firstLine="640"/>
        <w:rPr>
          <w:rFonts w:hint="eastAsia" w:cs="Times New Roman"/>
          <w:color w:val="auto"/>
          <w:kern w:val="0"/>
          <w:lang w:val="en-US" w:eastAsia="zh-CN"/>
        </w:rPr>
        <w:sectPr>
          <w:footerReference r:id="rId5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>
      <w:pPr>
        <w:adjustRightInd w:val="0"/>
        <w:snapToGrid w:val="0"/>
        <w:spacing w:line="620" w:lineRule="exact"/>
        <w:ind w:firstLine="640"/>
        <w:rPr>
          <w:rFonts w:hint="eastAsia" w:cs="Times New Roman"/>
          <w:color w:val="auto"/>
          <w:kern w:val="0"/>
          <w:lang w:val="en-US" w:eastAsia="zh-CN"/>
        </w:rPr>
      </w:pPr>
      <w:r>
        <w:rPr>
          <w:rFonts w:hint="eastAsia" w:cs="Times New Roman"/>
          <w:color w:val="auto"/>
          <w:kern w:val="0"/>
          <w:lang w:val="en-US" w:eastAsia="zh-CN"/>
        </w:rPr>
        <w:t>为科学谋划“十五五”时期全市农业农村现代化发展，根据国务院印发的《加快农业农村现代化“十五五”规划》，对标《广东省加快农业农村现代化“十五五”规划》《汕尾市国民经济和社会发展第十五个五年规划纲要》编制，立足新发展阶段汕尾“三农”工作新形势、新任务，制定本规划。</w:t>
      </w:r>
    </w:p>
    <w:p>
      <w:pPr>
        <w:adjustRightInd w:val="0"/>
        <w:snapToGrid w:val="0"/>
        <w:spacing w:line="620" w:lineRule="exact"/>
        <w:ind w:firstLine="640"/>
        <w:outlineLvl w:val="0"/>
        <w:rPr>
          <w:rFonts w:hint="eastAsia" w:ascii="黑体" w:hAnsi="黑体" w:eastAsia="黑体" w:cs="黑体"/>
          <w:color w:val="auto"/>
          <w:kern w:val="0"/>
          <w:lang w:val="en-US" w:eastAsia="zh-CN"/>
        </w:rPr>
      </w:pPr>
      <w:bookmarkStart w:id="1" w:name="_Toc17803"/>
      <w:bookmarkStart w:id="2" w:name="_Toc7643"/>
      <w:r>
        <w:rPr>
          <w:rFonts w:hint="eastAsia" w:ascii="黑体" w:hAnsi="黑体" w:eastAsia="黑体" w:cs="黑体"/>
          <w:color w:val="auto"/>
          <w:kern w:val="0"/>
          <w:lang w:val="en-US" w:eastAsia="zh-CN"/>
        </w:rPr>
        <w:t>一、总体要求</w:t>
      </w:r>
      <w:bookmarkEnd w:id="1"/>
      <w:bookmarkEnd w:id="2"/>
    </w:p>
    <w:p>
      <w:pPr>
        <w:adjustRightInd w:val="0"/>
        <w:snapToGrid w:val="0"/>
        <w:spacing w:line="620" w:lineRule="exact"/>
        <w:ind w:firstLine="640"/>
        <w:rPr>
          <w:rFonts w:hint="eastAsia" w:cs="Times New Roman"/>
          <w:color w:val="auto"/>
          <w:kern w:val="0"/>
          <w:lang w:val="en-US" w:eastAsia="zh-CN"/>
        </w:rPr>
      </w:pPr>
      <w:r>
        <w:rPr>
          <w:rFonts w:hint="eastAsia" w:cs="Times New Roman"/>
          <w:color w:val="auto"/>
          <w:kern w:val="0"/>
          <w:lang w:val="en-US" w:eastAsia="zh-CN"/>
        </w:rPr>
        <w:t>以习近平新时代中国特色社会主义思想为指导，深入学习贯彻党的二十大和二十届历次全会精神，全面落实习近平总书记关于“三农”工作重要论述和对广东系列重要讲话、重要指示精神，对标省委“1310”具体部署，立足汕尾“西承东联桥头堡、东海岸重要支点”定位，呼应全市“四大会战”工作部署，依托深汕对口合作机遇，积极争取省级政策、资金、资源支持，推动海洋牧场提质、典型村片区升级、产业高质量发展。</w:t>
      </w:r>
    </w:p>
    <w:p>
      <w:pPr>
        <w:pStyle w:val="4"/>
        <w:adjustRightInd w:val="0"/>
        <w:snapToGrid w:val="0"/>
        <w:spacing w:line="620" w:lineRule="exact"/>
        <w:ind w:firstLine="640" w:firstLineChars="200"/>
        <w:outlineLvl w:val="9"/>
        <w:rPr>
          <w:rFonts w:hint="default" w:eastAsia="仿宋_GB2312"/>
          <w:color w:val="auto"/>
          <w:lang w:val="en-US" w:eastAsia="zh-CN"/>
        </w:rPr>
      </w:pPr>
      <w:r>
        <w:rPr>
          <w:rFonts w:hint="eastAsia" w:cs="Times New Roman"/>
          <w:color w:val="auto"/>
          <w:kern w:val="0"/>
          <w:lang w:val="en-US" w:eastAsia="zh-CN"/>
        </w:rPr>
        <w:t>发展目标：</w:t>
      </w:r>
      <w:r>
        <w:rPr>
          <w:rFonts w:hint="eastAsia"/>
          <w:color w:val="auto"/>
        </w:rPr>
        <w:t>坚守粮食安全底线，推动农业农村主要经济指标稳步增长，聚力打造海洋牧场发展平台与现代化渔港体系，健全2+10+N现代农业产业体系。</w:t>
      </w:r>
      <w:r>
        <w:rPr>
          <w:rFonts w:hint="eastAsia"/>
          <w:color w:val="auto"/>
          <w:lang w:val="en-US" w:eastAsia="zh-CN"/>
        </w:rPr>
        <w:t>到</w:t>
      </w:r>
      <w:r>
        <w:rPr>
          <w:rFonts w:hint="eastAsia"/>
          <w:color w:val="auto"/>
        </w:rPr>
        <w:t>2030年</w:t>
      </w:r>
      <w:r>
        <w:rPr>
          <w:rFonts w:hint="eastAsia"/>
          <w:color w:val="auto"/>
          <w:lang w:eastAsia="zh-CN"/>
        </w:rPr>
        <w:t>，</w:t>
      </w:r>
      <w:r>
        <w:rPr>
          <w:rFonts w:hint="eastAsia"/>
          <w:color w:val="auto"/>
        </w:rPr>
        <w:t>全市农林牧渔业总产值</w:t>
      </w:r>
      <w:r>
        <w:rPr>
          <w:rFonts w:hint="eastAsia"/>
          <w:color w:val="auto"/>
          <w:lang w:val="en-US" w:eastAsia="zh-CN"/>
        </w:rPr>
        <w:t>超</w:t>
      </w:r>
      <w:r>
        <w:rPr>
          <w:rFonts w:hint="eastAsia"/>
          <w:color w:val="auto"/>
        </w:rPr>
        <w:t>480亿元</w:t>
      </w:r>
      <w:r>
        <w:rPr>
          <w:rFonts w:hint="eastAsia"/>
          <w:color w:val="auto"/>
          <w:lang w:eastAsia="zh-CN"/>
        </w:rPr>
        <w:t>，</w:t>
      </w:r>
      <w:r>
        <w:rPr>
          <w:rFonts w:hint="eastAsia"/>
          <w:color w:val="auto"/>
        </w:rPr>
        <w:t>农村居民人均可支配收入</w:t>
      </w:r>
      <w:r>
        <w:rPr>
          <w:rFonts w:hint="eastAsia"/>
          <w:color w:val="auto"/>
          <w:lang w:val="en-US" w:eastAsia="zh-CN"/>
        </w:rPr>
        <w:t>超3.5万</w:t>
      </w:r>
      <w:r>
        <w:rPr>
          <w:rFonts w:hint="eastAsia"/>
          <w:color w:val="auto"/>
        </w:rPr>
        <w:t>元。坚持农业农村优先发展，</w:t>
      </w:r>
      <w:r>
        <w:rPr>
          <w:rFonts w:hint="eastAsia"/>
          <w:color w:val="auto"/>
          <w:lang w:eastAsia="zh-CN"/>
        </w:rPr>
        <w:t>统筹发展和安全</w:t>
      </w:r>
      <w:r>
        <w:rPr>
          <w:rFonts w:hint="eastAsia"/>
          <w:color w:val="auto"/>
        </w:rPr>
        <w:t>，全力推进农业强、农村美、农民富，</w:t>
      </w:r>
      <w:r>
        <w:rPr>
          <w:rFonts w:hint="eastAsia"/>
          <w:color w:val="auto"/>
          <w:lang w:val="en-US" w:eastAsia="zh-CN"/>
        </w:rPr>
        <w:t>乡村全面振兴取得显著成效，农业农村现代化得到进一步提升。</w:t>
      </w:r>
    </w:p>
    <w:p>
      <w:pPr>
        <w:adjustRightInd w:val="0"/>
        <w:snapToGrid w:val="0"/>
        <w:spacing w:line="620" w:lineRule="exact"/>
        <w:rPr>
          <w:rStyle w:val="19"/>
          <w:rFonts w:cs="Times New Roman"/>
          <w:b w:val="0"/>
          <w:color w:val="auto"/>
          <w:kern w:val="0"/>
          <w:lang w:bidi="ar"/>
        </w:rPr>
      </w:pPr>
      <w:r>
        <w:rPr>
          <w:rFonts w:hint="eastAsia" w:cs="Times New Roman"/>
          <w:b/>
          <w:bCs w:val="0"/>
          <w:color w:val="auto"/>
          <w:kern w:val="0"/>
          <w:lang w:bidi="ar"/>
        </w:rPr>
        <w:t>——稳产保供农业根基全面夯实。</w:t>
      </w:r>
      <w:r>
        <w:rPr>
          <w:rFonts w:hint="eastAsia" w:cs="Times New Roman"/>
          <w:color w:val="auto"/>
          <w:kern w:val="0"/>
          <w:lang w:bidi="ar"/>
        </w:rPr>
        <w:t>粮食播种面积稳定在</w:t>
      </w:r>
      <w:r>
        <w:rPr>
          <w:rFonts w:hint="eastAsia"/>
          <w:color w:val="auto"/>
        </w:rPr>
        <w:t>122.83</w:t>
      </w:r>
      <w:r>
        <w:rPr>
          <w:rFonts w:hint="eastAsia" w:cs="Times New Roman"/>
          <w:color w:val="auto"/>
          <w:kern w:val="0"/>
          <w:lang w:bidi="ar"/>
        </w:rPr>
        <w:t>万亩以上，“陆上粮仓”“海上粮仓”</w:t>
      </w:r>
      <w:r>
        <w:rPr>
          <w:rFonts w:hint="eastAsia"/>
          <w:color w:val="auto"/>
        </w:rPr>
        <w:t>协同发力</w:t>
      </w:r>
      <w:r>
        <w:rPr>
          <w:rFonts w:hint="eastAsia" w:cs="Times New Roman"/>
          <w:color w:val="auto"/>
          <w:kern w:val="0"/>
          <w:lang w:bidi="ar"/>
        </w:rPr>
        <w:t>，多元化食物供给体系</w:t>
      </w:r>
      <w:r>
        <w:rPr>
          <w:rFonts w:hint="eastAsia"/>
          <w:color w:val="auto"/>
        </w:rPr>
        <w:t>更加健全</w:t>
      </w:r>
      <w:r>
        <w:rPr>
          <w:rFonts w:hint="eastAsia" w:cs="Times New Roman"/>
          <w:color w:val="auto"/>
          <w:kern w:val="0"/>
          <w:lang w:bidi="ar"/>
        </w:rPr>
        <w:t>，重要农产品供给保障能力全面增强。</w:t>
      </w:r>
    </w:p>
    <w:p>
      <w:pPr>
        <w:adjustRightInd w:val="0"/>
        <w:snapToGrid w:val="0"/>
        <w:spacing w:line="620" w:lineRule="exact"/>
        <w:rPr>
          <w:rStyle w:val="19"/>
          <w:rFonts w:cs="Times New Roman"/>
          <w:b w:val="0"/>
          <w:color w:val="auto"/>
          <w:kern w:val="0"/>
          <w:lang w:bidi="ar"/>
        </w:rPr>
      </w:pPr>
      <w:r>
        <w:rPr>
          <w:rFonts w:hint="eastAsia" w:cs="Times New Roman"/>
          <w:b/>
          <w:bCs w:val="0"/>
          <w:color w:val="auto"/>
          <w:kern w:val="0"/>
          <w:lang w:bidi="ar"/>
        </w:rPr>
        <w:t>——产业提质增效行动落地见效。</w:t>
      </w:r>
      <w:r>
        <w:rPr>
          <w:rFonts w:hint="eastAsia"/>
          <w:color w:val="auto"/>
        </w:rPr>
        <w:t>实施海洋牧场产效倍增行动，2030年全市海水养殖总产量突破50万吨，现代化海洋牧场全产业链总产值达150亿元；实施荔枝出口倍增计划，全市荔枝年均产量稳定</w:t>
      </w:r>
      <w:r>
        <w:rPr>
          <w:rFonts w:hint="eastAsia"/>
          <w:color w:val="auto"/>
          <w:lang w:eastAsia="zh-CN"/>
        </w:rPr>
        <w:t>在</w:t>
      </w:r>
      <w:r>
        <w:rPr>
          <w:rFonts w:hint="eastAsia"/>
          <w:color w:val="auto"/>
        </w:rPr>
        <w:t>15万吨，年出口量提升至2000吨；实施湾区畜牧业供应倍增计划，面向大湾区畜禽产品供给规模实现翻倍增长。</w:t>
      </w:r>
    </w:p>
    <w:p>
      <w:pPr>
        <w:pStyle w:val="4"/>
        <w:adjustRightInd w:val="0"/>
        <w:snapToGrid w:val="0"/>
        <w:spacing w:line="620" w:lineRule="exact"/>
        <w:ind w:firstLine="643" w:firstLineChars="200"/>
        <w:outlineLvl w:val="9"/>
        <w:rPr>
          <w:color w:val="auto"/>
        </w:rPr>
      </w:pPr>
      <w:r>
        <w:rPr>
          <w:rFonts w:hint="eastAsia"/>
          <w:b/>
          <w:bCs w:val="0"/>
          <w:color w:val="auto"/>
          <w:lang w:bidi="ar"/>
        </w:rPr>
        <w:t>——现代农业产业集群显著增强。</w:t>
      </w:r>
      <w:r>
        <w:rPr>
          <w:rFonts w:hint="eastAsia"/>
          <w:color w:val="auto"/>
        </w:rPr>
        <w:t>优化农业产业结构与区域布局，培育1个百亿级产业、3个五十亿级产业、5个十亿级产业，十大主导产业产值占农业总产值比重超70%。农产品加工业与农业总产值比值提升至</w:t>
      </w:r>
      <w:r>
        <w:rPr>
          <w:rFonts w:hint="eastAsia"/>
          <w:color w:val="auto"/>
          <w:lang w:val="en-US" w:eastAsia="zh-CN"/>
        </w:rPr>
        <w:t>2</w:t>
      </w:r>
      <w:r>
        <w:rPr>
          <w:rFonts w:hint="eastAsia"/>
          <w:color w:val="auto"/>
        </w:rPr>
        <w:t>:1，农业产业链供应链韧性全面增强，建成一批农业经济强县、产业特色镇。</w:t>
      </w:r>
    </w:p>
    <w:p>
      <w:pPr>
        <w:keepNext w:val="0"/>
        <w:keepLines w:val="0"/>
        <w:widowControl/>
        <w:suppressLineNumbers w:val="0"/>
        <w:jc w:val="left"/>
        <w:rPr>
          <w:color w:val="auto"/>
        </w:rPr>
      </w:pPr>
      <w:r>
        <w:rPr>
          <w:rFonts w:hint="eastAsia"/>
          <w:b/>
          <w:bCs w:val="0"/>
          <w:color w:val="auto"/>
          <w:lang w:bidi="ar"/>
        </w:rPr>
        <w:t>——宜居宜业和美乡村品质持续提升。</w:t>
      </w:r>
      <w:r>
        <w:rPr>
          <w:rFonts w:hint="eastAsia"/>
          <w:color w:val="auto"/>
        </w:rPr>
        <w:t>到2030年，打造</w:t>
      </w:r>
      <w:r>
        <w:rPr>
          <w:rFonts w:hint="eastAsia"/>
          <w:color w:val="auto"/>
          <w:lang w:val="en-US" w:eastAsia="zh-CN"/>
        </w:rPr>
        <w:t>350个以上省级典型村，持续推进全域典型村建设，</w:t>
      </w:r>
      <w:r>
        <w:rPr>
          <w:rFonts w:hint="eastAsia" w:ascii="仿宋_GB2312" w:hAnsi="宋体" w:eastAsia="仿宋_GB2312" w:cs="仿宋_GB2312"/>
          <w:bCs/>
          <w:color w:val="auto"/>
          <w:kern w:val="0"/>
          <w:sz w:val="31"/>
          <w:szCs w:val="31"/>
          <w:lang w:val="en-US" w:eastAsia="zh-CN" w:bidi="ar"/>
        </w:rPr>
        <w:t>逐步提高农村基础设施完备度、公共服务便利度、人居环境舒适度</w:t>
      </w:r>
      <w:r>
        <w:rPr>
          <w:rFonts w:hint="eastAsia"/>
          <w:color w:val="auto"/>
        </w:rPr>
        <w:t>，海陆丰红色文化、传统文化、侨乡文化、农耕文化得到有效保护与传承，农村社会和谐安定。</w:t>
      </w:r>
      <w:r>
        <w:rPr>
          <w:rFonts w:hint="eastAsia"/>
          <w:color w:val="auto"/>
          <w:lang w:val="en-US" w:eastAsia="zh-CN"/>
        </w:rPr>
        <w:t>培育建设</w:t>
      </w:r>
      <w:r>
        <w:rPr>
          <w:rFonts w:hint="eastAsia"/>
          <w:color w:val="auto"/>
        </w:rPr>
        <w:t>21个以上镇村片区化组团</w:t>
      </w:r>
      <w:r>
        <w:rPr>
          <w:rFonts w:hint="eastAsia"/>
          <w:color w:val="auto"/>
          <w:lang w:eastAsia="zh-CN"/>
        </w:rPr>
        <w:t>，</w:t>
      </w:r>
      <w:r>
        <w:rPr>
          <w:rFonts w:ascii="仿宋_GB2312" w:hAnsi="宋体" w:eastAsia="仿宋_GB2312" w:cs="仿宋_GB2312"/>
          <w:bCs/>
          <w:color w:val="auto"/>
          <w:kern w:val="0"/>
          <w:sz w:val="31"/>
          <w:szCs w:val="31"/>
          <w:lang w:val="en-US" w:eastAsia="zh-CN" w:bidi="ar"/>
        </w:rPr>
        <w:t>分类有序、</w:t>
      </w:r>
      <w:r>
        <w:rPr>
          <w:rFonts w:hint="eastAsia"/>
          <w:color w:val="auto"/>
          <w:lang w:val="en-US" w:eastAsia="zh-CN"/>
        </w:rPr>
        <w:t>连带成片</w:t>
      </w:r>
      <w:r>
        <w:rPr>
          <w:rFonts w:hint="eastAsia" w:ascii="仿宋_GB2312" w:hAnsi="宋体" w:cs="仿宋_GB2312"/>
          <w:bCs/>
          <w:color w:val="auto"/>
          <w:kern w:val="0"/>
          <w:sz w:val="31"/>
          <w:szCs w:val="31"/>
          <w:lang w:val="en-US" w:eastAsia="zh-CN" w:bidi="ar"/>
        </w:rPr>
        <w:t>建设宜居宜业和美新乡村</w:t>
      </w:r>
      <w:r>
        <w:rPr>
          <w:rFonts w:hint="eastAsia" w:ascii="仿宋_GB2312" w:hAnsi="宋体" w:eastAsia="仿宋_GB2312" w:cs="仿宋_GB2312"/>
          <w:bCs/>
          <w:color w:val="auto"/>
          <w:kern w:val="0"/>
          <w:sz w:val="31"/>
          <w:szCs w:val="31"/>
          <w:lang w:val="en-US" w:eastAsia="zh-CN" w:bidi="ar"/>
        </w:rPr>
        <w:t>。</w:t>
      </w:r>
    </w:p>
    <w:p>
      <w:pPr>
        <w:pStyle w:val="4"/>
        <w:adjustRightInd w:val="0"/>
        <w:snapToGrid w:val="0"/>
        <w:spacing w:line="620" w:lineRule="exact"/>
        <w:ind w:firstLine="643" w:firstLineChars="200"/>
        <w:outlineLvl w:val="9"/>
        <w:rPr>
          <w:rFonts w:ascii="仿宋_GB2312" w:hAnsi="仿宋_GB2312" w:cs="仿宋_GB2312"/>
          <w:b/>
          <w:color w:val="auto"/>
          <w:lang w:bidi="ar"/>
        </w:rPr>
      </w:pPr>
      <w:r>
        <w:rPr>
          <w:rFonts w:hint="eastAsia"/>
          <w:b/>
          <w:bCs w:val="0"/>
          <w:color w:val="auto"/>
          <w:lang w:bidi="ar"/>
        </w:rPr>
        <w:t>——城乡一体化融合发展格局基本形成。</w:t>
      </w:r>
      <w:r>
        <w:rPr>
          <w:rFonts w:hint="eastAsia"/>
          <w:color w:val="auto"/>
        </w:rPr>
        <w:t>城乡融合体制机制更加完善，城乡要素双向自由流动，基本公共服务均等化水平大幅提升；2030年城乡居民收入比缩小至1.4左右，城乡发展差距、居民生活水平差距持续收窄。</w:t>
      </w:r>
    </w:p>
    <w:tbl>
      <w:tblPr>
        <w:tblStyle w:val="16"/>
        <w:tblW w:w="8564" w:type="dxa"/>
        <w:tblInd w:w="-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2"/>
        <w:gridCol w:w="2748"/>
        <w:gridCol w:w="784"/>
        <w:gridCol w:w="1080"/>
        <w:gridCol w:w="966"/>
        <w:gridCol w:w="1090"/>
        <w:gridCol w:w="12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6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adjustRightInd w:val="0"/>
              <w:snapToGrid w:val="0"/>
              <w:spacing w:line="620" w:lineRule="exact"/>
              <w:ind w:firstLine="0" w:firstLineChars="0"/>
              <w:jc w:val="center"/>
              <w:rPr>
                <w:rFonts w:hint="eastAsia" w:ascii="黑体" w:hAnsi="黑体" w:eastAsia="黑体" w:cs="黑体"/>
                <w:b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color w:val="auto"/>
                <w:kern w:val="0"/>
                <w:sz w:val="28"/>
                <w:szCs w:val="28"/>
                <w:lang w:val="en-US" w:eastAsia="zh-CN" w:bidi="ar"/>
              </w:rPr>
              <w:t>专栏</w:t>
            </w:r>
            <w:r>
              <w:rPr>
                <w:rFonts w:hint="eastAsia" w:ascii="黑体" w:hAnsi="黑体" w:eastAsia="黑体" w:cs="黑体"/>
                <w:b/>
                <w:color w:val="auto"/>
                <w:kern w:val="0"/>
                <w:sz w:val="28"/>
                <w:szCs w:val="28"/>
                <w:lang w:bidi="ar"/>
              </w:rPr>
              <w:t>1</w:t>
            </w:r>
            <w:r>
              <w:rPr>
                <w:rFonts w:hint="eastAsia" w:ascii="黑体" w:hAnsi="黑体" w:eastAsia="黑体" w:cs="黑体"/>
                <w:b/>
                <w:color w:val="auto"/>
                <w:kern w:val="0"/>
                <w:sz w:val="28"/>
                <w:szCs w:val="28"/>
                <w:lang w:val="en-US" w:eastAsia="zh-CN" w:bidi="ar"/>
              </w:rPr>
              <w:t xml:space="preserve"> </w:t>
            </w:r>
            <w:r>
              <w:rPr>
                <w:rFonts w:hint="eastAsia" w:ascii="黑体" w:hAnsi="黑体" w:eastAsia="黑体" w:cs="黑体"/>
                <w:b/>
                <w:bCs/>
                <w:color w:val="auto"/>
                <w:spacing w:val="-6"/>
                <w:kern w:val="0"/>
                <w:sz w:val="28"/>
                <w:szCs w:val="28"/>
                <w:lang w:bidi="ar"/>
              </w:rPr>
              <w:t>汕尾市推进农业农村现代化“十五五”规划</w:t>
            </w:r>
            <w:r>
              <w:rPr>
                <w:rFonts w:hint="eastAsia" w:ascii="黑体" w:hAnsi="黑体" w:eastAsia="黑体" w:cs="黑体"/>
                <w:b/>
                <w:bCs/>
                <w:color w:val="auto"/>
                <w:spacing w:val="-6"/>
                <w:kern w:val="0"/>
                <w:sz w:val="28"/>
                <w:szCs w:val="28"/>
                <w:lang w:val="en-US" w:eastAsia="zh-CN" w:bidi="ar"/>
              </w:rPr>
              <w:t>主要指标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  <w:t>序号</w:t>
            </w:r>
          </w:p>
        </w:tc>
        <w:tc>
          <w:tcPr>
            <w:tcW w:w="2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  <w:t>指标</w:t>
            </w:r>
          </w:p>
        </w:tc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  <w:t>单位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  <w:t>2025年基期值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  <w:t>2027年目标值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  <w:t>2030年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  <w:t>目标值</w:t>
            </w: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  <w:t>指标属性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 w:val="0"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 w:val="0"/>
                <w:color w:val="auto"/>
                <w:sz w:val="21"/>
                <w:szCs w:val="21"/>
              </w:rPr>
              <w:t>粮食综合生产能力</w:t>
            </w:r>
          </w:p>
        </w:tc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 w:val="0"/>
                <w:color w:val="auto"/>
                <w:sz w:val="21"/>
                <w:szCs w:val="21"/>
              </w:rPr>
              <w:t>万吨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 w:val="0"/>
                <w:color w:val="auto"/>
                <w:sz w:val="21"/>
                <w:szCs w:val="21"/>
              </w:rPr>
              <w:t>46.25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 w:val="0"/>
                <w:color w:val="auto"/>
                <w:sz w:val="21"/>
                <w:szCs w:val="21"/>
              </w:rPr>
              <w:t>——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 w:val="0"/>
                <w:color w:val="auto"/>
                <w:sz w:val="21"/>
                <w:szCs w:val="21"/>
              </w:rPr>
              <w:t>4</w:t>
            </w:r>
            <w:r>
              <w:rPr>
                <w:rFonts w:hint="eastAsia" w:ascii="仿宋_GB2312" w:hAnsi="仿宋_GB2312" w:cs="仿宋_GB2312"/>
                <w:bCs w:val="0"/>
                <w:color w:val="auto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bCs w:val="0"/>
                <w:color w:val="auto"/>
                <w:sz w:val="21"/>
                <w:szCs w:val="21"/>
              </w:rPr>
              <w:t>.</w:t>
            </w:r>
            <w:r>
              <w:rPr>
                <w:rFonts w:hint="eastAsia" w:ascii="仿宋_GB2312" w:hAnsi="仿宋_GB2312" w:cs="仿宋_GB2312"/>
                <w:bCs w:val="0"/>
                <w:color w:val="auto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 w:val="0"/>
                <w:color w:val="auto"/>
                <w:sz w:val="21"/>
                <w:szCs w:val="21"/>
              </w:rPr>
              <w:t>约束性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 w:val="0"/>
                <w:color w:val="auto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2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 w:val="0"/>
                <w:color w:val="auto"/>
                <w:sz w:val="21"/>
                <w:szCs w:val="21"/>
                <w:lang w:val="en-US" w:eastAsia="zh-CN"/>
              </w:rPr>
              <w:t>肉类总</w:t>
            </w:r>
            <w:r>
              <w:rPr>
                <w:rFonts w:hint="eastAsia" w:ascii="仿宋_GB2312" w:hAnsi="仿宋_GB2312" w:eastAsia="仿宋_GB2312" w:cs="仿宋_GB2312"/>
                <w:bCs w:val="0"/>
                <w:color w:val="auto"/>
                <w:sz w:val="21"/>
                <w:szCs w:val="21"/>
              </w:rPr>
              <w:t>产量</w:t>
            </w:r>
          </w:p>
        </w:tc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 w:val="0"/>
                <w:color w:val="auto"/>
                <w:sz w:val="21"/>
                <w:szCs w:val="21"/>
              </w:rPr>
              <w:t>万吨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 w:val="0"/>
                <w:color w:val="auto"/>
                <w:sz w:val="21"/>
                <w:szCs w:val="21"/>
              </w:rPr>
              <w:t>10.84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Cs w:val="0"/>
                <w:color w:val="auto"/>
                <w:sz w:val="21"/>
                <w:szCs w:val="21"/>
                <w:lang w:val="en-US" w:eastAsia="zh-CN"/>
              </w:rPr>
              <w:t>11.05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Cs w:val="0"/>
                <w:color w:val="auto"/>
                <w:sz w:val="21"/>
                <w:szCs w:val="21"/>
                <w:lang w:val="en-US" w:eastAsia="zh-CN"/>
              </w:rPr>
              <w:t>11.39</w:t>
            </w: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Cs w:val="0"/>
                <w:color w:val="auto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Cs w:val="0"/>
                <w:color w:val="auto"/>
                <w:sz w:val="21"/>
                <w:szCs w:val="21"/>
              </w:rPr>
              <w:t>预期性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cs="仿宋_GB2312"/>
                <w:bCs w:val="0"/>
                <w:color w:val="auto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2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 w:val="0"/>
                <w:color w:val="auto"/>
                <w:sz w:val="21"/>
                <w:szCs w:val="21"/>
                <w:lang w:val="en-US" w:eastAsia="zh-CN"/>
              </w:rPr>
              <w:t>水产品总</w:t>
            </w:r>
            <w:r>
              <w:rPr>
                <w:rFonts w:hint="eastAsia" w:ascii="仿宋_GB2312" w:hAnsi="仿宋_GB2312" w:eastAsia="仿宋_GB2312" w:cs="仿宋_GB2312"/>
                <w:bCs w:val="0"/>
                <w:color w:val="auto"/>
                <w:sz w:val="21"/>
                <w:szCs w:val="21"/>
              </w:rPr>
              <w:t>产量</w:t>
            </w:r>
          </w:p>
        </w:tc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 w:val="0"/>
                <w:color w:val="auto"/>
                <w:sz w:val="21"/>
                <w:szCs w:val="21"/>
              </w:rPr>
              <w:t>万吨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 w:val="0"/>
                <w:color w:val="auto"/>
                <w:sz w:val="21"/>
                <w:szCs w:val="21"/>
              </w:rPr>
              <w:t>63.52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Cs w:val="0"/>
                <w:color w:val="auto"/>
                <w:sz w:val="21"/>
                <w:szCs w:val="21"/>
                <w:lang w:val="en-US" w:eastAsia="zh-CN"/>
              </w:rPr>
              <w:t>66.09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Cs w:val="0"/>
                <w:color w:val="auto"/>
                <w:sz w:val="21"/>
                <w:szCs w:val="21"/>
                <w:lang w:val="en-US" w:eastAsia="zh-CN"/>
              </w:rPr>
              <w:t>70.13</w:t>
            </w: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 w:val="0"/>
                <w:color w:val="auto"/>
                <w:sz w:val="21"/>
                <w:szCs w:val="21"/>
              </w:rPr>
              <w:t>预期性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cs="仿宋_GB2312"/>
                <w:bCs w:val="0"/>
                <w:color w:val="auto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2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bCs w:val="0"/>
                <w:color w:val="auto"/>
                <w:sz w:val="21"/>
                <w:szCs w:val="21"/>
                <w:lang w:val="en-US" w:eastAsia="zh-CN"/>
              </w:rPr>
              <w:t>装备型养殖水体</w:t>
            </w:r>
          </w:p>
        </w:tc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bCs w:val="0"/>
                <w:color w:val="auto"/>
                <w:sz w:val="21"/>
                <w:szCs w:val="21"/>
                <w:lang w:val="en-US" w:eastAsia="zh-CN"/>
              </w:rPr>
              <w:t>万立方米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/>
                <w:bCs w:val="0"/>
                <w:color w:val="auto"/>
                <w:sz w:val="21"/>
                <w:szCs w:val="21"/>
              </w:rPr>
              <w:t>68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/>
                <w:bCs w:val="0"/>
                <w:color w:val="auto"/>
                <w:sz w:val="21"/>
                <w:szCs w:val="21"/>
              </w:rPr>
              <w:t>180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/>
                <w:bCs w:val="0"/>
                <w:color w:val="auto"/>
                <w:sz w:val="21"/>
                <w:szCs w:val="21"/>
              </w:rPr>
              <w:t>250</w:t>
            </w: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Cs w:val="0"/>
                <w:color w:val="auto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Cs w:val="0"/>
                <w:color w:val="auto"/>
                <w:sz w:val="21"/>
                <w:szCs w:val="21"/>
              </w:rPr>
              <w:t>预期性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cs="仿宋_GB2312"/>
                <w:bCs w:val="0"/>
                <w:color w:val="auto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2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 w:val="0"/>
                <w:color w:val="auto"/>
                <w:sz w:val="21"/>
                <w:szCs w:val="21"/>
              </w:rPr>
              <w:t>农田灌溉水有效利用系数</w:t>
            </w:r>
          </w:p>
        </w:tc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 w:val="0"/>
                <w:color w:val="auto"/>
                <w:sz w:val="21"/>
                <w:szCs w:val="21"/>
              </w:rPr>
              <w:t>——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 w:val="0"/>
                <w:color w:val="auto"/>
                <w:sz w:val="21"/>
                <w:szCs w:val="21"/>
              </w:rPr>
              <w:t>0.56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 w:val="0"/>
                <w:color w:val="auto"/>
                <w:sz w:val="21"/>
                <w:szCs w:val="21"/>
              </w:rPr>
              <w:t>0.58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/>
                <w:bCs w:val="0"/>
                <w:color w:val="auto"/>
                <w:sz w:val="21"/>
                <w:szCs w:val="21"/>
              </w:rPr>
              <w:t>0.562</w:t>
            </w: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 w:val="0"/>
                <w:color w:val="auto"/>
                <w:sz w:val="21"/>
                <w:szCs w:val="21"/>
              </w:rPr>
              <w:t>预期性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Cs w:val="0"/>
                <w:color w:val="auto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2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 w:val="0"/>
                <w:color w:val="auto"/>
                <w:sz w:val="21"/>
                <w:szCs w:val="21"/>
              </w:rPr>
              <w:t>主要农作物耕种收综合机械化率</w:t>
            </w:r>
          </w:p>
        </w:tc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 w:val="0"/>
                <w:color w:val="auto"/>
                <w:sz w:val="21"/>
                <w:szCs w:val="21"/>
              </w:rPr>
              <w:t>%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Cs w:val="0"/>
                <w:color w:val="auto"/>
                <w:sz w:val="21"/>
                <w:szCs w:val="21"/>
                <w:lang w:val="en-US" w:eastAsia="zh-CN"/>
              </w:rPr>
              <w:t>80.15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cs="仿宋_GB2312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Cs w:val="0"/>
                <w:color w:val="auto"/>
                <w:sz w:val="21"/>
                <w:szCs w:val="21"/>
                <w:lang w:val="en-US" w:eastAsia="zh-CN"/>
              </w:rPr>
              <w:t>81.0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Cs w:val="0"/>
                <w:color w:val="auto"/>
                <w:sz w:val="21"/>
                <w:szCs w:val="21"/>
                <w:lang w:val="en-US" w:eastAsia="zh-CN"/>
              </w:rPr>
              <w:t>82.0</w:t>
            </w: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 w:val="0"/>
                <w:color w:val="auto"/>
                <w:sz w:val="21"/>
                <w:szCs w:val="21"/>
              </w:rPr>
              <w:t>预期性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Cs w:val="0"/>
                <w:color w:val="auto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2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/>
                <w:bCs w:val="0"/>
                <w:color w:val="auto"/>
                <w:sz w:val="21"/>
                <w:szCs w:val="21"/>
              </w:rPr>
              <w:t>农业科技进步贡献率</w:t>
            </w:r>
          </w:p>
        </w:tc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 w:val="0"/>
                <w:color w:val="auto"/>
                <w:sz w:val="21"/>
                <w:szCs w:val="21"/>
              </w:rPr>
              <w:t>——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68.5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69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70</w:t>
            </w: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Cs w:val="0"/>
                <w:color w:val="auto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Cs w:val="0"/>
                <w:color w:val="auto"/>
                <w:sz w:val="21"/>
                <w:szCs w:val="21"/>
              </w:rPr>
              <w:t>预期性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Cs w:val="0"/>
                <w:color w:val="auto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2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 w:val="0"/>
                <w:color w:val="auto"/>
                <w:sz w:val="21"/>
                <w:szCs w:val="21"/>
              </w:rPr>
              <w:t>农业劳动生产率</w:t>
            </w:r>
          </w:p>
        </w:tc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 w:val="0"/>
                <w:color w:val="auto"/>
                <w:sz w:val="21"/>
                <w:szCs w:val="21"/>
              </w:rPr>
              <w:t>万元/人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Cs w:val="0"/>
                <w:color w:val="auto"/>
                <w:sz w:val="21"/>
                <w:szCs w:val="21"/>
                <w:lang w:val="en-US" w:eastAsia="zh-CN"/>
              </w:rPr>
              <w:t>7.0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Cs w:val="0"/>
                <w:color w:val="auto"/>
                <w:sz w:val="21"/>
                <w:szCs w:val="21"/>
                <w:lang w:val="en-US" w:eastAsia="zh-CN"/>
              </w:rPr>
              <w:t>7.9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Cs w:val="0"/>
                <w:color w:val="auto"/>
                <w:sz w:val="21"/>
                <w:szCs w:val="21"/>
                <w:lang w:val="en-US" w:eastAsia="zh-CN"/>
              </w:rPr>
              <w:t>9.4</w:t>
            </w: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 w:val="0"/>
                <w:color w:val="auto"/>
                <w:sz w:val="21"/>
                <w:szCs w:val="21"/>
              </w:rPr>
              <w:t>预期性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Cs w:val="0"/>
                <w:color w:val="auto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2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 w:val="0"/>
                <w:color w:val="auto"/>
                <w:sz w:val="21"/>
                <w:szCs w:val="21"/>
              </w:rPr>
              <w:t>农村土地流转率</w:t>
            </w:r>
          </w:p>
        </w:tc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 w:val="0"/>
                <w:color w:val="auto"/>
                <w:sz w:val="21"/>
                <w:szCs w:val="21"/>
              </w:rPr>
              <w:t>%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 w:val="0"/>
                <w:color w:val="auto"/>
                <w:sz w:val="21"/>
                <w:szCs w:val="21"/>
              </w:rPr>
              <w:t>67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 w:val="0"/>
                <w:color w:val="auto"/>
                <w:sz w:val="21"/>
                <w:szCs w:val="21"/>
              </w:rPr>
              <w:t>68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 w:val="0"/>
                <w:color w:val="auto"/>
                <w:sz w:val="21"/>
                <w:szCs w:val="21"/>
              </w:rPr>
              <w:t>70</w:t>
            </w: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 w:val="0"/>
                <w:color w:val="auto"/>
                <w:sz w:val="21"/>
                <w:szCs w:val="21"/>
              </w:rPr>
              <w:t>预期性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Cs w:val="0"/>
                <w:color w:val="auto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2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 w:val="0"/>
                <w:color w:val="auto"/>
                <w:sz w:val="21"/>
                <w:szCs w:val="21"/>
              </w:rPr>
              <w:t>新型农业经营主体带动农户比例</w:t>
            </w:r>
          </w:p>
        </w:tc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 w:val="0"/>
                <w:color w:val="auto"/>
                <w:sz w:val="21"/>
                <w:szCs w:val="21"/>
              </w:rPr>
              <w:t>%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 w:val="0"/>
                <w:color w:val="auto"/>
                <w:sz w:val="21"/>
                <w:szCs w:val="21"/>
              </w:rPr>
              <w:t>62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 w:val="0"/>
                <w:color w:val="auto"/>
                <w:sz w:val="21"/>
                <w:szCs w:val="21"/>
              </w:rPr>
              <w:t>≥65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 w:val="0"/>
                <w:color w:val="auto"/>
                <w:sz w:val="21"/>
                <w:szCs w:val="21"/>
              </w:rPr>
              <w:t>≥68</w:t>
            </w: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 w:val="0"/>
                <w:color w:val="auto"/>
                <w:sz w:val="21"/>
                <w:szCs w:val="21"/>
              </w:rPr>
              <w:t>预期性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 w:val="0"/>
                <w:color w:val="auto"/>
                <w:sz w:val="21"/>
                <w:szCs w:val="21"/>
              </w:rPr>
              <w:t>1</w:t>
            </w:r>
            <w:r>
              <w:rPr>
                <w:rFonts w:hint="eastAsia" w:ascii="仿宋_GB2312" w:hAnsi="仿宋_GB2312" w:cs="仿宋_GB2312"/>
                <w:bCs w:val="0"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Cs w:val="0"/>
                <w:color w:val="auto"/>
                <w:sz w:val="21"/>
                <w:szCs w:val="21"/>
                <w:lang w:val="en-US" w:eastAsia="zh-CN"/>
              </w:rPr>
              <w:t>规模以上农产品加工企业数量</w:t>
            </w:r>
          </w:p>
        </w:tc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Cs w:val="0"/>
                <w:color w:val="auto"/>
                <w:sz w:val="21"/>
                <w:szCs w:val="21"/>
                <w:lang w:val="en-US" w:eastAsia="zh-CN"/>
              </w:rPr>
              <w:t>家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Cs w:val="0"/>
                <w:color w:val="auto"/>
                <w:sz w:val="21"/>
                <w:szCs w:val="21"/>
                <w:lang w:val="en-US" w:eastAsia="zh-CN"/>
              </w:rPr>
              <w:t>56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 w:val="0"/>
                <w:color w:val="auto"/>
                <w:sz w:val="21"/>
                <w:szCs w:val="21"/>
              </w:rPr>
              <w:t>≥</w:t>
            </w:r>
            <w:r>
              <w:rPr>
                <w:rFonts w:hint="eastAsia" w:ascii="仿宋_GB2312" w:hAnsi="仿宋_GB2312" w:cs="仿宋_GB2312"/>
                <w:bCs w:val="0"/>
                <w:color w:val="auto"/>
                <w:sz w:val="21"/>
                <w:szCs w:val="21"/>
                <w:lang w:val="en-US" w:eastAsia="zh-CN"/>
              </w:rPr>
              <w:t>70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 w:val="0"/>
                <w:color w:val="auto"/>
                <w:sz w:val="21"/>
                <w:szCs w:val="21"/>
              </w:rPr>
              <w:t>≥</w:t>
            </w:r>
            <w:r>
              <w:rPr>
                <w:rFonts w:hint="eastAsia" w:ascii="仿宋_GB2312" w:hAnsi="仿宋_GB2312" w:cs="仿宋_GB2312"/>
                <w:bCs w:val="0"/>
                <w:color w:val="auto"/>
                <w:sz w:val="21"/>
                <w:szCs w:val="21"/>
                <w:lang w:val="en-US" w:eastAsia="zh-CN"/>
              </w:rPr>
              <w:t>90</w:t>
            </w: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 w:val="0"/>
                <w:color w:val="auto"/>
                <w:sz w:val="21"/>
                <w:szCs w:val="21"/>
              </w:rPr>
              <w:t>预期性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 w:val="0"/>
                <w:color w:val="auto"/>
                <w:sz w:val="21"/>
                <w:szCs w:val="21"/>
              </w:rPr>
              <w:t>1</w:t>
            </w:r>
            <w:r>
              <w:rPr>
                <w:rFonts w:hint="eastAsia" w:ascii="仿宋_GB2312" w:hAnsi="仿宋_GB2312" w:cs="仿宋_GB2312"/>
                <w:bCs w:val="0"/>
                <w:color w:val="auto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2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 w:val="0"/>
                <w:color w:val="auto"/>
                <w:sz w:val="21"/>
                <w:szCs w:val="21"/>
              </w:rPr>
              <w:t>农</w:t>
            </w:r>
            <w:r>
              <w:rPr>
                <w:rFonts w:hint="eastAsia" w:ascii="仿宋_GB2312" w:hAnsi="仿宋_GB2312" w:eastAsia="仿宋_GB2312" w:cs="仿宋_GB2312"/>
                <w:bCs w:val="0"/>
                <w:color w:val="auto"/>
                <w:sz w:val="21"/>
                <w:szCs w:val="21"/>
                <w:lang w:val="en-US" w:eastAsia="zh-CN"/>
              </w:rPr>
              <w:t>林牧渔总产</w:t>
            </w:r>
            <w:r>
              <w:rPr>
                <w:rFonts w:hint="eastAsia" w:ascii="仿宋_GB2312" w:hAnsi="仿宋_GB2312" w:eastAsia="仿宋_GB2312" w:cs="仿宋_GB2312"/>
                <w:bCs w:val="0"/>
                <w:color w:val="auto"/>
                <w:sz w:val="21"/>
                <w:szCs w:val="21"/>
              </w:rPr>
              <w:t>值</w:t>
            </w:r>
          </w:p>
        </w:tc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 w:val="0"/>
                <w:color w:val="auto"/>
                <w:sz w:val="21"/>
                <w:szCs w:val="21"/>
                <w:lang w:val="en-US" w:eastAsia="zh-CN"/>
              </w:rPr>
              <w:t>亿元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 w:val="0"/>
                <w:color w:val="auto"/>
                <w:sz w:val="21"/>
                <w:szCs w:val="21"/>
              </w:rPr>
              <w:t>347.9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 w:val="0"/>
                <w:color w:val="auto"/>
                <w:sz w:val="21"/>
                <w:szCs w:val="21"/>
              </w:rPr>
              <w:t>400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 w:val="0"/>
                <w:color w:val="auto"/>
                <w:sz w:val="21"/>
                <w:szCs w:val="21"/>
              </w:rPr>
              <w:t>480</w:t>
            </w: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 w:val="0"/>
                <w:color w:val="auto"/>
                <w:sz w:val="21"/>
                <w:szCs w:val="21"/>
              </w:rPr>
              <w:t>预期性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 w:val="0"/>
                <w:color w:val="auto"/>
                <w:sz w:val="21"/>
                <w:szCs w:val="21"/>
              </w:rPr>
              <w:t>1</w:t>
            </w:r>
            <w:r>
              <w:rPr>
                <w:rFonts w:hint="eastAsia" w:ascii="仿宋_GB2312" w:hAnsi="仿宋_GB2312" w:cs="仿宋_GB2312"/>
                <w:bCs w:val="0"/>
                <w:color w:val="auto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2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农村卫生户厕普及率</w:t>
            </w:r>
          </w:p>
        </w:tc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 w:val="0"/>
                <w:color w:val="auto"/>
                <w:sz w:val="21"/>
                <w:szCs w:val="21"/>
              </w:rPr>
              <w:t>%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99.96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 w:val="0"/>
                <w:color w:val="auto"/>
                <w:sz w:val="21"/>
                <w:szCs w:val="21"/>
              </w:rPr>
              <w:t>≥</w:t>
            </w:r>
            <w:r>
              <w:rPr>
                <w:rFonts w:hint="eastAsia" w:ascii="仿宋_GB2312" w:hAnsi="仿宋_GB2312" w:cs="仿宋_GB2312"/>
                <w:bCs w:val="0"/>
                <w:color w:val="auto"/>
                <w:sz w:val="21"/>
                <w:szCs w:val="21"/>
                <w:lang w:val="en-US" w:eastAsia="zh-CN"/>
              </w:rPr>
              <w:t>99.96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 w:val="0"/>
                <w:color w:val="auto"/>
                <w:sz w:val="21"/>
                <w:szCs w:val="21"/>
              </w:rPr>
              <w:t>≥</w:t>
            </w:r>
            <w:r>
              <w:rPr>
                <w:rFonts w:hint="eastAsia" w:ascii="仿宋_GB2312" w:hAnsi="仿宋_GB2312" w:cs="仿宋_GB2312"/>
                <w:bCs w:val="0"/>
                <w:color w:val="auto"/>
                <w:sz w:val="21"/>
                <w:szCs w:val="21"/>
                <w:lang w:val="en-US" w:eastAsia="zh-CN"/>
              </w:rPr>
              <w:t>99.96</w:t>
            </w: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 w:val="0"/>
                <w:color w:val="auto"/>
                <w:sz w:val="21"/>
                <w:szCs w:val="21"/>
              </w:rPr>
              <w:t>预期性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Cs w:val="0"/>
                <w:color w:val="auto"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2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Cs w:val="0"/>
                <w:color w:val="auto"/>
                <w:sz w:val="21"/>
                <w:szCs w:val="21"/>
                <w:lang w:val="en-US" w:eastAsia="zh-CN"/>
              </w:rPr>
              <w:t>农村生活污水治理率</w:t>
            </w:r>
          </w:p>
        </w:tc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 w:val="0"/>
                <w:color w:val="auto"/>
                <w:sz w:val="21"/>
                <w:szCs w:val="21"/>
              </w:rPr>
              <w:t>%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94.7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96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98左右</w:t>
            </w: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Cs w:val="0"/>
                <w:color w:val="auto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Cs w:val="0"/>
                <w:color w:val="auto"/>
                <w:sz w:val="21"/>
                <w:szCs w:val="21"/>
              </w:rPr>
              <w:t>预期性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Cs w:val="0"/>
                <w:color w:val="auto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2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Cs w:val="0"/>
                <w:color w:val="auto"/>
                <w:sz w:val="21"/>
                <w:szCs w:val="21"/>
                <w:lang w:val="en-US" w:eastAsia="zh-CN"/>
              </w:rPr>
              <w:t>乡村医生中具备执业（助理）医师资格的人员比例</w:t>
            </w:r>
          </w:p>
        </w:tc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 w:val="0"/>
                <w:color w:val="auto"/>
                <w:sz w:val="21"/>
                <w:szCs w:val="21"/>
              </w:rPr>
              <w:t>%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45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48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53</w:t>
            </w: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 w:val="0"/>
                <w:color w:val="auto"/>
                <w:sz w:val="21"/>
                <w:szCs w:val="21"/>
              </w:rPr>
              <w:t>预期性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Cs w:val="0"/>
                <w:color w:val="auto"/>
                <w:sz w:val="21"/>
                <w:szCs w:val="21"/>
                <w:lang w:val="en-US" w:eastAsia="zh-CN"/>
              </w:rPr>
              <w:t>16</w:t>
            </w:r>
          </w:p>
        </w:tc>
        <w:tc>
          <w:tcPr>
            <w:tcW w:w="2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Cs w:val="0"/>
                <w:color w:val="auto"/>
                <w:sz w:val="21"/>
                <w:szCs w:val="21"/>
                <w:lang w:val="en-US" w:eastAsia="zh-CN"/>
              </w:rPr>
              <w:t>乡村（街道）区域养老服务中心覆盖率</w:t>
            </w:r>
          </w:p>
        </w:tc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 w:val="0"/>
                <w:color w:val="auto"/>
                <w:sz w:val="21"/>
                <w:szCs w:val="21"/>
              </w:rPr>
              <w:t>%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65.3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70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街道100%，乡镇≥80%</w:t>
            </w: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 w:val="0"/>
                <w:color w:val="auto"/>
                <w:sz w:val="21"/>
                <w:szCs w:val="21"/>
              </w:rPr>
              <w:t>预期性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 w:val="0"/>
                <w:color w:val="auto"/>
                <w:sz w:val="21"/>
                <w:szCs w:val="21"/>
              </w:rPr>
              <w:t>1</w:t>
            </w:r>
            <w:r>
              <w:rPr>
                <w:rFonts w:hint="eastAsia" w:ascii="仿宋_GB2312" w:hAnsi="仿宋_GB2312" w:cs="仿宋_GB2312"/>
                <w:bCs w:val="0"/>
                <w:color w:val="auto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2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 w:val="0"/>
                <w:color w:val="auto"/>
                <w:sz w:val="21"/>
                <w:szCs w:val="21"/>
              </w:rPr>
              <w:t>农村居民可支配收入</w:t>
            </w:r>
          </w:p>
        </w:tc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 w:val="0"/>
                <w:color w:val="auto"/>
                <w:sz w:val="21"/>
                <w:szCs w:val="21"/>
              </w:rPr>
              <w:t>万元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 w:val="0"/>
                <w:color w:val="auto"/>
                <w:sz w:val="21"/>
                <w:szCs w:val="21"/>
              </w:rPr>
              <w:t>25719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 w:val="0"/>
                <w:color w:val="auto"/>
                <w:sz w:val="21"/>
                <w:szCs w:val="21"/>
              </w:rPr>
              <w:t>30000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 w:val="0"/>
                <w:color w:val="auto"/>
                <w:sz w:val="21"/>
                <w:szCs w:val="21"/>
              </w:rPr>
              <w:t>35425</w:t>
            </w: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 w:val="0"/>
                <w:color w:val="auto"/>
                <w:sz w:val="21"/>
                <w:szCs w:val="21"/>
              </w:rPr>
              <w:t>预期性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 w:val="0"/>
                <w:color w:val="auto"/>
                <w:sz w:val="21"/>
                <w:szCs w:val="21"/>
              </w:rPr>
              <w:t>1</w:t>
            </w:r>
            <w:r>
              <w:rPr>
                <w:rFonts w:hint="eastAsia" w:ascii="仿宋_GB2312" w:hAnsi="仿宋_GB2312" w:cs="仿宋_GB2312"/>
                <w:bCs w:val="0"/>
                <w:color w:val="auto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2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 w:val="0"/>
                <w:color w:val="auto"/>
                <w:sz w:val="21"/>
                <w:szCs w:val="21"/>
              </w:rPr>
              <w:t>城乡居民人均可支配收入比值</w:t>
            </w:r>
          </w:p>
        </w:tc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 w:val="0"/>
                <w:color w:val="auto"/>
                <w:sz w:val="21"/>
                <w:szCs w:val="21"/>
              </w:rPr>
              <w:t>——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 w:val="0"/>
                <w:color w:val="auto"/>
                <w:sz w:val="21"/>
                <w:szCs w:val="21"/>
              </w:rPr>
              <w:t>1.56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 w:val="0"/>
                <w:color w:val="auto"/>
                <w:sz w:val="21"/>
                <w:szCs w:val="21"/>
              </w:rPr>
              <w:t>逐步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 w:val="0"/>
                <w:color w:val="auto"/>
                <w:sz w:val="21"/>
                <w:szCs w:val="21"/>
              </w:rPr>
              <w:t>缩小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 w:val="0"/>
                <w:color w:val="auto"/>
                <w:sz w:val="21"/>
                <w:szCs w:val="21"/>
              </w:rPr>
              <w:t>1.4</w:t>
            </w: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 w:val="0"/>
                <w:color w:val="auto"/>
                <w:sz w:val="21"/>
                <w:szCs w:val="21"/>
              </w:rPr>
              <w:t>预期性</w:t>
            </w:r>
          </w:p>
        </w:tc>
      </w:tr>
    </w:tbl>
    <w:p>
      <w:pPr>
        <w:pStyle w:val="2"/>
        <w:adjustRightInd w:val="0"/>
        <w:snapToGrid w:val="0"/>
        <w:spacing w:line="620" w:lineRule="exact"/>
        <w:jc w:val="both"/>
        <w:rPr>
          <w:rFonts w:hint="eastAsia" w:ascii="黑体" w:hAnsi="黑体" w:eastAsia="黑体" w:cs="黑体"/>
          <w:color w:val="auto"/>
        </w:rPr>
      </w:pPr>
      <w:bookmarkStart w:id="3" w:name="_Toc16361"/>
      <w:bookmarkStart w:id="4" w:name="_Toc29687"/>
      <w:bookmarkStart w:id="5" w:name="_Toc19377"/>
      <w:bookmarkStart w:id="6" w:name="_Toc27780"/>
      <w:r>
        <w:rPr>
          <w:rFonts w:hint="eastAsia" w:ascii="黑体" w:hAnsi="黑体" w:eastAsia="黑体" w:cs="黑体"/>
          <w:color w:val="auto"/>
          <w:lang w:val="en-US" w:eastAsia="zh-CN"/>
        </w:rPr>
        <w:t>二、</w:t>
      </w:r>
      <w:r>
        <w:rPr>
          <w:rFonts w:hint="eastAsia" w:ascii="黑体" w:hAnsi="黑体" w:eastAsia="黑体" w:cs="黑体"/>
          <w:color w:val="auto"/>
        </w:rPr>
        <w:t>全方位夯实汕尾市稳产保供根基</w:t>
      </w:r>
      <w:bookmarkEnd w:id="3"/>
      <w:bookmarkEnd w:id="4"/>
      <w:bookmarkEnd w:id="5"/>
      <w:bookmarkEnd w:id="6"/>
    </w:p>
    <w:p>
      <w:pPr>
        <w:pStyle w:val="3"/>
        <w:adjustRightInd w:val="0"/>
        <w:snapToGrid w:val="0"/>
        <w:spacing w:line="620" w:lineRule="exact"/>
        <w:ind w:firstLine="643" w:firstLineChars="200"/>
        <w:outlineLvl w:val="1"/>
        <w:rPr>
          <w:rStyle w:val="26"/>
          <w:rFonts w:hint="eastAsia" w:ascii="仿宋_GB2312" w:hAnsi="仿宋_GB2312" w:eastAsia="仿宋_GB2312" w:cs="仿宋_GB2312"/>
          <w:color w:val="auto"/>
          <w:lang w:val="en-US" w:eastAsia="zh-CN"/>
        </w:rPr>
      </w:pPr>
      <w:bookmarkStart w:id="7" w:name="_Toc2023"/>
      <w:bookmarkStart w:id="8" w:name="_Toc21479"/>
      <w:bookmarkStart w:id="9" w:name="_Toc12504"/>
      <w:bookmarkStart w:id="10" w:name="_Toc26224"/>
      <w:bookmarkStart w:id="11" w:name="_Toc22558"/>
      <w:bookmarkStart w:id="12" w:name="_Toc23294"/>
      <w:r>
        <w:rPr>
          <w:rFonts w:hint="eastAsia" w:ascii="仿宋_GB2312" w:hAnsi="仿宋_GB2312" w:eastAsia="仿宋_GB2312" w:cs="仿宋_GB2312"/>
          <w:b/>
          <w:bCs w:val="0"/>
          <w:color w:val="auto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 w:val="0"/>
          <w:color w:val="auto"/>
        </w:rPr>
        <w:t>一</w:t>
      </w:r>
      <w:r>
        <w:rPr>
          <w:rFonts w:hint="eastAsia" w:ascii="仿宋_GB2312" w:hAnsi="仿宋_GB2312" w:eastAsia="仿宋_GB2312" w:cs="仿宋_GB2312"/>
          <w:b/>
          <w:bCs w:val="0"/>
          <w:color w:val="auto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bCs w:val="0"/>
          <w:color w:val="auto"/>
        </w:rPr>
        <w:t>筑牢耕地基础</w:t>
      </w:r>
      <w:bookmarkEnd w:id="7"/>
      <w:r>
        <w:rPr>
          <w:rFonts w:hint="eastAsia" w:ascii="仿宋_GB2312" w:hAnsi="仿宋_GB2312" w:eastAsia="仿宋_GB2312" w:cs="仿宋_GB2312"/>
          <w:b/>
          <w:bCs w:val="0"/>
          <w:color w:val="auto"/>
          <w:lang w:eastAsia="zh-CN"/>
        </w:rPr>
        <w:t>。</w:t>
      </w:r>
      <w:r>
        <w:rPr>
          <w:rStyle w:val="26"/>
          <w:rFonts w:hint="eastAsia" w:ascii="仿宋_GB2312" w:hAnsi="仿宋_GB2312" w:eastAsia="仿宋_GB2312" w:cs="仿宋_GB2312"/>
          <w:color w:val="auto"/>
          <w:lang w:val="en-US" w:eastAsia="zh-CN"/>
        </w:rPr>
        <w:t>落实耕地数量、质量、生态三位一体保护要求，深入实施良田工程。严守107.95万亩耕地、100.48万亩永久基本农田保护红线，持续推进高标准农田建设，2030年全市累计新建高标准农田不低于3.5万亩，力争全市半数具备条件的永久基本农田建成高标准农田。常态化开展撂荒耕地复耕复种，防止耕地“非粮化”。严格落实耕地占补平衡、耕地利用优先序制度，搭建耕地种植用途动态监测体系。实施耕地质量提升行动，推广绿肥种植、有机肥替代、深耕改土、淤泥还田等技术，综合治理酸化、污染耕地，建立耕地质量长效管护机制。</w:t>
      </w:r>
      <w:bookmarkEnd w:id="8"/>
      <w:bookmarkEnd w:id="9"/>
      <w:bookmarkEnd w:id="10"/>
      <w:bookmarkEnd w:id="11"/>
    </w:p>
    <w:p>
      <w:pPr>
        <w:pStyle w:val="3"/>
        <w:adjustRightInd w:val="0"/>
        <w:snapToGrid w:val="0"/>
        <w:spacing w:line="620" w:lineRule="exact"/>
        <w:ind w:firstLine="643" w:firstLineChars="200"/>
        <w:jc w:val="both"/>
        <w:outlineLvl w:val="1"/>
        <w:rPr>
          <w:rStyle w:val="26"/>
          <w:rFonts w:hint="eastAsia" w:ascii="仿宋_GB2312" w:hAnsi="仿宋_GB2312" w:eastAsia="仿宋_GB2312" w:cs="仿宋_GB2312"/>
          <w:color w:val="auto"/>
          <w:lang w:val="en-US" w:eastAsia="zh-CN"/>
        </w:rPr>
      </w:pPr>
      <w:bookmarkStart w:id="13" w:name="_Toc24485"/>
      <w:bookmarkStart w:id="14" w:name="_Toc23393"/>
      <w:bookmarkStart w:id="15" w:name="_Toc11302"/>
      <w:r>
        <w:rPr>
          <w:rFonts w:hint="eastAsia" w:ascii="仿宋_GB2312" w:hAnsi="仿宋_GB2312" w:eastAsia="仿宋_GB2312" w:cs="仿宋_GB2312"/>
          <w:b/>
          <w:bCs w:val="0"/>
          <w:color w:val="auto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 w:val="0"/>
          <w:color w:val="auto"/>
        </w:rPr>
        <w:t>二</w:t>
      </w:r>
      <w:r>
        <w:rPr>
          <w:rFonts w:hint="eastAsia" w:ascii="仿宋_GB2312" w:hAnsi="仿宋_GB2312" w:eastAsia="仿宋_GB2312" w:cs="仿宋_GB2312"/>
          <w:b/>
          <w:bCs w:val="0"/>
          <w:color w:val="auto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bCs w:val="0"/>
          <w:color w:val="auto"/>
        </w:rPr>
        <w:t>巩固粮食和重要农产品生产能力</w:t>
      </w:r>
      <w:bookmarkEnd w:id="13"/>
      <w:r>
        <w:rPr>
          <w:rFonts w:hint="eastAsia" w:ascii="仿宋_GB2312" w:hAnsi="仿宋_GB2312" w:eastAsia="仿宋_GB2312" w:cs="仿宋_GB2312"/>
          <w:b/>
          <w:bCs w:val="0"/>
          <w:color w:val="auto"/>
          <w:lang w:eastAsia="zh-CN"/>
        </w:rPr>
        <w:t>。</w:t>
      </w:r>
      <w:r>
        <w:rPr>
          <w:rStyle w:val="26"/>
          <w:rFonts w:hint="eastAsia" w:ascii="仿宋_GB2312" w:hAnsi="仿宋_GB2312" w:eastAsia="仿宋_GB2312" w:cs="仿宋_GB2312"/>
          <w:color w:val="auto"/>
          <w:lang w:val="en-US" w:eastAsia="zh-CN"/>
        </w:rPr>
        <w:t>深入实施“藏粮于地、藏粮于技”战略，推动粮油作物单产稳步提升。聚焦水稻、甘薯两大主粮，集成推广良种、良机、良法，稳定双季稻种植，普及“稻稻+”轮作模式。实施甘薯产能提升行动，推动产业向陆丰市优势产区集聚。在海丰、陆丰打造万亩粮食绿色高质高效示范片，带动全市粮食单产提升，到2030年，粮食作物总产量保持在47万吨。优化畜禽产业布局，到2030年，生猪年出栏量稳定在90万头以上，自给率维持在80%以上；推广牛羊适度规模养殖模式，促进肉牛肉羊生产增量提质。稳步提高禽肉、禽蛋产品自给比重。家禽年出栏量突破2200万羽。做强水产养殖产业，大力发展深远海网箱、稻渔综合种养，扩大对虾、晨洲蚝等特色品种养殖规模，到2030年，水产养殖总产量突破70万吨。</w:t>
      </w:r>
      <w:bookmarkEnd w:id="14"/>
      <w:bookmarkEnd w:id="15"/>
    </w:p>
    <w:p>
      <w:pPr>
        <w:pStyle w:val="3"/>
        <w:adjustRightInd w:val="0"/>
        <w:snapToGrid w:val="0"/>
        <w:spacing w:line="620" w:lineRule="exact"/>
        <w:ind w:firstLine="643" w:firstLineChars="200"/>
        <w:outlineLvl w:val="1"/>
        <w:rPr>
          <w:rStyle w:val="26"/>
          <w:rFonts w:hint="eastAsia" w:ascii="仿宋_GB2312" w:hAnsi="仿宋_GB2312" w:eastAsia="仿宋_GB2312" w:cs="仿宋_GB2312"/>
          <w:color w:val="auto"/>
          <w:lang w:val="en-US" w:eastAsia="zh-CN"/>
        </w:rPr>
      </w:pPr>
      <w:bookmarkStart w:id="16" w:name="_Toc14459"/>
      <w:bookmarkStart w:id="17" w:name="_Toc21196"/>
      <w:bookmarkStart w:id="18" w:name="_Toc19317"/>
      <w:r>
        <w:rPr>
          <w:rFonts w:hint="eastAsia" w:ascii="仿宋_GB2312" w:hAnsi="仿宋_GB2312" w:eastAsia="仿宋_GB2312" w:cs="仿宋_GB2312"/>
          <w:b/>
          <w:bCs w:val="0"/>
          <w:color w:val="auto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 w:val="0"/>
          <w:color w:val="auto"/>
        </w:rPr>
        <w:t>三</w:t>
      </w:r>
      <w:r>
        <w:rPr>
          <w:rFonts w:hint="eastAsia" w:ascii="仿宋_GB2312" w:hAnsi="仿宋_GB2312" w:eastAsia="仿宋_GB2312" w:cs="仿宋_GB2312"/>
          <w:b/>
          <w:bCs w:val="0"/>
          <w:color w:val="auto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bCs w:val="0"/>
          <w:color w:val="auto"/>
        </w:rPr>
        <w:t>构建多元化食物供给体系</w:t>
      </w:r>
      <w:bookmarkEnd w:id="16"/>
      <w:r>
        <w:rPr>
          <w:rFonts w:hint="eastAsia" w:ascii="仿宋_GB2312" w:hAnsi="仿宋_GB2312" w:eastAsia="仿宋_GB2312" w:cs="仿宋_GB2312"/>
          <w:b/>
          <w:bCs w:val="0"/>
          <w:color w:val="auto"/>
          <w:lang w:eastAsia="zh-CN"/>
        </w:rPr>
        <w:t>。</w:t>
      </w:r>
      <w:r>
        <w:rPr>
          <w:rStyle w:val="26"/>
          <w:rFonts w:hint="eastAsia" w:ascii="仿宋_GB2312" w:hAnsi="仿宋_GB2312" w:eastAsia="仿宋_GB2312" w:cs="仿宋_GB2312"/>
          <w:color w:val="auto"/>
          <w:lang w:val="en-US" w:eastAsia="zh-CN"/>
        </w:rPr>
        <w:t>践行大食物观，做强莲花山茶、虎噉金针菜、陆河青梅、汕尾荔枝等特色种养产业。改造老旧茶园，建设标准化生态茶园，到2030年，莲花山茶种植面积突破6万亩、年产量达5500吨；虎噉金针菜种植面积稳定在1.2万亩，年产值超1.6亿元；陆河青梅种植面积保持10万亩以上，深加工率提升至25%。加快优良品种引进、驯化与推广，全市特色农产品优良品种覆盖率达98%以上。因地制宜发展多元农业，山区布局油茶、中药材种植，沿海推广耐盐碱作物，城郊发展设施蔬菜、精品水果。稳定园林水果种植规模，到2030年，全市园林水果种植面积稳定在22万亩，年产量突破36万吨。大力发展林下经济，推广林粮、林药、林茶、林畜等复合经营模式，丰富食物供给品类。</w:t>
      </w:r>
      <w:bookmarkEnd w:id="17"/>
      <w:bookmarkEnd w:id="18"/>
    </w:p>
    <w:p>
      <w:pPr>
        <w:pStyle w:val="3"/>
        <w:adjustRightInd w:val="0"/>
        <w:snapToGrid w:val="0"/>
        <w:spacing w:line="620" w:lineRule="exact"/>
        <w:ind w:firstLine="643" w:firstLineChars="200"/>
        <w:outlineLvl w:val="1"/>
        <w:rPr>
          <w:rStyle w:val="26"/>
          <w:rFonts w:hint="eastAsia" w:ascii="仿宋_GB2312" w:hAnsi="仿宋_GB2312" w:eastAsia="仿宋_GB2312" w:cs="仿宋_GB2312"/>
          <w:color w:val="auto"/>
          <w:lang w:val="en-US" w:eastAsia="zh-CN"/>
        </w:rPr>
      </w:pPr>
      <w:bookmarkStart w:id="19" w:name="_Toc15927"/>
      <w:bookmarkStart w:id="20" w:name="_Toc13602"/>
      <w:bookmarkStart w:id="21" w:name="_Toc18959"/>
      <w:r>
        <w:rPr>
          <w:rFonts w:hint="eastAsia" w:ascii="仿宋_GB2312" w:hAnsi="仿宋_GB2312" w:eastAsia="仿宋_GB2312" w:cs="仿宋_GB2312"/>
          <w:b/>
          <w:bCs w:val="0"/>
          <w:color w:val="auto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 w:val="0"/>
          <w:color w:val="auto"/>
        </w:rPr>
        <w:t>四</w:t>
      </w:r>
      <w:r>
        <w:rPr>
          <w:rFonts w:hint="eastAsia" w:ascii="仿宋_GB2312" w:hAnsi="仿宋_GB2312" w:eastAsia="仿宋_GB2312" w:cs="仿宋_GB2312"/>
          <w:b/>
          <w:bCs w:val="0"/>
          <w:color w:val="auto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bCs w:val="0"/>
          <w:color w:val="auto"/>
        </w:rPr>
        <w:t>提升农业防灾减灾救灾能力</w:t>
      </w:r>
      <w:bookmarkEnd w:id="19"/>
      <w:r>
        <w:rPr>
          <w:rFonts w:hint="eastAsia" w:ascii="仿宋_GB2312" w:hAnsi="仿宋_GB2312" w:eastAsia="仿宋_GB2312" w:cs="仿宋_GB2312"/>
          <w:b/>
          <w:bCs w:val="0"/>
          <w:color w:val="auto"/>
          <w:lang w:eastAsia="zh-CN"/>
        </w:rPr>
        <w:t>。</w:t>
      </w:r>
      <w:r>
        <w:rPr>
          <w:rStyle w:val="26"/>
          <w:rFonts w:hint="eastAsia" w:ascii="仿宋_GB2312" w:hAnsi="仿宋_GB2312" w:eastAsia="仿宋_GB2312" w:cs="仿宋_GB2312"/>
          <w:color w:val="auto"/>
          <w:lang w:val="en-US" w:eastAsia="zh-CN"/>
        </w:rPr>
        <w:t>完善农业防灾减灾基础设施与应急指挥体系，提升灾害响应处置能力。推广抗风大棚、防虫网、支撑桩等设施，增强果蔬产业抗灾能力；织密台风、暴雨、干旱、病虫害监测预警网络，建立灾害信息快速发布渠道。补强渔港、渔排、沿海防护林等渔业与农田防灾设施，降低台风、风暴潮影响。不断优化基础保险服务，持续推进水稻、生猪等主粮和重要畜禽保险“应保尽保”，进一步加大产品创新力度，聚焦我市特色产业，鼓励开办地方优势产业种植、养殖类农业保险险种；持续推进农业保险“扩面、增品、提标”，提升助农惠农质效。支持保险机构针对对虾、生蚝、海胆、海鲡鱼和荔枝等汕尾特色农产品险种，并落实广东省现代海洋牧场设施设备险，探索开展完全成本保险、保产量、保收入、保海洋牧场海波浪、赤潮和气象指数保险等创新产品试点。鼓励保险机构研发满足新型农业经营主体需求的涉农财产险、种业保险等险种。到2027年底，力争农业保险保费收入比上年增加1000万元；到2030年，争取保费收入达到2.5亿元。</w:t>
      </w:r>
      <w:bookmarkEnd w:id="20"/>
      <w:bookmarkEnd w:id="21"/>
      <w:bookmarkStart w:id="22" w:name="_Toc11006"/>
    </w:p>
    <w:tbl>
      <w:tblPr>
        <w:tblStyle w:val="16"/>
        <w:tblW w:w="0" w:type="auto"/>
        <w:jc w:val="center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60"/>
      </w:tblGrid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  <w:jc w:val="center"/>
        </w:trPr>
        <w:tc>
          <w:tcPr>
            <w:tcW w:w="80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adjustRightInd w:val="0"/>
              <w:snapToGrid w:val="0"/>
              <w:spacing w:line="440" w:lineRule="exact"/>
              <w:ind w:firstLine="0" w:firstLineChars="0"/>
              <w:contextualSpacing/>
              <w:jc w:val="center"/>
              <w:rPr>
                <w:rFonts w:cs="Times New Roman"/>
                <w:snapToGrid w:val="0"/>
                <w:color w:val="auto"/>
                <w:sz w:val="24"/>
                <w:szCs w:val="40"/>
              </w:rPr>
            </w:pPr>
            <w:r>
              <w:rPr>
                <w:rFonts w:hint="eastAsia" w:ascii="黑体" w:hAnsi="黑体" w:eastAsia="黑体" w:cs="黑体"/>
                <w:snapToGrid w:val="0"/>
                <w:color w:val="auto"/>
                <w:spacing w:val="8"/>
                <w:kern w:val="0"/>
                <w:sz w:val="28"/>
                <w:szCs w:val="28"/>
              </w:rPr>
              <w:t>专栏</w:t>
            </w:r>
            <w:r>
              <w:rPr>
                <w:rFonts w:hint="eastAsia" w:ascii="黑体" w:hAnsi="黑体" w:eastAsia="黑体" w:cs="黑体"/>
                <w:snapToGrid w:val="0"/>
                <w:color w:val="auto"/>
                <w:spacing w:val="8"/>
                <w:kern w:val="0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黑体" w:hAnsi="黑体" w:eastAsia="黑体" w:cs="黑体"/>
                <w:snapToGrid w:val="0"/>
                <w:color w:val="auto"/>
                <w:spacing w:val="8"/>
                <w:kern w:val="0"/>
                <w:sz w:val="28"/>
                <w:szCs w:val="28"/>
              </w:rPr>
              <w:t xml:space="preserve">  稳产保供工程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  <w:jc w:val="center"/>
        </w:trPr>
        <w:tc>
          <w:tcPr>
            <w:tcW w:w="806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</w:tcPr>
          <w:p>
            <w:pPr>
              <w:adjustRightInd w:val="0"/>
              <w:snapToGrid w:val="0"/>
              <w:spacing w:line="440" w:lineRule="exact"/>
              <w:ind w:firstLine="482"/>
              <w:rPr>
                <w:rFonts w:ascii="仿宋_GB2312" w:hAnsi="仿宋_GB2312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/>
                <w:b/>
                <w:bCs w:val="0"/>
                <w:color w:val="auto"/>
                <w:sz w:val="24"/>
                <w:szCs w:val="24"/>
              </w:rPr>
              <w:t>1.农田水利提改项目</w:t>
            </w:r>
            <w:r>
              <w:rPr>
                <w:rFonts w:hint="eastAsia" w:ascii="仿宋_GB2312" w:hAnsi="仿宋_GB2312"/>
                <w:bCs w:val="0"/>
                <w:color w:val="auto"/>
                <w:sz w:val="24"/>
              </w:rPr>
              <w:t>。</w:t>
            </w:r>
            <w:r>
              <w:rPr>
                <w:rFonts w:hint="eastAsia" w:ascii="仿宋_GB2312" w:hAnsi="仿宋_GB2312"/>
                <w:color w:val="auto"/>
                <w:sz w:val="24"/>
                <w:szCs w:val="24"/>
              </w:rPr>
              <w:t>实施7项新建和改造提升农田水利</w:t>
            </w:r>
            <w:r>
              <w:rPr>
                <w:rFonts w:hint="eastAsia" w:ascii="仿宋_GB2312" w:hAnsi="仿宋_GB2312"/>
                <w:color w:val="auto"/>
                <w:sz w:val="24"/>
                <w:szCs w:val="24"/>
                <w:lang w:eastAsia="zh-CN"/>
              </w:rPr>
              <w:t>基础设施</w:t>
            </w:r>
            <w:r>
              <w:rPr>
                <w:rFonts w:hint="eastAsia" w:ascii="仿宋_GB2312" w:hAnsi="仿宋_GB2312"/>
                <w:color w:val="auto"/>
                <w:sz w:val="24"/>
                <w:szCs w:val="24"/>
              </w:rPr>
              <w:t>项目，实现高标准农田升级改造。推进汕尾市城区、陆丰市上英镇、甲东镇、大安镇等灌区现代化改造，对范围内排灌干支道、田间排灌渠道、配套建筑物进行升级改造或拆除重建；对坡耕地、农田排灌沟、排洪沟进行治理改造；对水库、山塘进行除险加固，增强山塘水库、溢洪道、输水涵管等设施排灌功能；实施节水灌溉工程</w:t>
            </w:r>
            <w:r>
              <w:rPr>
                <w:rFonts w:hint="eastAsia" w:ascii="仿宋_GB2312" w:hAnsi="仿宋_GB2312"/>
                <w:bCs w:val="0"/>
                <w:color w:val="auto"/>
                <w:sz w:val="24"/>
                <w:szCs w:val="24"/>
              </w:rPr>
              <w:t>。</w:t>
            </w:r>
          </w:p>
          <w:p>
            <w:pPr>
              <w:adjustRightInd w:val="0"/>
              <w:snapToGrid w:val="0"/>
              <w:spacing w:line="440" w:lineRule="exact"/>
              <w:ind w:firstLine="482"/>
              <w:rPr>
                <w:rFonts w:ascii="仿宋_GB2312" w:hAnsi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/>
                <w:b/>
                <w:bCs w:val="0"/>
                <w:color w:val="auto"/>
                <w:sz w:val="24"/>
                <w:szCs w:val="24"/>
              </w:rPr>
              <w:t>2.水稻合理密植提单产项目。</w:t>
            </w:r>
            <w:r>
              <w:rPr>
                <w:rFonts w:hint="eastAsia" w:ascii="仿宋_GB2312" w:hAnsi="仿宋_GB2312"/>
                <w:color w:val="auto"/>
                <w:sz w:val="24"/>
                <w:szCs w:val="24"/>
              </w:rPr>
              <w:t>深入推动粮油等主要作物大面积单产提升行动，在稳定面积的基础上，通过大面积推广水稻合理密植，增加亩穗数，提高单产水平。推广水稻合理密植面积25万亩次以上。</w:t>
            </w:r>
          </w:p>
          <w:p>
            <w:pPr>
              <w:adjustRightInd w:val="0"/>
              <w:snapToGrid w:val="0"/>
              <w:spacing w:line="440" w:lineRule="exact"/>
              <w:ind w:firstLine="482"/>
              <w:rPr>
                <w:rFonts w:ascii="仿宋_GB2312" w:hAnsi="仿宋_GB2312"/>
                <w:color w:val="auto"/>
                <w:sz w:val="24"/>
              </w:rPr>
            </w:pPr>
            <w:r>
              <w:rPr>
                <w:rFonts w:hint="eastAsia" w:ascii="仿宋_GB2312" w:hAnsi="仿宋_GB2312"/>
                <w:b/>
                <w:bCs w:val="0"/>
                <w:color w:val="auto"/>
                <w:sz w:val="24"/>
                <w:szCs w:val="24"/>
              </w:rPr>
              <w:t>3.土地全域整治补短板项目。</w:t>
            </w:r>
            <w:r>
              <w:rPr>
                <w:rFonts w:hint="eastAsia" w:ascii="仿宋_GB2312" w:hAnsi="仿宋_GB2312"/>
                <w:color w:val="auto"/>
                <w:sz w:val="24"/>
              </w:rPr>
              <w:t>陆河县全域土地综合整治项目(一期)创建产地冷链物流中心、</w:t>
            </w:r>
            <w:r>
              <w:rPr>
                <w:rFonts w:hint="eastAsia" w:ascii="仿宋_GB2312" w:hAnsi="仿宋_GB2312"/>
                <w:color w:val="auto"/>
                <w:sz w:val="24"/>
                <w:lang w:eastAsia="zh-CN"/>
              </w:rPr>
              <w:t>建设仓储保鲜设施</w:t>
            </w:r>
            <w:r>
              <w:rPr>
                <w:rFonts w:hint="eastAsia" w:ascii="仿宋_GB2312" w:hAnsi="仿宋_GB2312"/>
                <w:color w:val="auto"/>
                <w:sz w:val="24"/>
              </w:rPr>
              <w:t>，整县推进引领。建设内容还包含土地平整、客土回填、土壤改良、新修引水工程、灌排沟渠、新修田间道路、农田防护与</w:t>
            </w:r>
            <w:r>
              <w:rPr>
                <w:rFonts w:hint="eastAsia" w:ascii="仿宋_GB2312" w:hAnsi="仿宋_GB2312"/>
                <w:color w:val="auto"/>
                <w:sz w:val="24"/>
                <w:lang w:eastAsia="zh-CN"/>
              </w:rPr>
              <w:t>生态环境保护</w:t>
            </w:r>
            <w:r>
              <w:rPr>
                <w:rFonts w:hint="eastAsia" w:ascii="仿宋_GB2312" w:hAnsi="仿宋_GB2312"/>
                <w:color w:val="auto"/>
                <w:sz w:val="24"/>
              </w:rPr>
              <w:t>工程和其他工程。</w:t>
            </w:r>
          </w:p>
          <w:p>
            <w:pPr>
              <w:adjustRightInd w:val="0"/>
              <w:snapToGrid w:val="0"/>
              <w:spacing w:line="440" w:lineRule="exact"/>
              <w:ind w:firstLine="482"/>
              <w:rPr>
                <w:rFonts w:ascii="仿宋_GB2312" w:hAnsi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/>
                <w:b/>
                <w:bCs w:val="0"/>
                <w:color w:val="auto"/>
                <w:sz w:val="24"/>
                <w:szCs w:val="24"/>
              </w:rPr>
              <w:t>4.农业应急保障能力提升项目。</w:t>
            </w:r>
            <w:r>
              <w:rPr>
                <w:rFonts w:hint="eastAsia" w:ascii="仿宋_GB2312" w:hAnsi="仿宋_GB2312"/>
                <w:color w:val="auto"/>
                <w:sz w:val="24"/>
                <w:szCs w:val="24"/>
              </w:rPr>
              <w:t>聚焦台风、洪涝、病虫害等高发灾害，构建“市</w:t>
            </w:r>
            <w:r>
              <w:rPr>
                <w:rFonts w:hint="eastAsia" w:ascii="仿宋_GB2312" w:hAnsi="仿宋_GB2312"/>
                <w:color w:val="auto"/>
                <w:sz w:val="24"/>
                <w:szCs w:val="24"/>
                <w:lang w:eastAsia="zh-CN"/>
              </w:rPr>
              <w:t>－</w:t>
            </w:r>
            <w:r>
              <w:rPr>
                <w:rFonts w:hint="eastAsia" w:ascii="仿宋_GB2312" w:hAnsi="仿宋_GB2312"/>
                <w:color w:val="auto"/>
                <w:sz w:val="24"/>
                <w:szCs w:val="24"/>
              </w:rPr>
              <w:t>县</w:t>
            </w:r>
            <w:r>
              <w:rPr>
                <w:rFonts w:hint="eastAsia" w:ascii="仿宋_GB2312" w:hAnsi="仿宋_GB2312"/>
                <w:color w:val="auto"/>
                <w:sz w:val="24"/>
                <w:szCs w:val="24"/>
                <w:lang w:eastAsia="zh-CN"/>
              </w:rPr>
              <w:t>－</w:t>
            </w:r>
            <w:r>
              <w:rPr>
                <w:rFonts w:hint="eastAsia" w:ascii="仿宋_GB2312" w:hAnsi="仿宋_GB2312"/>
                <w:color w:val="auto"/>
                <w:sz w:val="24"/>
                <w:szCs w:val="24"/>
              </w:rPr>
              <w:t>镇”三级应急体系，实现灾害实时监测、精准预警。</w:t>
            </w:r>
          </w:p>
        </w:tc>
      </w:tr>
    </w:tbl>
    <w:p>
      <w:pPr>
        <w:pStyle w:val="2"/>
        <w:adjustRightInd w:val="0"/>
        <w:snapToGrid w:val="0"/>
        <w:spacing w:line="620" w:lineRule="exact"/>
        <w:ind w:firstLine="640"/>
        <w:jc w:val="both"/>
        <w:rPr>
          <w:rFonts w:hint="eastAsia" w:ascii="黑体" w:hAnsi="黑体" w:eastAsia="黑体" w:cs="黑体"/>
          <w:color w:val="auto"/>
        </w:rPr>
      </w:pPr>
      <w:bookmarkStart w:id="23" w:name="_Toc28563"/>
      <w:bookmarkStart w:id="24" w:name="_Toc26708"/>
      <w:r>
        <w:rPr>
          <w:rFonts w:hint="eastAsia" w:ascii="黑体" w:hAnsi="黑体" w:eastAsia="黑体" w:cs="黑体"/>
          <w:color w:val="auto"/>
          <w:lang w:val="en-US" w:eastAsia="zh-CN"/>
        </w:rPr>
        <w:t>三、</w:t>
      </w:r>
      <w:r>
        <w:rPr>
          <w:rFonts w:hint="eastAsia" w:ascii="黑体" w:hAnsi="黑体" w:eastAsia="黑体" w:cs="黑体"/>
          <w:color w:val="auto"/>
        </w:rPr>
        <w:t>推动农业新质生产力与产业深度融合</w:t>
      </w:r>
      <w:bookmarkEnd w:id="22"/>
      <w:bookmarkEnd w:id="23"/>
      <w:bookmarkEnd w:id="24"/>
    </w:p>
    <w:p>
      <w:pPr>
        <w:pStyle w:val="3"/>
        <w:adjustRightInd w:val="0"/>
        <w:snapToGrid w:val="0"/>
        <w:spacing w:line="620" w:lineRule="exact"/>
        <w:ind w:firstLine="643" w:firstLineChars="200"/>
        <w:outlineLvl w:val="1"/>
        <w:rPr>
          <w:rStyle w:val="26"/>
          <w:rFonts w:hint="eastAsia" w:ascii="仿宋_GB2312" w:hAnsi="仿宋_GB2312" w:eastAsia="仿宋_GB2312" w:cs="仿宋_GB2312"/>
          <w:color w:val="auto"/>
          <w:lang w:val="en-US" w:eastAsia="zh-CN"/>
        </w:rPr>
      </w:pPr>
      <w:bookmarkStart w:id="25" w:name="_Toc7845"/>
      <w:bookmarkStart w:id="26" w:name="_Toc28744"/>
      <w:bookmarkStart w:id="27" w:name="_Toc10820"/>
      <w:r>
        <w:rPr>
          <w:rFonts w:hint="eastAsia" w:ascii="仿宋_GB2312" w:hAnsi="仿宋_GB2312" w:eastAsia="仿宋_GB2312" w:cs="仿宋_GB2312"/>
          <w:b/>
          <w:bCs w:val="0"/>
          <w:color w:val="auto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 w:val="0"/>
          <w:color w:val="auto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b/>
          <w:bCs w:val="0"/>
          <w:color w:val="auto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bCs w:val="0"/>
          <w:color w:val="auto"/>
        </w:rPr>
        <w:t>提升农业科技创新体系整体效能</w:t>
      </w:r>
      <w:bookmarkEnd w:id="25"/>
      <w:r>
        <w:rPr>
          <w:rFonts w:hint="eastAsia" w:ascii="仿宋_GB2312" w:hAnsi="仿宋_GB2312" w:eastAsia="仿宋_GB2312" w:cs="仿宋_GB2312"/>
          <w:b/>
          <w:bCs w:val="0"/>
          <w:color w:val="auto"/>
          <w:lang w:eastAsia="zh-CN"/>
        </w:rPr>
        <w:t>。</w:t>
      </w:r>
      <w:r>
        <w:rPr>
          <w:rStyle w:val="26"/>
          <w:rFonts w:hint="eastAsia" w:ascii="仿宋_GB2312" w:hAnsi="仿宋_GB2312" w:eastAsia="仿宋_GB2312" w:cs="仿宋_GB2312"/>
          <w:color w:val="auto"/>
          <w:lang w:val="en-US" w:eastAsia="zh-CN"/>
        </w:rPr>
        <w:t>整合升级重点实验室、农业科技园区、工程技术中心等创新平台，提质华侨管理区省级农业科技园区。深化与高等院校、科研院所合作，推动基层农技机构向综合农业服务中心转型，发挥科技特派员、乡土专家作用，推动农技服务下沉一线。主动对接粤港澳大湾区科创资源，围绕丝苗米、甘薯、荔枝、青梅、晨洲蚝、紫海胆等特色产业，开展种质引育改良、绿色种植、高效养殖、精深加工</w:t>
      </w:r>
      <w:r>
        <w:rPr>
          <w:rStyle w:val="26"/>
          <w:rFonts w:hint="eastAsia" w:ascii="仿宋_GB2312" w:hAnsi="仿宋_GB2312" w:eastAsia="仿宋_GB2312"/>
        </w:rPr>
        <w:t>及智慧化生产</w:t>
      </w:r>
      <w:r>
        <w:rPr>
          <w:rStyle w:val="26"/>
          <w:rFonts w:hint="eastAsia" w:ascii="仿宋_GB2312" w:hAnsi="仿宋_GB2312" w:eastAsia="仿宋_GB2312" w:cs="仿宋_GB2312"/>
          <w:color w:val="auto"/>
          <w:lang w:val="en-US" w:eastAsia="zh-CN"/>
        </w:rPr>
        <w:t>等技术攻关，推进水稻全流程智能化生产。搭建农业科技服务平台，对接“圳品”标准数据体系，推广应用</w:t>
      </w:r>
      <w:bookmarkStart w:id="133" w:name="_GoBack"/>
      <w:bookmarkEnd w:id="133"/>
      <w:r>
        <w:rPr>
          <w:rStyle w:val="26"/>
          <w:rFonts w:hint="eastAsia" w:ascii="仿宋_GB2312" w:hAnsi="仿宋_GB2312" w:eastAsia="仿宋_GB2312" w:cs="仿宋_GB2312"/>
          <w:color w:val="auto"/>
          <w:lang w:val="en-US" w:eastAsia="zh-CN"/>
        </w:rPr>
        <w:t>农业智能装备，探索人工智能应用场景。</w:t>
      </w:r>
      <w:bookmarkEnd w:id="26"/>
      <w:bookmarkEnd w:id="27"/>
      <w:bookmarkStart w:id="28" w:name="_Toc14830"/>
    </w:p>
    <w:p>
      <w:pPr>
        <w:pStyle w:val="3"/>
        <w:adjustRightInd w:val="0"/>
        <w:snapToGrid w:val="0"/>
        <w:spacing w:line="620" w:lineRule="exact"/>
        <w:ind w:firstLine="643" w:firstLineChars="200"/>
        <w:outlineLvl w:val="1"/>
        <w:rPr>
          <w:rStyle w:val="26"/>
          <w:rFonts w:hint="eastAsia" w:ascii="仿宋_GB2312" w:hAnsi="仿宋_GB2312" w:eastAsia="仿宋_GB2312" w:cs="仿宋_GB2312"/>
          <w:color w:val="auto"/>
          <w:lang w:val="en-US" w:eastAsia="zh-CN"/>
        </w:rPr>
      </w:pPr>
      <w:bookmarkStart w:id="29" w:name="_Toc9042"/>
      <w:bookmarkStart w:id="30" w:name="_Toc2773"/>
      <w:r>
        <w:rPr>
          <w:rFonts w:hint="eastAsia" w:ascii="仿宋_GB2312" w:hAnsi="仿宋_GB2312" w:eastAsia="仿宋_GB2312" w:cs="仿宋_GB2312"/>
          <w:b/>
          <w:bCs w:val="0"/>
          <w:color w:val="auto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 w:val="0"/>
          <w:color w:val="auto"/>
          <w:lang w:val="en-US" w:eastAsia="zh-CN"/>
        </w:rPr>
        <w:t>六</w:t>
      </w:r>
      <w:r>
        <w:rPr>
          <w:rFonts w:hint="eastAsia" w:ascii="仿宋_GB2312" w:hAnsi="仿宋_GB2312" w:eastAsia="仿宋_GB2312" w:cs="仿宋_GB2312"/>
          <w:b/>
          <w:bCs w:val="0"/>
          <w:color w:val="auto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bCs w:val="0"/>
          <w:color w:val="auto"/>
        </w:rPr>
        <w:t>持续深化种业振兴行动</w:t>
      </w:r>
      <w:bookmarkEnd w:id="28"/>
      <w:r>
        <w:rPr>
          <w:rFonts w:hint="eastAsia" w:ascii="仿宋_GB2312" w:hAnsi="仿宋_GB2312" w:eastAsia="仿宋_GB2312" w:cs="仿宋_GB2312"/>
          <w:b/>
          <w:bCs w:val="0"/>
          <w:color w:val="auto"/>
          <w:lang w:eastAsia="zh-CN"/>
        </w:rPr>
        <w:t>。</w:t>
      </w:r>
      <w:r>
        <w:rPr>
          <w:rStyle w:val="26"/>
          <w:rFonts w:hint="eastAsia" w:ascii="仿宋_GB2312" w:hAnsi="仿宋_GB2312" w:eastAsia="仿宋_GB2312" w:cs="仿宋_GB2312"/>
          <w:color w:val="auto"/>
          <w:lang w:val="en-US" w:eastAsia="zh-CN"/>
        </w:rPr>
        <w:t>整合现有种质资源库、保种场，完善特色良种繁育与示范基地布局。重点保护</w:t>
      </w:r>
      <w:r>
        <w:rPr>
          <w:rStyle w:val="26"/>
          <w:rFonts w:hint="eastAsia" w:ascii="仿宋_GB2312" w:hAnsi="仿宋_GB2312" w:eastAsia="仿宋_GB2312"/>
        </w:rPr>
        <w:t>香汕油占1号、凤山红灯笼、红</w:t>
      </w:r>
      <w:r>
        <w:rPr>
          <w:rStyle w:val="26"/>
          <w:rFonts w:hint="eastAsia" w:ascii="微软雅黑" w:hAnsi="微软雅黑" w:eastAsia="微软雅黑" w:cs="微软雅黑"/>
        </w:rPr>
        <w:t>嵄</w:t>
      </w:r>
      <w:r>
        <w:rPr>
          <w:rStyle w:val="26"/>
          <w:rFonts w:hint="eastAsia" w:ascii="仿宋_GB2312" w:hAnsi="仿宋_GB2312" w:eastAsia="仿宋_GB2312" w:cs="仿宋_GB2312"/>
        </w:rPr>
        <w:t>荔</w:t>
      </w:r>
      <w:r>
        <w:rPr>
          <w:rStyle w:val="26"/>
          <w:rFonts w:hint="eastAsia" w:ascii="仿宋_GB2312" w:hAnsi="仿宋_GB2312" w:eastAsia="仿宋_GB2312"/>
        </w:rPr>
        <w:t>、陆丰牛</w:t>
      </w:r>
      <w:r>
        <w:rPr>
          <w:rStyle w:val="26"/>
          <w:rFonts w:hint="eastAsia" w:ascii="仿宋_GB2312" w:hAnsi="仿宋_GB2312" w:eastAsia="仿宋_GB2312" w:cs="仿宋_GB2312"/>
          <w:color w:val="auto"/>
          <w:lang w:val="en-US" w:eastAsia="zh-CN"/>
        </w:rPr>
        <w:t>等特色种质资源；升级陆丰牛省级保种场、捷胜海洋种业产业园，新建晨洲蚝、紫海胆良种场、甘薯种质资源圃。培育育繁推一体化种业企业，引导种业企业、科研单位开展联合协作，组建种业产业联盟，引进龙头种业企业落户。2030年主要农作物良种覆盖率超98%，畜禽、水产等良种覆盖率超90%；建设市级种子储备库，布局4个以上专业化种业基地，种子合格率稳定在95%以上。</w:t>
      </w:r>
      <w:bookmarkEnd w:id="29"/>
      <w:bookmarkEnd w:id="30"/>
    </w:p>
    <w:p>
      <w:pPr>
        <w:pStyle w:val="3"/>
        <w:adjustRightInd w:val="0"/>
        <w:snapToGrid w:val="0"/>
        <w:spacing w:line="620" w:lineRule="exact"/>
        <w:ind w:firstLine="643" w:firstLineChars="200"/>
        <w:outlineLvl w:val="1"/>
        <w:rPr>
          <w:rStyle w:val="26"/>
          <w:rFonts w:hint="eastAsia" w:ascii="仿宋_GB2312" w:hAnsi="仿宋_GB2312" w:eastAsia="仿宋_GB2312" w:cs="仿宋_GB2312"/>
          <w:color w:val="auto"/>
          <w:lang w:val="en-US" w:eastAsia="zh-CN"/>
        </w:rPr>
      </w:pPr>
      <w:bookmarkStart w:id="31" w:name="_Toc22727"/>
      <w:bookmarkStart w:id="32" w:name="_Toc2853"/>
      <w:bookmarkStart w:id="33" w:name="_Toc4081"/>
      <w:r>
        <w:rPr>
          <w:rFonts w:hint="eastAsia" w:ascii="仿宋_GB2312" w:hAnsi="仿宋_GB2312" w:eastAsia="仿宋_GB2312" w:cs="仿宋_GB2312"/>
          <w:b/>
          <w:bCs w:val="0"/>
          <w:color w:val="auto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 w:val="0"/>
          <w:color w:val="auto"/>
          <w:lang w:val="en-US" w:eastAsia="zh-CN"/>
        </w:rPr>
        <w:t>七</w:t>
      </w:r>
      <w:r>
        <w:rPr>
          <w:rFonts w:hint="eastAsia" w:ascii="仿宋_GB2312" w:hAnsi="仿宋_GB2312" w:eastAsia="仿宋_GB2312" w:cs="仿宋_GB2312"/>
          <w:b/>
          <w:bCs w:val="0"/>
          <w:color w:val="auto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bCs w:val="0"/>
          <w:color w:val="auto"/>
        </w:rPr>
        <w:t>推进农机装备全程全面升级</w:t>
      </w:r>
      <w:bookmarkEnd w:id="31"/>
      <w:r>
        <w:rPr>
          <w:rFonts w:hint="eastAsia" w:ascii="仿宋_GB2312" w:hAnsi="仿宋_GB2312" w:eastAsia="仿宋_GB2312" w:cs="仿宋_GB2312"/>
          <w:b/>
          <w:bCs w:val="0"/>
          <w:color w:val="auto"/>
          <w:lang w:eastAsia="zh-CN"/>
        </w:rPr>
        <w:t>。</w:t>
      </w:r>
      <w:r>
        <w:rPr>
          <w:rStyle w:val="26"/>
          <w:rFonts w:hint="eastAsia" w:ascii="仿宋_GB2312" w:hAnsi="仿宋_GB2312" w:eastAsia="仿宋_GB2312" w:cs="仿宋_GB2312"/>
          <w:color w:val="auto"/>
          <w:lang w:val="en-US" w:eastAsia="zh-CN"/>
        </w:rPr>
        <w:t>推动农机智能化与农资网络体系构建。从“能用”向“好用、智能”迈进，整合研发、生产、培训、运维全链条资源，重点引入北斗导航农机、智能灌溉装备、特色作物专用机械与技术，大力推进适合汕尾市丘陵山区地形特点的智能化、轻量化及中小型农业机械推广应用，重点适配水稻、甘薯、花生、南药等特色作物全程机械化发展需求。依托省、市农业科学院科研力量，强化农机装备与特色作物品种、栽培模式的适配试验，推广无人插秧机、农用植保无人机、秸秆打捆机等智能装备规模化应用。</w:t>
      </w:r>
      <w:r>
        <w:rPr>
          <w:rStyle w:val="26"/>
          <w:rFonts w:ascii="仿宋_GB2312" w:hAnsi="仿宋_GB2312" w:eastAsia="仿宋_GB2312" w:cs="仿宋_GB2312"/>
          <w:color w:val="auto"/>
        </w:rPr>
        <w:t>有序推进老旧农机报废更新，</w:t>
      </w:r>
      <w:r>
        <w:rPr>
          <w:rStyle w:val="26"/>
          <w:rFonts w:hint="eastAsia" w:ascii="仿宋_GB2312" w:hAnsi="仿宋_GB2312" w:eastAsia="仿宋_GB2312" w:cs="仿宋_GB2312"/>
          <w:color w:val="auto"/>
          <w:lang w:val="en-US" w:eastAsia="zh-CN"/>
        </w:rPr>
        <w:t>完善“互联网+农机作业”服务模式，提升主要农作物耕种收综合机械化水平，打造甘薯等特色优势区机械化生产样板。到2030年，全市农机总动力超120万千瓦，主要农作物耕种收综合机械化率达82.0%，水稻生产实现全程机械化。</w:t>
      </w:r>
      <w:bookmarkEnd w:id="32"/>
      <w:bookmarkEnd w:id="33"/>
    </w:p>
    <w:p>
      <w:pPr>
        <w:pStyle w:val="3"/>
        <w:adjustRightInd w:val="0"/>
        <w:snapToGrid w:val="0"/>
        <w:spacing w:line="620" w:lineRule="exact"/>
        <w:ind w:firstLine="643" w:firstLineChars="200"/>
        <w:outlineLvl w:val="1"/>
        <w:rPr>
          <w:rStyle w:val="26"/>
          <w:rFonts w:hint="eastAsia" w:ascii="仿宋_GB2312" w:hAnsi="仿宋_GB2312" w:eastAsia="仿宋_GB2312" w:cs="仿宋_GB2312"/>
          <w:color w:val="auto"/>
          <w:lang w:val="en-US" w:eastAsia="zh-CN"/>
        </w:rPr>
      </w:pPr>
      <w:bookmarkStart w:id="34" w:name="_Toc28619"/>
      <w:bookmarkStart w:id="35" w:name="_Toc26716"/>
      <w:bookmarkStart w:id="36" w:name="_Toc17810"/>
      <w:r>
        <w:rPr>
          <w:rFonts w:hint="eastAsia" w:ascii="仿宋_GB2312" w:hAnsi="仿宋_GB2312" w:eastAsia="仿宋_GB2312" w:cs="仿宋_GB2312"/>
          <w:b/>
          <w:bCs w:val="0"/>
          <w:color w:val="auto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 w:val="0"/>
          <w:color w:val="auto"/>
          <w:lang w:val="en-US" w:eastAsia="zh-CN"/>
        </w:rPr>
        <w:t>八</w:t>
      </w:r>
      <w:r>
        <w:rPr>
          <w:rFonts w:hint="eastAsia" w:ascii="仿宋_GB2312" w:hAnsi="仿宋_GB2312" w:eastAsia="仿宋_GB2312" w:cs="仿宋_GB2312"/>
          <w:b/>
          <w:bCs w:val="0"/>
          <w:color w:val="auto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bCs w:val="0"/>
          <w:color w:val="auto"/>
        </w:rPr>
        <w:t>加快实施智慧农业行动计划</w:t>
      </w:r>
      <w:bookmarkEnd w:id="34"/>
      <w:r>
        <w:rPr>
          <w:rFonts w:hint="eastAsia" w:ascii="仿宋_GB2312" w:hAnsi="仿宋_GB2312" w:eastAsia="仿宋_GB2312" w:cs="仿宋_GB2312"/>
          <w:b/>
          <w:bCs w:val="0"/>
          <w:color w:val="auto"/>
          <w:lang w:eastAsia="zh-CN"/>
        </w:rPr>
        <w:t>。</w:t>
      </w:r>
      <w:r>
        <w:rPr>
          <w:rStyle w:val="26"/>
          <w:rFonts w:hint="eastAsia" w:ascii="仿宋_GB2312" w:hAnsi="仿宋_GB2312" w:eastAsia="仿宋_GB2312" w:cs="仿宋_GB2312"/>
          <w:color w:val="auto"/>
          <w:lang w:val="en-US" w:eastAsia="zh-CN"/>
        </w:rPr>
        <w:t>构建“物联网+大数据+人工智能”农业数字化体系，推进水稻、荔枝、海洋牧场等重点产业数据集建设。打造海丰、陆丰荔枝智慧农场，推广“公司＋基地＋合作社＋农户”运营模式。在水产领域普及水质监测、智能增氧、精准投饵、网箱智能管控技术，依托捷胜海洋种业产业园打造智慧繁育体系；建立“汕尾三鲜”“一品一码”质量追溯系统，实现5G物联网技术养殖全覆盖。搭建AI农业应急救灾体系，提升灾害预判、预警、调度能力。</w:t>
      </w:r>
      <w:bookmarkEnd w:id="35"/>
      <w:bookmarkEnd w:id="36"/>
    </w:p>
    <w:bookmarkEnd w:id="12"/>
    <w:p>
      <w:pPr>
        <w:pStyle w:val="2"/>
        <w:adjustRightInd w:val="0"/>
        <w:snapToGrid w:val="0"/>
        <w:spacing w:line="620" w:lineRule="exact"/>
        <w:ind w:firstLine="640"/>
        <w:jc w:val="both"/>
        <w:rPr>
          <w:rFonts w:hint="eastAsia" w:ascii="黑体" w:hAnsi="黑体" w:eastAsia="黑体" w:cs="黑体"/>
          <w:color w:val="auto"/>
        </w:rPr>
      </w:pPr>
      <w:bookmarkStart w:id="37" w:name="_Toc16132"/>
      <w:bookmarkStart w:id="38" w:name="_Toc10677"/>
      <w:bookmarkStart w:id="39" w:name="_Toc19494"/>
      <w:r>
        <w:rPr>
          <w:rFonts w:hint="eastAsia" w:ascii="黑体" w:hAnsi="黑体" w:eastAsia="黑体" w:cs="黑体"/>
          <w:color w:val="auto"/>
          <w:lang w:val="en-US" w:eastAsia="zh-CN"/>
        </w:rPr>
        <w:t>四、</w:t>
      </w:r>
      <w:r>
        <w:rPr>
          <w:rFonts w:hint="eastAsia" w:ascii="黑体" w:hAnsi="黑体" w:eastAsia="黑体" w:cs="黑体"/>
          <w:color w:val="auto"/>
        </w:rPr>
        <w:t>培育壮大汕尾市现代农业产业集群</w:t>
      </w:r>
      <w:bookmarkEnd w:id="37"/>
      <w:bookmarkEnd w:id="38"/>
      <w:bookmarkEnd w:id="39"/>
    </w:p>
    <w:p>
      <w:pPr>
        <w:pStyle w:val="3"/>
        <w:adjustRightInd w:val="0"/>
        <w:snapToGrid w:val="0"/>
        <w:spacing w:line="620" w:lineRule="exact"/>
        <w:ind w:firstLine="643" w:firstLineChars="200"/>
        <w:outlineLvl w:val="1"/>
        <w:rPr>
          <w:rStyle w:val="26"/>
          <w:rFonts w:hint="eastAsia" w:ascii="仿宋_GB2312" w:hAnsi="仿宋_GB2312" w:eastAsia="仿宋_GB2312" w:cs="仿宋_GB2312"/>
          <w:color w:val="auto"/>
          <w:lang w:val="en-US" w:eastAsia="zh-CN"/>
        </w:rPr>
      </w:pPr>
      <w:bookmarkStart w:id="40" w:name="_Toc1983"/>
      <w:bookmarkStart w:id="41" w:name="_Toc13366"/>
      <w:bookmarkStart w:id="42" w:name="_Toc16481"/>
      <w:r>
        <w:rPr>
          <w:rFonts w:hint="eastAsia" w:ascii="仿宋_GB2312" w:hAnsi="仿宋_GB2312" w:eastAsia="仿宋_GB2312" w:cs="仿宋_GB2312"/>
          <w:b/>
          <w:bCs w:val="0"/>
          <w:color w:val="auto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 w:val="0"/>
          <w:color w:val="auto"/>
          <w:lang w:val="en-US" w:eastAsia="zh-CN"/>
        </w:rPr>
        <w:t>九</w:t>
      </w:r>
      <w:r>
        <w:rPr>
          <w:rFonts w:hint="eastAsia" w:ascii="仿宋_GB2312" w:hAnsi="仿宋_GB2312" w:eastAsia="仿宋_GB2312" w:cs="仿宋_GB2312"/>
          <w:b/>
          <w:bCs w:val="0"/>
          <w:color w:val="auto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bCs w:val="0"/>
          <w:color w:val="auto"/>
        </w:rPr>
        <w:t>聚力提升现代农业集群化水平</w:t>
      </w:r>
      <w:bookmarkEnd w:id="40"/>
      <w:r>
        <w:rPr>
          <w:rFonts w:hint="eastAsia" w:ascii="仿宋_GB2312" w:hAnsi="仿宋_GB2312" w:eastAsia="仿宋_GB2312" w:cs="仿宋_GB2312"/>
          <w:b/>
          <w:bCs w:val="0"/>
          <w:color w:val="auto"/>
          <w:lang w:eastAsia="zh-CN"/>
        </w:rPr>
        <w:t>。</w:t>
      </w:r>
      <w:r>
        <w:rPr>
          <w:rFonts w:hint="eastAsia" w:ascii="仿宋_GB2312" w:hAnsi="仿宋_GB2312" w:eastAsia="仿宋_GB2312" w:cs="仿宋_GB2312"/>
          <w:b/>
          <w:bCs w:val="0"/>
          <w:color w:val="auto"/>
          <w:lang w:val="en-US" w:eastAsia="zh-CN"/>
        </w:rPr>
        <w:t>实</w:t>
      </w:r>
      <w:r>
        <w:rPr>
          <w:rStyle w:val="26"/>
          <w:rFonts w:hint="eastAsia" w:ascii="仿宋_GB2312" w:hAnsi="仿宋_GB2312" w:eastAsia="仿宋_GB2312" w:cs="仿宋_GB2312"/>
          <w:color w:val="auto"/>
          <w:lang w:val="en-US" w:eastAsia="zh-CN"/>
        </w:rPr>
        <w:t>施“陆上粮仓+海上粮仓”双轮驱动，重点发展甘薯、丝苗米、荔枝、生猪、茶叶、青梅、油柑、“汕尾三鲜”十大主导产业，培育陆河青梅、陂洋菠萝、莲花山茶等“小而美、特而精”特色潜力产业。到2030年，建成1个百亿级水产产业、3个五十亿级产业（甘薯、生猪、丝苗米）、5个十亿级产业（青梅、荔枝、油柑、茶叶、黄牛），十大主导产业产值占农业总产值比重超70%。</w:t>
      </w:r>
      <w:bookmarkStart w:id="43" w:name="_Toc28874"/>
      <w:r>
        <w:rPr>
          <w:rStyle w:val="26"/>
          <w:rFonts w:hint="eastAsia" w:ascii="仿宋_GB2312" w:hAnsi="仿宋_GB2312" w:eastAsia="仿宋_GB2312" w:cs="仿宋_GB2312"/>
          <w:color w:val="auto"/>
          <w:lang w:val="en-US" w:eastAsia="zh-CN"/>
        </w:rPr>
        <w:t>大力发展农产品加工业，推进初加工、精深加工、副产物综合利用协同发展，推动加工产能向产区、园区集聚。到2030年，全市规模以上农产品加工企业达60家以上。</w:t>
      </w:r>
      <w:bookmarkEnd w:id="41"/>
      <w:bookmarkEnd w:id="42"/>
    </w:p>
    <w:p>
      <w:pPr>
        <w:pStyle w:val="3"/>
        <w:adjustRightInd w:val="0"/>
        <w:snapToGrid w:val="0"/>
        <w:spacing w:line="620" w:lineRule="exact"/>
        <w:ind w:firstLine="643" w:firstLineChars="200"/>
        <w:outlineLvl w:val="1"/>
        <w:rPr>
          <w:rStyle w:val="26"/>
          <w:rFonts w:hint="eastAsia" w:ascii="仿宋_GB2312" w:hAnsi="仿宋_GB2312" w:eastAsia="仿宋_GB2312" w:cs="仿宋_GB2312"/>
          <w:color w:val="auto"/>
          <w:lang w:val="en-US" w:eastAsia="zh-CN"/>
        </w:rPr>
      </w:pPr>
      <w:bookmarkStart w:id="44" w:name="_Toc29203"/>
      <w:bookmarkStart w:id="45" w:name="_Toc31527"/>
      <w:r>
        <w:rPr>
          <w:rFonts w:hint="eastAsia" w:ascii="仿宋_GB2312" w:hAnsi="仿宋_GB2312" w:eastAsia="仿宋_GB2312" w:cs="仿宋_GB2312"/>
          <w:b/>
          <w:bCs w:val="0"/>
          <w:color w:val="auto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 w:val="0"/>
          <w:color w:val="auto"/>
          <w:lang w:val="en-US" w:eastAsia="zh-CN"/>
        </w:rPr>
        <w:t>十</w:t>
      </w:r>
      <w:r>
        <w:rPr>
          <w:rFonts w:hint="eastAsia" w:ascii="仿宋_GB2312" w:hAnsi="仿宋_GB2312" w:eastAsia="仿宋_GB2312" w:cs="仿宋_GB2312"/>
          <w:b/>
          <w:bCs w:val="0"/>
          <w:color w:val="auto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bCs w:val="0"/>
          <w:color w:val="auto"/>
        </w:rPr>
        <w:t>推动农业优质化品牌化提升</w:t>
      </w:r>
      <w:bookmarkEnd w:id="43"/>
      <w:r>
        <w:rPr>
          <w:rFonts w:hint="eastAsia" w:ascii="仿宋_GB2312" w:hAnsi="仿宋_GB2312" w:eastAsia="仿宋_GB2312" w:cs="仿宋_GB2312"/>
          <w:b/>
          <w:bCs w:val="0"/>
          <w:color w:val="auto"/>
          <w:lang w:eastAsia="zh-CN"/>
        </w:rPr>
        <w:t>。</w:t>
      </w:r>
      <w:r>
        <w:rPr>
          <w:rStyle w:val="26"/>
          <w:rFonts w:hint="eastAsia" w:ascii="仿宋_GB2312" w:hAnsi="仿宋_GB2312" w:eastAsia="仿宋_GB2312" w:cs="仿宋_GB2312"/>
          <w:color w:val="auto"/>
          <w:lang w:val="en-US" w:eastAsia="zh-CN"/>
        </w:rPr>
        <w:t>实施农业优质化与品牌化双提升行动，做强“汕农领鲜”区域公用品牌。完善荔枝、“汕尾三鲜”、油柑等农产品质量标准与溯源体系，推动晨洲蚝、海鲡鱼创建国家地理标志产品。建设粤东荔枝出口基地，到2030年，荔枝年出口能力达到800吨以上，“十五五”期间，累计出口2000吨以上。依托本地饲料产业基础，培育区域宠物饲料品牌，打造宠物展会IP，拓展乡村产业新业态。</w:t>
      </w:r>
      <w:bookmarkEnd w:id="44"/>
      <w:bookmarkEnd w:id="45"/>
    </w:p>
    <w:p>
      <w:pPr>
        <w:pStyle w:val="3"/>
        <w:adjustRightInd w:val="0"/>
        <w:snapToGrid w:val="0"/>
        <w:spacing w:line="620" w:lineRule="exact"/>
        <w:ind w:firstLine="643" w:firstLineChars="200"/>
        <w:outlineLvl w:val="1"/>
        <w:rPr>
          <w:rFonts w:hint="eastAsia" w:ascii="楷体" w:hAnsi="楷体" w:eastAsia="楷体" w:cs="楷体"/>
          <w:b/>
          <w:bCs w:val="0"/>
          <w:color w:val="auto"/>
          <w:lang w:val="en-US" w:eastAsia="zh-CN"/>
        </w:rPr>
      </w:pPr>
      <w:bookmarkStart w:id="46" w:name="_Toc24995"/>
      <w:bookmarkStart w:id="47" w:name="_Toc30887"/>
      <w:bookmarkStart w:id="48" w:name="_Toc23043"/>
      <w:r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32"/>
          <w:szCs w:val="32"/>
          <w:lang w:val="en-US" w:eastAsia="zh-CN" w:bidi="ar"/>
        </w:rPr>
        <w:t>（十一）全面推进农产品质量建设。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 w:bidi="ar"/>
        </w:rPr>
        <w:t>强化多部门协同联动和全链条监管，健全风险会商、信息共享与应急处置机制；紧盯重点品种、重点区域、重点环节突出问题，严查严惩非法添加和农兽药残留超标等违法违规行为。健全农业标准体系，推进农业品种培优、品质提升、品牌打造和标准化生产；扩大绿色、有机、名特优新和地理标志农产品生产规模。建立覆盖主要农产品的“一品一码”全程数字化溯源体系，全面推行农产品质量安全承诺达标合格证制度。到2030年，全市绿色优质农产品认证数量突破85个，农产品质量安全检测合格率稳定在98%以上。</w:t>
      </w:r>
      <w:bookmarkEnd w:id="46"/>
    </w:p>
    <w:p>
      <w:pPr>
        <w:pStyle w:val="3"/>
        <w:adjustRightInd w:val="0"/>
        <w:snapToGrid w:val="0"/>
        <w:spacing w:line="620" w:lineRule="exact"/>
        <w:ind w:firstLine="643" w:firstLineChars="200"/>
        <w:outlineLvl w:val="1"/>
        <w:rPr>
          <w:rStyle w:val="26"/>
          <w:rFonts w:hint="eastAsia" w:ascii="仿宋_GB2312" w:hAnsi="仿宋_GB2312" w:eastAsia="仿宋_GB2312" w:cs="仿宋_GB2312"/>
          <w:color w:val="auto"/>
          <w:lang w:val="en-US" w:eastAsia="zh-CN"/>
        </w:rPr>
      </w:pPr>
      <w:bookmarkStart w:id="49" w:name="_Toc28723"/>
      <w:r>
        <w:rPr>
          <w:rFonts w:hint="eastAsia" w:ascii="仿宋_GB2312" w:hAnsi="仿宋_GB2312" w:eastAsia="仿宋_GB2312" w:cs="仿宋_GB2312"/>
          <w:b/>
          <w:bCs w:val="0"/>
          <w:color w:val="auto"/>
          <w:lang w:val="en-US" w:eastAsia="zh-CN"/>
        </w:rPr>
        <w:t>（十二）深化农村一二三产业融合发展</w:t>
      </w:r>
      <w:bookmarkEnd w:id="47"/>
      <w:r>
        <w:rPr>
          <w:rFonts w:hint="eastAsia" w:ascii="仿宋_GB2312" w:hAnsi="仿宋_GB2312" w:eastAsia="仿宋_GB2312" w:cs="仿宋_GB2312"/>
          <w:b/>
          <w:bCs w:val="0"/>
          <w:color w:val="auto"/>
          <w:lang w:val="en-US" w:eastAsia="zh-CN"/>
        </w:rPr>
        <w:t>。</w:t>
      </w:r>
      <w:r>
        <w:rPr>
          <w:rStyle w:val="26"/>
          <w:rFonts w:hint="eastAsia" w:ascii="仿宋_GB2312" w:hAnsi="仿宋_GB2312" w:eastAsia="仿宋_GB2312" w:cs="仿宋_GB2312"/>
          <w:color w:val="auto"/>
          <w:lang w:val="en-US" w:eastAsia="zh-CN"/>
        </w:rPr>
        <w:t>依托海洋牧场、渔港经济区，发展风渔融合、冷链物流、水产品精深加工等业态，结合特色农业基地、乡村振兴示范片区，打造田园综合体、乡村绿化景观带，推动农业与文旅、康养、研学、民宿深度融合。实施“一地一特色活动”培育行动，推进农文旅项目数字化升级，到2030年，建成30条乡村休闲精品线路、50个乡村休闲旅游目的地，打造一批网红乡村打卡点。</w:t>
      </w:r>
      <w:bookmarkEnd w:id="48"/>
      <w:bookmarkEnd w:id="49"/>
    </w:p>
    <w:p>
      <w:pPr>
        <w:pStyle w:val="3"/>
        <w:adjustRightInd w:val="0"/>
        <w:snapToGrid w:val="0"/>
        <w:spacing w:line="620" w:lineRule="exact"/>
        <w:ind w:firstLine="643" w:firstLineChars="200"/>
        <w:outlineLvl w:val="1"/>
        <w:rPr>
          <w:rStyle w:val="26"/>
          <w:rFonts w:hint="eastAsia" w:ascii="仿宋_GB2312" w:hAnsi="仿宋_GB2312" w:eastAsia="仿宋_GB2312" w:cs="仿宋_GB2312"/>
          <w:color w:val="auto"/>
          <w:lang w:val="en-US" w:eastAsia="zh-CN"/>
        </w:rPr>
      </w:pPr>
      <w:bookmarkStart w:id="50" w:name="_Toc12806"/>
      <w:bookmarkStart w:id="51" w:name="_Toc11050"/>
      <w:bookmarkStart w:id="52" w:name="_Toc29321"/>
      <w:r>
        <w:rPr>
          <w:rFonts w:hint="eastAsia" w:ascii="仿宋_GB2312" w:hAnsi="仿宋_GB2312" w:eastAsia="仿宋_GB2312" w:cs="仿宋_GB2312"/>
          <w:b/>
          <w:bCs w:val="0"/>
          <w:color w:val="auto"/>
          <w:lang w:val="en-US" w:eastAsia="zh-CN"/>
        </w:rPr>
        <w:t>（十三）推进农业产业供应链</w:t>
      </w:r>
      <w:bookmarkEnd w:id="50"/>
      <w:r>
        <w:rPr>
          <w:rFonts w:hint="eastAsia" w:ascii="仿宋_GB2312" w:hAnsi="仿宋_GB2312" w:eastAsia="仿宋_GB2312" w:cs="仿宋_GB2312"/>
          <w:b/>
          <w:bCs w:val="0"/>
          <w:color w:val="auto"/>
          <w:lang w:val="en-US" w:eastAsia="zh-CN"/>
        </w:rPr>
        <w:t>融湾合作。</w:t>
      </w:r>
      <w:r>
        <w:rPr>
          <w:rStyle w:val="26"/>
          <w:rFonts w:hint="eastAsia" w:ascii="仿宋_GB2312" w:hAnsi="仿宋_GB2312" w:eastAsia="仿宋_GB2312" w:cs="仿宋_GB2312"/>
          <w:color w:val="auto"/>
          <w:lang w:val="en-US" w:eastAsia="zh-CN"/>
        </w:rPr>
        <w:t>立足大湾区优质农产品供应基地定位，深化与深圳等湾区城市协作，落实畜牧业供应湾区倍增计划，5年内湾区畜禽产品供应量增长15%。创新“飞地”“飞海”合作模式，加强省际产业共建、市场互通；对接RCEP市场，拓宽荔枝、海产品出口渠道。引进冷链物流、精深加工龙头企业，在市域布局农产品展销、配送枢纽，补齐产业链短板。</w:t>
      </w:r>
      <w:bookmarkEnd w:id="51"/>
      <w:bookmarkEnd w:id="52"/>
    </w:p>
    <w:p>
      <w:pPr>
        <w:pStyle w:val="3"/>
        <w:adjustRightInd w:val="0"/>
        <w:snapToGrid w:val="0"/>
        <w:spacing w:line="620" w:lineRule="exact"/>
        <w:ind w:firstLine="643" w:firstLineChars="200"/>
        <w:outlineLvl w:val="1"/>
        <w:rPr>
          <w:rStyle w:val="19"/>
          <w:rFonts w:hint="eastAsia" w:ascii="黑体" w:hAnsi="黑体" w:eastAsia="黑体" w:cs="黑体"/>
          <w:b w:val="0"/>
          <w:bCs/>
          <w:color w:val="auto"/>
          <w:highlight w:val="none"/>
          <w:lang w:bidi="ar"/>
        </w:rPr>
      </w:pPr>
      <w:bookmarkStart w:id="53" w:name="_Toc1333"/>
      <w:bookmarkStart w:id="54" w:name="_Toc22819"/>
      <w:bookmarkStart w:id="55" w:name="_Toc68"/>
      <w:r>
        <w:rPr>
          <w:rFonts w:hint="eastAsia" w:ascii="仿宋_GB2312" w:hAnsi="仿宋_GB2312" w:eastAsia="仿宋_GB2312" w:cs="仿宋_GB2312"/>
          <w:b/>
          <w:bCs w:val="0"/>
          <w:color w:val="auto"/>
          <w:lang w:val="en-US" w:eastAsia="zh-CN"/>
        </w:rPr>
        <w:t>（十四）扎实推进农业全面绿色转型</w:t>
      </w:r>
      <w:bookmarkEnd w:id="53"/>
      <w:r>
        <w:rPr>
          <w:rFonts w:hint="eastAsia" w:ascii="仿宋_GB2312" w:hAnsi="仿宋_GB2312" w:eastAsia="仿宋_GB2312" w:cs="仿宋_GB2312"/>
          <w:b/>
          <w:bCs w:val="0"/>
          <w:color w:val="auto"/>
          <w:lang w:val="en-US" w:eastAsia="zh-CN"/>
        </w:rPr>
        <w:t>。</w:t>
      </w:r>
      <w:r>
        <w:rPr>
          <w:rStyle w:val="26"/>
          <w:rFonts w:hint="eastAsia" w:ascii="仿宋_GB2312" w:hAnsi="仿宋_GB2312" w:eastAsia="仿宋_GB2312" w:cs="仿宋_GB2312"/>
          <w:color w:val="auto"/>
          <w:lang w:val="en-US" w:eastAsia="zh-CN"/>
        </w:rPr>
        <w:t>推广生态种养、循环农业模式，实施农药化肥减量增效、畜禽粪污资源化、水产尾水治理等工程。到2030年，农田灌溉水有效利用系数提升至0.562以上；推进海上风电与海洋牧场融合发展，打造绿色低碳养殖模式。建设有机肥生产基地，扩大绿色农药、新型肥料应用范围，到2030年，绿色农资占比达75%。统筹推进畜禽粪污、秸秆、养殖尾水综合治理，2030年主要粮食作物化肥利用率达42%，农作物绿色防控覆盖率达70%，秸秆综合利用率90%，畜禽粪污资源化利用率85%。</w:t>
      </w:r>
      <w:bookmarkEnd w:id="54"/>
      <w:bookmarkEnd w:id="55"/>
    </w:p>
    <w:tbl>
      <w:tblPr>
        <w:tblStyle w:val="16"/>
        <w:tblW w:w="0" w:type="auto"/>
        <w:jc w:val="center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20"/>
      </w:tblGrid>
      <w:tr>
        <w:trPr>
          <w:trHeight w:val="465" w:hRule="atLeast"/>
          <w:tblHeader/>
          <w:jc w:val="center"/>
        </w:trPr>
        <w:tc>
          <w:tcPr>
            <w:tcW w:w="82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</w:tcPr>
          <w:p>
            <w:pPr>
              <w:pStyle w:val="13"/>
              <w:adjustRightInd w:val="0"/>
              <w:snapToGrid w:val="0"/>
              <w:spacing w:line="440" w:lineRule="exact"/>
              <w:ind w:firstLine="0" w:firstLineChars="0"/>
              <w:jc w:val="center"/>
              <w:rPr>
                <w:rFonts w:eastAsia="黑体"/>
                <w:b/>
                <w:snapToGrid/>
                <w:color w:val="auto"/>
                <w:sz w:val="28"/>
                <w:szCs w:val="28"/>
              </w:rPr>
            </w:pPr>
            <w:r>
              <w:rPr>
                <w:rStyle w:val="19"/>
                <w:rFonts w:eastAsia="黑体"/>
                <w:b w:val="0"/>
                <w:color w:val="auto"/>
                <w:spacing w:val="8"/>
                <w:sz w:val="28"/>
                <w:szCs w:val="28"/>
              </w:rPr>
              <w:t>专栏</w:t>
            </w:r>
            <w:r>
              <w:rPr>
                <w:rStyle w:val="19"/>
                <w:rFonts w:hint="eastAsia" w:eastAsia="黑体"/>
                <w:b w:val="0"/>
                <w:color w:val="auto"/>
                <w:spacing w:val="8"/>
                <w:sz w:val="28"/>
                <w:szCs w:val="28"/>
                <w:lang w:val="en-US" w:eastAsia="zh-CN"/>
              </w:rPr>
              <w:t>3</w:t>
            </w:r>
            <w:r>
              <w:rPr>
                <w:rStyle w:val="19"/>
                <w:rFonts w:eastAsia="黑体"/>
                <w:b w:val="0"/>
                <w:color w:val="auto"/>
                <w:spacing w:val="8"/>
                <w:sz w:val="28"/>
                <w:szCs w:val="28"/>
              </w:rPr>
              <w:t xml:space="preserve">  现代农业产业集群培育工程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3" w:hRule="atLeast"/>
          <w:jc w:val="center"/>
        </w:trPr>
        <w:tc>
          <w:tcPr>
            <w:tcW w:w="82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</w:tcPr>
          <w:p>
            <w:pPr>
              <w:pStyle w:val="13"/>
              <w:adjustRightInd w:val="0"/>
              <w:snapToGrid w:val="0"/>
              <w:spacing w:line="440" w:lineRule="exact"/>
              <w:ind w:firstLine="482"/>
              <w:rPr>
                <w:b/>
                <w:snapToGrid/>
                <w:color w:val="auto"/>
                <w:szCs w:val="28"/>
              </w:rPr>
            </w:pPr>
            <w:r>
              <w:rPr>
                <w:b/>
                <w:color w:val="auto"/>
                <w:szCs w:val="28"/>
              </w:rPr>
              <w:t>1.</w:t>
            </w:r>
            <w:r>
              <w:rPr>
                <w:rFonts w:hint="eastAsia"/>
                <w:b/>
                <w:color w:val="auto"/>
                <w:szCs w:val="28"/>
              </w:rPr>
              <w:t>汕尾</w:t>
            </w:r>
            <w:r>
              <w:rPr>
                <w:b/>
                <w:color w:val="auto"/>
                <w:szCs w:val="28"/>
              </w:rPr>
              <w:t>特色农业产业全链提升项目。</w:t>
            </w:r>
            <w:r>
              <w:rPr>
                <w:rFonts w:hint="eastAsia"/>
                <w:color w:val="auto"/>
              </w:rPr>
              <w:t>以“2+10+N”现代农业产业体系为引领，重点打造甘薯、丝苗米、荔枝、生猪、茶叶、青梅、油</w:t>
            </w:r>
            <w:r>
              <w:rPr>
                <w:rFonts w:hint="eastAsia"/>
                <w:color w:val="auto"/>
                <w:lang w:val="en-US" w:eastAsia="zh-CN"/>
              </w:rPr>
              <w:t>柑</w:t>
            </w:r>
            <w:r>
              <w:rPr>
                <w:rFonts w:hint="eastAsia"/>
                <w:color w:val="auto"/>
              </w:rPr>
              <w:t>及“汕尾三鲜”（海胆、海鲡鱼、晨洲蚝）等十大主导产业，培育陆河青梅、陂洋菠萝、莲花山茶等N个特色产业。实施农业产业融合发展项目，到2030年力争新增</w:t>
            </w:r>
            <w:r>
              <w:rPr>
                <w:rFonts w:hint="eastAsia"/>
                <w:color w:val="auto"/>
                <w:lang w:val="en-US" w:eastAsia="zh-CN"/>
              </w:rPr>
              <w:t>1</w:t>
            </w:r>
            <w:r>
              <w:rPr>
                <w:rFonts w:hint="eastAsia"/>
                <w:color w:val="auto"/>
              </w:rPr>
              <w:t>个国家现代农业产业园、</w:t>
            </w:r>
            <w:r>
              <w:rPr>
                <w:rFonts w:hint="eastAsia"/>
                <w:color w:val="auto"/>
                <w:lang w:val="en-US" w:eastAsia="zh-CN"/>
              </w:rPr>
              <w:t>1</w:t>
            </w:r>
            <w:r>
              <w:rPr>
                <w:rFonts w:hint="eastAsia"/>
                <w:color w:val="auto"/>
              </w:rPr>
              <w:t>个优势特色产业集群、</w:t>
            </w:r>
            <w:r>
              <w:rPr>
                <w:rFonts w:hint="eastAsia"/>
                <w:color w:val="auto"/>
                <w:lang w:val="en-US" w:eastAsia="zh-CN"/>
              </w:rPr>
              <w:t>5</w:t>
            </w:r>
            <w:r>
              <w:rPr>
                <w:rFonts w:hint="eastAsia"/>
                <w:color w:val="auto"/>
              </w:rPr>
              <w:t>个农业产业强镇。</w:t>
            </w:r>
          </w:p>
          <w:p>
            <w:pPr>
              <w:pStyle w:val="13"/>
              <w:adjustRightInd w:val="0"/>
              <w:snapToGrid w:val="0"/>
              <w:spacing w:line="440" w:lineRule="exact"/>
              <w:ind w:firstLine="482"/>
              <w:rPr>
                <w:color w:val="auto"/>
                <w:szCs w:val="28"/>
              </w:rPr>
            </w:pPr>
            <w:r>
              <w:rPr>
                <w:b/>
                <w:color w:val="auto"/>
                <w:szCs w:val="28"/>
              </w:rPr>
              <w:t>2.</w:t>
            </w:r>
            <w:r>
              <w:rPr>
                <w:b/>
                <w:color w:val="auto"/>
                <w:spacing w:val="8"/>
                <w:szCs w:val="28"/>
              </w:rPr>
              <w:t>农产品加工</w:t>
            </w:r>
            <w:r>
              <w:rPr>
                <w:rFonts w:hint="eastAsia"/>
                <w:b/>
                <w:color w:val="auto"/>
                <w:spacing w:val="8"/>
                <w:szCs w:val="28"/>
              </w:rPr>
              <w:t>业</w:t>
            </w:r>
            <w:r>
              <w:rPr>
                <w:b/>
                <w:color w:val="auto"/>
                <w:spacing w:val="8"/>
                <w:szCs w:val="28"/>
              </w:rPr>
              <w:t>高质量</w:t>
            </w:r>
            <w:r>
              <w:rPr>
                <w:rFonts w:hint="eastAsia"/>
                <w:b/>
                <w:color w:val="auto"/>
                <w:spacing w:val="8"/>
                <w:szCs w:val="28"/>
              </w:rPr>
              <w:t>发展</w:t>
            </w:r>
            <w:r>
              <w:rPr>
                <w:b/>
                <w:color w:val="auto"/>
                <w:spacing w:val="8"/>
                <w:szCs w:val="28"/>
              </w:rPr>
              <w:t>项目。</w:t>
            </w:r>
            <w:r>
              <w:rPr>
                <w:color w:val="auto"/>
                <w:szCs w:val="28"/>
              </w:rPr>
              <w:t>打造</w:t>
            </w:r>
            <w:r>
              <w:rPr>
                <w:rFonts w:hint="eastAsia"/>
                <w:color w:val="auto"/>
                <w:szCs w:val="28"/>
              </w:rPr>
              <w:t>汕尾海产品、农家羊肉类、果田果蔬饮品等</w:t>
            </w:r>
            <w:r>
              <w:rPr>
                <w:color w:val="auto"/>
                <w:szCs w:val="28"/>
              </w:rPr>
              <w:t>特色优势产业的</w:t>
            </w:r>
            <w:r>
              <w:rPr>
                <w:rFonts w:hint="eastAsia"/>
                <w:color w:val="auto"/>
                <w:szCs w:val="28"/>
              </w:rPr>
              <w:t>深</w:t>
            </w:r>
            <w:r>
              <w:rPr>
                <w:color w:val="auto"/>
                <w:szCs w:val="28"/>
              </w:rPr>
              <w:t>加工生产基地，建成农产品产地初加工项目</w:t>
            </w:r>
            <w:r>
              <w:rPr>
                <w:rFonts w:hint="eastAsia"/>
                <w:color w:val="auto"/>
                <w:szCs w:val="28"/>
              </w:rPr>
              <w:t>1</w:t>
            </w:r>
            <w:r>
              <w:rPr>
                <w:color w:val="auto"/>
                <w:szCs w:val="28"/>
              </w:rPr>
              <w:t>个，农产品精深加工项目</w:t>
            </w:r>
            <w:r>
              <w:rPr>
                <w:rFonts w:hint="eastAsia"/>
                <w:color w:val="auto"/>
                <w:szCs w:val="28"/>
              </w:rPr>
              <w:t>4</w:t>
            </w:r>
            <w:r>
              <w:rPr>
                <w:color w:val="auto"/>
                <w:szCs w:val="28"/>
              </w:rPr>
              <w:t>个以上。培育建立百</w:t>
            </w:r>
            <w:r>
              <w:rPr>
                <w:rFonts w:hint="eastAsia"/>
                <w:color w:val="auto"/>
                <w:szCs w:val="28"/>
              </w:rPr>
              <w:t>、五</w:t>
            </w:r>
            <w:r>
              <w:rPr>
                <w:color w:val="auto"/>
                <w:szCs w:val="28"/>
              </w:rPr>
              <w:t>十</w:t>
            </w:r>
            <w:r>
              <w:rPr>
                <w:rFonts w:hint="eastAsia"/>
                <w:color w:val="auto"/>
                <w:szCs w:val="28"/>
              </w:rPr>
              <w:t>、十</w:t>
            </w:r>
            <w:r>
              <w:rPr>
                <w:color w:val="auto"/>
                <w:szCs w:val="28"/>
              </w:rPr>
              <w:t>亿元级现代农业产业集群企业矩阵</w:t>
            </w:r>
            <w:r>
              <w:rPr>
                <w:rFonts w:hint="eastAsia"/>
                <w:color w:val="auto"/>
                <w:szCs w:val="28"/>
              </w:rPr>
              <w:t>，</w:t>
            </w:r>
            <w:r>
              <w:rPr>
                <w:color w:val="auto"/>
                <w:szCs w:val="28"/>
              </w:rPr>
              <w:t>建设有影响力的预制菜产业园。</w:t>
            </w:r>
          </w:p>
          <w:p>
            <w:pPr>
              <w:pStyle w:val="13"/>
              <w:adjustRightInd w:val="0"/>
              <w:snapToGrid w:val="0"/>
              <w:spacing w:line="440" w:lineRule="exact"/>
              <w:ind w:firstLine="482"/>
              <w:rPr>
                <w:color w:val="auto"/>
                <w:szCs w:val="28"/>
              </w:rPr>
            </w:pPr>
            <w:r>
              <w:rPr>
                <w:rFonts w:hint="eastAsia"/>
                <w:b/>
                <w:color w:val="auto"/>
                <w:szCs w:val="28"/>
              </w:rPr>
              <w:t>3</w:t>
            </w:r>
            <w:r>
              <w:rPr>
                <w:b/>
                <w:color w:val="auto"/>
                <w:szCs w:val="28"/>
              </w:rPr>
              <w:t>.农产品现代流通网络设施建设项目。</w:t>
            </w:r>
            <w:r>
              <w:rPr>
                <w:color w:val="auto"/>
                <w:szCs w:val="28"/>
              </w:rPr>
              <w:t>建设</w:t>
            </w:r>
            <w:r>
              <w:rPr>
                <w:rFonts w:hint="eastAsia"/>
                <w:color w:val="auto"/>
                <w:szCs w:val="28"/>
              </w:rPr>
              <w:t>9</w:t>
            </w:r>
            <w:r>
              <w:rPr>
                <w:color w:val="auto"/>
                <w:szCs w:val="28"/>
              </w:rPr>
              <w:t>个以上主要服务当地的供销公共型县域冷链综合服务</w:t>
            </w:r>
            <w:r>
              <w:rPr>
                <w:rFonts w:hint="eastAsia"/>
                <w:color w:val="auto"/>
                <w:szCs w:val="28"/>
              </w:rPr>
              <w:t>项目</w:t>
            </w:r>
            <w:r>
              <w:rPr>
                <w:color w:val="auto"/>
                <w:szCs w:val="28"/>
              </w:rPr>
              <w:t>，改造</w:t>
            </w:r>
            <w:r>
              <w:rPr>
                <w:rFonts w:hint="eastAsia"/>
                <w:color w:val="auto"/>
                <w:szCs w:val="28"/>
                <w:lang w:eastAsia="zh-CN"/>
              </w:rPr>
              <w:t>提升</w:t>
            </w:r>
            <w:r>
              <w:rPr>
                <w:rFonts w:hint="eastAsia"/>
                <w:color w:val="auto"/>
                <w:szCs w:val="28"/>
              </w:rPr>
              <w:t>畜禽综合屠宰冷链物流中心、区域性农产品冷链集配中心、沁果冷链物流园、东部片区冷链物流产业园等项目</w:t>
            </w:r>
            <w:r>
              <w:rPr>
                <w:color w:val="auto"/>
                <w:szCs w:val="28"/>
              </w:rPr>
              <w:t>；推进产地冷链集配中心和骨干冷链物流</w:t>
            </w:r>
            <w:r>
              <w:rPr>
                <w:rFonts w:hint="eastAsia"/>
                <w:color w:val="auto"/>
                <w:szCs w:val="28"/>
                <w:lang w:val="en-US" w:eastAsia="zh-CN"/>
              </w:rPr>
              <w:t>重点县等</w:t>
            </w:r>
            <w:r>
              <w:rPr>
                <w:color w:val="auto"/>
                <w:szCs w:val="28"/>
              </w:rPr>
              <w:t>重点项目建设。</w:t>
            </w:r>
          </w:p>
          <w:p>
            <w:pPr>
              <w:pStyle w:val="13"/>
              <w:adjustRightInd w:val="0"/>
              <w:snapToGrid w:val="0"/>
              <w:spacing w:line="440" w:lineRule="exact"/>
              <w:ind w:firstLine="482"/>
              <w:rPr>
                <w:color w:val="auto"/>
                <w:szCs w:val="28"/>
              </w:rPr>
            </w:pPr>
            <w:r>
              <w:rPr>
                <w:rFonts w:hint="eastAsia"/>
                <w:b/>
                <w:color w:val="auto"/>
                <w:szCs w:val="28"/>
              </w:rPr>
              <w:t>4.现代农业全产业链发展项目。</w:t>
            </w:r>
            <w:r>
              <w:rPr>
                <w:rFonts w:hint="eastAsia"/>
                <w:color w:val="auto"/>
                <w:szCs w:val="28"/>
              </w:rPr>
              <w:t>支持重点产业，如生猪、青梅、丝苗米、“大安蒜”、甘薯、咖啡等全产业链发展。建设高标厂房、食品生产车间、消防、环保等配套</w:t>
            </w:r>
            <w:r>
              <w:rPr>
                <w:rFonts w:hint="eastAsia"/>
                <w:color w:val="auto"/>
                <w:szCs w:val="28"/>
                <w:lang w:eastAsia="zh-CN"/>
              </w:rPr>
              <w:t>设施</w:t>
            </w:r>
            <w:r>
              <w:rPr>
                <w:rFonts w:hint="eastAsia"/>
                <w:color w:val="auto"/>
                <w:szCs w:val="28"/>
              </w:rPr>
              <w:t>，肉类冻库，</w:t>
            </w:r>
            <w:r>
              <w:rPr>
                <w:rFonts w:hint="eastAsia"/>
                <w:color w:val="auto"/>
                <w:szCs w:val="28"/>
                <w:lang w:eastAsia="zh-CN"/>
              </w:rPr>
              <w:t>购置</w:t>
            </w:r>
            <w:r>
              <w:rPr>
                <w:rFonts w:hint="eastAsia"/>
                <w:color w:val="auto"/>
                <w:szCs w:val="28"/>
              </w:rPr>
              <w:t>各类先进的生产线，结合汕尾市丰富的农业资源开展预制菜生产加工业务，推动汕尾产业高质量发展。</w:t>
            </w:r>
          </w:p>
          <w:p>
            <w:pPr>
              <w:pStyle w:val="13"/>
              <w:adjustRightInd w:val="0"/>
              <w:snapToGrid w:val="0"/>
              <w:spacing w:line="440" w:lineRule="exact"/>
              <w:ind w:firstLine="482"/>
              <w:rPr>
                <w:color w:val="auto"/>
                <w:szCs w:val="28"/>
              </w:rPr>
            </w:pPr>
            <w:r>
              <w:rPr>
                <w:rFonts w:hint="eastAsia"/>
                <w:b/>
                <w:color w:val="auto"/>
                <w:szCs w:val="28"/>
              </w:rPr>
              <w:t>5</w:t>
            </w:r>
            <w:r>
              <w:rPr>
                <w:b/>
                <w:color w:val="auto"/>
                <w:szCs w:val="28"/>
              </w:rPr>
              <w:t>.农文旅高品质融合项目。</w:t>
            </w:r>
            <w:r>
              <w:rPr>
                <w:rFonts w:hint="eastAsia"/>
                <w:color w:val="auto"/>
                <w:szCs w:val="28"/>
              </w:rPr>
              <w:t>联动星都经济开发区、潭西农业基地、河西生态文旅、西南特色文化资源，以星都产业园区为支撑，衔接潭西、西南特色种养资源，整合河西城郊商贸与公共服务优势，构建“农业种养+园区加工+商贸配套+文旅体验”完整产业链，重点谋划片区公共交通枢纽与物流配送点，串联产业园区、农业基地与文旅景点，聚焦产业升级、民生改善，打造陆丰中西部“产城农文旅融合、镇村联动发展”示范片区。</w:t>
            </w:r>
          </w:p>
          <w:p>
            <w:pPr>
              <w:pStyle w:val="13"/>
              <w:adjustRightInd w:val="0"/>
              <w:snapToGrid w:val="0"/>
              <w:spacing w:line="440" w:lineRule="exact"/>
              <w:ind w:firstLine="482"/>
              <w:rPr>
                <w:color w:val="auto"/>
                <w:szCs w:val="28"/>
              </w:rPr>
            </w:pPr>
            <w:r>
              <w:rPr>
                <w:rFonts w:hint="eastAsia"/>
                <w:b/>
                <w:color w:val="auto"/>
                <w:szCs w:val="28"/>
              </w:rPr>
              <w:t>6</w:t>
            </w:r>
            <w:r>
              <w:rPr>
                <w:b/>
                <w:color w:val="auto"/>
                <w:szCs w:val="28"/>
              </w:rPr>
              <w:t>.</w:t>
            </w:r>
            <w:r>
              <w:rPr>
                <w:rFonts w:hint="eastAsia"/>
                <w:b/>
                <w:color w:val="auto"/>
                <w:szCs w:val="28"/>
              </w:rPr>
              <w:t>休闲渔业</w:t>
            </w:r>
            <w:r>
              <w:rPr>
                <w:b/>
                <w:color w:val="auto"/>
                <w:szCs w:val="28"/>
              </w:rPr>
              <w:t>新业态培育项目。</w:t>
            </w:r>
            <w:r>
              <w:rPr>
                <w:color w:val="auto"/>
                <w:szCs w:val="28"/>
              </w:rPr>
              <w:t>因地制宜</w:t>
            </w:r>
            <w:r>
              <w:rPr>
                <w:rFonts w:hint="eastAsia"/>
                <w:color w:val="auto"/>
                <w:szCs w:val="28"/>
              </w:rPr>
              <w:t>建设9个休闲渔业特色产</w:t>
            </w:r>
            <w:r>
              <w:rPr>
                <w:color w:val="auto"/>
                <w:szCs w:val="28"/>
              </w:rPr>
              <w:t>业</w:t>
            </w:r>
            <w:r>
              <w:rPr>
                <w:rFonts w:hint="eastAsia"/>
                <w:color w:val="auto"/>
                <w:szCs w:val="28"/>
              </w:rPr>
              <w:t>项目</w:t>
            </w:r>
            <w:r>
              <w:rPr>
                <w:color w:val="auto"/>
                <w:szCs w:val="28"/>
              </w:rPr>
              <w:t>，打造</w:t>
            </w:r>
            <w:r>
              <w:rPr>
                <w:rFonts w:hint="eastAsia"/>
                <w:color w:val="auto"/>
                <w:szCs w:val="28"/>
              </w:rPr>
              <w:t>休闲渔港风貌</w:t>
            </w:r>
            <w:r>
              <w:rPr>
                <w:color w:val="auto"/>
                <w:szCs w:val="28"/>
              </w:rPr>
              <w:t>地。</w:t>
            </w:r>
            <w:r>
              <w:rPr>
                <w:rFonts w:hint="eastAsia"/>
                <w:color w:val="auto"/>
                <w:szCs w:val="28"/>
              </w:rPr>
              <w:t>发挥休闲码头改造的</w:t>
            </w:r>
            <w:r>
              <w:rPr>
                <w:color w:val="auto"/>
                <w:szCs w:val="28"/>
              </w:rPr>
              <w:t>经济发展</w:t>
            </w:r>
            <w:r>
              <w:rPr>
                <w:rFonts w:hint="eastAsia"/>
                <w:color w:val="auto"/>
                <w:szCs w:val="28"/>
              </w:rPr>
              <w:t>潜力</w:t>
            </w:r>
            <w:r>
              <w:rPr>
                <w:color w:val="auto"/>
                <w:szCs w:val="28"/>
              </w:rPr>
              <w:t>，</w:t>
            </w:r>
            <w:r>
              <w:rPr>
                <w:rFonts w:hint="eastAsia"/>
                <w:color w:val="auto"/>
                <w:szCs w:val="28"/>
              </w:rPr>
              <w:t>建设原生态鲈鱼美食旅游观光带，休闲垂钓体验基地及道路等基础设施，联合水产养殖科技园区推动申报休闲渔业示范基地。</w:t>
            </w:r>
          </w:p>
        </w:tc>
      </w:tr>
    </w:tbl>
    <w:p>
      <w:pPr>
        <w:pStyle w:val="2"/>
        <w:adjustRightInd w:val="0"/>
        <w:snapToGrid w:val="0"/>
        <w:spacing w:line="620" w:lineRule="exact"/>
        <w:ind w:firstLine="640" w:firstLineChars="200"/>
        <w:jc w:val="both"/>
        <w:rPr>
          <w:rFonts w:hint="eastAsia" w:ascii="黑体" w:hAnsi="黑体" w:eastAsia="黑体" w:cs="黑体"/>
          <w:color w:val="auto"/>
        </w:rPr>
      </w:pPr>
      <w:bookmarkStart w:id="56" w:name="_Toc298"/>
      <w:bookmarkStart w:id="57" w:name="_Toc7371"/>
      <w:bookmarkStart w:id="58" w:name="_Toc30516"/>
      <w:bookmarkStart w:id="59" w:name="_Toc28992"/>
      <w:r>
        <w:rPr>
          <w:rFonts w:hint="eastAsia" w:ascii="黑体" w:hAnsi="黑体" w:eastAsia="黑体" w:cs="黑体"/>
          <w:color w:val="auto"/>
          <w:lang w:val="en-US" w:eastAsia="zh-CN"/>
        </w:rPr>
        <w:t>五、</w:t>
      </w:r>
      <w:r>
        <w:rPr>
          <w:rFonts w:hint="eastAsia" w:ascii="黑体" w:hAnsi="黑体" w:eastAsia="黑体" w:cs="黑体"/>
          <w:color w:val="auto"/>
        </w:rPr>
        <w:t>全链条发展现代化海洋牧场</w:t>
      </w:r>
      <w:bookmarkEnd w:id="56"/>
      <w:bookmarkEnd w:id="57"/>
      <w:bookmarkEnd w:id="58"/>
      <w:bookmarkEnd w:id="59"/>
    </w:p>
    <w:p>
      <w:pPr>
        <w:pStyle w:val="3"/>
        <w:adjustRightInd w:val="0"/>
        <w:snapToGrid w:val="0"/>
        <w:spacing w:line="620" w:lineRule="exact"/>
        <w:ind w:firstLine="643" w:firstLineChars="200"/>
        <w:outlineLvl w:val="1"/>
        <w:rPr>
          <w:rFonts w:ascii="仿宋_GB2312" w:hAnsi="宋体" w:eastAsia="仿宋_GB2312" w:cs="宋体"/>
          <w:bCs w:val="0"/>
          <w:color w:val="auto"/>
          <w:kern w:val="0"/>
        </w:rPr>
      </w:pPr>
      <w:bookmarkStart w:id="60" w:name="_Toc1869"/>
      <w:bookmarkStart w:id="61" w:name="_Toc28635"/>
      <w:r>
        <w:rPr>
          <w:rFonts w:hint="eastAsia" w:ascii="仿宋_GB2312" w:hAnsi="仿宋_GB2312" w:eastAsia="仿宋_GB2312" w:cs="仿宋_GB2312"/>
          <w:b/>
          <w:bCs w:val="0"/>
          <w:color w:val="auto"/>
          <w:lang w:val="en-US" w:eastAsia="zh-CN"/>
        </w:rPr>
        <w:t>（十五）拓展深远海生态养殖空间。</w:t>
      </w:r>
      <w:r>
        <w:rPr>
          <w:rStyle w:val="26"/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 w:bidi="ar-SA"/>
          <w14:ligatures w14:val="standardContextual"/>
        </w:rPr>
        <w:t>科学利用近岸养殖海域，加快推进深远海养殖发展，强化马宫渔港、陆丰渔港等陆基配套产业空间协同。依托汕尾外海优质养殖海域，规模化布局建设深水养殖网箱，重点打造江牡岛、碣石湾等核心片区海上标准化养殖示范园区，到2030年，累计建成网箱2500个。推行生态化、集约化、循环化养殖模式，严控近海养殖密度，优化养殖品种结构，推动传统近海养殖向深远海绿色养殖转型升级，持续扩大优质海水水产品供给。</w:t>
      </w:r>
      <w:bookmarkEnd w:id="60"/>
      <w:bookmarkEnd w:id="61"/>
    </w:p>
    <w:p>
      <w:pPr>
        <w:pStyle w:val="3"/>
        <w:adjustRightInd w:val="0"/>
        <w:snapToGrid w:val="0"/>
        <w:spacing w:line="620" w:lineRule="exact"/>
        <w:ind w:firstLine="643" w:firstLineChars="200"/>
        <w:outlineLvl w:val="1"/>
        <w:rPr>
          <w:rStyle w:val="26"/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 w:bidi="ar-SA"/>
          <w14:ligatures w14:val="standardContextual"/>
        </w:rPr>
      </w:pPr>
      <w:bookmarkStart w:id="62" w:name="_Toc32276"/>
      <w:bookmarkStart w:id="63" w:name="_Toc24364"/>
      <w:r>
        <w:rPr>
          <w:rFonts w:hint="eastAsia" w:ascii="仿宋_GB2312" w:hAnsi="仿宋_GB2312" w:eastAsia="仿宋_GB2312" w:cs="仿宋_GB2312"/>
          <w:b/>
          <w:bCs w:val="0"/>
          <w:color w:val="auto"/>
          <w:lang w:val="en-US" w:eastAsia="zh-CN"/>
        </w:rPr>
        <w:t>（十六）提质升级渔港渔船体系。</w:t>
      </w:r>
      <w:r>
        <w:rPr>
          <w:rStyle w:val="26"/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 w:bidi="ar-SA"/>
          <w14:ligatures w14:val="standardContextual"/>
        </w:rPr>
        <w:t>统筹全市渔港资源整合与功能提升，科学优化沿海渔港、避风锚地布局规划，完善渔港停泊、装卸、补给、防灾减灾等基础配套设施。全力推进省级渔港经济区建设，以重点渔港为核心，联动周边渔业村镇、产业园区，打造集渔业生产、集散交易、配套服务于一体的渔港经济产业集聚区，到2030年，将马宫渔港争创为国家中心渔港，有序推进老旧海洋捕捞渔船报废更新、标准化改造，规范渔船生产管理，提升海洋捕捞现代化、安全化水平。</w:t>
      </w:r>
      <w:bookmarkEnd w:id="62"/>
      <w:bookmarkEnd w:id="63"/>
    </w:p>
    <w:p>
      <w:pPr>
        <w:pStyle w:val="3"/>
        <w:adjustRightInd w:val="0"/>
        <w:snapToGrid w:val="0"/>
        <w:spacing w:line="620" w:lineRule="exact"/>
        <w:ind w:firstLine="643" w:firstLineChars="200"/>
        <w:outlineLvl w:val="1"/>
        <w:rPr>
          <w:rFonts w:ascii="仿宋_GB2312" w:hAnsi="宋体" w:eastAsia="仿宋_GB2312" w:cs="宋体"/>
          <w:bCs w:val="0"/>
          <w:color w:val="auto"/>
          <w:kern w:val="0"/>
        </w:rPr>
      </w:pPr>
      <w:bookmarkStart w:id="64" w:name="_Toc21278"/>
      <w:bookmarkStart w:id="65" w:name="_Toc20481"/>
      <w:r>
        <w:rPr>
          <w:rFonts w:hint="eastAsia" w:ascii="仿宋_GB2312" w:hAnsi="仿宋_GB2312" w:eastAsia="仿宋_GB2312" w:cs="仿宋_GB2312"/>
          <w:b/>
          <w:bCs w:val="0"/>
          <w:color w:val="auto"/>
          <w:lang w:val="en-US" w:eastAsia="zh-CN"/>
        </w:rPr>
        <w:t>（十七）迭代升级陆基精品养殖产业。</w:t>
      </w:r>
      <w:r>
        <w:rPr>
          <w:rStyle w:val="26"/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 w:bidi="ar-SA"/>
          <w14:ligatures w14:val="standardContextual"/>
        </w:rPr>
        <w:t>大力发展水产品精深加工，推动产业向功能性物质及制品领域延伸，打造具有地方特色品牌的海洋渔业深加工基地。全面推进传统老旧养殖池塘标准化改造、生态化整治，盘活存量养殖空间。大力推广陆基循环水养殖、工厂化智能养殖等先进绿色养殖技术，配套建设智能化水质监测、精准投喂、尾水处理设施，有效解决传统养殖污染大、效益低、品质参差不齐等问题，全面提升陆基水产养殖标准化、智能化、绿色化发展水平。</w:t>
      </w:r>
      <w:bookmarkEnd w:id="64"/>
      <w:bookmarkEnd w:id="65"/>
    </w:p>
    <w:p>
      <w:pPr>
        <w:pStyle w:val="3"/>
        <w:adjustRightInd w:val="0"/>
        <w:snapToGrid w:val="0"/>
        <w:spacing w:line="620" w:lineRule="exact"/>
        <w:ind w:firstLine="643" w:firstLineChars="200"/>
        <w:outlineLvl w:val="1"/>
        <w:rPr>
          <w:rStyle w:val="26"/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 w:bidi="ar-SA"/>
          <w14:ligatures w14:val="standardContextual"/>
        </w:rPr>
      </w:pPr>
      <w:bookmarkStart w:id="66" w:name="_Toc26900"/>
      <w:bookmarkStart w:id="67" w:name="_Toc152"/>
      <w:r>
        <w:rPr>
          <w:rFonts w:hint="eastAsia" w:ascii="仿宋_GB2312" w:hAnsi="仿宋_GB2312" w:eastAsia="仿宋_GB2312" w:cs="仿宋_GB2312"/>
          <w:b/>
          <w:bCs w:val="0"/>
          <w:color w:val="auto"/>
          <w:lang w:val="en-US" w:eastAsia="zh-CN"/>
        </w:rPr>
        <w:t>（十八）推动海洋牧场全产业链协同融合发展。</w:t>
      </w:r>
      <w:r>
        <w:rPr>
          <w:rStyle w:val="26"/>
          <w:rFonts w:ascii="仿宋_GB2312" w:hAnsi="仿宋_GB2312" w:eastAsia="仿宋_GB2312" w:cs="仿宋_GB2312"/>
          <w:bCs/>
        </w:rPr>
        <w:t>构建融合渔业育种、水产养殖、精深加工、冷链物流于一体的全产业链。全面增强“深蓝种业”竞争力，鼓励种业企业与科研机构围绕高品质、单性别、抗病害的水产养殖品种开展联合攻关，支持开展海水良种规模化繁育和推广。聚焦现代化海洋牧场全链条提质增效，深耕水产良种繁育、规模化养殖、精深加工、冷链仓储、装备制造等核心业态，补齐产业发展短板。加快完善水产品冷链物流体系建设，支持在马宫、遮浪、三甲等重点渔港周边打造集海产品分拣、仓储、运输于一体的冷链物流基地。依托渔港经济区、海洋牧场示范载体，打造特色渔业品牌，提升汕尾水产品市场竞争力，全力建设粤东现代海洋经济高质量发展标杆示范区</w:t>
      </w:r>
      <w:r>
        <w:rPr>
          <w:rStyle w:val="26"/>
          <w:rFonts w:hint="eastAsia" w:ascii="仿宋_GB2312" w:hAnsi="仿宋_GB2312" w:eastAsia="仿宋_GB2312" w:cs="仿宋_GB2312"/>
          <w:bCs/>
          <w:lang w:eastAsia="zh-CN"/>
        </w:rPr>
        <w:t>。</w:t>
      </w:r>
      <w:bookmarkEnd w:id="66"/>
      <w:bookmarkEnd w:id="67"/>
    </w:p>
    <w:tbl>
      <w:tblPr>
        <w:tblStyle w:val="16"/>
        <w:tblW w:w="0" w:type="auto"/>
        <w:jc w:val="center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20"/>
      </w:tblGrid>
      <w:tr>
        <w:tblPrEx>
          <w:shd w:val="clear" w:color="auto" w:fill="FFFFFF"/>
        </w:tblPrEx>
        <w:trPr>
          <w:trHeight w:val="465" w:hRule="atLeast"/>
          <w:tblHeader/>
          <w:jc w:val="center"/>
        </w:trPr>
        <w:tc>
          <w:tcPr>
            <w:tcW w:w="82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</w:tcPr>
          <w:p>
            <w:pPr>
              <w:pStyle w:val="13"/>
              <w:adjustRightInd w:val="0"/>
              <w:snapToGrid w:val="0"/>
              <w:spacing w:line="440" w:lineRule="exact"/>
              <w:ind w:firstLine="0" w:firstLineChars="0"/>
              <w:jc w:val="center"/>
              <w:rPr>
                <w:rFonts w:eastAsia="黑体"/>
                <w:b/>
                <w:snapToGrid/>
                <w:color w:val="auto"/>
                <w:sz w:val="28"/>
                <w:szCs w:val="28"/>
              </w:rPr>
            </w:pPr>
            <w:bookmarkStart w:id="68" w:name="_Hlk232685107"/>
            <w:r>
              <w:rPr>
                <w:rStyle w:val="19"/>
                <w:rFonts w:eastAsia="黑体"/>
                <w:b w:val="0"/>
                <w:color w:val="auto"/>
                <w:spacing w:val="8"/>
                <w:sz w:val="28"/>
                <w:szCs w:val="28"/>
              </w:rPr>
              <w:t>专栏</w:t>
            </w:r>
            <w:r>
              <w:rPr>
                <w:rStyle w:val="19"/>
                <w:rFonts w:hint="eastAsia" w:eastAsia="黑体"/>
                <w:b w:val="0"/>
                <w:color w:val="auto"/>
                <w:spacing w:val="8"/>
                <w:sz w:val="28"/>
                <w:szCs w:val="28"/>
                <w:lang w:val="en-US" w:eastAsia="zh-CN"/>
              </w:rPr>
              <w:t>4</w:t>
            </w:r>
            <w:r>
              <w:rPr>
                <w:rStyle w:val="19"/>
                <w:rFonts w:eastAsia="黑体"/>
                <w:b w:val="0"/>
                <w:color w:val="auto"/>
                <w:spacing w:val="8"/>
                <w:sz w:val="28"/>
                <w:szCs w:val="28"/>
              </w:rPr>
              <w:t xml:space="preserve">  现代</w:t>
            </w:r>
            <w:r>
              <w:rPr>
                <w:rStyle w:val="19"/>
                <w:rFonts w:hint="eastAsia" w:eastAsia="黑体"/>
                <w:b w:val="0"/>
                <w:color w:val="auto"/>
                <w:spacing w:val="8"/>
                <w:sz w:val="28"/>
                <w:szCs w:val="28"/>
              </w:rPr>
              <w:t>化海洋牧场能级提升</w:t>
            </w:r>
            <w:r>
              <w:rPr>
                <w:rStyle w:val="19"/>
                <w:rFonts w:eastAsia="黑体"/>
                <w:b w:val="0"/>
                <w:color w:val="auto"/>
                <w:spacing w:val="8"/>
                <w:sz w:val="28"/>
                <w:szCs w:val="28"/>
              </w:rPr>
              <w:t>工程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3" w:hRule="atLeast"/>
          <w:jc w:val="center"/>
        </w:trPr>
        <w:tc>
          <w:tcPr>
            <w:tcW w:w="82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</w:tcPr>
          <w:p>
            <w:pPr>
              <w:pStyle w:val="1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firstLine="482" w:firstLineChars="200"/>
              <w:textAlignment w:val="auto"/>
              <w:rPr>
                <w:snapToGrid w:val="0"/>
                <w:color w:val="auto"/>
                <w:szCs w:val="28"/>
              </w:rPr>
            </w:pPr>
            <w:bookmarkStart w:id="69" w:name="OLE_LINK3"/>
            <w:r>
              <w:rPr>
                <w:rFonts w:cs="Times New Roman"/>
                <w:b/>
                <w:bCs w:val="0"/>
                <w:snapToGrid w:val="0"/>
                <w:color w:val="auto"/>
                <w:kern w:val="0"/>
                <w:sz w:val="24"/>
                <w:szCs w:val="28"/>
              </w:rPr>
              <w:t>1.</w:t>
            </w:r>
            <w:r>
              <w:rPr>
                <w:rFonts w:ascii="Times New Roman" w:hAnsi="Times New Roman" w:eastAsia="仿宋_GB2312" w:cs="Times New Roman"/>
                <w:b/>
                <w:bCs w:val="0"/>
                <w:snapToGrid w:val="0"/>
                <w:color w:val="auto"/>
                <w:kern w:val="0"/>
                <w:sz w:val="24"/>
                <w:szCs w:val="28"/>
              </w:rPr>
              <w:t>打造湾区标杆海洋牧场发展平台</w:t>
            </w:r>
            <w:r>
              <w:rPr>
                <w:rFonts w:hint="default" w:cs="Times New Roman"/>
                <w:b/>
                <w:bCs w:val="0"/>
                <w:snapToGrid w:val="0"/>
                <w:color w:val="auto"/>
                <w:kern w:val="0"/>
                <w:sz w:val="24"/>
                <w:szCs w:val="28"/>
              </w:rPr>
              <w:t>。</w:t>
            </w:r>
            <w:r>
              <w:rPr>
                <w:rFonts w:ascii="Times New Roman" w:hAnsi="Times New Roman" w:eastAsia="仿宋_GB2312" w:cs="Times New Roman"/>
                <w:bCs/>
                <w:snapToGrid w:val="0"/>
                <w:color w:val="auto"/>
                <w:kern w:val="0"/>
                <w:sz w:val="24"/>
                <w:szCs w:val="28"/>
              </w:rPr>
              <w:t>发挥国企资源整合与资本引领作用，引导国资主体全面参与海洋牧场开发运营，依托湾区海域优势，建设红海湾、碣石湾两大现代化海洋牧场创新园。统筹渔港与海洋牧场协同发展，保质保量完成国家级沿海渔港经济区建设任务，</w:t>
            </w:r>
            <w:r>
              <w:rPr>
                <w:rFonts w:hint="eastAsia" w:cs="Times New Roman"/>
                <w:bCs/>
                <w:snapToGrid w:val="0"/>
                <w:color w:val="auto"/>
                <w:kern w:val="0"/>
                <w:sz w:val="24"/>
                <w:szCs w:val="28"/>
                <w:lang w:eastAsia="zh-CN"/>
              </w:rPr>
              <w:t>“十五五”期间</w:t>
            </w:r>
            <w:r>
              <w:rPr>
                <w:rFonts w:ascii="Times New Roman" w:hAnsi="Times New Roman" w:eastAsia="仿宋_GB2312" w:cs="Times New Roman"/>
                <w:bCs/>
                <w:snapToGrid w:val="0"/>
                <w:color w:val="auto"/>
                <w:kern w:val="0"/>
                <w:sz w:val="24"/>
                <w:szCs w:val="28"/>
              </w:rPr>
              <w:t>新增布局2个省级渔港经济区，完善渔港集散、冷链物流、渔贸服务配套，构建港牧融合、陆海联动的渔业发展格局。</w:t>
            </w:r>
          </w:p>
          <w:p>
            <w:pPr>
              <w:pStyle w:val="1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firstLine="482" w:firstLineChars="200"/>
              <w:textAlignment w:val="auto"/>
              <w:rPr>
                <w:snapToGrid w:val="0"/>
                <w:color w:val="auto"/>
                <w:szCs w:val="28"/>
              </w:rPr>
            </w:pPr>
            <w:r>
              <w:rPr>
                <w:rFonts w:cs="Times New Roman"/>
                <w:b/>
                <w:bCs w:val="0"/>
                <w:color w:val="auto"/>
                <w:kern w:val="0"/>
                <w:sz w:val="24"/>
                <w:szCs w:val="28"/>
              </w:rPr>
              <w:t>2.</w:t>
            </w:r>
            <w:r>
              <w:rPr>
                <w:rFonts w:cs="Times New Roman"/>
                <w:b/>
                <w:bCs w:val="0"/>
                <w:snapToGrid w:val="0"/>
                <w:color w:val="auto"/>
                <w:kern w:val="0"/>
                <w:sz w:val="24"/>
                <w:szCs w:val="28"/>
              </w:rPr>
              <w:t>构建特色海洋种业产业集群</w:t>
            </w:r>
            <w:r>
              <w:rPr>
                <w:rFonts w:hint="default" w:cs="Times New Roman"/>
                <w:b/>
                <w:bCs w:val="0"/>
                <w:snapToGrid w:val="0"/>
                <w:color w:val="auto"/>
                <w:kern w:val="0"/>
                <w:sz w:val="24"/>
                <w:szCs w:val="28"/>
              </w:rPr>
              <w:t>。</w:t>
            </w:r>
            <w:r>
              <w:rPr>
                <w:rFonts w:cs="Times New Roman"/>
                <w:snapToGrid w:val="0"/>
                <w:color w:val="auto"/>
                <w:kern w:val="0"/>
                <w:sz w:val="24"/>
                <w:szCs w:val="28"/>
              </w:rPr>
              <w:t>落实渔业种业振兴行动，以捷胜海洋种业产业园为核心载体，集聚全市良种繁育、种质保护、种苗检测相关资源，打造区域性海洋牧场种业集群。聚焦本地优势养殖品种，开展良种选育与种质资源保护，补齐渔业种源短板，筑牢海洋渔业产业发展源头支撑。</w:t>
            </w:r>
          </w:p>
          <w:p>
            <w:pPr>
              <w:pStyle w:val="1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firstLine="482" w:firstLineChars="200"/>
              <w:textAlignment w:val="auto"/>
              <w:rPr>
                <w:rFonts w:hint="default"/>
                <w:snapToGrid w:val="0"/>
                <w:color w:val="auto"/>
                <w:szCs w:val="28"/>
              </w:rPr>
            </w:pPr>
            <w:r>
              <w:rPr>
                <w:rFonts w:cs="Times New Roman"/>
                <w:b/>
                <w:bCs w:val="0"/>
                <w:color w:val="auto"/>
                <w:kern w:val="0"/>
                <w:sz w:val="24"/>
                <w:szCs w:val="28"/>
              </w:rPr>
              <w:t>3</w:t>
            </w:r>
            <w:r>
              <w:rPr>
                <w:rFonts w:hint="default" w:cs="Times New Roman"/>
                <w:b/>
                <w:bCs w:val="0"/>
                <w:color w:val="auto"/>
                <w:kern w:val="0"/>
                <w:sz w:val="24"/>
                <w:szCs w:val="28"/>
              </w:rPr>
              <w:t>.</w:t>
            </w:r>
            <w:r>
              <w:rPr>
                <w:rFonts w:cs="Times New Roman"/>
                <w:b/>
                <w:bCs w:val="0"/>
                <w:snapToGrid w:val="0"/>
                <w:color w:val="auto"/>
                <w:kern w:val="0"/>
                <w:sz w:val="24"/>
                <w:szCs w:val="28"/>
              </w:rPr>
              <w:t>推动水产产业提质增效升级</w:t>
            </w:r>
            <w:r>
              <w:rPr>
                <w:rFonts w:hint="default" w:cs="Times New Roman"/>
                <w:b/>
                <w:bCs w:val="0"/>
                <w:snapToGrid w:val="0"/>
                <w:color w:val="auto"/>
                <w:kern w:val="0"/>
                <w:sz w:val="24"/>
                <w:szCs w:val="28"/>
              </w:rPr>
              <w:t>。</w:t>
            </w:r>
            <w:r>
              <w:rPr>
                <w:rFonts w:cs="Times New Roman"/>
                <w:snapToGrid w:val="0"/>
                <w:color w:val="auto"/>
                <w:kern w:val="0"/>
                <w:sz w:val="24"/>
                <w:szCs w:val="28"/>
              </w:rPr>
              <w:t>立足片区产业基础，在马宫、东海两大片区分别布局水产精深加工产业园，补齐水产品后端加工短板。深化高校及科研院所产学研合作，聚焦海洋休闲食品、海洋生物制品两大领域开展技术攻关，推动水产品初级加工向高附加值精深加工转型，延伸渔业价值链，推动产业提质增效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482" w:firstLineChars="200"/>
              <w:jc w:val="left"/>
              <w:textAlignment w:val="auto"/>
              <w:rPr>
                <w:rFonts w:cs="Times New Roman"/>
                <w:snapToGrid w:val="0"/>
                <w:color w:val="auto"/>
                <w:kern w:val="0"/>
                <w:sz w:val="24"/>
                <w:szCs w:val="28"/>
              </w:rPr>
            </w:pPr>
            <w:r>
              <w:rPr>
                <w:rFonts w:cs="Times New Roman"/>
                <w:b/>
                <w:bCs w:val="0"/>
                <w:snapToGrid w:val="0"/>
                <w:color w:val="auto"/>
                <w:kern w:val="0"/>
                <w:sz w:val="24"/>
                <w:szCs w:val="28"/>
              </w:rPr>
              <w:t>4.提速中挪三文鱼陆基养殖项目落地</w:t>
            </w:r>
            <w:r>
              <w:rPr>
                <w:rFonts w:hint="default" w:cs="Times New Roman"/>
                <w:b/>
                <w:bCs w:val="0"/>
                <w:snapToGrid w:val="0"/>
                <w:color w:val="auto"/>
                <w:kern w:val="0"/>
                <w:sz w:val="24"/>
                <w:szCs w:val="28"/>
              </w:rPr>
              <w:t>。</w:t>
            </w:r>
            <w:r>
              <w:rPr>
                <w:rFonts w:ascii="Times New Roman" w:hAnsi="Times New Roman" w:eastAsia="仿宋_GB2312" w:cs="Times New Roman"/>
                <w:bCs/>
                <w:snapToGrid w:val="0"/>
                <w:color w:val="auto"/>
                <w:kern w:val="0"/>
                <w:sz w:val="24"/>
                <w:szCs w:val="28"/>
              </w:rPr>
              <w:t>加快推进中挪合作三文鱼陆基养殖项目建设，整合内外技术与资源优势，构建集种苗研发、生态养殖、精深加工、餐饮消费、滨海观光于一体的完整全产业链业态，培育高端水产养殖新动能。</w:t>
            </w:r>
            <w:bookmarkEnd w:id="69"/>
          </w:p>
        </w:tc>
      </w:tr>
      <w:bookmarkEnd w:id="68"/>
    </w:tbl>
    <w:p>
      <w:pPr>
        <w:pStyle w:val="6"/>
        <w:adjustRightInd w:val="0"/>
        <w:snapToGrid w:val="0"/>
        <w:spacing w:after="0" w:line="620" w:lineRule="exact"/>
        <w:ind w:firstLine="640" w:firstLineChars="200"/>
        <w:jc w:val="both"/>
        <w:outlineLvl w:val="0"/>
        <w:rPr>
          <w:rFonts w:hint="eastAsia" w:ascii="黑体" w:hAnsi="黑体" w:eastAsia="黑体" w:cs="黑体"/>
          <w:color w:val="auto"/>
          <w:kern w:val="44"/>
          <w14:ligatures w14:val="standardContextual"/>
        </w:rPr>
      </w:pPr>
      <w:bookmarkStart w:id="70" w:name="_Toc25701"/>
      <w:bookmarkStart w:id="71" w:name="_Toc26436"/>
      <w:bookmarkStart w:id="72" w:name="_Toc6481"/>
      <w:bookmarkStart w:id="73" w:name="_Toc7917"/>
      <w:r>
        <w:rPr>
          <w:rFonts w:hint="eastAsia" w:ascii="黑体" w:hAnsi="黑体" w:eastAsia="黑体" w:cs="黑体"/>
          <w:color w:val="auto"/>
          <w:kern w:val="44"/>
          <w:lang w:val="en-US" w:eastAsia="zh-CN"/>
          <w14:ligatures w14:val="standardContextual"/>
        </w:rPr>
        <w:t>六</w:t>
      </w:r>
      <w:r>
        <w:rPr>
          <w:rFonts w:hint="eastAsia" w:ascii="黑体" w:hAnsi="黑体" w:eastAsia="黑体" w:cs="黑体"/>
          <w:color w:val="auto"/>
          <w:kern w:val="44"/>
          <w14:ligatures w14:val="standardContextual"/>
        </w:rPr>
        <w:t>、</w:t>
      </w:r>
      <w:r>
        <w:rPr>
          <w:rFonts w:hint="eastAsia" w:ascii="黑体" w:hAnsi="黑体" w:eastAsia="黑体" w:cs="黑体"/>
          <w:kern w:val="44"/>
          <w14:ligatures w14:val="standardContextual"/>
        </w:rPr>
        <w:t>拓宽农民增收致富渠道推进共同富裕</w:t>
      </w:r>
      <w:r>
        <w:rPr>
          <w:rFonts w:hint="eastAsia" w:ascii="黑体" w:hAnsi="黑体" w:eastAsia="黑体" w:cs="黑体"/>
          <w:kern w:val="44"/>
          <w:lang w:val="en-US" w:eastAsia="zh-CN"/>
          <w14:ligatures w14:val="standardContextual"/>
        </w:rPr>
        <w:t>取得</w:t>
      </w:r>
      <w:r>
        <w:rPr>
          <w:rFonts w:hint="eastAsia" w:ascii="黑体" w:hAnsi="黑体" w:eastAsia="黑体" w:cs="黑体"/>
          <w:kern w:val="44"/>
          <w14:ligatures w14:val="standardContextual"/>
        </w:rPr>
        <w:t>进展</w:t>
      </w:r>
      <w:bookmarkEnd w:id="70"/>
    </w:p>
    <w:p>
      <w:pPr>
        <w:pStyle w:val="6"/>
        <w:adjustRightInd w:val="0"/>
        <w:snapToGrid w:val="0"/>
        <w:spacing w:after="0" w:line="620" w:lineRule="exact"/>
        <w:ind w:firstLine="643" w:firstLineChars="200"/>
        <w:jc w:val="both"/>
        <w:outlineLvl w:val="1"/>
        <w:rPr>
          <w:rStyle w:val="26"/>
          <w:rFonts w:ascii="仿宋_GB2312" w:hAnsi="仿宋_GB2312" w:eastAsia="仿宋_GB2312" w:cs="仿宋_GB2312"/>
          <w:color w:val="auto"/>
          <w:kern w:val="0"/>
          <w14:ligatures w14:val="standardContextual"/>
        </w:rPr>
      </w:pPr>
      <w:bookmarkStart w:id="74" w:name="_Toc1417"/>
      <w:r>
        <w:rPr>
          <w:rFonts w:hint="eastAsia" w:ascii="仿宋_GB2312" w:hAnsi="仿宋_GB2312" w:eastAsia="仿宋_GB2312" w:cs="仿宋_GB2312"/>
          <w:b/>
          <w:bCs w:val="0"/>
          <w:color w:val="auto"/>
          <w:kern w:val="0"/>
          <w14:ligatures w14:val="standardContextual"/>
        </w:rPr>
        <w:t>（</w:t>
      </w:r>
      <w:r>
        <w:rPr>
          <w:rFonts w:hint="eastAsia" w:ascii="仿宋_GB2312" w:hAnsi="仿宋_GB2312" w:eastAsia="仿宋_GB2312" w:cs="仿宋_GB2312"/>
          <w:b/>
          <w:bCs w:val="0"/>
          <w:color w:val="auto"/>
          <w:kern w:val="0"/>
          <w:lang w:val="en-US" w:eastAsia="zh-CN"/>
          <w14:ligatures w14:val="standardContextual"/>
        </w:rPr>
        <w:t>十九</w:t>
      </w:r>
      <w:r>
        <w:rPr>
          <w:rFonts w:hint="eastAsia" w:ascii="仿宋_GB2312" w:hAnsi="仿宋_GB2312" w:eastAsia="仿宋_GB2312" w:cs="仿宋_GB2312"/>
          <w:b/>
          <w:bCs w:val="0"/>
          <w:color w:val="auto"/>
          <w:kern w:val="0"/>
          <w14:ligatures w14:val="standardContextual"/>
        </w:rPr>
        <w:t>）大力培育乡村新产业新业态</w:t>
      </w:r>
      <w:r>
        <w:rPr>
          <w:rFonts w:hint="eastAsia" w:ascii="仿宋_GB2312" w:hAnsi="仿宋_GB2312" w:cs="仿宋_GB2312"/>
          <w:b/>
          <w:bCs w:val="0"/>
          <w:color w:val="auto"/>
          <w:kern w:val="0"/>
          <w:lang w:eastAsia="zh-CN"/>
          <w14:ligatures w14:val="standardContextual"/>
        </w:rPr>
        <w:t>。</w:t>
      </w:r>
      <w:r>
        <w:rPr>
          <w:rStyle w:val="26"/>
          <w:rFonts w:ascii="仿宋_GB2312" w:hAnsi="仿宋_GB2312" w:eastAsia="仿宋_GB2312" w:cs="仿宋_GB2312"/>
          <w:color w:val="auto"/>
          <w:kern w:val="0"/>
          <w14:ligatures w14:val="standardContextual"/>
        </w:rPr>
        <w:t>汕尾市深入推进农文旅融合发展建设，</w:t>
      </w:r>
      <w:r>
        <w:rPr>
          <w:rStyle w:val="26"/>
          <w:rFonts w:hint="eastAsia" w:ascii="仿宋_GB2312" w:hAnsi="仿宋_GB2312" w:eastAsia="仿宋_GB2312" w:cs="仿宋_GB2312"/>
          <w:b/>
          <w:bCs w:val="0"/>
          <w:color w:val="auto"/>
          <w:kern w:val="0"/>
          <w14:ligatures w14:val="standardContextual"/>
        </w:rPr>
        <w:t>激活乡村多元发展动能</w:t>
      </w:r>
      <w:r>
        <w:rPr>
          <w:rStyle w:val="26"/>
          <w:rFonts w:hint="eastAsia" w:ascii="仿宋_GB2312" w:hAnsi="仿宋_GB2312" w:cs="仿宋_GB2312"/>
          <w:b/>
          <w:bCs w:val="0"/>
          <w:color w:val="auto"/>
          <w:kern w:val="0"/>
          <w:lang w:eastAsia="zh-CN"/>
          <w14:ligatures w14:val="standardContextual"/>
        </w:rPr>
        <w:t>，</w:t>
      </w:r>
      <w:r>
        <w:rPr>
          <w:rStyle w:val="26"/>
          <w:rFonts w:ascii="仿宋_GB2312" w:hAnsi="仿宋_GB2312" w:eastAsia="仿宋_GB2312" w:cs="仿宋_GB2312"/>
          <w:color w:val="auto"/>
          <w:kern w:val="0"/>
          <w14:ligatures w14:val="standardContextual"/>
        </w:rPr>
        <w:t>以“农文旅+”赋能乡村产业升级，整合滨海风光、红色文旅、田园生态、古村落资源，推动农文旅体深度融合。持续推进乡村民宿提质升级，常态化开展乡村酒店、民宿等级评定与规范化培育，</w:t>
      </w:r>
      <w:r>
        <w:rPr>
          <w:rStyle w:val="26"/>
          <w:rFonts w:hint="eastAsia" w:ascii="仿宋_GB2312" w:hAnsi="仿宋_GB2312" w:cs="仿宋_GB2312"/>
          <w:color w:val="auto"/>
          <w:kern w:val="0"/>
          <w:lang w:val="en-US" w:eastAsia="zh-CN"/>
          <w14:ligatures w14:val="standardContextual"/>
        </w:rPr>
        <w:t>力争</w:t>
      </w:r>
      <w:r>
        <w:rPr>
          <w:rStyle w:val="26"/>
          <w:rFonts w:ascii="仿宋_GB2312" w:hAnsi="仿宋_GB2312" w:eastAsia="仿宋_GB2312" w:cs="仿宋_GB2312"/>
          <w:color w:val="auto"/>
          <w:kern w:val="0"/>
          <w14:ligatures w14:val="standardContextual"/>
        </w:rPr>
        <w:t>打造一批滨海精品民宿。积极培育乡村特色新兴业态，依托本地养殖产业基础，探索低空经济乡村应用场景，推动无人机农业植保</w:t>
      </w:r>
      <w:r>
        <w:rPr>
          <w:rStyle w:val="26"/>
          <w:rFonts w:hint="eastAsia" w:ascii="仿宋_GB2312" w:hAnsi="仿宋_GB2312" w:cs="仿宋_GB2312"/>
          <w:color w:val="auto"/>
          <w:kern w:val="0"/>
          <w:lang w:eastAsia="zh-CN"/>
          <w14:ligatures w14:val="standardContextual"/>
        </w:rPr>
        <w:t>等</w:t>
      </w:r>
      <w:r>
        <w:rPr>
          <w:rStyle w:val="26"/>
          <w:rFonts w:ascii="仿宋_GB2312" w:hAnsi="仿宋_GB2312" w:eastAsia="仿宋_GB2312" w:cs="仿宋_GB2312"/>
          <w:color w:val="auto"/>
          <w:kern w:val="0"/>
          <w14:ligatures w14:val="standardContextual"/>
        </w:rPr>
        <w:t>，提升现代农业智能化水平。全面落实“数商兴农”和“互联网+”农产品出村进城工程，实施农村电商高质量发展行动，依托镇村电商服务站、直播电商基地，培育农村直播带货、社群营销等新模式，打通农产品线上销售通道，让乡村新业态成为农民增收新引擎。</w:t>
      </w:r>
      <w:bookmarkEnd w:id="74"/>
    </w:p>
    <w:p>
      <w:pPr>
        <w:pStyle w:val="6"/>
        <w:adjustRightInd w:val="0"/>
        <w:snapToGrid w:val="0"/>
        <w:spacing w:after="0" w:line="620" w:lineRule="exact"/>
        <w:ind w:firstLine="643" w:firstLineChars="200"/>
        <w:jc w:val="both"/>
        <w:outlineLvl w:val="1"/>
        <w:rPr>
          <w:rStyle w:val="26"/>
          <w:rFonts w:ascii="仿宋_GB2312" w:hAnsi="仿宋_GB2312" w:eastAsia="仿宋_GB2312" w:cs="仿宋_GB2312"/>
          <w:color w:val="auto"/>
          <w:kern w:val="0"/>
          <w14:ligatures w14:val="standardContextual"/>
        </w:rPr>
      </w:pPr>
      <w:bookmarkStart w:id="75" w:name="_Toc18631"/>
      <w:r>
        <w:rPr>
          <w:rFonts w:hint="eastAsia" w:ascii="仿宋_GB2312" w:hAnsi="仿宋_GB2312" w:eastAsia="仿宋_GB2312" w:cs="仿宋_GB2312"/>
          <w:b/>
          <w:bCs w:val="0"/>
          <w:color w:val="auto"/>
          <w:kern w:val="0"/>
          <w:lang w:val="en-US" w:eastAsia="zh-CN"/>
          <w14:ligatures w14:val="standardContextual"/>
        </w:rPr>
        <w:t>（二十）</w:t>
      </w:r>
      <w:r>
        <w:rPr>
          <w:rFonts w:hint="eastAsia" w:ascii="仿宋_GB2312" w:hAnsi="仿宋_GB2312" w:eastAsia="仿宋_GB2312" w:cs="仿宋_GB2312"/>
          <w:b/>
          <w:bCs w:val="0"/>
          <w:color w:val="auto"/>
          <w:kern w:val="0"/>
          <w14:ligatures w14:val="standardContextual"/>
        </w:rPr>
        <w:t>推进小生产与大市场紧密衔接</w:t>
      </w:r>
      <w:r>
        <w:rPr>
          <w:rFonts w:hint="eastAsia" w:ascii="仿宋_GB2312" w:hAnsi="仿宋_GB2312" w:eastAsia="仿宋_GB2312" w:cs="仿宋_GB2312"/>
          <w:b/>
          <w:bCs w:val="0"/>
          <w:color w:val="auto"/>
          <w:kern w:val="0"/>
          <w:lang w:eastAsia="zh-CN"/>
          <w14:ligatures w14:val="standardContextual"/>
        </w:rPr>
        <w:t>。</w:t>
      </w:r>
      <w:r>
        <w:rPr>
          <w:rStyle w:val="26"/>
          <w:rFonts w:ascii="仿宋_GB2312" w:hAnsi="仿宋_GB2312" w:eastAsia="仿宋_GB2312" w:cs="仿宋_GB2312"/>
          <w:color w:val="auto"/>
          <w:kern w:val="0"/>
          <w14:ligatures w14:val="standardContextual"/>
        </w:rPr>
        <w:t>深化落实广东省农产品“12221”市场营销体系建设要求，创新推行“媒体+农产品”，全面激活农产品市场活力。常态化参与、自主开展农产品展销、产销对接活动，搭建线上线下一体化促销平台。健全“粤字号”农业品牌培育、管理、营销、扶持全链条体系，完善品牌目录管理与宣传推广机制。持续深化供销社“社村合作”机制，组建社村合作联合会，搭建镇村一体化为农服务和产销对接平台，构建“线上全网覆盖、线下全域联动、市内深耕、市外拓展”的农产品营销网络，有效破解小农户产销分散、议价能力弱、销售渠道窄的难题，实现小生产精准对接大市场。</w:t>
      </w:r>
      <w:bookmarkEnd w:id="75"/>
    </w:p>
    <w:p>
      <w:pPr>
        <w:pStyle w:val="6"/>
        <w:adjustRightInd w:val="0"/>
        <w:snapToGrid w:val="0"/>
        <w:spacing w:after="0" w:line="620" w:lineRule="exact"/>
        <w:ind w:firstLine="643" w:firstLineChars="200"/>
        <w:jc w:val="both"/>
        <w:outlineLvl w:val="1"/>
        <w:rPr>
          <w:rStyle w:val="26"/>
          <w:rFonts w:ascii="仿宋_GB2312" w:hAnsi="仿宋_GB2312" w:eastAsia="仿宋_GB2312" w:cs="仿宋_GB2312"/>
          <w:color w:val="auto"/>
          <w:kern w:val="0"/>
          <w14:ligatures w14:val="standardContextual"/>
        </w:rPr>
      </w:pPr>
      <w:bookmarkStart w:id="76" w:name="_Toc11071"/>
      <w:r>
        <w:rPr>
          <w:rFonts w:hint="eastAsia" w:ascii="仿宋_GB2312" w:hAnsi="仿宋_GB2312" w:eastAsia="仿宋_GB2312" w:cs="仿宋_GB2312"/>
          <w:b/>
          <w:bCs w:val="0"/>
          <w:color w:val="auto"/>
          <w:kern w:val="0"/>
          <w:lang w:val="en-US" w:eastAsia="zh-CN"/>
          <w14:ligatures w14:val="standardContextual"/>
        </w:rPr>
        <w:t>（二十一）</w:t>
      </w:r>
      <w:r>
        <w:rPr>
          <w:rFonts w:hint="eastAsia" w:ascii="仿宋_GB2312" w:hAnsi="仿宋_GB2312" w:eastAsia="仿宋_GB2312" w:cs="仿宋_GB2312"/>
          <w:b/>
          <w:bCs w:val="0"/>
          <w:color w:val="auto"/>
          <w:kern w:val="0"/>
          <w14:ligatures w14:val="standardContextual"/>
        </w:rPr>
        <w:t>健全多元长效</w:t>
      </w:r>
      <w:r>
        <w:rPr>
          <w:rFonts w:hint="eastAsia" w:ascii="仿宋_GB2312" w:hAnsi="仿宋_GB2312" w:eastAsia="仿宋_GB2312" w:cs="仿宋_GB2312"/>
          <w:b/>
          <w:bCs w:val="0"/>
          <w:color w:val="auto"/>
          <w:kern w:val="0"/>
          <w:lang w:val="en-US" w:eastAsia="zh-CN"/>
          <w14:ligatures w14:val="standardContextual"/>
        </w:rPr>
        <w:t>农民</w:t>
      </w:r>
      <w:r>
        <w:rPr>
          <w:rFonts w:hint="eastAsia" w:ascii="仿宋_GB2312" w:hAnsi="仿宋_GB2312" w:eastAsia="仿宋_GB2312" w:cs="仿宋_GB2312"/>
          <w:b/>
          <w:bCs w:val="0"/>
          <w:color w:val="auto"/>
          <w:kern w:val="0"/>
          <w14:ligatures w14:val="standardContextual"/>
        </w:rPr>
        <w:t>增收机制</w:t>
      </w:r>
      <w:r>
        <w:rPr>
          <w:rFonts w:hint="eastAsia" w:ascii="仿宋_GB2312" w:hAnsi="仿宋_GB2312" w:eastAsia="仿宋_GB2312" w:cs="仿宋_GB2312"/>
          <w:b/>
          <w:bCs w:val="0"/>
          <w:color w:val="auto"/>
          <w:kern w:val="0"/>
          <w:lang w:eastAsia="zh-CN"/>
          <w14:ligatures w14:val="standardContextual"/>
        </w:rPr>
        <w:t>。</w:t>
      </w:r>
      <w:r>
        <w:rPr>
          <w:rStyle w:val="26"/>
          <w:rFonts w:ascii="仿宋_GB2312" w:hAnsi="仿宋_GB2312" w:eastAsia="仿宋_GB2312" w:cs="仿宋_GB2312"/>
          <w:color w:val="auto"/>
          <w:kern w:val="0"/>
          <w14:ligatures w14:val="standardContextual"/>
        </w:rPr>
        <w:t>全面落实城乡居民增收提质计划，大力发展特色县域镇域经济，主动承接劳动密集型、农产品加工型产业梯度转移，布局建设乡村“微工厂”“加工点”，吸纳农村劳动力就地就近稳定就业。持续扩大以工代赈实施范围，覆盖乡村道路、水利、人居环境整治等领域，提升劳务报酬占比，优先吸纳本地村民、脱贫劳动力、监测对象务工增收，推广“乡村工匠”培育模式，常态化开展技能培训，壮大乡村技能人才队伍。</w:t>
      </w:r>
      <w:bookmarkEnd w:id="76"/>
    </w:p>
    <w:p>
      <w:pPr>
        <w:pStyle w:val="6"/>
        <w:adjustRightInd w:val="0"/>
        <w:snapToGrid w:val="0"/>
        <w:spacing w:after="0" w:line="620" w:lineRule="exact"/>
        <w:ind w:firstLine="643" w:firstLineChars="200"/>
        <w:jc w:val="left"/>
        <w:outlineLvl w:val="1"/>
        <w:rPr>
          <w:rStyle w:val="26"/>
          <w:rFonts w:ascii="仿宋_GB2312" w:hAnsi="仿宋_GB2312" w:eastAsia="仿宋_GB2312" w:cs="仿宋_GB2312"/>
          <w:color w:val="auto"/>
          <w:kern w:val="0"/>
        </w:rPr>
      </w:pPr>
      <w:bookmarkStart w:id="77" w:name="_Toc24244"/>
      <w:r>
        <w:rPr>
          <w:rFonts w:hint="eastAsia" w:ascii="仿宋_GB2312" w:hAnsi="仿宋_GB2312" w:eastAsia="仿宋_GB2312" w:cs="仿宋_GB2312"/>
          <w:b/>
          <w:bCs w:val="0"/>
          <w:color w:val="auto"/>
          <w:kern w:val="0"/>
          <w:lang w:val="en-US" w:eastAsia="zh-CN"/>
          <w14:ligatures w14:val="standardContextual"/>
        </w:rPr>
        <w:t>（二十二）</w:t>
      </w:r>
      <w:r>
        <w:rPr>
          <w:rFonts w:hint="eastAsia" w:ascii="仿宋_GB2312" w:hAnsi="仿宋_GB2312" w:eastAsia="仿宋_GB2312" w:cs="仿宋_GB2312"/>
          <w:b/>
          <w:bCs w:val="0"/>
          <w:color w:val="auto"/>
          <w:kern w:val="0"/>
          <w14:ligatures w14:val="standardContextual"/>
        </w:rPr>
        <w:t>多措并举扩大乡村消费</w:t>
      </w:r>
      <w:r>
        <w:rPr>
          <w:rFonts w:hint="eastAsia" w:ascii="仿宋_GB2312" w:hAnsi="仿宋_GB2312" w:cs="仿宋_GB2312"/>
          <w:b/>
          <w:bCs w:val="0"/>
          <w:color w:val="auto"/>
          <w:kern w:val="0"/>
          <w:lang w:eastAsia="zh-CN"/>
          <w14:ligatures w14:val="standardContextual"/>
        </w:rPr>
        <w:t>。</w:t>
      </w:r>
      <w:r>
        <w:rPr>
          <w:rStyle w:val="26"/>
          <w:rFonts w:hint="eastAsia" w:ascii="仿宋_GB2312" w:hAnsi="仿宋_GB2312" w:eastAsia="仿宋_GB2312" w:cs="仿宋_GB2312"/>
          <w:b/>
          <w:bCs w:val="0"/>
          <w:color w:val="auto"/>
          <w:kern w:val="0"/>
          <w14:ligatures w14:val="standardContextual"/>
        </w:rPr>
        <w:t>培育宜居宜业乡村经济新场景</w:t>
      </w:r>
      <w:r>
        <w:rPr>
          <w:rStyle w:val="26"/>
          <w:rFonts w:hint="eastAsia" w:ascii="仿宋_GB2312" w:hAnsi="仿宋_GB2312" w:cs="仿宋_GB2312"/>
          <w:b/>
          <w:bCs w:val="0"/>
          <w:color w:val="auto"/>
          <w:kern w:val="0"/>
          <w:lang w:eastAsia="zh-CN"/>
          <w14:ligatures w14:val="standardContextual"/>
        </w:rPr>
        <w:t>，</w:t>
      </w:r>
      <w:r>
        <w:rPr>
          <w:rStyle w:val="26"/>
          <w:rFonts w:hint="eastAsia" w:ascii="仿宋_GB2312" w:hAnsi="仿宋_GB2312" w:eastAsia="仿宋_GB2312" w:cs="仿宋_GB2312"/>
          <w:color w:val="auto"/>
          <w:kern w:val="0"/>
          <w14:ligatures w14:val="standardContextual"/>
        </w:rPr>
        <w:t>深入落实县域商业体系建设，</w:t>
      </w:r>
      <w:r>
        <w:rPr>
          <w:rStyle w:val="26"/>
          <w:rFonts w:hint="eastAsia" w:ascii="仿宋_GB2312" w:hAnsi="仿宋_GB2312"/>
          <w:color w:val="auto"/>
          <w:kern w:val="0"/>
          <w14:ligatures w14:val="standardContextual"/>
        </w:rPr>
        <w:t>完善县域流通体系，畅通工业品下乡和农产品进城双向流通渠道，推动县域商业高质量发展，实现农民增收与消费提质良性循环。</w:t>
      </w:r>
      <w:r>
        <w:rPr>
          <w:rStyle w:val="26"/>
          <w:rFonts w:hint="eastAsia" w:ascii="仿宋_GB2312" w:hAnsi="仿宋_GB2312" w:eastAsia="仿宋_GB2312" w:cs="仿宋_GB2312"/>
          <w:color w:val="auto"/>
          <w:kern w:val="0"/>
          <w14:ligatures w14:val="standardContextual"/>
        </w:rPr>
        <w:t>持续完善镇村流通基础设施，升级改造乡镇商超、村级便民店、物流配送站点，健全城乡双向流通体系</w:t>
      </w:r>
      <w:r>
        <w:rPr>
          <w:rStyle w:val="26"/>
          <w:rFonts w:hint="eastAsia" w:ascii="仿宋_GB2312" w:hAnsi="仿宋_GB2312" w:cs="仿宋_GB2312"/>
          <w:color w:val="auto"/>
          <w:kern w:val="0"/>
          <w:lang w:eastAsia="zh-CN"/>
          <w14:ligatures w14:val="standardContextual"/>
        </w:rPr>
        <w:t>，</w:t>
      </w:r>
      <w:r>
        <w:rPr>
          <w:rStyle w:val="26"/>
          <w:rFonts w:hint="eastAsia" w:ascii="仿宋_GB2312" w:hAnsi="仿宋_GB2312"/>
          <w:color w:val="auto"/>
          <w:kern w:val="0"/>
          <w14:ligatures w14:val="standardContextual"/>
        </w:rPr>
        <w:t>丰富农村消费市场</w:t>
      </w:r>
      <w:r>
        <w:rPr>
          <w:rStyle w:val="26"/>
          <w:rFonts w:hint="eastAsia" w:ascii="仿宋_GB2312" w:hAnsi="仿宋_GB2312" w:eastAsia="仿宋_GB2312" w:cs="仿宋_GB2312"/>
          <w:color w:val="auto"/>
          <w:kern w:val="0"/>
          <w14:ligatures w14:val="standardContextual"/>
        </w:rPr>
        <w:t>。净化乡村消费环境，构建安全、便捷、多元的乡村消费新格局，以乡村消费提质赋能乡村振兴、助力共同富裕。</w:t>
      </w:r>
      <w:bookmarkEnd w:id="77"/>
    </w:p>
    <w:p>
      <w:pPr>
        <w:pStyle w:val="6"/>
        <w:adjustRightInd w:val="0"/>
        <w:snapToGrid w:val="0"/>
        <w:spacing w:after="0" w:line="620" w:lineRule="exact"/>
        <w:ind w:firstLine="640" w:firstLineChars="200"/>
        <w:jc w:val="both"/>
        <w:outlineLvl w:val="0"/>
        <w:rPr>
          <w:rFonts w:hint="eastAsia" w:ascii="黑体" w:hAnsi="黑体" w:eastAsia="黑体" w:cs="黑体"/>
          <w:color w:val="auto"/>
          <w:kern w:val="44"/>
          <w14:ligatures w14:val="standardContextual"/>
        </w:rPr>
      </w:pPr>
      <w:bookmarkStart w:id="78" w:name="_Toc21870"/>
      <w:r>
        <w:rPr>
          <w:rFonts w:hint="eastAsia" w:ascii="黑体" w:hAnsi="黑体" w:eastAsia="黑体" w:cs="黑体"/>
          <w:color w:val="auto"/>
          <w:kern w:val="44"/>
          <w:lang w:val="en-US" w:eastAsia="zh-CN"/>
          <w14:ligatures w14:val="standardContextual"/>
        </w:rPr>
        <w:t>七、推进片区化组团式发展和</w:t>
      </w:r>
      <w:r>
        <w:rPr>
          <w:rFonts w:hint="eastAsia" w:ascii="黑体" w:hAnsi="黑体" w:eastAsia="黑体" w:cs="黑体"/>
          <w:color w:val="auto"/>
          <w:kern w:val="44"/>
          <w14:ligatures w14:val="standardContextual"/>
        </w:rPr>
        <w:t>现代化</w:t>
      </w:r>
      <w:r>
        <w:rPr>
          <w:rFonts w:hint="eastAsia" w:ascii="黑体" w:hAnsi="黑体" w:eastAsia="黑体" w:cs="黑体"/>
          <w:color w:val="auto"/>
          <w:kern w:val="44"/>
          <w:lang w:val="en-US" w:eastAsia="zh-CN"/>
          <w14:ligatures w14:val="standardContextual"/>
        </w:rPr>
        <w:t>村镇</w:t>
      </w:r>
      <w:r>
        <w:rPr>
          <w:rFonts w:hint="eastAsia" w:ascii="黑体" w:hAnsi="黑体" w:eastAsia="黑体" w:cs="黑体"/>
          <w:color w:val="auto"/>
          <w:kern w:val="44"/>
          <w14:ligatures w14:val="standardContextual"/>
        </w:rPr>
        <w:t>高质量</w:t>
      </w:r>
      <w:r>
        <w:rPr>
          <w:rFonts w:hint="eastAsia" w:ascii="黑体" w:hAnsi="黑体" w:eastAsia="黑体" w:cs="黑体"/>
          <w:color w:val="auto"/>
          <w:kern w:val="44"/>
          <w:lang w:val="en-US" w:eastAsia="zh-CN"/>
          <w14:ligatures w14:val="standardContextual"/>
        </w:rPr>
        <w:t>发展</w:t>
      </w:r>
      <w:bookmarkEnd w:id="71"/>
      <w:bookmarkEnd w:id="72"/>
      <w:bookmarkEnd w:id="73"/>
      <w:bookmarkEnd w:id="78"/>
    </w:p>
    <w:p>
      <w:pPr>
        <w:pStyle w:val="3"/>
        <w:adjustRightInd w:val="0"/>
        <w:snapToGrid w:val="0"/>
        <w:spacing w:line="620" w:lineRule="exact"/>
        <w:ind w:firstLine="643" w:firstLineChars="200"/>
        <w:outlineLvl w:val="1"/>
        <w:rPr>
          <w:rStyle w:val="26"/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 w:bidi="ar-SA"/>
          <w14:ligatures w14:val="standardContextual"/>
        </w:rPr>
      </w:pPr>
      <w:bookmarkStart w:id="79" w:name="_Toc1240"/>
      <w:bookmarkStart w:id="80" w:name="_Toc6369"/>
      <w:bookmarkStart w:id="81" w:name="_Toc28997"/>
      <w:bookmarkStart w:id="82" w:name="_Toc20000"/>
      <w:r>
        <w:rPr>
          <w:rFonts w:hint="eastAsia" w:ascii="仿宋_GB2312" w:hAnsi="仿宋_GB2312" w:eastAsia="仿宋_GB2312" w:cs="仿宋_GB2312"/>
          <w:b/>
          <w:bCs w:val="0"/>
          <w:color w:val="auto"/>
          <w:lang w:val="en-US" w:eastAsia="zh-CN"/>
        </w:rPr>
        <w:t>（二十三）推动乡村片区化组团式发展。</w:t>
      </w:r>
      <w:r>
        <w:rPr>
          <w:rStyle w:val="26"/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 w:bidi="ar-SA"/>
          <w14:ligatures w14:val="standardContextual"/>
        </w:rPr>
        <w:t>积极探索镇镇联合、镇村组团发展模式，统筹衔接典型镇村、乡村振兴示范带等布局建设，推进镇村片区组团培育，构建风貌连线成片</w:t>
      </w:r>
      <w:r>
        <w:rPr>
          <w:rStyle w:val="26"/>
          <w:rFonts w:hint="eastAsia" w:ascii="仿宋_GB2312" w:hAnsi="仿宋_GB2312" w:eastAsia="仿宋_GB2312"/>
          <w:color w:val="auto"/>
        </w:rPr>
        <w:t>、产业集团成群、设施和服务融通成网、发展成果共同分享的一体化发展格局</w:t>
      </w:r>
      <w:r>
        <w:rPr>
          <w:rStyle w:val="26"/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 w:bidi="ar-SA"/>
          <w14:ligatures w14:val="standardContextual"/>
        </w:rPr>
        <w:t>。分类有序推动乡村建设，加强集聚提升类村庄产业发展和基础设施改造提升，推动城郊融合类村庄城乡一体化建设，改善特色保护类村庄重点基础设施和公共环境，创造乡村优质生活空间。稳妥推动空心村撤并整合，有序推动人口持续减少的乡镇集约集聚发展。到2030年，培育镇村片区组团21个以上，打造超15条美丽乡村走廊。</w:t>
      </w:r>
      <w:bookmarkEnd w:id="79"/>
      <w:bookmarkEnd w:id="80"/>
    </w:p>
    <w:p>
      <w:pPr>
        <w:pStyle w:val="3"/>
        <w:adjustRightInd w:val="0"/>
        <w:snapToGrid w:val="0"/>
        <w:spacing w:line="620" w:lineRule="exact"/>
        <w:ind w:firstLine="643" w:firstLineChars="200"/>
        <w:outlineLvl w:val="1"/>
        <w:rPr>
          <w:rStyle w:val="19"/>
          <w:rFonts w:hint="eastAsia" w:ascii="黑体" w:hAnsi="黑体" w:eastAsia="黑体" w:cs="黑体"/>
          <w:b w:val="0"/>
          <w:bCs/>
          <w:color w:val="auto"/>
          <w:highlight w:val="none"/>
          <w:lang w:bidi="ar"/>
        </w:rPr>
      </w:pPr>
      <w:bookmarkStart w:id="83" w:name="_Toc1747"/>
      <w:bookmarkStart w:id="84" w:name="_Toc18046"/>
      <w:r>
        <w:rPr>
          <w:rFonts w:hint="eastAsia" w:ascii="仿宋_GB2312" w:hAnsi="仿宋_GB2312" w:eastAsia="仿宋_GB2312" w:cs="仿宋_GB2312"/>
          <w:b/>
          <w:bCs w:val="0"/>
          <w:color w:val="auto"/>
          <w:lang w:val="en-US" w:eastAsia="zh-CN"/>
        </w:rPr>
        <w:t>（二十四）优化农村人居环境。</w:t>
      </w:r>
      <w:r>
        <w:rPr>
          <w:rStyle w:val="26"/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 w:bidi="ar-SA"/>
          <w14:ligatures w14:val="standardContextual"/>
        </w:rPr>
        <w:t>持续推进农村厕所、生活垃圾和污水“三大革命”，完善农村厕所建设管理，动态整改问题厕所，卫生户厕普及率稳定在97%以上；健全垃圾收运处理体系；优化提升农村生活污水治理，2028年前完成农村生活污水存量设施改造，治理率达96%以上；统筹农村厕所和生活污水协同治理；基本消除农村黑臭水体。深化“三清理、四整治”，健全村庄保洁长效机制，规范农村线缆架设，消除“三线”乱象。实施乡村绿美提升行动，到2030年，建成乡村绿化景观带2条、森林乡村3个、推动“美丽庭院”提质扩容，打造四时常绿、处处皆景的绿美宜居乡村。立足山海风光、侨乡风情、红色文化和潮汕、客家、广府人文交汇的海陆丰特色传统文化，保护传统村落、特色民居，推广绿色农房，加强农房管控和微改造，连片塑造汕尾特色乡村风貌。</w:t>
      </w:r>
      <w:bookmarkEnd w:id="83"/>
      <w:bookmarkEnd w:id="84"/>
    </w:p>
    <w:p>
      <w:pPr>
        <w:pStyle w:val="3"/>
        <w:adjustRightInd w:val="0"/>
        <w:snapToGrid w:val="0"/>
        <w:spacing w:line="620" w:lineRule="exact"/>
        <w:ind w:firstLine="643" w:firstLineChars="200"/>
        <w:outlineLvl w:val="1"/>
        <w:rPr>
          <w:rStyle w:val="19"/>
          <w:rFonts w:hint="eastAsia" w:ascii="黑体" w:hAnsi="黑体" w:eastAsia="黑体" w:cs="黑体"/>
          <w:b w:val="0"/>
          <w:bCs/>
          <w:color w:val="auto"/>
          <w:highlight w:val="none"/>
          <w:lang w:bidi="ar"/>
          <w14:ligatures w14:val="standardContextual"/>
        </w:rPr>
      </w:pPr>
      <w:bookmarkStart w:id="85" w:name="_Toc18062"/>
      <w:bookmarkStart w:id="86" w:name="_Toc17624"/>
      <w:r>
        <w:rPr>
          <w:rFonts w:hint="eastAsia" w:ascii="仿宋_GB2312" w:hAnsi="仿宋_GB2312" w:eastAsia="仿宋_GB2312" w:cs="仿宋_GB2312"/>
          <w:b/>
          <w:bCs w:val="0"/>
          <w:color w:val="auto"/>
          <w:lang w:val="en-US" w:eastAsia="zh-CN"/>
        </w:rPr>
        <w:t>（二十五）补齐农村基础设施短板。</w:t>
      </w:r>
      <w:r>
        <w:rPr>
          <w:rStyle w:val="26"/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 w:bidi="ar-SA"/>
          <w14:ligatures w14:val="standardContextual"/>
        </w:rPr>
        <w:t>提档升级“四好农村路”，推进通村公路单改双，建设产业路、旅游路、资源路，同步市政配套10kV伏电缆管廊（村道4-6回，市县区主干道12-24回），并在200米内和关键路口处同步建设6回以上跨路备用管廊；到2030年，完成新改建农村公路182公里，基本实现中心镇30分钟通达高速，实现具备条件的行政村“村村通”双车道公路。推进实施农村供水改造提升，健全农村集中供水工程合理水价机制；推进城乡供水一体化，实施农村供水巩固提升，到2030年，规模化供水工程覆盖农村供水人口比例达到96%以上。推进天然气管网“县县通工程”，完善乡村电网、分布式光伏、充电桩、燃气设施，打造电气化示范村；推动5G、千兆光网全覆盖，夯实数字乡村底座。健全县镇村三级寄递物流体系，实现行政村快递服务全覆盖。建立基础设施长效管护清单，压实各方管护责任，推进城乡基础设施一体化管护。</w:t>
      </w:r>
      <w:bookmarkEnd w:id="85"/>
      <w:bookmarkEnd w:id="86"/>
    </w:p>
    <w:p>
      <w:pPr>
        <w:pStyle w:val="3"/>
        <w:adjustRightInd w:val="0"/>
        <w:snapToGrid w:val="0"/>
        <w:spacing w:line="620" w:lineRule="exact"/>
        <w:ind w:firstLine="643" w:firstLineChars="200"/>
        <w:outlineLvl w:val="1"/>
        <w:rPr>
          <w:rStyle w:val="19"/>
          <w:rFonts w:hint="eastAsia" w:ascii="黑体" w:hAnsi="黑体" w:eastAsia="黑体" w:cs="黑体"/>
          <w:b w:val="0"/>
          <w:bCs/>
          <w:color w:val="auto"/>
          <w:highlight w:val="none"/>
          <w:lang w:eastAsia="zh-CN" w:bidi="ar"/>
          <w14:ligatures w14:val="none"/>
        </w:rPr>
      </w:pPr>
      <w:bookmarkStart w:id="87" w:name="_Toc4950"/>
      <w:bookmarkStart w:id="88" w:name="_Toc2203"/>
      <w:r>
        <w:rPr>
          <w:rFonts w:hint="eastAsia" w:ascii="仿宋_GB2312" w:hAnsi="仿宋_GB2312" w:eastAsia="仿宋_GB2312" w:cs="仿宋_GB2312"/>
          <w:b/>
          <w:bCs w:val="0"/>
          <w:color w:val="auto"/>
          <w:lang w:val="en-US" w:eastAsia="zh-CN"/>
        </w:rPr>
        <w:t>（二十六）优化农村公共服务供给。</w:t>
      </w:r>
      <w:r>
        <w:rPr>
          <w:rStyle w:val="26"/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 w:bidi="ar-SA"/>
          <w14:ligatures w14:val="standardContextual"/>
        </w:rPr>
        <w:t>推动城乡基本公共服务均等化，打造县域统一的公共服务体系。优化乡村学校布局，组建城乡教育共同体，提升小规模学校、教学点办学质量。优化普惠性学前教育资源供给，深入推进县镇村义务教育服务均等化，办好“三所学校”和有必要保留的小规模学校，合理配置普通高中教育资源，持续改善农村基本办学条件。提升乡村教师待遇保障，引进一批高水平人才回乡从教。推进基层医疗卫生服务能力提质增效，建强县域医疗次中心，提升村卫生室标准化建设和健康管理水平。缩小城乡低保标准差距，实施“镇村通”工程，优化社保经办服务。建设紧密型县域医共体，全面推进基层医疗卫生机构标准化建设和能力提升，镇卫生院、街道社区卫生服务中心全部达到国家基本标准。守牢不发生规模性返贫致贫底线，加强困难群众动态监测和分层分类救助帮扶。健全县镇村三级养老服务网络，建设县级综合养老服务管理平台，因地制宜建设乡镇（街道）区域养老服务中心和村（社区）养老服务站点，优化老年助餐，推进老年人家庭适老化改造，探索家庭养老床位建设。扩大农村公共文体服务供给，加快推进村级体育运动设施和文化休闲设施覆盖。依托党群服务中心打造“一站式”便民平台，补齐托育、文体设施短板，构建农村15分钟便民生活圈。</w:t>
      </w:r>
      <w:bookmarkEnd w:id="87"/>
      <w:bookmarkEnd w:id="88"/>
    </w:p>
    <w:bookmarkEnd w:id="81"/>
    <w:tbl>
      <w:tblPr>
        <w:tblStyle w:val="16"/>
        <w:tblW w:w="0" w:type="auto"/>
        <w:jc w:val="center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60"/>
      </w:tblGrid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  <w:jc w:val="center"/>
        </w:trPr>
        <w:tc>
          <w:tcPr>
            <w:tcW w:w="80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adjustRightInd w:val="0"/>
              <w:snapToGrid w:val="0"/>
              <w:spacing w:line="440" w:lineRule="exact"/>
              <w:ind w:firstLine="0" w:firstLineChars="0"/>
              <w:contextualSpacing/>
              <w:jc w:val="center"/>
              <w:rPr>
                <w:rFonts w:cs="Times New Roman"/>
                <w:snapToGrid w:val="0"/>
                <w:color w:val="auto"/>
                <w:sz w:val="24"/>
                <w:szCs w:val="40"/>
              </w:rPr>
            </w:pPr>
            <w:r>
              <w:rPr>
                <w:rFonts w:eastAsia="黑体" w:cs="Times New Roman"/>
                <w:snapToGrid w:val="0"/>
                <w:color w:val="auto"/>
                <w:spacing w:val="8"/>
                <w:kern w:val="0"/>
                <w:sz w:val="28"/>
                <w:szCs w:val="28"/>
              </w:rPr>
              <w:t>专栏</w:t>
            </w:r>
            <w:r>
              <w:rPr>
                <w:rFonts w:hint="eastAsia" w:eastAsia="黑体" w:cs="Times New Roman"/>
                <w:snapToGrid w:val="0"/>
                <w:color w:val="auto"/>
                <w:spacing w:val="8"/>
                <w:kern w:val="0"/>
                <w:sz w:val="28"/>
                <w:szCs w:val="28"/>
                <w:lang w:val="en-US" w:eastAsia="zh-CN"/>
              </w:rPr>
              <w:t>5</w:t>
            </w:r>
            <w:r>
              <w:rPr>
                <w:rFonts w:eastAsia="黑体" w:cs="Times New Roman"/>
                <w:snapToGrid w:val="0"/>
                <w:color w:val="auto"/>
                <w:spacing w:val="8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黑体" w:cs="Times New Roman"/>
                <w:b w:val="0"/>
                <w:snapToGrid w:val="0"/>
                <w:color w:val="auto"/>
                <w:spacing w:val="8"/>
                <w:kern w:val="0"/>
                <w:sz w:val="28"/>
                <w:szCs w:val="28"/>
                <w:highlight w:val="none"/>
              </w:rPr>
              <w:t>现代化</w:t>
            </w:r>
            <w:r>
              <w:rPr>
                <w:rFonts w:eastAsia="黑体" w:cs="Times New Roman"/>
                <w:snapToGrid w:val="0"/>
                <w:color w:val="auto"/>
                <w:spacing w:val="8"/>
                <w:kern w:val="0"/>
                <w:sz w:val="28"/>
                <w:szCs w:val="28"/>
              </w:rPr>
              <w:t>和</w:t>
            </w:r>
            <w:r>
              <w:rPr>
                <w:rFonts w:hint="eastAsia" w:eastAsia="黑体" w:cs="Times New Roman"/>
                <w:snapToGrid w:val="0"/>
                <w:color w:val="auto"/>
                <w:spacing w:val="8"/>
                <w:kern w:val="0"/>
                <w:sz w:val="28"/>
                <w:szCs w:val="28"/>
                <w:lang w:eastAsia="zh-CN"/>
              </w:rPr>
              <w:t>美丽乡村建设</w:t>
            </w:r>
            <w:r>
              <w:rPr>
                <w:rFonts w:hint="eastAsia" w:ascii="Times New Roman" w:hAnsi="Times New Roman" w:eastAsia="黑体" w:cs="Times New Roman"/>
                <w:b w:val="0"/>
                <w:snapToGrid w:val="0"/>
                <w:color w:val="auto"/>
                <w:spacing w:val="8"/>
                <w:kern w:val="0"/>
                <w:sz w:val="28"/>
                <w:szCs w:val="28"/>
                <w:highlight w:val="none"/>
              </w:rPr>
              <w:t>提升</w:t>
            </w:r>
            <w:r>
              <w:rPr>
                <w:rFonts w:eastAsia="黑体" w:cs="Times New Roman"/>
                <w:snapToGrid w:val="0"/>
                <w:color w:val="auto"/>
                <w:spacing w:val="8"/>
                <w:kern w:val="0"/>
                <w:sz w:val="28"/>
                <w:szCs w:val="28"/>
              </w:rPr>
              <w:t>工程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  <w:jc w:val="center"/>
        </w:trPr>
        <w:tc>
          <w:tcPr>
            <w:tcW w:w="806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</w:tcPr>
          <w:p>
            <w:pPr>
              <w:adjustRightInd w:val="0"/>
              <w:snapToGrid w:val="0"/>
              <w:spacing w:line="440" w:lineRule="exact"/>
              <w:ind w:firstLine="482"/>
              <w:rPr>
                <w:rFonts w:ascii="仿宋_GB2312" w:hAnsi="仿宋_GB2312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/>
                <w:b/>
                <w:bCs w:val="0"/>
                <w:color w:val="auto"/>
                <w:sz w:val="24"/>
                <w:szCs w:val="24"/>
              </w:rPr>
              <w:t>1.农村产业基础设施提升项目。</w:t>
            </w:r>
            <w:r>
              <w:rPr>
                <w:rFonts w:hint="eastAsia" w:ascii="仿宋_GB2312" w:hAnsi="仿宋_GB2312"/>
                <w:color w:val="auto"/>
                <w:sz w:val="24"/>
              </w:rPr>
              <w:t>开展6大项目，因地制宜，改造提升街巷及配套设施</w:t>
            </w:r>
            <w:r>
              <w:rPr>
                <w:rFonts w:hint="eastAsia" w:ascii="仿宋_GB2312" w:hAnsi="仿宋_GB2312"/>
                <w:color w:val="auto"/>
                <w:sz w:val="24"/>
                <w:lang w:eastAsia="zh-CN"/>
              </w:rPr>
              <w:t>、</w:t>
            </w:r>
            <w:r>
              <w:rPr>
                <w:rFonts w:hint="eastAsia" w:ascii="仿宋_GB2312" w:hAnsi="仿宋_GB2312"/>
                <w:color w:val="auto"/>
                <w:sz w:val="24"/>
              </w:rPr>
              <w:t>道路升级改造工程</w:t>
            </w:r>
            <w:r>
              <w:rPr>
                <w:rFonts w:hint="eastAsia" w:ascii="仿宋_GB2312" w:hAnsi="仿宋_GB2312"/>
                <w:color w:val="auto"/>
                <w:sz w:val="24"/>
                <w:lang w:eastAsia="zh-CN"/>
              </w:rPr>
              <w:t>、</w:t>
            </w:r>
            <w:r>
              <w:rPr>
                <w:rFonts w:hint="eastAsia" w:ascii="仿宋_GB2312" w:hAnsi="仿宋_GB2312"/>
                <w:color w:val="auto"/>
                <w:sz w:val="24"/>
              </w:rPr>
              <w:t>给排水工程</w:t>
            </w:r>
            <w:r>
              <w:rPr>
                <w:rFonts w:hint="eastAsia" w:ascii="仿宋_GB2312" w:hAnsi="仿宋_GB2312"/>
                <w:color w:val="auto"/>
                <w:sz w:val="24"/>
                <w:lang w:eastAsia="zh-CN"/>
              </w:rPr>
              <w:t>、</w:t>
            </w:r>
            <w:r>
              <w:rPr>
                <w:rFonts w:hint="eastAsia" w:ascii="仿宋_GB2312" w:hAnsi="仿宋_GB2312"/>
                <w:color w:val="auto"/>
                <w:sz w:val="24"/>
              </w:rPr>
              <w:t>停车场升级改造工程</w:t>
            </w:r>
            <w:r>
              <w:rPr>
                <w:rFonts w:hint="eastAsia" w:ascii="仿宋_GB2312" w:hAnsi="仿宋_GB2312"/>
                <w:color w:val="auto"/>
                <w:sz w:val="24"/>
                <w:lang w:eastAsia="zh-CN"/>
              </w:rPr>
              <w:t>、</w:t>
            </w:r>
            <w:r>
              <w:rPr>
                <w:rFonts w:hint="eastAsia" w:ascii="仿宋_GB2312" w:hAnsi="仿宋_GB2312"/>
                <w:color w:val="auto"/>
                <w:sz w:val="24"/>
              </w:rPr>
              <w:t>新建综合驿站及配套设施建筑面积等工程。</w:t>
            </w:r>
          </w:p>
          <w:p>
            <w:pPr>
              <w:adjustRightInd w:val="0"/>
              <w:snapToGrid w:val="0"/>
              <w:spacing w:line="440" w:lineRule="exact"/>
              <w:ind w:firstLine="482"/>
              <w:rPr>
                <w:rFonts w:ascii="仿宋_GB2312" w:hAnsi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/>
                <w:b/>
                <w:bCs w:val="0"/>
                <w:color w:val="auto"/>
                <w:sz w:val="24"/>
                <w:szCs w:val="24"/>
              </w:rPr>
              <w:t>2.乡村振兴人居环境整治项目。</w:t>
            </w:r>
            <w:r>
              <w:rPr>
                <w:rFonts w:hint="eastAsia" w:ascii="仿宋_GB2312" w:hAnsi="仿宋_GB2312"/>
                <w:color w:val="auto"/>
                <w:sz w:val="24"/>
                <w:szCs w:val="24"/>
              </w:rPr>
              <w:t>实施7项人居环境提升、治理项目，</w:t>
            </w:r>
            <w:r>
              <w:rPr>
                <w:rFonts w:hint="eastAsia" w:ascii="仿宋_GB2312" w:hAnsi="仿宋_GB2312"/>
                <w:color w:val="auto"/>
                <w:sz w:val="24"/>
                <w:szCs w:val="24"/>
                <w:lang w:eastAsia="zh-CN"/>
              </w:rPr>
              <w:t>包括农</w:t>
            </w:r>
            <w:r>
              <w:rPr>
                <w:rFonts w:hint="eastAsia" w:ascii="仿宋_GB2312" w:hAnsi="仿宋_GB2312"/>
                <w:color w:val="auto"/>
                <w:sz w:val="24"/>
                <w:szCs w:val="24"/>
              </w:rPr>
              <w:t>房整治、交通整治、供水设施整治、电力通信设施整治、生活垃圾整治、雨污水管网</w:t>
            </w:r>
            <w:r>
              <w:rPr>
                <w:rFonts w:hint="eastAsia" w:ascii="仿宋_GB2312" w:hAnsi="仿宋_GB2312"/>
                <w:color w:val="auto"/>
                <w:sz w:val="24"/>
                <w:szCs w:val="24"/>
                <w:lang w:eastAsia="zh-CN"/>
              </w:rPr>
              <w:t>及</w:t>
            </w:r>
            <w:r>
              <w:rPr>
                <w:rFonts w:hint="eastAsia" w:ascii="仿宋_GB2312" w:hAnsi="仿宋_GB2312"/>
                <w:color w:val="auto"/>
                <w:sz w:val="24"/>
                <w:szCs w:val="24"/>
              </w:rPr>
              <w:t>照明亮化整治、生态环境整治、特色传承和发展、完善防灾体系、公共服务设施</w:t>
            </w:r>
            <w:r>
              <w:rPr>
                <w:rFonts w:hint="eastAsia" w:ascii="仿宋_GB2312" w:hAnsi="仿宋_GB2312"/>
                <w:color w:val="auto"/>
                <w:sz w:val="24"/>
                <w:szCs w:val="24"/>
                <w:lang w:eastAsia="zh-CN"/>
              </w:rPr>
              <w:t>建设、</w:t>
            </w:r>
            <w:r>
              <w:rPr>
                <w:rFonts w:hint="eastAsia" w:ascii="仿宋_GB2312" w:hAnsi="仿宋_GB2312"/>
                <w:color w:val="auto"/>
                <w:sz w:val="24"/>
                <w:szCs w:val="24"/>
              </w:rPr>
              <w:t>发展乡村旅游、打造乡村特色产业。</w:t>
            </w:r>
          </w:p>
          <w:p>
            <w:pPr>
              <w:adjustRightInd w:val="0"/>
              <w:snapToGrid w:val="0"/>
              <w:spacing w:line="440" w:lineRule="exact"/>
              <w:ind w:firstLine="482"/>
              <w:rPr>
                <w:rFonts w:hint="eastAsia" w:ascii="仿宋_GB2312" w:hAnsi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/>
                <w:b/>
                <w:bCs w:val="0"/>
                <w:color w:val="auto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_GB2312" w:hAnsi="仿宋_GB2312"/>
                <w:b/>
                <w:bCs w:val="0"/>
                <w:color w:val="auto"/>
                <w:sz w:val="24"/>
                <w:szCs w:val="24"/>
              </w:rPr>
              <w:t>.深化农村集体经济改革。</w:t>
            </w:r>
            <w:r>
              <w:rPr>
                <w:rFonts w:hint="eastAsia" w:ascii="仿宋_GB2312" w:hAnsi="仿宋_GB2312"/>
                <w:color w:val="auto"/>
                <w:sz w:val="24"/>
                <w:szCs w:val="24"/>
              </w:rPr>
              <w:t>全面摸清农村集体资产底数，完善农村集体资产管理制度，健全农村集体资产信息管理系统，建设农村集体资产“一张图”。深化农村土地改革。分类保障乡村发展用地，节约集约利用农村集体经营性建设用地，依法盘活用好闲置土地和房屋，探索宅基地“多户联建”，有序推进第二轮土地承包到期后再延长30年试点工作。扶持村级集体经济试点项目实施，扩大新型农村集体经济示范村覆盖范围。探索村村连片抱团发展，打造更多集体收入百万村、千万村。</w:t>
            </w:r>
          </w:p>
          <w:p>
            <w:pPr>
              <w:adjustRightInd w:val="0"/>
              <w:snapToGrid w:val="0"/>
              <w:spacing w:line="440" w:lineRule="exact"/>
              <w:ind w:firstLine="482"/>
              <w:rPr>
                <w:rFonts w:ascii="仿宋_GB2312" w:hAnsi="仿宋_GB2312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/>
                <w:b/>
                <w:bCs w:val="0"/>
                <w:color w:val="auto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_GB2312" w:hAnsi="仿宋_GB2312"/>
                <w:b/>
                <w:bCs w:val="0"/>
                <w:color w:val="auto"/>
                <w:sz w:val="24"/>
                <w:szCs w:val="24"/>
              </w:rPr>
              <w:t>.海洋生态研学组团式项目。</w:t>
            </w:r>
            <w:r>
              <w:rPr>
                <w:rFonts w:hint="eastAsia" w:ascii="仿宋_GB2312" w:hAnsi="仿宋_GB2312"/>
                <w:color w:val="auto"/>
                <w:sz w:val="24"/>
              </w:rPr>
              <w:t>依托海洋牧场</w:t>
            </w:r>
            <w:r>
              <w:rPr>
                <w:rFonts w:hint="eastAsia" w:ascii="仿宋_GB2312" w:hAnsi="仿宋_GB2312"/>
                <w:color w:val="auto"/>
                <w:sz w:val="24"/>
                <w:lang w:eastAsia="zh-CN"/>
              </w:rPr>
              <w:t>、区域</w:t>
            </w:r>
            <w:r>
              <w:rPr>
                <w:rFonts w:hint="eastAsia" w:ascii="仿宋_GB2312" w:hAnsi="仿宋_GB2312"/>
                <w:color w:val="auto"/>
                <w:sz w:val="24"/>
              </w:rPr>
              <w:t>特色品牌以及海洋食品加工龙头企业</w:t>
            </w:r>
            <w:r>
              <w:rPr>
                <w:rFonts w:hint="eastAsia" w:ascii="仿宋_GB2312" w:hAnsi="仿宋_GB2312"/>
                <w:color w:val="auto"/>
                <w:sz w:val="24"/>
                <w:lang w:eastAsia="zh-CN"/>
              </w:rPr>
              <w:t>，</w:t>
            </w:r>
            <w:r>
              <w:rPr>
                <w:rFonts w:hint="eastAsia" w:ascii="仿宋_GB2312" w:hAnsi="仿宋_GB2312"/>
                <w:color w:val="auto"/>
                <w:sz w:val="24"/>
              </w:rPr>
              <w:t>串联滨海旅游度假区及海滨西沙滩公园等优质资源，构建“育种、养殖、加工、冷链、渔旅”一体化全产业链。辐射带动周边乡村连片融合发展，打造集海洋生态研学、亲子度假于一体的乡村运营联合体，实现产业联动、功能互补、区域协同发展。</w:t>
            </w:r>
          </w:p>
          <w:p>
            <w:pPr>
              <w:adjustRightInd w:val="0"/>
              <w:snapToGrid w:val="0"/>
              <w:spacing w:line="440" w:lineRule="exact"/>
              <w:ind w:firstLine="482"/>
              <w:rPr>
                <w:rFonts w:ascii="仿宋_GB2312" w:hAnsi="仿宋_GB2312"/>
                <w:color w:val="auto"/>
                <w:sz w:val="24"/>
              </w:rPr>
            </w:pPr>
            <w:r>
              <w:rPr>
                <w:rFonts w:hint="eastAsia" w:ascii="仿宋_GB2312" w:hAnsi="仿宋_GB2312"/>
                <w:b/>
                <w:bCs w:val="0"/>
                <w:color w:val="auto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_GB2312" w:hAnsi="仿宋_GB2312"/>
                <w:b/>
                <w:bCs w:val="0"/>
                <w:color w:val="auto"/>
                <w:sz w:val="24"/>
                <w:szCs w:val="24"/>
              </w:rPr>
              <w:t>.山海田园城乡融合组团式项目</w:t>
            </w:r>
            <w:r>
              <w:rPr>
                <w:rFonts w:hint="eastAsia" w:ascii="仿宋_GB2312" w:hAnsi="仿宋_GB2312"/>
                <w:bCs w:val="0"/>
                <w:color w:val="auto"/>
                <w:sz w:val="24"/>
              </w:rPr>
              <w:t>。以陆丰市上英</w:t>
            </w:r>
            <w:r>
              <w:rPr>
                <w:rFonts w:hint="eastAsia" w:ascii="仿宋_GB2312" w:hAnsi="仿宋_GB2312"/>
                <w:bCs w:val="0"/>
                <w:color w:val="auto"/>
                <w:sz w:val="24"/>
                <w:lang w:eastAsia="zh-CN"/>
              </w:rPr>
              <w:t>－</w:t>
            </w:r>
            <w:r>
              <w:rPr>
                <w:rFonts w:hint="eastAsia" w:ascii="仿宋_GB2312" w:hAnsi="仿宋_GB2312"/>
                <w:bCs w:val="0"/>
                <w:color w:val="auto"/>
                <w:sz w:val="24"/>
              </w:rPr>
              <w:t>东海镇村片区组团为例，</w:t>
            </w:r>
            <w:r>
              <w:rPr>
                <w:rFonts w:hint="eastAsia" w:ascii="仿宋_GB2312" w:hAnsi="仿宋_GB2312"/>
                <w:bCs w:val="0"/>
                <w:color w:val="auto"/>
                <w:sz w:val="24"/>
                <w:szCs w:val="24"/>
              </w:rPr>
              <w:t>通过生态廊道与交通干线串联，推动上英特色农渔产品、生态研学与红色文旅资源同东海滨海生态景观、休闲游憩与现代服务功能深度融合。聚焦海陆产业联动、服务设施共享、绿美生态共建，推动片区整体提升，构建“从田园到海洋、从乡村到街区”的全链条体验与产城融合新格局，合力打造成为陆丰区域农文旅协同发展、城乡共同富裕的示范样板。</w:t>
            </w:r>
          </w:p>
          <w:p>
            <w:pPr>
              <w:adjustRightInd w:val="0"/>
              <w:snapToGrid w:val="0"/>
              <w:spacing w:line="440" w:lineRule="exact"/>
              <w:ind w:firstLine="482"/>
              <w:rPr>
                <w:rFonts w:ascii="仿宋_GB2312" w:hAnsi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/>
                <w:b/>
                <w:bCs w:val="0"/>
                <w:color w:val="auto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_GB2312" w:hAnsi="仿宋_GB2312"/>
                <w:b/>
                <w:bCs w:val="0"/>
                <w:color w:val="auto"/>
                <w:sz w:val="24"/>
                <w:szCs w:val="24"/>
              </w:rPr>
              <w:t>.生态农文旅融合组团式项目。</w:t>
            </w:r>
            <w:r>
              <w:rPr>
                <w:rFonts w:hint="eastAsia" w:ascii="仿宋_GB2312" w:hAnsi="仿宋_GB2312"/>
                <w:color w:val="auto"/>
                <w:sz w:val="24"/>
                <w:szCs w:val="24"/>
              </w:rPr>
              <w:t>以陆丰市陂洋</w:t>
            </w:r>
            <w:r>
              <w:rPr>
                <w:rFonts w:hint="eastAsia" w:ascii="仿宋_GB2312" w:hAnsi="仿宋_GB2312"/>
                <w:color w:val="auto"/>
                <w:sz w:val="24"/>
                <w:szCs w:val="24"/>
                <w:lang w:eastAsia="zh-CN"/>
              </w:rPr>
              <w:t>－</w:t>
            </w:r>
            <w:r>
              <w:rPr>
                <w:rFonts w:hint="eastAsia" w:ascii="仿宋_GB2312" w:hAnsi="仿宋_GB2312"/>
                <w:color w:val="auto"/>
                <w:sz w:val="24"/>
                <w:szCs w:val="24"/>
              </w:rPr>
              <w:t>铜锣湖</w:t>
            </w:r>
            <w:r>
              <w:rPr>
                <w:rFonts w:hint="eastAsia" w:ascii="仿宋_GB2312" w:hAnsi="仿宋_GB2312"/>
                <w:color w:val="auto"/>
                <w:sz w:val="24"/>
                <w:szCs w:val="24"/>
                <w:lang w:eastAsia="zh-CN"/>
              </w:rPr>
              <w:t>－</w:t>
            </w:r>
            <w:r>
              <w:rPr>
                <w:rFonts w:hint="eastAsia" w:ascii="仿宋_GB2312" w:hAnsi="仿宋_GB2312"/>
                <w:color w:val="auto"/>
                <w:sz w:val="24"/>
                <w:szCs w:val="24"/>
              </w:rPr>
              <w:t>华侨镇片区组团为例，深挖片区生态资源、农业基础、华侨文化、红色基因等核心优势，重点发展生态农业，打造农业产业集群，延伸果蔬保鲜、粮油加工、中药材加工等</w:t>
            </w:r>
            <w:r>
              <w:rPr>
                <w:rFonts w:hint="eastAsia" w:ascii="仿宋_GB2312" w:hAnsi="仿宋_GB2312"/>
                <w:color w:val="auto"/>
                <w:sz w:val="24"/>
                <w:szCs w:val="24"/>
                <w:lang w:eastAsia="zh-CN"/>
              </w:rPr>
              <w:t>产业链，</w:t>
            </w:r>
            <w:r>
              <w:rPr>
                <w:rFonts w:hint="eastAsia" w:ascii="仿宋_GB2312" w:hAnsi="仿宋_GB2312"/>
                <w:color w:val="auto"/>
                <w:sz w:val="24"/>
                <w:szCs w:val="24"/>
              </w:rPr>
              <w:t>延长产业链，提高农产品附加值，构建“生态农业+文旅融合+配套服务”的特色产业体系，实现农产品种养、加工、文旅体验全链条协同。</w:t>
            </w:r>
          </w:p>
        </w:tc>
      </w:tr>
      <w:bookmarkEnd w:id="82"/>
    </w:tbl>
    <w:p>
      <w:pPr>
        <w:pStyle w:val="2"/>
        <w:adjustRightInd w:val="0"/>
        <w:snapToGrid w:val="0"/>
        <w:spacing w:line="620" w:lineRule="exact"/>
        <w:ind w:firstLine="640" w:firstLineChars="200"/>
        <w:jc w:val="both"/>
        <w:rPr>
          <w:rFonts w:hint="eastAsia" w:ascii="黑体" w:hAnsi="黑体" w:eastAsia="黑体" w:cs="黑体"/>
          <w:color w:val="auto"/>
        </w:rPr>
      </w:pPr>
      <w:bookmarkStart w:id="89" w:name="_Toc9934"/>
      <w:bookmarkStart w:id="90" w:name="_Toc26819"/>
      <w:bookmarkStart w:id="91" w:name="_Toc20227"/>
      <w:bookmarkStart w:id="92" w:name="_Toc27683"/>
      <w:r>
        <w:rPr>
          <w:rFonts w:hint="eastAsia" w:ascii="黑体" w:hAnsi="黑体" w:eastAsia="黑体" w:cs="黑体"/>
          <w:color w:val="auto"/>
        </w:rPr>
        <w:t>八</w:t>
      </w:r>
      <w:r>
        <w:rPr>
          <w:rFonts w:hint="eastAsia" w:ascii="黑体" w:hAnsi="黑体" w:eastAsia="黑体" w:cs="黑体"/>
          <w:color w:val="auto"/>
          <w:lang w:eastAsia="zh-CN"/>
        </w:rPr>
        <w:t>、</w:t>
      </w:r>
      <w:r>
        <w:rPr>
          <w:rFonts w:hint="eastAsia" w:ascii="黑体" w:hAnsi="黑体" w:eastAsia="黑体" w:cs="黑体"/>
          <w:color w:val="auto"/>
        </w:rPr>
        <w:t>提升乡村治理体系和治理能力现代化水平</w:t>
      </w:r>
      <w:bookmarkEnd w:id="89"/>
      <w:bookmarkEnd w:id="90"/>
      <w:bookmarkEnd w:id="91"/>
    </w:p>
    <w:p>
      <w:pPr>
        <w:pStyle w:val="3"/>
        <w:adjustRightInd w:val="0"/>
        <w:snapToGrid w:val="0"/>
        <w:spacing w:line="620" w:lineRule="exact"/>
        <w:ind w:firstLine="643" w:firstLineChars="200"/>
        <w:outlineLvl w:val="1"/>
        <w:rPr>
          <w:rStyle w:val="19"/>
          <w:rFonts w:hint="eastAsia" w:ascii="黑体" w:hAnsi="黑体" w:eastAsia="黑体" w:cs="黑体"/>
          <w:b w:val="0"/>
          <w:bCs/>
          <w:color w:val="auto"/>
          <w:highlight w:val="none"/>
          <w:lang w:bidi="ar"/>
        </w:rPr>
      </w:pPr>
      <w:bookmarkStart w:id="93" w:name="_Toc14971"/>
      <w:bookmarkStart w:id="94" w:name="_Toc9243"/>
      <w:bookmarkStart w:id="95" w:name="_Toc24045"/>
      <w:r>
        <w:rPr>
          <w:rFonts w:hint="eastAsia" w:ascii="仿宋_GB2312" w:hAnsi="仿宋_GB2312" w:eastAsia="仿宋_GB2312" w:cs="仿宋_GB2312"/>
          <w:b/>
          <w:bCs w:val="0"/>
          <w:color w:val="auto"/>
          <w:lang w:val="en-US" w:eastAsia="zh-CN"/>
        </w:rPr>
        <w:t>（</w:t>
      </w:r>
      <w:bookmarkEnd w:id="93"/>
      <w:r>
        <w:rPr>
          <w:rFonts w:hint="eastAsia" w:ascii="仿宋_GB2312" w:hAnsi="仿宋_GB2312" w:eastAsia="仿宋_GB2312" w:cs="仿宋_GB2312"/>
          <w:b/>
          <w:bCs w:val="0"/>
          <w:color w:val="auto"/>
          <w:lang w:val="en-US" w:eastAsia="zh-CN"/>
        </w:rPr>
        <w:t>二十七）健全党建引领乡村治理体系。</w:t>
      </w:r>
      <w:r>
        <w:rPr>
          <w:rStyle w:val="26"/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 w:bidi="ar-SA"/>
          <w14:ligatures w14:val="standardContextual"/>
        </w:rPr>
        <w:t>强化基层党建引领作用，健全自治、法治、德治相融合的乡村治理体系。深化“党建+网格+邮政”治理模式</w:t>
      </w:r>
      <w:r>
        <w:rPr>
          <w:rFonts w:ascii="仿宋" w:hAnsi="仿宋" w:eastAsia="仿宋" w:cs="仿宋"/>
          <w:color w:val="auto"/>
          <w:sz w:val="32"/>
          <w:szCs w:val="32"/>
        </w:rPr>
        <w:t>，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形成上下贯通、协同发力的治理格局。</w:t>
      </w:r>
      <w:r>
        <w:rPr>
          <w:rStyle w:val="26"/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 w:bidi="ar-SA"/>
          <w14:ligatures w14:val="standardContextual"/>
        </w:rPr>
        <w:t>完善“村党组织—村民小组党支部—党员中心户”三级组织架构，推行村民小组项目联合党支部模式，打破村组壁垒、整合零散资源，以党组织聚合土地、产业、人力要素。加强农村基层党组织建设，动态排查整顿软弱涣散村党组织。完善村组运行机制，落实组账村监镇管，健全村集体经营收益增量奖励机制，建立组级集体经营收益提留机制，用好村民小组长正面与负面“两张清单”。深化做实“入户联心”，推动党员力量下沉网格。持续健全村级自治，深化村民自治，完善四议两公开、村级议事协商机制，全面规范村级重大事项决策流程。发挥“一约六会一榜”作用，全面推广清单制、积分制等治理模式，激发群众自治活力。</w:t>
      </w:r>
      <w:bookmarkEnd w:id="94"/>
      <w:bookmarkEnd w:id="95"/>
    </w:p>
    <w:p>
      <w:pPr>
        <w:pStyle w:val="3"/>
        <w:adjustRightInd w:val="0"/>
        <w:snapToGrid w:val="0"/>
        <w:spacing w:line="620" w:lineRule="exact"/>
        <w:ind w:firstLine="643" w:firstLineChars="200"/>
        <w:outlineLvl w:val="1"/>
        <w:rPr>
          <w:rStyle w:val="19"/>
          <w:rFonts w:hint="eastAsia" w:ascii="黑体" w:hAnsi="黑体" w:eastAsia="黑体" w:cs="黑体"/>
          <w:b w:val="0"/>
          <w:bCs/>
          <w:color w:val="auto"/>
          <w:highlight w:val="none"/>
          <w:lang w:bidi="ar"/>
        </w:rPr>
      </w:pPr>
      <w:bookmarkStart w:id="96" w:name="_Toc14416"/>
      <w:bookmarkStart w:id="97" w:name="_Toc22747"/>
      <w:bookmarkStart w:id="98" w:name="_Toc487"/>
      <w:r>
        <w:rPr>
          <w:rFonts w:hint="eastAsia" w:ascii="仿宋_GB2312" w:hAnsi="仿宋_GB2312" w:eastAsia="仿宋_GB2312" w:cs="仿宋_GB2312"/>
          <w:b/>
          <w:bCs w:val="0"/>
          <w:color w:val="auto"/>
          <w:lang w:val="en-US" w:eastAsia="zh-CN"/>
        </w:rPr>
        <w:t>（二</w:t>
      </w:r>
      <w:bookmarkEnd w:id="96"/>
      <w:bookmarkStart w:id="99" w:name="_Toc13319"/>
      <w:r>
        <w:rPr>
          <w:rFonts w:hint="eastAsia" w:ascii="仿宋_GB2312" w:hAnsi="仿宋_GB2312" w:eastAsia="仿宋_GB2312" w:cs="仿宋_GB2312"/>
          <w:b/>
          <w:bCs w:val="0"/>
          <w:color w:val="auto"/>
          <w:lang w:val="en-US" w:eastAsia="zh-CN"/>
        </w:rPr>
        <w:t>十八）涵养新时代乡村文明。</w:t>
      </w:r>
      <w:r>
        <w:rPr>
          <w:rStyle w:val="26"/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 w:bidi="ar-SA"/>
          <w14:ligatures w14:val="standardContextual"/>
        </w:rPr>
        <w:t>依托新时代文明实践中心，整合阵地资源，开展理论宣讲、文化服务、文明实践活动。推进文明乡风建设，将移风易俗、婚丧新风纳入村规民约与积分管理，整治陈规陋习。深挖汕尾非遗、民俗、农耕、侨乡文化资源，修缮侨宅、名人故居，建设侨文化展示馆；搭建侨企侨村结对帮扶平台，引导侨胞参与家乡建设，打造特色侨村。</w:t>
      </w:r>
      <w:bookmarkEnd w:id="97"/>
      <w:bookmarkEnd w:id="98"/>
      <w:bookmarkEnd w:id="99"/>
      <w:bookmarkStart w:id="100" w:name="_Toc13999"/>
    </w:p>
    <w:p>
      <w:pPr>
        <w:pStyle w:val="3"/>
        <w:adjustRightInd w:val="0"/>
        <w:snapToGrid w:val="0"/>
        <w:spacing w:line="620" w:lineRule="exact"/>
        <w:ind w:firstLine="643" w:firstLineChars="200"/>
        <w:outlineLvl w:val="1"/>
        <w:rPr>
          <w:rStyle w:val="19"/>
          <w:b w:val="0"/>
          <w:bCs/>
          <w:color w:val="auto"/>
          <w:highlight w:val="none"/>
          <w:lang w:bidi="ar"/>
        </w:rPr>
      </w:pPr>
      <w:bookmarkStart w:id="101" w:name="_Toc18141"/>
      <w:bookmarkStart w:id="102" w:name="_Toc12534"/>
      <w:r>
        <w:rPr>
          <w:rFonts w:hint="eastAsia" w:ascii="仿宋_GB2312" w:hAnsi="仿宋_GB2312" w:eastAsia="仿宋_GB2312" w:cs="仿宋_GB2312"/>
          <w:b/>
          <w:bCs w:val="0"/>
          <w:color w:val="auto"/>
          <w:lang w:val="en-US" w:eastAsia="zh-CN"/>
        </w:rPr>
        <w:t>（</w:t>
      </w:r>
      <w:bookmarkEnd w:id="100"/>
      <w:r>
        <w:rPr>
          <w:rFonts w:hint="eastAsia" w:ascii="仿宋_GB2312" w:hAnsi="仿宋_GB2312" w:eastAsia="仿宋_GB2312" w:cs="仿宋_GB2312"/>
          <w:b/>
          <w:bCs w:val="0"/>
          <w:color w:val="auto"/>
          <w:lang w:val="en-US" w:eastAsia="zh-CN"/>
        </w:rPr>
        <w:t>二十九）建设平安法治乡村。</w:t>
      </w:r>
      <w:r>
        <w:rPr>
          <w:rStyle w:val="26"/>
          <w:rFonts w:hint="eastAsia" w:ascii="仿宋_GB2312" w:hAnsi="仿宋_GB2312" w:eastAsia="仿宋_GB2312"/>
          <w:color w:val="auto"/>
        </w:rPr>
        <w:t>创新基层综合治理模式，升级打造“矛调中心”处置平台。</w:t>
      </w:r>
      <w:r>
        <w:rPr>
          <w:rStyle w:val="26"/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 w:bidi="ar-SA"/>
          <w14:ligatures w14:val="standardContextual"/>
        </w:rPr>
        <w:t>构建镇级乡村法治服务中心、村级法律明白人、流动法律服务团三级服务网络，强化基层普法、矛盾调解，引入涉外法律服务保障侨胞权益（法治乡村相关内容建议征求市司法局意见）。深化平安乡村建设，实现“智慧警务室”全覆盖，完善社会治安、公共卫生、自然灾害应急体系。建立治理成效评价机制，以高效治理赋能乡村发展、民生改善。深化“1+6+N”社会治安综合治理体系建设，推广“金厝边”等基层治理品牌，常态化开展扫黑除恶，加强宗教事务、宗祠活动管理，行政村防灾减灾救灾能力建设，防范化解道路交通、有限空间、燃气、消防、房屋等重点领域安全风险。</w:t>
      </w:r>
      <w:bookmarkEnd w:id="101"/>
      <w:bookmarkEnd w:id="102"/>
      <w:bookmarkStart w:id="103" w:name="_Toc3331"/>
    </w:p>
    <w:p>
      <w:pPr>
        <w:pStyle w:val="2"/>
        <w:adjustRightInd w:val="0"/>
        <w:snapToGrid w:val="0"/>
        <w:spacing w:line="620" w:lineRule="exact"/>
        <w:ind w:firstLine="640" w:firstLineChars="200"/>
        <w:jc w:val="both"/>
        <w:rPr>
          <w:rFonts w:hint="eastAsia" w:ascii="黑体" w:hAnsi="黑体" w:eastAsia="黑体" w:cs="黑体"/>
          <w:color w:val="auto"/>
        </w:rPr>
      </w:pPr>
      <w:bookmarkStart w:id="104" w:name="_Toc27487"/>
      <w:bookmarkStart w:id="105" w:name="_Toc24933"/>
      <w:r>
        <w:rPr>
          <w:rFonts w:hint="eastAsia" w:ascii="黑体" w:hAnsi="黑体" w:eastAsia="黑体" w:cs="黑体"/>
          <w:color w:val="auto"/>
        </w:rPr>
        <w:t>九</w:t>
      </w:r>
      <w:r>
        <w:rPr>
          <w:rFonts w:hint="eastAsia" w:ascii="黑体" w:hAnsi="黑体" w:eastAsia="黑体" w:cs="黑体"/>
          <w:color w:val="auto"/>
          <w:lang w:eastAsia="zh-CN"/>
        </w:rPr>
        <w:t>、</w:t>
      </w:r>
      <w:r>
        <w:rPr>
          <w:rFonts w:hint="eastAsia" w:ascii="黑体" w:hAnsi="黑体" w:eastAsia="黑体" w:cs="黑体"/>
          <w:color w:val="auto"/>
        </w:rPr>
        <w:t>促进城乡融合共同繁荣发展</w:t>
      </w:r>
      <w:bookmarkEnd w:id="103"/>
      <w:bookmarkEnd w:id="104"/>
      <w:bookmarkEnd w:id="105"/>
    </w:p>
    <w:p>
      <w:pPr>
        <w:pStyle w:val="3"/>
        <w:adjustRightInd w:val="0"/>
        <w:snapToGrid w:val="0"/>
        <w:spacing w:line="620" w:lineRule="exact"/>
        <w:ind w:firstLine="643" w:firstLineChars="200"/>
        <w:outlineLvl w:val="1"/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lang w:val="en-US" w:eastAsia="zh-CN" w:bidi="ar-SA"/>
          <w14:ligatures w14:val="none"/>
        </w:rPr>
      </w:pPr>
      <w:bookmarkStart w:id="106" w:name="_Toc28692"/>
      <w:bookmarkStart w:id="107" w:name="_Toc17044"/>
      <w:bookmarkStart w:id="108" w:name="_Toc8532"/>
      <w:r>
        <w:rPr>
          <w:rFonts w:hint="eastAsia" w:ascii="仿宋_GB2312" w:hAnsi="仿宋_GB2312" w:eastAsia="仿宋_GB2312" w:cs="仿宋_GB2312"/>
          <w:b/>
          <w:bCs w:val="0"/>
          <w:color w:val="auto"/>
          <w:lang w:val="en-US" w:eastAsia="zh-CN"/>
        </w:rPr>
        <w:t>（三十）统筹推进新型城镇化</w:t>
      </w:r>
      <w:bookmarkEnd w:id="106"/>
      <w:r>
        <w:rPr>
          <w:rFonts w:hint="eastAsia" w:ascii="仿宋_GB2312" w:hAnsi="仿宋_GB2312" w:eastAsia="仿宋_GB2312" w:cs="仿宋_GB2312"/>
          <w:b/>
          <w:bCs w:val="0"/>
          <w:color w:val="auto"/>
          <w:lang w:val="en-US" w:eastAsia="zh-CN"/>
        </w:rPr>
        <w:t>建设。</w:t>
      </w:r>
      <w:r>
        <w:rPr>
          <w:rStyle w:val="26"/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 w:bidi="ar-SA"/>
          <w14:ligatures w14:val="standardContextual"/>
        </w:rPr>
        <w:t>组建县域片区运营公司，统筹项目、资金、招商工作，建立闲置资源“三库”管理机制，完善利益联结体系。强化城镇辐射带动，推动城镇基础设施、公共服务、产业资源向乡村延伸，补齐农村现代化短板，2030年全面完成农村基本生活条件提升工程。</w:t>
      </w:r>
      <w:bookmarkEnd w:id="107"/>
      <w:bookmarkEnd w:id="108"/>
    </w:p>
    <w:p>
      <w:pPr>
        <w:pStyle w:val="3"/>
        <w:adjustRightInd w:val="0"/>
        <w:snapToGrid w:val="0"/>
        <w:spacing w:line="620" w:lineRule="exact"/>
        <w:ind w:firstLine="643" w:firstLineChars="200"/>
        <w:outlineLvl w:val="1"/>
        <w:rPr>
          <w:rStyle w:val="26"/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 w:bidi="ar-SA"/>
          <w14:ligatures w14:val="standardContextual"/>
        </w:rPr>
      </w:pPr>
      <w:bookmarkStart w:id="109" w:name="_Toc15201"/>
      <w:bookmarkStart w:id="110" w:name="_Toc21015"/>
      <w:r>
        <w:rPr>
          <w:rFonts w:hint="eastAsia" w:ascii="仿宋_GB2312" w:hAnsi="仿宋_GB2312" w:eastAsia="仿宋_GB2312" w:cs="仿宋_GB2312"/>
          <w:b/>
          <w:bCs w:val="0"/>
          <w:color w:val="auto"/>
          <w:lang w:val="en-US" w:eastAsia="zh-CN"/>
        </w:rPr>
        <w:t>（三十一）深化城乡要素市场化改革。</w:t>
      </w:r>
      <w:r>
        <w:rPr>
          <w:rStyle w:val="26"/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 w:bidi="ar-SA"/>
          <w14:ligatures w14:val="standardContextual"/>
        </w:rPr>
        <w:t>完善财政支农投入稳定增长机制，统筹整合涉农资金，强化预算监管，提升资金使用效益。设立专项扶持资金与风险补偿基金，强化金融配套支持。创新农村金融服务，推出“科技贷”“冷链贷”“品牌贷”等特色产品，完善农业信贷担保、政策性保险体系，发展价格指数保险、天气指数保险。深化“明珠三号”集成改革，破除制度障碍，推动劳动力、资本、技术等要素城乡双向流动，依托侨乡资源、大湾区市场搭建要素对接平台。</w:t>
      </w:r>
      <w:bookmarkEnd w:id="109"/>
      <w:bookmarkEnd w:id="110"/>
    </w:p>
    <w:p>
      <w:pPr>
        <w:pStyle w:val="3"/>
        <w:adjustRightInd w:val="0"/>
        <w:snapToGrid w:val="0"/>
        <w:spacing w:line="620" w:lineRule="exact"/>
        <w:ind w:firstLine="643" w:firstLineChars="200"/>
        <w:outlineLvl w:val="1"/>
        <w:rPr>
          <w:rStyle w:val="26"/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 w:bidi="ar-SA"/>
          <w14:ligatures w14:val="standardContextual"/>
        </w:rPr>
      </w:pPr>
      <w:bookmarkStart w:id="111" w:name="_Toc10970"/>
      <w:bookmarkStart w:id="112" w:name="_Toc1628"/>
      <w:r>
        <w:rPr>
          <w:rFonts w:hint="eastAsia" w:ascii="仿宋_GB2312" w:hAnsi="仿宋_GB2312" w:eastAsia="仿宋_GB2312" w:cs="仿宋_GB2312"/>
          <w:b/>
          <w:bCs w:val="0"/>
          <w:color w:val="auto"/>
          <w:lang w:val="en-US" w:eastAsia="zh-CN"/>
        </w:rPr>
        <w:t>（三十二）健全现代乡村经营服务体系。</w:t>
      </w:r>
      <w:r>
        <w:rPr>
          <w:rStyle w:val="26"/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 w:bidi="ar-SA"/>
          <w14:ligatures w14:val="standardContextual"/>
        </w:rPr>
        <w:t>构建“政府引导、市场主导、多元参与”的乡村运营体系，鼓励村集体成立经营实体，引进专业运营企业，打造“村集体+企业+农户”利益共同体。引入特色产业、文旅新业态，开展市场化运营评估，增强乡村自我造血能力。全面摸排农村闲置资源，建立资源台账，推动“资源变资产、资产变资本、资本变效益”，稳慎推进农村“三块地”改革，全域推广“股票田、股票树、股票宅”活权模式，深化“国企带村”改革模式，盘活利用闲置农房，推进撂荒耕地整治，发展农业适度规模经营。</w:t>
      </w:r>
      <w:bookmarkEnd w:id="111"/>
      <w:bookmarkEnd w:id="112"/>
    </w:p>
    <w:p>
      <w:pPr>
        <w:pStyle w:val="3"/>
        <w:adjustRightInd w:val="0"/>
        <w:snapToGrid w:val="0"/>
        <w:spacing w:line="620" w:lineRule="exact"/>
        <w:ind w:firstLine="643" w:firstLineChars="200"/>
        <w:outlineLvl w:val="1"/>
        <w:rPr>
          <w:rStyle w:val="26"/>
          <w:rFonts w:ascii="仿宋_GB2312" w:hAnsi="仿宋_GB2312" w:eastAsia="仿宋_GB2312" w:cs="仿宋_GB2312"/>
          <w:bCs/>
          <w:color w:val="auto"/>
        </w:rPr>
      </w:pPr>
      <w:bookmarkStart w:id="113" w:name="_Toc30370"/>
      <w:r>
        <w:rPr>
          <w:rFonts w:hint="eastAsia" w:ascii="仿宋_GB2312" w:hAnsi="仿宋_GB2312" w:eastAsia="仿宋_GB2312" w:cs="仿宋_GB2312"/>
          <w:b/>
          <w:bCs w:val="0"/>
          <w:color w:val="auto"/>
          <w:lang w:val="en-US" w:eastAsia="zh-CN"/>
          <w14:ligatures w14:val="standardContextual"/>
        </w:rPr>
        <w:t>（三十三）</w:t>
      </w:r>
      <w:r>
        <w:rPr>
          <w:rFonts w:hint="eastAsia" w:ascii="仿宋_GB2312" w:hAnsi="仿宋_GB2312" w:eastAsia="仿宋_GB2312" w:cs="仿宋_GB2312"/>
          <w:b/>
          <w:bCs w:val="0"/>
          <w:color w:val="auto"/>
          <w14:ligatures w14:val="standardContextual"/>
        </w:rPr>
        <w:t>推进农村集体产权制度改革。</w:t>
      </w:r>
      <w:r>
        <w:rPr>
          <w:rStyle w:val="26"/>
          <w:rFonts w:hint="eastAsia" w:ascii="仿宋_GB2312" w:hAnsi="仿宋_GB2312" w:eastAsia="仿宋_GB2312" w:cs="仿宋_GB2312"/>
          <w:bCs/>
          <w:color w:val="auto"/>
        </w:rPr>
        <w:t>进一步规范和完善农村集体各项管理制度，</w:t>
      </w:r>
      <w:r>
        <w:rPr>
          <w:rStyle w:val="26"/>
          <w:rFonts w:hint="eastAsia" w:ascii="仿宋_GB2312" w:hAnsi="仿宋_GB2312" w:eastAsia="仿宋_GB2312"/>
          <w:color w:val="auto"/>
        </w:rPr>
        <w:t>以体制机制改革强</w:t>
      </w:r>
      <w:r>
        <w:rPr>
          <w:rStyle w:val="26"/>
          <w:rFonts w:hint="eastAsia" w:ascii="仿宋_GB2312" w:hAnsi="仿宋_GB2312" w:eastAsia="仿宋_GB2312" w:cs="仿宋_GB2312"/>
          <w:color w:val="auto"/>
        </w:rPr>
        <w:t>化</w:t>
      </w:r>
      <w:r>
        <w:rPr>
          <w:rStyle w:val="26"/>
          <w:rFonts w:hint="eastAsia" w:ascii="仿宋_GB2312" w:hAnsi="仿宋_GB2312" w:eastAsia="仿宋_GB2312" w:cs="仿宋_GB2312"/>
          <w:bCs/>
          <w:color w:val="auto"/>
        </w:rPr>
        <w:t>农村集体“三资”</w:t>
      </w:r>
      <w:r>
        <w:rPr>
          <w:rStyle w:val="26"/>
          <w:rFonts w:hint="eastAsia" w:ascii="仿宋_GB2312" w:hAnsi="仿宋_GB2312" w:eastAsia="仿宋_GB2312" w:cs="仿宋_GB2312"/>
          <w:color w:val="auto"/>
        </w:rPr>
        <w:t>监管力</w:t>
      </w:r>
      <w:r>
        <w:rPr>
          <w:rStyle w:val="26"/>
          <w:rFonts w:hint="eastAsia" w:ascii="仿宋_GB2312" w:hAnsi="仿宋_GB2312" w:eastAsia="仿宋_GB2312"/>
          <w:color w:val="auto"/>
        </w:rPr>
        <w:t>量</w:t>
      </w:r>
      <w:r>
        <w:rPr>
          <w:rStyle w:val="26"/>
          <w:rFonts w:hint="eastAsia" w:ascii="仿宋_GB2312" w:hAnsi="仿宋_GB2312" w:eastAsia="仿宋_GB2312" w:cs="仿宋_GB2312"/>
          <w:bCs/>
          <w:color w:val="auto"/>
        </w:rPr>
        <w:t>，加快农村集体“三资”领域</w:t>
      </w:r>
      <w:r>
        <w:rPr>
          <w:rStyle w:val="26"/>
          <w:rFonts w:hint="eastAsia" w:ascii="仿宋_GB2312" w:hAnsi="仿宋_GB2312" w:eastAsia="仿宋_GB2312"/>
          <w:color w:val="auto"/>
          <w:lang w:eastAsia="zh-CN"/>
        </w:rPr>
        <w:t>大数据</w:t>
      </w:r>
      <w:r>
        <w:rPr>
          <w:rStyle w:val="26"/>
          <w:rFonts w:hint="eastAsia" w:ascii="仿宋_GB2312" w:hAnsi="仿宋_GB2312" w:eastAsia="仿宋_GB2312" w:cs="仿宋_GB2312"/>
          <w:bCs/>
          <w:color w:val="auto"/>
        </w:rPr>
        <w:t>监督</w:t>
      </w:r>
      <w:r>
        <w:rPr>
          <w:rStyle w:val="26"/>
          <w:rFonts w:hint="eastAsia" w:ascii="仿宋_GB2312" w:hAnsi="仿宋_GB2312" w:eastAsia="仿宋_GB2312" w:cs="仿宋_GB2312"/>
          <w:bCs/>
          <w:color w:val="auto"/>
          <w:lang w:eastAsia="zh-CN"/>
        </w:rPr>
        <w:t>、</w:t>
      </w:r>
      <w:r>
        <w:rPr>
          <w:rStyle w:val="26"/>
          <w:rFonts w:hint="eastAsia" w:ascii="仿宋_GB2312" w:hAnsi="仿宋_GB2312" w:eastAsia="仿宋_GB2312"/>
          <w:color w:val="auto"/>
        </w:rPr>
        <w:t>清查核实机制</w:t>
      </w:r>
      <w:r>
        <w:rPr>
          <w:rStyle w:val="26"/>
          <w:rFonts w:hint="eastAsia" w:ascii="仿宋_GB2312" w:hAnsi="仿宋_GB2312" w:eastAsia="仿宋_GB2312" w:cs="仿宋_GB2312"/>
          <w:bCs/>
          <w:color w:val="auto"/>
        </w:rPr>
        <w:t>，推进集体资产、财务、交易等数字化管理。推进农村产权交易市场规范化建设，因地制宜探索新型农村集体经济有效实现形式和运营模式。</w:t>
      </w:r>
      <w:r>
        <w:rPr>
          <w:rStyle w:val="26"/>
          <w:rFonts w:hint="eastAsia" w:ascii="仿宋_GB2312" w:hAnsi="仿宋_GB2312" w:eastAsia="仿宋_GB2312" w:cs="仿宋_GB2312"/>
          <w:b w:val="0"/>
          <w:bCs/>
          <w:color w:val="auto"/>
        </w:rPr>
        <w:t>推进“社村合作”机制落地见效</w:t>
      </w:r>
      <w:r>
        <w:rPr>
          <w:rStyle w:val="26"/>
          <w:rFonts w:hint="eastAsia" w:ascii="仿宋_GB2312" w:hAnsi="仿宋_GB2312" w:eastAsia="仿宋_GB2312" w:cs="仿宋_GB2312"/>
          <w:b w:val="0"/>
          <w:bCs/>
          <w:color w:val="auto"/>
          <w:lang w:eastAsia="zh-CN"/>
        </w:rPr>
        <w:t>，</w:t>
      </w:r>
      <w:r>
        <w:rPr>
          <w:rStyle w:val="26"/>
          <w:rFonts w:hint="eastAsia" w:ascii="仿宋_GB2312" w:hAnsi="仿宋_GB2312" w:eastAsia="仿宋_GB2312" w:cs="仿宋_GB2312"/>
          <w:bCs/>
          <w:color w:val="auto"/>
        </w:rPr>
        <w:t>深化集体林权制度改革，</w:t>
      </w:r>
      <w:r>
        <w:rPr>
          <w:rStyle w:val="26"/>
          <w:rFonts w:hint="eastAsia" w:ascii="仿宋_GB2312" w:hAnsi="仿宋_GB2312" w:eastAsia="仿宋_GB2312" w:cs="仿宋_GB2312"/>
          <w:b w:val="0"/>
          <w:bCs/>
          <w:color w:val="auto"/>
        </w:rPr>
        <w:t>推动村级集体闲置资源、土地资源、服务资源集约化利用。</w:t>
      </w:r>
      <w:bookmarkEnd w:id="113"/>
    </w:p>
    <w:p>
      <w:pPr>
        <w:pStyle w:val="3"/>
        <w:adjustRightInd w:val="0"/>
        <w:snapToGrid w:val="0"/>
        <w:spacing w:line="620" w:lineRule="exact"/>
        <w:ind w:firstLine="643" w:firstLineChars="200"/>
        <w:outlineLvl w:val="1"/>
        <w:rPr>
          <w:rStyle w:val="19"/>
          <w:rFonts w:hint="eastAsia" w:ascii="黑体" w:hAnsi="黑体" w:cs="黑体"/>
          <w:bCs w:val="0"/>
          <w:color w:val="auto"/>
          <w:highlight w:val="none"/>
        </w:rPr>
      </w:pPr>
      <w:bookmarkStart w:id="114" w:name="_Toc3396"/>
      <w:r>
        <w:rPr>
          <w:rFonts w:hint="eastAsia" w:ascii="仿宋_GB2312" w:hAnsi="仿宋_GB2312" w:eastAsia="仿宋_GB2312" w:cs="仿宋_GB2312"/>
          <w:b/>
          <w:bCs w:val="0"/>
          <w:color w:val="auto"/>
          <w:lang w:val="en-US" w:eastAsia="zh-CN"/>
        </w:rPr>
        <w:t>（三十四）强化多元资金投入保障机制。</w:t>
      </w:r>
      <w:r>
        <w:rPr>
          <w:rStyle w:val="26"/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 w:bidi="ar-SA"/>
          <w14:ligatures w14:val="standardContextual"/>
        </w:rPr>
        <w:t>优化财政资金投向，重点支持产业发展、人居环境整治、农业科创、基础设施建设。发布社会资本投资农业农村指引，引导工商资本、社会资本下乡。深化农村产权抵押融资改革，扩大农村信用贷款覆盖面，丰富农业保险产品与服务，构建多元可持续的资金投入体系。</w:t>
      </w:r>
      <w:bookmarkEnd w:id="114"/>
    </w:p>
    <w:p>
      <w:pPr>
        <w:pStyle w:val="3"/>
        <w:adjustRightInd w:val="0"/>
        <w:snapToGrid w:val="0"/>
        <w:spacing w:line="620" w:lineRule="exact"/>
        <w:ind w:firstLine="643" w:firstLineChars="200"/>
        <w:outlineLvl w:val="1"/>
        <w:rPr>
          <w:rFonts w:hint="eastAsia"/>
          <w:color w:val="auto"/>
          <w:lang w:val="en-US" w:eastAsia="zh-CN"/>
        </w:rPr>
      </w:pPr>
      <w:bookmarkStart w:id="115" w:name="_Toc9946"/>
      <w:r>
        <w:rPr>
          <w:rFonts w:hint="eastAsia" w:ascii="仿宋_GB2312" w:hAnsi="仿宋_GB2312" w:eastAsia="仿宋_GB2312" w:cs="仿宋_GB2312"/>
          <w:b/>
          <w:bCs w:val="0"/>
          <w:color w:val="auto"/>
          <w:lang w:val="en-US" w:eastAsia="zh-CN"/>
        </w:rPr>
        <w:t>（三十五）强化人才队伍支撑。</w:t>
      </w:r>
      <w:r>
        <w:rPr>
          <w:rStyle w:val="26"/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 w:bidi="ar-SA"/>
          <w14:ligatures w14:val="standardContextual"/>
        </w:rPr>
        <w:t>分层分类开展“三农”干部教育培训，打造懂农业、爱农村、爱农民的专业化队伍。实施人才引进与本土培育计划，柔性引进农业科技、产业运营、基层治理领域专家；从致富带头人、返乡青年、高校毕业生中选拔村级后备力量。健全基层干部选派、培养、管理、任用全链条机制，夯实乡村人才根基。</w:t>
      </w:r>
      <w:bookmarkEnd w:id="115"/>
    </w:p>
    <w:bookmarkEnd w:id="92"/>
    <w:p>
      <w:pPr>
        <w:pStyle w:val="2"/>
        <w:adjustRightInd w:val="0"/>
        <w:snapToGrid w:val="0"/>
        <w:spacing w:line="620" w:lineRule="exact"/>
        <w:ind w:firstLine="640" w:firstLineChars="200"/>
        <w:jc w:val="both"/>
        <w:rPr>
          <w:rFonts w:hint="eastAsia" w:ascii="黑体" w:hAnsi="黑体" w:eastAsia="黑体" w:cs="黑体"/>
          <w:color w:val="auto"/>
        </w:rPr>
      </w:pPr>
      <w:bookmarkStart w:id="116" w:name="_Toc8022"/>
      <w:bookmarkStart w:id="117" w:name="_Toc16080"/>
      <w:bookmarkStart w:id="118" w:name="_Toc9716"/>
      <w:bookmarkStart w:id="119" w:name="_Toc1743"/>
      <w:r>
        <w:rPr>
          <w:rFonts w:hint="eastAsia" w:ascii="黑体" w:hAnsi="黑体" w:eastAsia="黑体" w:cs="黑体"/>
          <w:color w:val="auto"/>
          <w:lang w:val="en-US" w:eastAsia="zh-CN"/>
        </w:rPr>
        <w:t>十、</w:t>
      </w:r>
      <w:r>
        <w:rPr>
          <w:rFonts w:hint="eastAsia" w:ascii="黑体" w:hAnsi="黑体" w:eastAsia="黑体" w:cs="黑体"/>
          <w:color w:val="auto"/>
        </w:rPr>
        <w:t>建立健全规划</w:t>
      </w:r>
      <w:r>
        <w:rPr>
          <w:rFonts w:hint="eastAsia" w:ascii="黑体" w:hAnsi="黑体" w:eastAsia="黑体" w:cs="黑体"/>
          <w:color w:val="auto"/>
          <w:lang w:eastAsia="zh-CN"/>
        </w:rPr>
        <w:t>实施</w:t>
      </w:r>
      <w:r>
        <w:rPr>
          <w:rFonts w:hint="eastAsia" w:ascii="黑体" w:hAnsi="黑体" w:eastAsia="黑体" w:cs="黑体"/>
          <w:color w:val="auto"/>
        </w:rPr>
        <w:t>保障</w:t>
      </w:r>
      <w:bookmarkEnd w:id="116"/>
      <w:bookmarkEnd w:id="117"/>
      <w:bookmarkEnd w:id="118"/>
      <w:bookmarkEnd w:id="119"/>
    </w:p>
    <w:p>
      <w:pPr>
        <w:pStyle w:val="3"/>
        <w:adjustRightInd w:val="0"/>
        <w:snapToGrid w:val="0"/>
        <w:spacing w:line="620" w:lineRule="exact"/>
        <w:ind w:firstLine="643" w:firstLineChars="200"/>
        <w:outlineLvl w:val="1"/>
        <w:rPr>
          <w:rStyle w:val="19"/>
          <w:rFonts w:hint="eastAsia" w:ascii="黑体" w:hAnsi="黑体" w:eastAsia="黑体" w:cs="黑体"/>
          <w:b w:val="0"/>
          <w:bCs/>
          <w:color w:val="auto"/>
          <w:highlight w:val="none"/>
          <w:lang w:val="en-US" w:eastAsia="zh-CN" w:bidi="ar"/>
        </w:rPr>
      </w:pPr>
      <w:bookmarkStart w:id="120" w:name="_Toc14263"/>
      <w:bookmarkStart w:id="121" w:name="_Toc8640"/>
      <w:bookmarkStart w:id="122" w:name="_Toc3356"/>
      <w:bookmarkStart w:id="123" w:name="_Toc19149"/>
      <w:r>
        <w:rPr>
          <w:rFonts w:hint="eastAsia" w:ascii="仿宋_GB2312" w:hAnsi="仿宋_GB2312" w:eastAsia="仿宋_GB2312" w:cs="仿宋_GB2312"/>
          <w:b/>
          <w:bCs w:val="0"/>
          <w:color w:val="auto"/>
          <w:lang w:val="en-US" w:eastAsia="zh-CN"/>
        </w:rPr>
        <w:t>（三十六）强化党的全面领导</w:t>
      </w:r>
      <w:bookmarkEnd w:id="120"/>
      <w:r>
        <w:rPr>
          <w:rFonts w:hint="eastAsia" w:ascii="仿宋_GB2312" w:hAnsi="仿宋_GB2312" w:eastAsia="仿宋_GB2312" w:cs="仿宋_GB2312"/>
          <w:b/>
          <w:bCs w:val="0"/>
          <w:color w:val="auto"/>
          <w:lang w:val="en-US" w:eastAsia="zh-CN"/>
        </w:rPr>
        <w:t>。</w:t>
      </w:r>
      <w:r>
        <w:rPr>
          <w:rStyle w:val="26"/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 w:bidi="ar-SA"/>
          <w14:ligatures w14:val="standardContextual"/>
        </w:rPr>
        <w:t>把党的领导贯穿农业农村现代化全过程，完善市委农村工作领导小组议事决策机制，定期研究重大事项、破解发展难题。压实各级党委农村工作部门职能，健全上下贯通、一抓到底的工作体系。</w:t>
      </w:r>
      <w:bookmarkEnd w:id="121"/>
      <w:bookmarkEnd w:id="122"/>
    </w:p>
    <w:p>
      <w:pPr>
        <w:pStyle w:val="3"/>
        <w:adjustRightInd w:val="0"/>
        <w:snapToGrid w:val="0"/>
        <w:spacing w:line="620" w:lineRule="exact"/>
        <w:ind w:firstLine="643" w:firstLineChars="200"/>
        <w:outlineLvl w:val="1"/>
        <w:rPr>
          <w:rStyle w:val="26"/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 w:bidi="ar-SA"/>
          <w14:ligatures w14:val="standardContextual"/>
        </w:rPr>
      </w:pPr>
      <w:bookmarkStart w:id="124" w:name="_Toc15127"/>
      <w:bookmarkStart w:id="125" w:name="_Toc18960"/>
      <w:bookmarkStart w:id="126" w:name="_Toc2381"/>
      <w:r>
        <w:rPr>
          <w:rFonts w:hint="eastAsia" w:ascii="仿宋_GB2312" w:hAnsi="仿宋_GB2312" w:eastAsia="仿宋_GB2312" w:cs="仿宋_GB2312"/>
          <w:b/>
          <w:bCs w:val="0"/>
          <w:color w:val="auto"/>
          <w:lang w:val="en-US" w:eastAsia="zh-CN"/>
        </w:rPr>
        <w:t>（三十七）压实各级组织实施责任</w:t>
      </w:r>
      <w:bookmarkEnd w:id="123"/>
      <w:bookmarkEnd w:id="124"/>
      <w:r>
        <w:rPr>
          <w:rFonts w:hint="eastAsia" w:ascii="仿宋_GB2312" w:hAnsi="仿宋_GB2312" w:eastAsia="仿宋_GB2312" w:cs="仿宋_GB2312"/>
          <w:b/>
          <w:bCs w:val="0"/>
          <w:color w:val="auto"/>
          <w:lang w:val="en-US" w:eastAsia="zh-CN"/>
        </w:rPr>
        <w:t>。</w:t>
      </w:r>
      <w:r>
        <w:rPr>
          <w:rStyle w:val="26"/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 w:bidi="ar-SA"/>
          <w14:ligatures w14:val="standardContextual"/>
        </w:rPr>
        <w:t>严格落实市、县、镇、村四级书记抓“三农”工作责任，健全四级联动工作机制。建立跨部门协同机制，制定任务清单，统筹发改、财政、自然资源、科技、生态环境等部门力量，形成工作合力。各县（市、区）落实属地责任，常态化梳理难点堵点，逐项推动解决。</w:t>
      </w:r>
      <w:bookmarkEnd w:id="125"/>
      <w:bookmarkEnd w:id="126"/>
    </w:p>
    <w:p>
      <w:pPr>
        <w:pStyle w:val="3"/>
        <w:adjustRightInd w:val="0"/>
        <w:snapToGrid w:val="0"/>
        <w:spacing w:line="620" w:lineRule="exact"/>
        <w:ind w:firstLine="643" w:firstLineChars="200"/>
        <w:outlineLvl w:val="1"/>
        <w:rPr>
          <w:rStyle w:val="26"/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 w:bidi="ar-SA"/>
          <w14:ligatures w14:val="standardContextual"/>
        </w:rPr>
      </w:pPr>
      <w:bookmarkStart w:id="127" w:name="_Toc15287"/>
      <w:bookmarkStart w:id="128" w:name="_Toc8859"/>
      <w:bookmarkStart w:id="129" w:name="_Toc4652"/>
      <w:bookmarkStart w:id="130" w:name="_Toc27604"/>
      <w:r>
        <w:rPr>
          <w:rFonts w:hint="eastAsia" w:ascii="仿宋_GB2312" w:hAnsi="仿宋_GB2312" w:eastAsia="仿宋_GB2312" w:cs="仿宋_GB2312"/>
          <w:b/>
          <w:bCs w:val="0"/>
          <w:color w:val="auto"/>
          <w:lang w:val="en-US" w:eastAsia="zh-CN"/>
        </w:rPr>
        <w:t>（三十八）强化政策协同落地。</w:t>
      </w:r>
      <w:r>
        <w:rPr>
          <w:rStyle w:val="26"/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 w:bidi="ar-SA"/>
          <w14:ligatures w14:val="standardContextual"/>
        </w:rPr>
        <w:t>整合财税、金融、土地、人才、产业等各类支农政策，打造政策组合拳，补齐政策衔接短板。建立区域协同发展机制，打破行政壁垒，畅通要素流动渠道。持续深化农村综合改革，破除体制机制障碍，激活乡村发展动能。</w:t>
      </w:r>
      <w:bookmarkEnd w:id="127"/>
      <w:bookmarkEnd w:id="128"/>
    </w:p>
    <w:p>
      <w:pPr>
        <w:pStyle w:val="3"/>
        <w:adjustRightInd w:val="0"/>
        <w:snapToGrid w:val="0"/>
        <w:spacing w:line="620" w:lineRule="exact"/>
        <w:ind w:firstLine="643" w:firstLineChars="200"/>
        <w:outlineLvl w:val="1"/>
        <w:rPr>
          <w:rStyle w:val="19"/>
          <w:rFonts w:hint="eastAsia" w:ascii="仿宋_GB2312" w:hAnsi="仿宋_GB2312" w:eastAsia="仿宋_GB2312" w:cs="仿宋_GB2312"/>
          <w:b w:val="0"/>
          <w:bCs/>
          <w:color w:val="auto"/>
          <w:highlight w:val="none"/>
          <w:lang w:val="en-US" w:eastAsia="zh-CN" w:bidi="ar"/>
        </w:rPr>
      </w:pPr>
      <w:bookmarkStart w:id="131" w:name="_Toc20926"/>
      <w:bookmarkStart w:id="132" w:name="_Toc11762"/>
      <w:r>
        <w:rPr>
          <w:rFonts w:hint="eastAsia" w:ascii="仿宋_GB2312" w:hAnsi="仿宋_GB2312" w:eastAsia="仿宋_GB2312" w:cs="仿宋_GB2312"/>
          <w:b/>
          <w:bCs w:val="0"/>
          <w:color w:val="auto"/>
          <w:lang w:val="en-US" w:eastAsia="zh-CN"/>
        </w:rPr>
        <w:t>（三十九）强化用地服务保障。</w:t>
      </w:r>
      <w:r>
        <w:rPr>
          <w:rStyle w:val="26"/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 w:bidi="ar-SA"/>
          <w14:ligatures w14:val="standardContextual"/>
        </w:rPr>
        <w:t>年度计划指标优先保障省、市农村一二三产业融合发展重点项目新增建设用地需求，指导县区使用建设用地周转规模，用于满足农村村民住宅、乡村振兴、新型城镇化、城乡公共服务和基础设施建设等用地需求。推进全域土地综合整治，盘活农村存量建设用地、闲置住宅。优化设施农业用地管理，引导产业项目向园区、重点村镇集聚，在严守耕地红线前提下，依法保障乡村配套设施用地需求。</w:t>
      </w:r>
      <w:bookmarkEnd w:id="129"/>
      <w:bookmarkEnd w:id="130"/>
      <w:bookmarkEnd w:id="131"/>
      <w:bookmarkEnd w:id="132"/>
    </w:p>
    <w:sectPr>
      <w:footerReference r:id="rId6" w:type="default"/>
      <w:pgSz w:w="11906" w:h="16838"/>
      <w:pgMar w:top="1440" w:right="1800" w:bottom="1440" w:left="1800" w:header="851" w:footer="992" w:gutter="0"/>
      <w:pgNumType w:fmt="decimal" w:start="1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9"/>
                            <w:ind w:firstLine="36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zql5uc8AAAAFAQAADwAAAAAAAAABACAAAAAiAAAAZHJzL2Rvd25yZXYueG1sUEsBAhQA&#10;FAAAAAgAh07iQJu61xDCAQAAjQMAAA4AAAAAAAAAAQAgAAAAHgEAAGRycy9lMm9Eb2MueG1sUEsF&#10;BgAAAAAGAAYAWQEAAFI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9"/>
                      <w:ind w:firstLine="36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9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9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RmZWRiN2M5MjJiYzI3NmNkM2QyODBkNzUxNzUyMzYifQ=="/>
  </w:docVars>
  <w:rsids>
    <w:rsidRoot w:val="00172A27"/>
    <w:rsid w:val="00037627"/>
    <w:rsid w:val="00113351"/>
    <w:rsid w:val="00172A27"/>
    <w:rsid w:val="0027410B"/>
    <w:rsid w:val="00351B66"/>
    <w:rsid w:val="005A6C12"/>
    <w:rsid w:val="00702588"/>
    <w:rsid w:val="007F27CB"/>
    <w:rsid w:val="00873A94"/>
    <w:rsid w:val="009A65A8"/>
    <w:rsid w:val="00AD0492"/>
    <w:rsid w:val="01435B86"/>
    <w:rsid w:val="015A3B55"/>
    <w:rsid w:val="01EA477A"/>
    <w:rsid w:val="02092289"/>
    <w:rsid w:val="02A00C14"/>
    <w:rsid w:val="02C72207"/>
    <w:rsid w:val="02FE4564"/>
    <w:rsid w:val="03A01119"/>
    <w:rsid w:val="03C350C4"/>
    <w:rsid w:val="04544451"/>
    <w:rsid w:val="05622E1E"/>
    <w:rsid w:val="058A2920"/>
    <w:rsid w:val="05E277B3"/>
    <w:rsid w:val="060440DF"/>
    <w:rsid w:val="06A07374"/>
    <w:rsid w:val="06EB6946"/>
    <w:rsid w:val="075808B7"/>
    <w:rsid w:val="0788465B"/>
    <w:rsid w:val="07C727A2"/>
    <w:rsid w:val="0803562C"/>
    <w:rsid w:val="08376DC6"/>
    <w:rsid w:val="084479AE"/>
    <w:rsid w:val="088C78C4"/>
    <w:rsid w:val="08A8389B"/>
    <w:rsid w:val="091F2D9D"/>
    <w:rsid w:val="099D702D"/>
    <w:rsid w:val="09B23C11"/>
    <w:rsid w:val="09E012CC"/>
    <w:rsid w:val="0A116B8A"/>
    <w:rsid w:val="0A84735B"/>
    <w:rsid w:val="0AC61847"/>
    <w:rsid w:val="0B5D0834"/>
    <w:rsid w:val="0C1E733C"/>
    <w:rsid w:val="0CC53C5B"/>
    <w:rsid w:val="0CD44FA8"/>
    <w:rsid w:val="0D162709"/>
    <w:rsid w:val="0D26201E"/>
    <w:rsid w:val="0D3D7C96"/>
    <w:rsid w:val="0DD34B4D"/>
    <w:rsid w:val="0E0B7D94"/>
    <w:rsid w:val="0E344BF5"/>
    <w:rsid w:val="0E655BB7"/>
    <w:rsid w:val="0EE630DC"/>
    <w:rsid w:val="0F8608BA"/>
    <w:rsid w:val="0FD55100"/>
    <w:rsid w:val="101A2510"/>
    <w:rsid w:val="102A6910"/>
    <w:rsid w:val="104770C4"/>
    <w:rsid w:val="108A14D5"/>
    <w:rsid w:val="108F580D"/>
    <w:rsid w:val="109A3B9B"/>
    <w:rsid w:val="10D54BE5"/>
    <w:rsid w:val="11477335"/>
    <w:rsid w:val="11514F64"/>
    <w:rsid w:val="1152104B"/>
    <w:rsid w:val="116C6490"/>
    <w:rsid w:val="1191274E"/>
    <w:rsid w:val="122D33CA"/>
    <w:rsid w:val="12434568"/>
    <w:rsid w:val="12A460C1"/>
    <w:rsid w:val="12A731F1"/>
    <w:rsid w:val="12D720A5"/>
    <w:rsid w:val="13215E56"/>
    <w:rsid w:val="132E5DFF"/>
    <w:rsid w:val="135E2714"/>
    <w:rsid w:val="136C6BDF"/>
    <w:rsid w:val="13871C6A"/>
    <w:rsid w:val="13C95DDF"/>
    <w:rsid w:val="14AD7B57"/>
    <w:rsid w:val="14BC23E9"/>
    <w:rsid w:val="14E923E4"/>
    <w:rsid w:val="14FA231F"/>
    <w:rsid w:val="15973CBB"/>
    <w:rsid w:val="165F2E5A"/>
    <w:rsid w:val="16824D34"/>
    <w:rsid w:val="16961910"/>
    <w:rsid w:val="16986258"/>
    <w:rsid w:val="16AD77C5"/>
    <w:rsid w:val="16D47282"/>
    <w:rsid w:val="1739781D"/>
    <w:rsid w:val="1780076B"/>
    <w:rsid w:val="17895171"/>
    <w:rsid w:val="17AD77C6"/>
    <w:rsid w:val="17C8606A"/>
    <w:rsid w:val="18143749"/>
    <w:rsid w:val="18231661"/>
    <w:rsid w:val="183879D7"/>
    <w:rsid w:val="184243B2"/>
    <w:rsid w:val="188A7F5C"/>
    <w:rsid w:val="18AC4201"/>
    <w:rsid w:val="18BF1EA7"/>
    <w:rsid w:val="18CD1A16"/>
    <w:rsid w:val="192E1B95"/>
    <w:rsid w:val="194A4B48"/>
    <w:rsid w:val="195359A1"/>
    <w:rsid w:val="19D661D5"/>
    <w:rsid w:val="1A113A55"/>
    <w:rsid w:val="1A1D50D7"/>
    <w:rsid w:val="1A312E6E"/>
    <w:rsid w:val="1A352420"/>
    <w:rsid w:val="1AB8095B"/>
    <w:rsid w:val="1B8371BB"/>
    <w:rsid w:val="1BAF4A6A"/>
    <w:rsid w:val="1BB9577F"/>
    <w:rsid w:val="1C354A1C"/>
    <w:rsid w:val="1CA50BA4"/>
    <w:rsid w:val="1D6D0123"/>
    <w:rsid w:val="1D886B71"/>
    <w:rsid w:val="1DA7601B"/>
    <w:rsid w:val="1DBB7D72"/>
    <w:rsid w:val="1DD34BE1"/>
    <w:rsid w:val="1DE561A0"/>
    <w:rsid w:val="1E266884"/>
    <w:rsid w:val="1E9D67E6"/>
    <w:rsid w:val="1ECD5F35"/>
    <w:rsid w:val="1EDA09E2"/>
    <w:rsid w:val="1EE61241"/>
    <w:rsid w:val="1F02440D"/>
    <w:rsid w:val="1F043BE4"/>
    <w:rsid w:val="1F5F0222"/>
    <w:rsid w:val="200A57A1"/>
    <w:rsid w:val="206D35B2"/>
    <w:rsid w:val="208F215E"/>
    <w:rsid w:val="20970180"/>
    <w:rsid w:val="228D358A"/>
    <w:rsid w:val="22B20386"/>
    <w:rsid w:val="22F656E2"/>
    <w:rsid w:val="239E55B8"/>
    <w:rsid w:val="23A56837"/>
    <w:rsid w:val="243E103F"/>
    <w:rsid w:val="247F027C"/>
    <w:rsid w:val="2481056C"/>
    <w:rsid w:val="24A675F9"/>
    <w:rsid w:val="24CC77CE"/>
    <w:rsid w:val="25472D7E"/>
    <w:rsid w:val="25781413"/>
    <w:rsid w:val="258B7398"/>
    <w:rsid w:val="25975DBF"/>
    <w:rsid w:val="25F60311"/>
    <w:rsid w:val="263F0D67"/>
    <w:rsid w:val="26926A95"/>
    <w:rsid w:val="27133265"/>
    <w:rsid w:val="27275F62"/>
    <w:rsid w:val="27397583"/>
    <w:rsid w:val="27D11B30"/>
    <w:rsid w:val="28041684"/>
    <w:rsid w:val="285F2D5E"/>
    <w:rsid w:val="28852567"/>
    <w:rsid w:val="2976035F"/>
    <w:rsid w:val="297B2D8D"/>
    <w:rsid w:val="29FD274A"/>
    <w:rsid w:val="2A0E468C"/>
    <w:rsid w:val="2A49146B"/>
    <w:rsid w:val="2AC83865"/>
    <w:rsid w:val="2AF77232"/>
    <w:rsid w:val="2B206EC5"/>
    <w:rsid w:val="2B34402E"/>
    <w:rsid w:val="2B5037FA"/>
    <w:rsid w:val="2B91456B"/>
    <w:rsid w:val="2BBB02AC"/>
    <w:rsid w:val="2BF33EE9"/>
    <w:rsid w:val="2CB35427"/>
    <w:rsid w:val="2CBB01A8"/>
    <w:rsid w:val="2CEA34C4"/>
    <w:rsid w:val="2D0C2B17"/>
    <w:rsid w:val="2DE51201"/>
    <w:rsid w:val="2EFA558F"/>
    <w:rsid w:val="2F4B75B1"/>
    <w:rsid w:val="2F5F1A3A"/>
    <w:rsid w:val="2F751173"/>
    <w:rsid w:val="2F917B64"/>
    <w:rsid w:val="2FFF0249"/>
    <w:rsid w:val="30EF350E"/>
    <w:rsid w:val="310C3392"/>
    <w:rsid w:val="31213547"/>
    <w:rsid w:val="312B361D"/>
    <w:rsid w:val="31992E3D"/>
    <w:rsid w:val="31A02F0F"/>
    <w:rsid w:val="31D3449D"/>
    <w:rsid w:val="322748ED"/>
    <w:rsid w:val="32373CF1"/>
    <w:rsid w:val="32537490"/>
    <w:rsid w:val="32664960"/>
    <w:rsid w:val="32A834AD"/>
    <w:rsid w:val="33042BBB"/>
    <w:rsid w:val="33B026C0"/>
    <w:rsid w:val="33FA5D38"/>
    <w:rsid w:val="33FB7DDF"/>
    <w:rsid w:val="34086058"/>
    <w:rsid w:val="34355B52"/>
    <w:rsid w:val="344E7BF7"/>
    <w:rsid w:val="34A43FD3"/>
    <w:rsid w:val="34B90A7B"/>
    <w:rsid w:val="34DD1D60"/>
    <w:rsid w:val="34F308B0"/>
    <w:rsid w:val="350C3926"/>
    <w:rsid w:val="35103DAB"/>
    <w:rsid w:val="35A223B9"/>
    <w:rsid w:val="35E42AC7"/>
    <w:rsid w:val="35F71718"/>
    <w:rsid w:val="361E679B"/>
    <w:rsid w:val="362E6AD0"/>
    <w:rsid w:val="36304E26"/>
    <w:rsid w:val="363506C2"/>
    <w:rsid w:val="367B1780"/>
    <w:rsid w:val="36935731"/>
    <w:rsid w:val="372E2279"/>
    <w:rsid w:val="377E2203"/>
    <w:rsid w:val="37BA6DB4"/>
    <w:rsid w:val="38037262"/>
    <w:rsid w:val="38050CBA"/>
    <w:rsid w:val="386C7960"/>
    <w:rsid w:val="38855ECC"/>
    <w:rsid w:val="389B1C13"/>
    <w:rsid w:val="393D3AA2"/>
    <w:rsid w:val="39703516"/>
    <w:rsid w:val="39765215"/>
    <w:rsid w:val="39D56A4B"/>
    <w:rsid w:val="3A0A5FD5"/>
    <w:rsid w:val="3AAE6E54"/>
    <w:rsid w:val="3ABC6E4B"/>
    <w:rsid w:val="3AC42054"/>
    <w:rsid w:val="3AC54CA3"/>
    <w:rsid w:val="3AFC62E3"/>
    <w:rsid w:val="3B297786"/>
    <w:rsid w:val="3BD63CEF"/>
    <w:rsid w:val="3C1E0B0E"/>
    <w:rsid w:val="3C6B3628"/>
    <w:rsid w:val="3D6064CE"/>
    <w:rsid w:val="3D8E3A72"/>
    <w:rsid w:val="3DCE05A0"/>
    <w:rsid w:val="3DD14491"/>
    <w:rsid w:val="3E302100"/>
    <w:rsid w:val="3E5C63CE"/>
    <w:rsid w:val="3E820CEA"/>
    <w:rsid w:val="3E8F1618"/>
    <w:rsid w:val="3EDE519D"/>
    <w:rsid w:val="3EF72003"/>
    <w:rsid w:val="3F5A3B83"/>
    <w:rsid w:val="3F7201A7"/>
    <w:rsid w:val="3FB04465"/>
    <w:rsid w:val="3FB949D7"/>
    <w:rsid w:val="400248DE"/>
    <w:rsid w:val="400D48C5"/>
    <w:rsid w:val="401D6F8B"/>
    <w:rsid w:val="404B3E9C"/>
    <w:rsid w:val="40CE4185"/>
    <w:rsid w:val="415B3C6B"/>
    <w:rsid w:val="42091F39"/>
    <w:rsid w:val="42097B6B"/>
    <w:rsid w:val="4228293A"/>
    <w:rsid w:val="423B7C35"/>
    <w:rsid w:val="426D634C"/>
    <w:rsid w:val="42DD1142"/>
    <w:rsid w:val="42E072F0"/>
    <w:rsid w:val="43437949"/>
    <w:rsid w:val="44112439"/>
    <w:rsid w:val="445A645C"/>
    <w:rsid w:val="44906648"/>
    <w:rsid w:val="44D51F86"/>
    <w:rsid w:val="44EC0498"/>
    <w:rsid w:val="455E3EDD"/>
    <w:rsid w:val="456E67B0"/>
    <w:rsid w:val="457A3A0A"/>
    <w:rsid w:val="459C7567"/>
    <w:rsid w:val="461A0599"/>
    <w:rsid w:val="462B6B73"/>
    <w:rsid w:val="464E5895"/>
    <w:rsid w:val="465839AD"/>
    <w:rsid w:val="46597DA1"/>
    <w:rsid w:val="46C93D6D"/>
    <w:rsid w:val="46F336A8"/>
    <w:rsid w:val="470A698E"/>
    <w:rsid w:val="486B1EB6"/>
    <w:rsid w:val="48BD520B"/>
    <w:rsid w:val="48E606BE"/>
    <w:rsid w:val="49C16BAE"/>
    <w:rsid w:val="49C3024E"/>
    <w:rsid w:val="4A2F6A26"/>
    <w:rsid w:val="4A6B2EFF"/>
    <w:rsid w:val="4A7A3954"/>
    <w:rsid w:val="4A9B3185"/>
    <w:rsid w:val="4AE42188"/>
    <w:rsid w:val="4B6370E5"/>
    <w:rsid w:val="4B8E098B"/>
    <w:rsid w:val="4B9F2B5F"/>
    <w:rsid w:val="4C22041A"/>
    <w:rsid w:val="4C6F5584"/>
    <w:rsid w:val="4C831EDD"/>
    <w:rsid w:val="4D043B7C"/>
    <w:rsid w:val="4D771D59"/>
    <w:rsid w:val="4D867F38"/>
    <w:rsid w:val="4D993655"/>
    <w:rsid w:val="4DA34ED5"/>
    <w:rsid w:val="4E173610"/>
    <w:rsid w:val="4E1B4533"/>
    <w:rsid w:val="4E1E499E"/>
    <w:rsid w:val="4E6C395B"/>
    <w:rsid w:val="4ED64EE2"/>
    <w:rsid w:val="4EDE412D"/>
    <w:rsid w:val="4EFF7B99"/>
    <w:rsid w:val="4F2B2549"/>
    <w:rsid w:val="4F5529C8"/>
    <w:rsid w:val="4F59104B"/>
    <w:rsid w:val="4F5E796A"/>
    <w:rsid w:val="4FD55530"/>
    <w:rsid w:val="502C5E7B"/>
    <w:rsid w:val="51E7284C"/>
    <w:rsid w:val="51F237BF"/>
    <w:rsid w:val="521A722A"/>
    <w:rsid w:val="52445C69"/>
    <w:rsid w:val="52802726"/>
    <w:rsid w:val="531C4BE8"/>
    <w:rsid w:val="535008A8"/>
    <w:rsid w:val="535204A7"/>
    <w:rsid w:val="536E3CD2"/>
    <w:rsid w:val="5414112F"/>
    <w:rsid w:val="544B4146"/>
    <w:rsid w:val="5480192E"/>
    <w:rsid w:val="549079CA"/>
    <w:rsid w:val="54A045D0"/>
    <w:rsid w:val="54C35220"/>
    <w:rsid w:val="54D11C40"/>
    <w:rsid w:val="551C74F0"/>
    <w:rsid w:val="552B5D0C"/>
    <w:rsid w:val="554A5B42"/>
    <w:rsid w:val="554D7917"/>
    <w:rsid w:val="5556622F"/>
    <w:rsid w:val="55924DE2"/>
    <w:rsid w:val="55FF6E63"/>
    <w:rsid w:val="560C332E"/>
    <w:rsid w:val="5621267D"/>
    <w:rsid w:val="56A9318D"/>
    <w:rsid w:val="57860A90"/>
    <w:rsid w:val="57896598"/>
    <w:rsid w:val="57B8053B"/>
    <w:rsid w:val="57BD35F7"/>
    <w:rsid w:val="57D04F5B"/>
    <w:rsid w:val="58F70B83"/>
    <w:rsid w:val="5965348E"/>
    <w:rsid w:val="596B0B42"/>
    <w:rsid w:val="59CB6A71"/>
    <w:rsid w:val="59EC3BA2"/>
    <w:rsid w:val="5A4635D2"/>
    <w:rsid w:val="5A810BD8"/>
    <w:rsid w:val="5B25566F"/>
    <w:rsid w:val="5B443C4B"/>
    <w:rsid w:val="5BA550D1"/>
    <w:rsid w:val="5BFD3E45"/>
    <w:rsid w:val="5C0F47B3"/>
    <w:rsid w:val="5C3B5B36"/>
    <w:rsid w:val="5C41066B"/>
    <w:rsid w:val="5C580772"/>
    <w:rsid w:val="5C6E6AF1"/>
    <w:rsid w:val="5C7B490B"/>
    <w:rsid w:val="5C930867"/>
    <w:rsid w:val="5C9E4397"/>
    <w:rsid w:val="5CDB62A5"/>
    <w:rsid w:val="5D052E31"/>
    <w:rsid w:val="5D153410"/>
    <w:rsid w:val="5E3774E4"/>
    <w:rsid w:val="5E8575A0"/>
    <w:rsid w:val="5E897C12"/>
    <w:rsid w:val="5EBF25C2"/>
    <w:rsid w:val="5EDC37FF"/>
    <w:rsid w:val="5F2A36A8"/>
    <w:rsid w:val="5F316D62"/>
    <w:rsid w:val="5F4B4C5E"/>
    <w:rsid w:val="5F7D7140"/>
    <w:rsid w:val="5FBC45E3"/>
    <w:rsid w:val="61022FEE"/>
    <w:rsid w:val="6135145C"/>
    <w:rsid w:val="615D19B1"/>
    <w:rsid w:val="61636820"/>
    <w:rsid w:val="61CD6BC5"/>
    <w:rsid w:val="63695004"/>
    <w:rsid w:val="63961C2D"/>
    <w:rsid w:val="63AC29AC"/>
    <w:rsid w:val="63BF6F00"/>
    <w:rsid w:val="646F3406"/>
    <w:rsid w:val="64AA08E2"/>
    <w:rsid w:val="64AF78C9"/>
    <w:rsid w:val="652D5FC3"/>
    <w:rsid w:val="65401246"/>
    <w:rsid w:val="656D5DFF"/>
    <w:rsid w:val="658F6127"/>
    <w:rsid w:val="65DA654A"/>
    <w:rsid w:val="666845B1"/>
    <w:rsid w:val="666920D7"/>
    <w:rsid w:val="668A7AEB"/>
    <w:rsid w:val="6731395C"/>
    <w:rsid w:val="677340F2"/>
    <w:rsid w:val="6777084D"/>
    <w:rsid w:val="6846718C"/>
    <w:rsid w:val="68914293"/>
    <w:rsid w:val="68F33825"/>
    <w:rsid w:val="68F61964"/>
    <w:rsid w:val="698931BC"/>
    <w:rsid w:val="69B45116"/>
    <w:rsid w:val="6A2353D4"/>
    <w:rsid w:val="6A242B5B"/>
    <w:rsid w:val="6A6B52CA"/>
    <w:rsid w:val="6ACE1BC9"/>
    <w:rsid w:val="6B182A49"/>
    <w:rsid w:val="6B5A16D8"/>
    <w:rsid w:val="6B6317EA"/>
    <w:rsid w:val="6B6A7646"/>
    <w:rsid w:val="6C4C0754"/>
    <w:rsid w:val="6C4F0933"/>
    <w:rsid w:val="6C5D26DE"/>
    <w:rsid w:val="6C7A503E"/>
    <w:rsid w:val="6D0C2BFA"/>
    <w:rsid w:val="6D0D3718"/>
    <w:rsid w:val="6D875C64"/>
    <w:rsid w:val="6D8A650F"/>
    <w:rsid w:val="6DE125BD"/>
    <w:rsid w:val="6E177B9E"/>
    <w:rsid w:val="6E711D3F"/>
    <w:rsid w:val="6EAD12BB"/>
    <w:rsid w:val="6F034763"/>
    <w:rsid w:val="6F325106"/>
    <w:rsid w:val="6F412535"/>
    <w:rsid w:val="6F4D4D84"/>
    <w:rsid w:val="6F6A62DD"/>
    <w:rsid w:val="6F8A1A3C"/>
    <w:rsid w:val="70126120"/>
    <w:rsid w:val="70420D73"/>
    <w:rsid w:val="70A67761"/>
    <w:rsid w:val="70AD4428"/>
    <w:rsid w:val="70C96594"/>
    <w:rsid w:val="70EB0A5E"/>
    <w:rsid w:val="711C4FDE"/>
    <w:rsid w:val="71787AB9"/>
    <w:rsid w:val="719426FE"/>
    <w:rsid w:val="71A208FD"/>
    <w:rsid w:val="725E588E"/>
    <w:rsid w:val="72921240"/>
    <w:rsid w:val="732B10A0"/>
    <w:rsid w:val="73525290"/>
    <w:rsid w:val="7386251A"/>
    <w:rsid w:val="738911A2"/>
    <w:rsid w:val="73B62F7A"/>
    <w:rsid w:val="73BD4A8D"/>
    <w:rsid w:val="740E1393"/>
    <w:rsid w:val="74196D1F"/>
    <w:rsid w:val="743049AE"/>
    <w:rsid w:val="74B2396D"/>
    <w:rsid w:val="74B75B57"/>
    <w:rsid w:val="74BB2697"/>
    <w:rsid w:val="74F66527"/>
    <w:rsid w:val="74F91C79"/>
    <w:rsid w:val="75127BE5"/>
    <w:rsid w:val="75DE4A4C"/>
    <w:rsid w:val="75E77F4B"/>
    <w:rsid w:val="75E93811"/>
    <w:rsid w:val="760B4B7D"/>
    <w:rsid w:val="76110EC5"/>
    <w:rsid w:val="76140F11"/>
    <w:rsid w:val="7674057A"/>
    <w:rsid w:val="77277B70"/>
    <w:rsid w:val="77356731"/>
    <w:rsid w:val="77443FAC"/>
    <w:rsid w:val="774502E9"/>
    <w:rsid w:val="77546461"/>
    <w:rsid w:val="77603EAD"/>
    <w:rsid w:val="77784870"/>
    <w:rsid w:val="78175E36"/>
    <w:rsid w:val="78CC3ED0"/>
    <w:rsid w:val="794A56F8"/>
    <w:rsid w:val="79977670"/>
    <w:rsid w:val="79AC471F"/>
    <w:rsid w:val="79C16B75"/>
    <w:rsid w:val="7A142BCE"/>
    <w:rsid w:val="7A512DBD"/>
    <w:rsid w:val="7AAD5FCD"/>
    <w:rsid w:val="7AD75E97"/>
    <w:rsid w:val="7ADE2C3C"/>
    <w:rsid w:val="7B281C48"/>
    <w:rsid w:val="7B592AB4"/>
    <w:rsid w:val="7B7A2964"/>
    <w:rsid w:val="7B9F3C35"/>
    <w:rsid w:val="7C323DAF"/>
    <w:rsid w:val="7C925E9A"/>
    <w:rsid w:val="7D6F4F44"/>
    <w:rsid w:val="7D7F1DD8"/>
    <w:rsid w:val="7DF869DB"/>
    <w:rsid w:val="7E1D1CCD"/>
    <w:rsid w:val="7EB87481"/>
    <w:rsid w:val="7F2D35A2"/>
    <w:rsid w:val="7F2D77FE"/>
    <w:rsid w:val="7F824D6F"/>
    <w:rsid w:val="7FCA3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560" w:lineRule="exact"/>
      <w:ind w:firstLine="643" w:firstLineChars="200"/>
      <w:jc w:val="both"/>
    </w:pPr>
    <w:rPr>
      <w:rFonts w:ascii="Times New Roman" w:hAnsi="Times New Roman" w:eastAsia="仿宋_GB2312" w:cs="仿宋_GB2312"/>
      <w:bCs/>
      <w:color w:val="000000" w:themeColor="text1"/>
      <w:kern w:val="2"/>
      <w:sz w:val="32"/>
      <w:szCs w:val="32"/>
      <w:lang w:val="en-US" w:eastAsia="zh-CN" w:bidi="ar-SA"/>
      <w14:textFill>
        <w14:solidFill>
          <w14:schemeClr w14:val="tx1"/>
        </w14:solidFill>
      </w14:textFill>
    </w:rPr>
  </w:style>
  <w:style w:type="paragraph" w:styleId="2">
    <w:name w:val="heading 1"/>
    <w:basedOn w:val="1"/>
    <w:next w:val="1"/>
    <w:autoRedefine/>
    <w:qFormat/>
    <w:uiPriority w:val="9"/>
    <w:pPr>
      <w:jc w:val="center"/>
      <w:outlineLvl w:val="0"/>
    </w:pPr>
    <w:rPr>
      <w:rFonts w:eastAsia="方正小标宋简体"/>
      <w:kern w:val="44"/>
      <w14:ligatures w14:val="standardContextual"/>
    </w:rPr>
  </w:style>
  <w:style w:type="paragraph" w:styleId="3">
    <w:name w:val="heading 2"/>
    <w:basedOn w:val="1"/>
    <w:next w:val="1"/>
    <w:autoRedefine/>
    <w:qFormat/>
    <w:uiPriority w:val="9"/>
    <w:pPr>
      <w:ind w:firstLine="640"/>
      <w:outlineLvl w:val="1"/>
    </w:pPr>
    <w:rPr>
      <w:rFonts w:eastAsia="黑体"/>
      <w:kern w:val="0"/>
      <w14:ligatures w14:val="standardContextual"/>
    </w:rPr>
  </w:style>
  <w:style w:type="paragraph" w:styleId="4">
    <w:name w:val="heading 3"/>
    <w:basedOn w:val="1"/>
    <w:next w:val="1"/>
    <w:link w:val="21"/>
    <w:autoRedefine/>
    <w:unhideWhenUsed/>
    <w:qFormat/>
    <w:uiPriority w:val="9"/>
    <w:pPr>
      <w:outlineLvl w:val="2"/>
    </w:pPr>
    <w:rPr>
      <w:rFonts w:cs="Times New Roman"/>
      <w:color w:val="000000"/>
      <w:kern w:val="0"/>
    </w:rPr>
  </w:style>
  <w:style w:type="character" w:default="1" w:styleId="18">
    <w:name w:val="Default Paragraph Font"/>
    <w:autoRedefine/>
    <w:semiHidden/>
    <w:unhideWhenUsed/>
    <w:qFormat/>
    <w:uiPriority w:val="1"/>
  </w:style>
  <w:style w:type="table" w:default="1" w:styleId="1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autoRedefine/>
    <w:qFormat/>
    <w:uiPriority w:val="0"/>
    <w:pPr>
      <w:jc w:val="left"/>
    </w:pPr>
  </w:style>
  <w:style w:type="paragraph" w:styleId="6">
    <w:name w:val="Body Text"/>
    <w:basedOn w:val="1"/>
    <w:next w:val="7"/>
    <w:link w:val="26"/>
    <w:autoRedefine/>
    <w:qFormat/>
    <w:uiPriority w:val="0"/>
    <w:pPr>
      <w:spacing w:after="120"/>
    </w:pPr>
  </w:style>
  <w:style w:type="paragraph" w:styleId="7">
    <w:name w:val="toc 5"/>
    <w:basedOn w:val="1"/>
    <w:next w:val="1"/>
    <w:autoRedefine/>
    <w:qFormat/>
    <w:uiPriority w:val="0"/>
    <w:pPr>
      <w:ind w:left="1680"/>
    </w:pPr>
    <w:rPr>
      <w:rFonts w:eastAsia="宋体" w:cs="Times New Roman"/>
      <w:snapToGrid w:val="0"/>
      <w:color w:val="auto"/>
      <w:kern w:val="0"/>
    </w:rPr>
  </w:style>
  <w:style w:type="paragraph" w:styleId="8">
    <w:name w:val="Body Text Indent"/>
    <w:basedOn w:val="1"/>
    <w:autoRedefine/>
    <w:unhideWhenUsed/>
    <w:qFormat/>
    <w:uiPriority w:val="99"/>
    <w:pPr>
      <w:spacing w:after="120"/>
      <w:ind w:left="420" w:leftChars="200"/>
    </w:pPr>
  </w:style>
  <w:style w:type="paragraph" w:styleId="9">
    <w:name w:val="footer"/>
    <w:basedOn w:val="1"/>
    <w:next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next w:val="9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11">
    <w:name w:val="toc 1"/>
    <w:basedOn w:val="1"/>
    <w:next w:val="1"/>
    <w:autoRedefine/>
    <w:qFormat/>
    <w:uiPriority w:val="0"/>
  </w:style>
  <w:style w:type="paragraph" w:styleId="12">
    <w:name w:val="toc 2"/>
    <w:basedOn w:val="1"/>
    <w:next w:val="1"/>
    <w:autoRedefine/>
    <w:qFormat/>
    <w:uiPriority w:val="0"/>
    <w:pPr>
      <w:ind w:left="420" w:leftChars="200"/>
    </w:pPr>
  </w:style>
  <w:style w:type="paragraph" w:styleId="13">
    <w:name w:val="Normal (Web)"/>
    <w:basedOn w:val="1"/>
    <w:autoRedefine/>
    <w:qFormat/>
    <w:uiPriority w:val="0"/>
    <w:pPr>
      <w:spacing w:line="590" w:lineRule="exact"/>
      <w:ind w:firstLine="640"/>
      <w:contextualSpacing/>
    </w:pPr>
    <w:rPr>
      <w:rFonts w:cs="Times New Roman"/>
      <w:snapToGrid w:val="0"/>
      <w:color w:val="000000"/>
      <w:kern w:val="0"/>
      <w:sz w:val="24"/>
      <w:szCs w:val="40"/>
    </w:rPr>
  </w:style>
  <w:style w:type="paragraph" w:styleId="14">
    <w:name w:val="Body Text First Indent"/>
    <w:basedOn w:val="6"/>
    <w:autoRedefine/>
    <w:qFormat/>
    <w:uiPriority w:val="0"/>
    <w:pPr>
      <w:spacing w:line="600" w:lineRule="atLeast"/>
      <w:ind w:firstLine="420" w:firstLineChars="100"/>
    </w:pPr>
    <w:rPr>
      <w:rFonts w:eastAsia="宋体" w:cs="Times New Roman"/>
      <w:snapToGrid w:val="0"/>
      <w:color w:val="auto"/>
      <w:kern w:val="0"/>
    </w:rPr>
  </w:style>
  <w:style w:type="paragraph" w:styleId="15">
    <w:name w:val="Body Text First Indent 2"/>
    <w:basedOn w:val="8"/>
    <w:autoRedefine/>
    <w:qFormat/>
    <w:uiPriority w:val="0"/>
  </w:style>
  <w:style w:type="table" w:styleId="17">
    <w:name w:val="Table Grid"/>
    <w:basedOn w:val="1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styleId="19">
    <w:name w:val="Strong"/>
    <w:basedOn w:val="18"/>
    <w:autoRedefine/>
    <w:qFormat/>
    <w:uiPriority w:val="0"/>
    <w:rPr>
      <w:b/>
    </w:rPr>
  </w:style>
  <w:style w:type="paragraph" w:customStyle="1" w:styleId="20">
    <w:name w:val="报告标题"/>
    <w:basedOn w:val="1"/>
    <w:autoRedefine/>
    <w:qFormat/>
    <w:uiPriority w:val="0"/>
    <w:pPr>
      <w:ind w:firstLine="0" w:firstLineChars="0"/>
      <w:jc w:val="center"/>
    </w:pPr>
    <w:rPr>
      <w:rFonts w:eastAsia="方正小标宋简体"/>
      <w:sz w:val="44"/>
    </w:rPr>
  </w:style>
  <w:style w:type="character" w:customStyle="1" w:styleId="21">
    <w:name w:val="标题 3 字符"/>
    <w:link w:val="4"/>
    <w:autoRedefine/>
    <w:qFormat/>
    <w:uiPriority w:val="9"/>
    <w:rPr>
      <w:rFonts w:ascii="Times New Roman" w:hAnsi="Times New Roman" w:eastAsia="仿宋_GB2312" w:cs="Times New Roman"/>
      <w:bCs/>
      <w:color w:val="000000"/>
      <w:kern w:val="0"/>
      <w:sz w:val="32"/>
      <w:szCs w:val="32"/>
      <w:highlight w:val="none"/>
      <w:lang w:val="en-US" w:eastAsia="zh-CN" w:bidi="ar"/>
    </w:rPr>
  </w:style>
  <w:style w:type="character" w:customStyle="1" w:styleId="22">
    <w:name w:val="NormalCharacter"/>
    <w:autoRedefine/>
    <w:semiHidden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23">
    <w:name w:val="Table Text"/>
    <w:basedOn w:val="1"/>
    <w:autoRedefine/>
    <w:semiHidden/>
    <w:qFormat/>
    <w:uiPriority w:val="0"/>
    <w:rPr>
      <w:rFonts w:ascii="宋体" w:hAnsi="宋体" w:eastAsia="宋体" w:cs="宋体"/>
      <w:sz w:val="21"/>
      <w:szCs w:val="21"/>
      <w:lang w:eastAsia="en-US"/>
    </w:rPr>
  </w:style>
  <w:style w:type="table" w:customStyle="1" w:styleId="24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5">
    <w:name w:val="15"/>
    <w:basedOn w:val="18"/>
    <w:autoRedefine/>
    <w:qFormat/>
    <w:uiPriority w:val="99"/>
    <w:rPr>
      <w:rFonts w:ascii="Calibri" w:hAnsi="Calibri" w:eastAsia="宋体" w:cs="宋体"/>
      <w:kern w:val="2"/>
      <w:sz w:val="21"/>
      <w:szCs w:val="21"/>
    </w:rPr>
  </w:style>
  <w:style w:type="character" w:customStyle="1" w:styleId="26">
    <w:name w:val="正文文本 Char"/>
    <w:link w:val="6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5df0f3cd-9445-4184-80b6-7008c90cadbd</errorID>
      <errorWord>第十五</errorWord>
      <group>L1_Word</group>
      <groupName>字词问题</groupName>
      <ability>L2_Typo</ability>
      <abilityName>字词错误</abilityName>
      <candidateList>
        <item>第十四</item>
      </candidateList>
      <explain/>
      <paraID>3683B7D5</paraID>
      <start>87</start>
      <end>90</end>
      <status>unmodified</status>
      <modifiedWord/>
      <trackRevisions>false</trackRevisions>
    </reviewItem>
    <reviewItem>
      <errorID>62ead7c2-4dd5-42cd-8121-78b3723e3432</errorID>
      <errorWord>党的二十大及二十届历次全会精神</errorWord>
      <group>L1_Political</group>
      <groupName>政治性问题</groupName>
      <ability>L2_Unpolitical</ability>
      <abilityName>政治敏感错误</abilityName>
      <candidateList>
        <item>党的二十大和二十届历次全会精神</item>
      </candidateList>
      <explain/>
      <paraID>43398786</paraID>
      <start>27</start>
      <end>42</end>
      <status>modified</status>
      <modifiedWord>党的二十大和二十届历次全会精神</modifiedWord>
      <trackRevisions>false</trackRevisions>
    </reviewItem>
    <reviewItem>
      <errorID>73c49371-aedc-4b78-919f-7b7dcf1fe529</errorID>
      <errorWord>高质量发展深度融合</errorWord>
      <group>L1_Political</group>
      <groupName>政治性问题</groupName>
      <ability>L2_Keyword</ability>
      <abilityName>固定表述</abilityName>
      <candidateList>
        <item>高质量发展</item>
      </candidateList>
      <explain>此处内容疑似含有固定表述相关错误，建议核查。</explain>
      <paraID>43398786</paraID>
      <start>184</start>
      <end>189</end>
      <status>modified</status>
      <modifiedWord>高质量发展</modifiedWord>
      <trackRevisions>false</trackRevisions>
    </reviewItem>
    <reviewItem>
      <errorID>3d1cb668-a94a-4c24-9c11-fac7d5e0c35f</errorID>
      <errorWord>统筹发展与安全</errorWord>
      <group>L1_Political</group>
      <groupName>政治性问题</groupName>
      <ability>L2_Unpolitical</ability>
      <abilityName>政治敏感错误</abilityName>
      <candidateList>
        <item>统筹发展和安全</item>
      </candidateList>
      <explain/>
      <paraID>4C641793</paraID>
      <start>122</start>
      <end>129</end>
      <status>modified</status>
      <modifiedWord>统筹发展和安全</modifiedWord>
      <trackRevisions>false</trackRevisions>
    </reviewItem>
    <reviewItem>
      <errorID>a50e7484-2047-404d-b699-d321c95e70b2</errorID>
      <errorWord>至</errorWord>
      <group>L1_Word</group>
      <groupName>字词问题</groupName>
      <ability>L2_Typo</ability>
      <abilityName>字词错误</abilityName>
      <candidateList>
        <item>在</item>
      </candidateList>
      <explain/>
      <paraID>6D9B96E8</paraID>
      <start>91</start>
      <end>92</end>
      <status>modified</status>
      <modifiedWord>在</modifiedWord>
      <trackRevisions>false</trackRevisions>
    </reviewItem>
    <reviewItem>
      <errorID>762801a3-966a-43d2-b9bf-9eb1b2d9b8e2</errorID>
      <errorWord>成片的</errorWord>
      <group>L1_Word</group>
      <groupName>字词问题</groupName>
      <ability>L2_Typo</ability>
      <abilityName>字词错误</abilityName>
      <candidateList>
        <item>成片</item>
      </candidateList>
      <explain/>
      <paraID>6218B7BD</paraID>
      <start>166</start>
      <end>168</end>
      <status>modified</status>
      <modifiedWord>成片</modifiedWord>
      <trackRevisions>false</trackRevisions>
    </reviewItem>
    <reviewItem>
      <errorID>c24e98d5-6554-4a18-a43f-791f93b51465</errorID>
      <errorWord>宜居宜业和美新乡村</errorWord>
      <group>L1_Political</group>
      <groupName>政治性问题</groupName>
      <ability>L2_Keyword</ability>
      <abilityName>固定表述</abilityName>
      <candidateList>
        <item>宜居宜业和美乡村</item>
      </candidateList>
      <explain>词汇“宜居宜业和美乡村”在特定场景下为固定表述形式，请确认此处的“宜居宜业和美新乡村”是否存在不当。</explain>
      <paraID>6218B7BD</paraID>
      <start>169</start>
      <end>177</end>
      <status>modified</status>
      <modifiedWord>宜居宜业和美乡村</modifiedWord>
      <trackRevisions>false</trackRevisions>
    </reviewItem>
    <reviewItem>
      <errorID>5489465e-e017-451b-bb5b-ca3bef6824ec</errorID>
      <errorWord>（</errorWord>
      <group>L1_Punc</group>
      <groupName>标点问题</groupName>
      <ability>L2_Punc_CN</ability>
      <abilityName>标点符号问题</abilityName>
      <candidateList/>
      <explain>同一形式括号套用。</explain>
      <paraID>671D00BD</paraID>
      <start>15</start>
      <end>16</end>
      <status>unmodified</status>
      <modifiedWord/>
      <trackRevisions>false</trackRevisions>
    </reviewItem>
    <reviewItem>
      <errorID>dba05d70-a510-480e-aa74-43f17911fcb3</errorID>
      <errorWord>）</errorWord>
      <group>L1_Punc</group>
      <groupName>标点问题</groupName>
      <ability>L2_Punc_CN</ability>
      <abilityName>标点符号问题</abilityName>
      <candidateList/>
      <explain>同一形式括号套用。</explain>
      <paraID>671D00BD</paraID>
      <start>18</start>
      <end>19</end>
      <status>unmodified</status>
      <modifiedWord/>
      <trackRevisions>false</trackRevisions>
    </reviewItem>
    <reviewItem>
      <errorID>78141d6e-2cfa-410c-9fdd-e52ad18c2203</errorID>
      <errorWord>（</errorWord>
      <group>L1_Punc</group>
      <groupName>标点问题</groupName>
      <ability>L2_Punc_CN</ability>
      <abilityName>标点符号问题</abilityName>
      <candidateList/>
      <explain>同一形式括号套用。</explain>
      <paraID>671D00BD</paraID>
      <start>48</start>
      <end>49</end>
      <status>unmodified</status>
      <modifiedWord/>
      <trackRevisions>false</trackRevisions>
    </reviewItem>
    <reviewItem>
      <errorID>5fd5f7d8-42db-4c03-905c-ced7494d8c43</errorID>
      <errorWord>）</errorWord>
      <group>L1_Punc</group>
      <groupName>标点问题</groupName>
      <ability>L2_Punc_CN</ability>
      <abilityName>标点符号问题</abilityName>
      <candidateList/>
      <explain>同一形式括号套用。</explain>
      <paraID>671D00BD</paraID>
      <start>51</start>
      <end>52</end>
      <status>unmodified</status>
      <modifiedWord/>
      <trackRevisions>false</trackRevisions>
    </reviewItem>
    <reviewItem>
      <errorID>9ceec092-3962-455a-adca-f48882a83db4</errorID>
      <errorWord>持</errorWord>
      <group>L1_Word</group>
      <groupName>字词问题</groupName>
      <ability>L2_Typo</ability>
      <abilityName>字词错误</abilityName>
      <candidateList>
        <item>持在</item>
      </candidateList>
      <explain/>
      <paraID>75E829CD</paraID>
      <start>211</start>
      <end>213</end>
      <status>modified</status>
      <modifiedWord>持在</modifiedWord>
      <trackRevisions>false</trackRevisions>
    </reviewItem>
    <reviewItem>
      <errorID>2b4177f3-0143-4cec-a215-f871768e4b37</errorID>
      <errorWord>定</errorWord>
      <group>L1_Word</group>
      <groupName>字词问题</groupName>
      <ability>L2_Typo</ability>
      <abilityName>字词错误</abilityName>
      <candidateList>
        <item>定在</item>
      </candidateList>
      <explain/>
      <paraID> 29CF26E</paraID>
      <start>110</start>
      <end>112</end>
      <status>modified</status>
      <modifiedWord>定在</modifiedWord>
      <trackRevisions>false</trackRevisions>
    </reviewItem>
    <reviewItem>
      <errorID>6161d7f3-2839-4b54-8d59-e73e7fc53e2b</errorID>
      <errorWord>1</errorWord>
      <group>L1_Word</group>
      <groupName>字词问题</groupName>
      <ability>L2_Typo</ability>
      <abilityName>字词错误</abilityName>
      <candidateList>
        <item>在1</item>
      </candidateList>
      <explain/>
      <paraID> 29CF26E</paraID>
      <start>112</start>
      <end>114</end>
      <status>modified</status>
      <modifiedWord>在1</modifiedWord>
      <trackRevisions>false</trackRevisions>
    </reviewItem>
    <reviewItem>
      <errorID>145d7f1a-61c6-4e86-ab96-3ecd8b47dc26</errorID>
      <errorWord>2030</errorWord>
      <group>L1_Word</group>
      <groupName>字词问题</groupName>
      <ability>L2_Typo</ability>
      <abilityName>字词错误</abilityName>
      <candidateList>
        <item>到2030</item>
      </candidateList>
      <explain/>
      <paraID> 29CF26E</paraID>
      <start>252</start>
      <end>257</end>
      <status>modified</status>
      <modifiedWord>到2030</modifiedWord>
      <trackRevisions>false</trackRevisions>
    </reviewItem>
    <reviewItem>
      <errorID>967ddd4d-30e7-4fda-86f3-9245fc8a8653</errorID>
      <errorWord>全市</errorWord>
      <group>L1_Punc</group>
      <groupName>标点问题</groupName>
      <ability>L2_Punc_CN</ability>
      <abilityName>标点符号问题</abilityName>
      <candidateList>
        <item>，全市</item>
      </candidateList>
      <explain/>
      <paraID> 29CF26E</paraID>
      <start>258</start>
      <end>261</end>
      <status>modified</status>
      <modifiedWord>，全市</modifiedWord>
      <trackRevisions>false</trackRevisions>
    </reviewItem>
    <reviewItem>
      <errorID>7b932eb3-5bd7-4949-8583-c90e0b1eccaf</errorID>
      <errorWord>22</errorWord>
      <group>L1_Word</group>
      <groupName>字词问题</groupName>
      <ability>L2_Typo</ability>
      <abilityName>字词错误</abilityName>
      <candidateList>
        <item>在22</item>
      </candidateList>
      <explain/>
      <paraID> 29CF26E</paraID>
      <start>271</start>
      <end>274</end>
      <status>modified</status>
      <modifiedWord>在22</modifiedWord>
      <trackRevisions>false</trackRevisions>
    </reviewItem>
    <reviewItem>
      <errorID>bef7b100-7be9-473b-8814-c29c979e84fa</errorID>
      <errorWord>、</errorWord>
      <group>L1_Punc</group>
      <groupName>标点问题</groupName>
      <ability>L2_Punc_CN</ability>
      <abilityName>标点符号问题</abilityName>
      <candidateList>
        <item>，</item>
      </candidateList>
      <explain/>
      <paraID> 29CF26E</paraID>
      <start>276</start>
      <end>277</end>
      <status>modified</status>
      <modifiedWord>，</modifiedWord>
      <trackRevisions>false</trackRevisions>
    </reviewItem>
    <reviewItem>
      <errorID>c84f29ad-c51f-4e1b-8b43-6706b77b6cc5</errorID>
      <errorWord>险种</errorWord>
      <group>L1_Grammar</group>
      <groupName>语法问题</groupName>
      <ability>L2_Grammar</ability>
      <abilityName>语法错误</abilityName>
      <candidateList>
        <item>开发险种</item>
      </candidateList>
      <explain/>
      <paraID>63C243A0</paraID>
      <start>285</start>
      <end>287</end>
      <status>unmodified</status>
      <modifiedWord/>
      <trackRevisions>false</trackRevisions>
    </reviewItem>
    <reviewItem>
      <errorID>46bfa313-bc6f-479d-9aa1-bf5d87455cb2</errorID>
      <errorWord>险实施</errorWord>
      <group>L1_Grammar</group>
      <groupName>语法问题</groupName>
      <ability>L2_Grammar</ability>
      <abilityName>语法错误</abilityName>
      <candidateList>
        <item>险</item>
      </candidateList>
      <explain/>
      <paraID>63C243A0</paraID>
      <start>304</start>
      <end>305</end>
      <status>modified</status>
      <modifiedWord>险</modifiedWord>
      <trackRevisions>false</trackRevisions>
    </reviewItem>
    <reviewItem>
      <errorID>c07384cf-8e56-4009-b974-489c2a7f82fc</errorID>
      <errorWord>基础设施升级</errorWord>
      <group>L1_Grammar</group>
      <groupName>语法问题</groupName>
      <ability>L2_Grammar</ability>
      <abilityName>语法错误</abilityName>
      <candidateList>
        <item>基础设施</item>
      </candidateList>
      <explain/>
      <paraID> 4583385</paraID>
      <start>26</start>
      <end>30</end>
      <status>modified</status>
      <modifiedWord>基础设施</modifiedWord>
      <trackRevisions>false</trackRevisions>
    </reviewItem>
    <reviewItem>
      <errorID>8496270a-afdc-48d5-978b-5bf8f2c11406</errorID>
      <errorWord>仓储保鲜设施建设</errorWord>
      <group>L1_Word</group>
      <groupName>字词问题</groupName>
      <ability>L2_Typo</ability>
      <abilityName>字词错误</abilityName>
      <candidateList>
        <item>建设仓储保鲜设施</item>
      </candidateList>
      <explain/>
      <paraID>59394E01</paraID>
      <start>41</start>
      <end>49</end>
      <status>modified</status>
      <modifiedWord>建设仓储保鲜设施</modifiedWord>
      <trackRevisions>false</trackRevisions>
    </reviewItem>
    <reviewItem>
      <errorID>582986cd-add3-469f-9668-ac19468201da</errorID>
      <errorWord>生态环境保持</errorWord>
      <group>L1_Political</group>
      <groupName>政治性问题</groupName>
      <ability>L2_Keyword</ability>
      <abilityName>固定表述</abilityName>
      <candidateList>
        <item>生态环境保护</item>
      </candidateList>
      <explain>此处内容疑似含有固定表述相关错误，建议核查。</explain>
      <paraID>59394E01</paraID>
      <start>103</start>
      <end>109</end>
      <status>modified</status>
      <modifiedWord>生态环境保护</modifiedWord>
      <trackRevisions>false</trackRevisions>
    </reviewItem>
    <reviewItem>
      <errorID>13c3bce4-8bc8-42db-99b2-fd6cdbdb7880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7FF8144C</paraID>
      <start>36</start>
      <end>37</end>
      <status>modified</status>
      <modifiedWord>－</modifiedWord>
      <trackRevisions>false</trackRevisions>
    </reviewItem>
    <reviewItem>
      <errorID>101a8cb2-3a77-4a14-89e2-99a5572b945d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7FF8144C</paraID>
      <start>38</start>
      <end>39</end>
      <status>modified</status>
      <modifiedWord>－</modifiedWord>
      <trackRevisions>false</trackRevisions>
    </reviewItem>
    <reviewItem>
      <errorID>81e6b38f-6aaf-4522-9cd9-5525b5faaf5f</errorID>
      <errorWord>十大主导产业产值占农业总产值比重超50%</errorWord>
      <group>L1_Other</group>
      <groupName>其他问题</groupName>
      <ability>L2_Consistency</ability>
      <abilityName>一致性检查</abilityName>
      <candidateList>
        <item>十大主导产业产值占农业总产值比重超70%</item>
      </candidateList>
      <explain>数字一致性错误，前文明确提出‘十大主导产业产值占农业总产值比重超70%’，该数据前后不一致</explain>
      <paraID>3DC5ACCD</paraID>
      <start>170</start>
      <end>190</end>
      <status>modified</status>
      <modifiedWord>十大主导产业产值占农业总产值比重超70%</modifiedWord>
      <trackRevisions>false</trackRevisions>
    </reviewItem>
    <reviewItem>
      <errorID>40531031-56ad-46a3-bdd5-18130ac6e088</errorID>
      <errorWord>+</errorWord>
      <group>L1_Word</group>
      <groupName>字词问题</groupName>
      <ability>L2_Typo</ability>
      <abilityName>字词错误</abilityName>
      <candidateList>
        <item>与</item>
      </candidateList>
      <explain/>
      <paraID>1EEF053E</paraID>
      <start>23</start>
      <end>24</end>
      <status>modified</status>
      <modifiedWord>与</modifiedWord>
      <trackRevisions>false</trackRevisions>
    </reviewItem>
    <reviewItem>
      <errorID>16ba8922-2869-4116-8d6e-fac49ccb3365</errorID>
      <errorWord>十五五期间</errorWord>
      <group>L1_Political</group>
      <groupName>政治性问题</groupName>
      <ability>L2_Keyword</ability>
      <abilityName>固定表述</abilityName>
      <candidateList>
        <item>“十五五”期间</item>
      </candidateList>
      <explain>注意检查当前固定表述标点是否使用规范。</explain>
      <paraID>1EEF053E</paraID>
      <start>129</start>
      <end>136</end>
      <status>modified</status>
      <modifiedWord>“十五五”期间</modifiedWord>
      <trackRevisions>false</trackRevisions>
    </reviewItem>
    <reviewItem>
      <errorID>8324627b-b6f3-4de0-88de-14bcbaf463d3</errorID>
      <errorWord>2030</errorWord>
      <group>L1_Word</group>
      <groupName>字词问题</groupName>
      <ability>L2_Typo</ability>
      <abilityName>字词错误</abilityName>
      <candidateList>
        <item>到2030</item>
      </candidateList>
      <explain/>
      <paraID>6D6B76E0</paraID>
      <start>151</start>
      <end>156</end>
      <status>modified</status>
      <modifiedWord>到2030</modifiedWord>
      <trackRevisions>false</trackRevisions>
    </reviewItem>
    <reviewItem>
      <errorID>0b3fbe6a-56d2-4c21-b44c-0cdbe76ef0ce</errorID>
      <errorWord>绿色</errorWord>
      <group>L1_Punc</group>
      <groupName>标点问题</groupName>
      <ability>L2_Punc_CN</ability>
      <abilityName>标点符号问题</abilityName>
      <candidateList>
        <item>，绿色</item>
      </candidateList>
      <explain/>
      <paraID>6D6B76E0</paraID>
      <start>157</start>
      <end>160</end>
      <status>modified</status>
      <modifiedWord>，绿色</modifiedWord>
      <trackRevisions>false</trackRevisions>
    </reviewItem>
    <reviewItem>
      <errorID>60c7921b-7970-43f4-82c2-689f11dc1207</errorID>
      <errorWord>%以上</errorWord>
      <group>L1_Grammar</group>
      <groupName>语法问题</groupName>
      <ability>L2_Grammar</ability>
      <abilityName>语法错误</abilityName>
      <candidateList>
        <item>%</item>
      </candidateList>
      <explain/>
      <paraID>6D6B76E0</paraID>
      <start>167</start>
      <end>168</end>
      <status>modified</status>
      <modifiedWord>%</modifiedWord>
      <trackRevisions>false</trackRevisions>
    </reviewItem>
    <reviewItem>
      <errorID>84e23ccf-5139-466b-acee-e03b2c430561</errorID>
      <errorWord>提</errorWord>
      <group>L1_Word</group>
      <groupName>字词问题</groupName>
      <ability>L2_Typo</ability>
      <abilityName>字词错误</abilityName>
      <candidateList>
        <item>提升</item>
      </candidateList>
      <explain/>
      <paraID>536F27F3</paraID>
      <start>49</start>
      <end>51</end>
      <status>modified</status>
      <modifiedWord>提升</modifiedWord>
      <trackRevisions>false</trackRevisions>
    </reviewItem>
    <reviewItem>
      <errorID>5d313c4e-8b07-432a-8441-7c07ef160f9b</errorID>
      <errorWord>设施设备</errorWord>
      <group>L1_Grammar</group>
      <groupName>语法问题</groupName>
      <ability>L2_Grammar</ability>
      <abilityName>语法错误</abilityName>
      <candidateList>
        <item>设施</item>
      </candidateList>
      <explain/>
      <paraID>7D1DA48E</paraID>
      <start>74</start>
      <end>76</end>
      <status>modified</status>
      <modifiedWord>设施</modifiedWord>
      <trackRevisions>false</trackRevisions>
    </reviewItem>
    <reviewItem>
      <errorID>63f7fb8e-388b-43a1-9430-ea6f4c7c52d5</errorID>
      <errorWord>购置齐全</errorWord>
      <group>L1_Grammar</group>
      <groupName>语法问题</groupName>
      <ability>L2_Grammar</ability>
      <abilityName>语法错误</abilityName>
      <candidateList>
        <item>购置</item>
      </candidateList>
      <explain/>
      <paraID>7D1DA48E</paraID>
      <start>82</start>
      <end>84</end>
      <status>modified</status>
      <modifiedWord>购置</modifiedWord>
      <trackRevisions>false</trackRevisions>
    </reviewItem>
    <reviewItem>
      <errorID>d53281bc-6a5d-4ce0-94c1-491b897f5b9a</errorID>
      <errorWord>2030</errorWord>
      <group>L1_Word</group>
      <groupName>字词问题</groupName>
      <ability>L2_Typo</ability>
      <abilityName>字词错误</abilityName>
      <candidateList>
        <item>到2030</item>
      </candidateList>
      <explain/>
      <paraID>249D1BCD</paraID>
      <start>116</start>
      <end>121</end>
      <status>modified</status>
      <modifiedWord>到2030</modifiedWord>
      <trackRevisions>false</trackRevisions>
    </reviewItem>
    <reviewItem>
      <errorID>3112ef3d-9489-4704-83a7-4d05a8952995</errorID>
      <errorWord>争创</errorWord>
      <group>L1_Word</group>
      <groupName>字词问题</groupName>
      <ability>L2_Typo</ability>
      <abilityName>字词错误</abilityName>
      <candidateList>
        <item>将</item>
      </candidateList>
      <explain/>
      <paraID>596E916E</paraID>
      <start>148</start>
      <end>149</end>
      <status>modified</status>
      <modifiedWord>将</modifiedWord>
      <trackRevisions>false</trackRevisions>
    </reviewItem>
    <reviewItem>
      <errorID>5b940b95-af89-4cbe-b6d6-bd7e1a5ff67e</errorID>
      <errorWord>为</errorWord>
      <group>L1_Grammar</group>
      <groupName>语法问题</groupName>
      <ability>L2_Grammar</ability>
      <abilityName>语法错误</abilityName>
      <candidateList>
        <item>争创为</item>
      </candidateList>
      <explain/>
      <paraID>596E916E</paraID>
      <start>153</start>
      <end>156</end>
      <status>modified</status>
      <modifiedWord>争创为</modifiedWord>
      <trackRevisions>false</trackRevisions>
    </reviewItem>
    <reviewItem>
      <errorID>d1eb39e4-0e2c-45e3-8a27-394339e94406</errorID>
      <errorWord>十五五期间</errorWord>
      <group>L1_Political</group>
      <groupName>政治性问题</groupName>
      <ability>L2_Keyword</ability>
      <abilityName>固定表述</abilityName>
      <candidateList>
        <item>“十五五”期间</item>
      </candidateList>
      <explain>注意检查当前固定表述标点是否使用规范。</explain>
      <paraID>5EFBBF81</paraID>
      <start>118</start>
      <end>125</end>
      <status>modified</status>
      <modifiedWord>“十五五”期间</modifiedWord>
      <trackRevisions>false</trackRevisions>
    </reviewItem>
    <reviewItem>
      <errorID>6d4e1aad-a1ac-4883-b421-ed4a803d232d</errorID>
      <errorWord>美新乡村建设</errorWord>
      <group>L1_Political</group>
      <groupName>政治性问题</groupName>
      <ability>L2_Keyword</ability>
      <abilityName>固定表述</abilityName>
      <candidateList>
        <item>美丽乡村建设</item>
      </candidateList>
      <explain>词汇“美丽乡村建设”在特定场景下为固定表述形式，请确认此处的“美新乡村建设”是否存在不当。</explain>
      <paraID>4F897E7D</paraID>
      <start>8</start>
      <end>14</end>
      <status>modified</status>
      <modifiedWord>美丽乡村建设</modifiedWord>
      <trackRevisions>false</trackRevisions>
    </reviewItem>
    <reviewItem>
      <errorID>df209e37-c465-4820-96f8-0aceb1c3206b</errorID>
      <errorWord>，</errorWord>
      <group>L1_Punc</group>
      <groupName>标点问题</groupName>
      <ability>L2_Punc_CN</ability>
      <abilityName>标点符号问题</abilityName>
      <candidateList>
        <item>、</item>
      </candidateList>
      <explain/>
      <paraID>441E1338</paraID>
      <start>38</start>
      <end>39</end>
      <status>modified</status>
      <modifiedWord>、</modifiedWord>
      <trackRevisions>false</trackRevisions>
    </reviewItem>
    <reviewItem>
      <errorID>710b5250-d90f-4b10-9785-bd211554d74a</errorID>
      <errorWord>，</errorWord>
      <group>L1_Punc</group>
      <groupName>标点问题</groupName>
      <ability>L2_Punc_CN</ability>
      <abilityName>标点符号问题</abilityName>
      <candidateList>
        <item>、</item>
      </candidateList>
      <explain/>
      <paraID>441E1338</paraID>
      <start>47</start>
      <end>48</end>
      <status>modified</status>
      <modifiedWord>、</modifiedWord>
      <trackRevisions>false</trackRevisions>
    </reviewItem>
    <reviewItem>
      <errorID>1a873ec1-234b-4acb-b640-1b4f28833e1b</errorID>
      <errorWord>，</errorWord>
      <group>L1_Punc</group>
      <groupName>标点问题</groupName>
      <ability>L2_Punc_CN</ability>
      <abilityName>标点符号问题</abilityName>
      <candidateList>
        <item>、</item>
      </candidateList>
      <explain/>
      <paraID>441E1338</paraID>
      <start>53</start>
      <end>54</end>
      <status>modified</status>
      <modifiedWord>、</modifiedWord>
      <trackRevisions>false</trackRevisions>
    </reviewItem>
    <reviewItem>
      <errorID>6c3b1185-5066-4834-97af-22f694ca7674</errorID>
      <errorWord>，</errorWord>
      <group>L1_Punc</group>
      <groupName>标点问题</groupName>
      <ability>L2_Punc_CN</ability>
      <abilityName>标点符号问题</abilityName>
      <candidateList>
        <item>、</item>
      </candidateList>
      <explain/>
      <paraID>441E1338</paraID>
      <start>63</start>
      <end>64</end>
      <status>modified</status>
      <modifiedWord>、</modifiedWord>
      <trackRevisions>false</trackRevisions>
    </reviewItem>
    <reviewItem>
      <errorID>cd8a5830-5267-4421-9a1a-282f5ba674d5</errorID>
      <errorWord>农</errorWord>
      <group>L1_Grammar</group>
      <groupName>语法问题</groupName>
      <ability>L2_Grammar</ability>
      <abilityName>语法错误</abilityName>
      <candidateList>
        <item>包括农</item>
      </candidateList>
      <explain/>
      <paraID>69D4B656</paraID>
      <start>31</start>
      <end>34</end>
      <status>modified</status>
      <modifiedWord>包括农</modifiedWord>
      <trackRevisions>false</trackRevisions>
    </reviewItem>
    <reviewItem>
      <errorID>e1d1a8ad-324f-4951-8230-4a027eba0c4d</errorID>
      <errorWord>、</errorWord>
      <group>L1_Punc</group>
      <groupName>标点问题</groupName>
      <ability>L2_Punc_CN</ability>
      <abilityName>标点符号问题</abilityName>
      <candidateList>
        <item/>
      </candidateList>
      <explain/>
      <paraID>69D4B656</paraID>
      <start>67</start>
      <end>67</end>
      <status>modified</status>
      <modifiedWord/>
      <trackRevisions>false</trackRevisions>
    </reviewItem>
    <reviewItem>
      <errorID>c2b10ff0-9f33-4c85-9b6d-eac3fe25db40</errorID>
      <errorWord>、</errorWord>
      <group>L1_Word</group>
      <groupName>字词问题</groupName>
      <ability>L2_Typo</ability>
      <abilityName>字词错误</abilityName>
      <candidateList>
        <item>及</item>
      </candidateList>
      <explain/>
      <paraID>69D4B656</paraID>
      <start>71</start>
      <end>72</end>
      <status>modified</status>
      <modifiedWord>及</modifiedWord>
      <trackRevisions>false</trackRevisions>
    </reviewItem>
    <reviewItem>
      <errorID>bae42dc4-0adf-4481-8b45-727b14ab007c</errorID>
      <errorWord>、</errorWord>
      <group>L1_Grammar</group>
      <groupName>语法问题</groupName>
      <ability>L2_Grammar</ability>
      <abilityName>语法错误</abilityName>
      <candidateList>
        <item>建设、</item>
      </candidateList>
      <explain/>
      <paraID>69D4B656</paraID>
      <start>107</start>
      <end>110</end>
      <status>modified</status>
      <modifiedWord>建设、</modifiedWord>
      <trackRevisions>false</trackRevisions>
    </reviewItem>
    <reviewItem>
      <errorID>747cca5c-d795-416b-a340-176e18ec19e7</errorID>
      <errorWord>，</errorWord>
      <group>L1_Punc</group>
      <groupName>标点问题</groupName>
      <ability>L2_Punc_CN</ability>
      <abilityName>标点符号问题</abilityName>
      <candidateList>
        <item>、</item>
      </candidateList>
      <explain/>
      <paraID>7D011DCD</paraID>
      <start>20</start>
      <end>21</end>
      <status>modified</status>
      <modifiedWord>、</modifiedWord>
      <trackRevisions>false</trackRevisions>
    </reviewItem>
    <reviewItem>
      <errorID>77bd27da-d2da-475f-a187-e04a43fdc116</errorID>
      <errorWord>，并</errorWord>
      <group>L1_Word</group>
      <groupName>字词问题</groupName>
      <ability>L2_Typo</ability>
      <abilityName>字词错误</abilityName>
      <candidateList>
        <item>，</item>
      </candidateList>
      <explain/>
      <paraID>7D011DCD</paraID>
      <start>39</start>
      <end>40</end>
      <status>modified</status>
      <modifiedWord>，</modifiedWord>
      <trackRevisions>false</trackRevisions>
    </reviewItem>
    <reviewItem>
      <errorID>19a3f6e7-3f52-447b-902a-ddf8bfe4327b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3EA65A36</paraID>
      <start>22</start>
      <end>23</end>
      <status>modified</status>
      <modifiedWord>－</modifiedWord>
      <trackRevisions>false</trackRevisions>
    </reviewItem>
    <reviewItem>
      <errorID>9ee80372-81c3-4441-8bd6-c9bf53631983</errorID>
      <errorWord>，</errorWord>
      <group>L1_Punc</group>
      <groupName>标点问题</groupName>
      <ability>L2_Punc_CN</ability>
      <abilityName>标点符号问题</abilityName>
      <candidateList>
        <item/>
      </candidateList>
      <explain/>
      <paraID>3EA65A36</paraID>
      <start>70</start>
      <end>70</end>
      <status>modified</status>
      <modifiedWord/>
      <trackRevisions>false</trackRevisions>
    </reviewItem>
    <reviewItem>
      <errorID>f4cfa72e-bb7e-4c4e-a76b-ac8ad621f1b8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1D9AD712</paraID>
      <start>21</start>
      <end>22</end>
      <status>modified</status>
      <modifiedWord>－</modifiedWord>
      <trackRevisions>false</trackRevisions>
    </reviewItem>
    <reviewItem>
      <errorID>b53bb216-4216-4752-8613-0ea75f7bed67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1D9AD712</paraID>
      <start>25</start>
      <end>26</end>
      <status>modified</status>
      <modifiedWord>－</modifiedWord>
      <trackRevisions>false</trackRevisions>
    </reviewItem>
    <reviewItem>
      <errorID>b3bd0c13-8e2a-427f-9452-8dc02a5669a5</errorID>
      <errorWord>，</errorWord>
      <group>L1_Grammar</group>
      <groupName>语法问题</groupName>
      <ability>L2_Grammar</ability>
      <abilityName>语法错误</abilityName>
      <candidateList>
        <item>产业链，</item>
      </candidateList>
      <explain/>
      <paraID>1D9AD712</paraID>
      <start>101</start>
      <end>105</end>
      <status>modified</status>
      <modifiedWord>产业链，</modifiedWord>
      <trackRevisions>false</trackRevisions>
    </reviewItem>
    <reviewItem>
      <errorID>4d5c12d5-cd8b-454f-bbd0-807de4d40b88</errorID>
      <errorWord>一体</errorWord>
      <group>L1_Grammar</group>
      <groupName>语法问题</groupName>
      <ability>L2_Grammar</ability>
      <abilityName>语法错误</abilityName>
      <candidateList>
        <item>相融合的</item>
      </candidateList>
      <explain/>
      <paraID>4ED3B0DD</paraID>
      <start>427</start>
      <end>429</end>
      <status>unmodified</status>
      <modifiedWord/>
      <trackRevisions>false</trackRevisions>
    </reviewItem>
    <reviewItem>
      <errorID>0581a6c5-4182-46a0-b302-8518bc56298c</errorID>
      <errorWord>稳</errorWord>
      <group>L1_Punc</group>
      <groupName>标点问题</groupName>
      <ability>L2_Punc_CN</ability>
      <abilityName>标点符号问题</abilityName>
      <candidateList>
        <item>，稳</item>
      </candidateList>
      <explain/>
      <paraID>7C6C98A8</paraID>
      <start>155</start>
      <end>157</end>
      <status>modified</status>
      <modifiedWord>，稳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65735a4-62da-4bae-80a5-355018c2c99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28</Pages>
  <Words>865</Words>
  <Characters>897</Characters>
  <Lines>145</Lines>
  <Paragraphs>41</Paragraphs>
  <TotalTime>2</TotalTime>
  <ScaleCrop>false</ScaleCrop>
  <LinksUpToDate>false</LinksUpToDate>
  <CharactersWithSpaces>1023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2025-11-21T07:48:00Z</dcterms:created>
  <dc:creator>123</dc:creator>
  <cp:lastModifiedBy>夏宇</cp:lastModifiedBy>
  <cp:lastPrinted>2025-12-09T09:40:00Z</cp:lastPrinted>
  <dcterms:modified xsi:type="dcterms:W3CDTF">2026-08-12T02:55:58Z</dcterms:modified>
  <dc:title>汕尾市农业农村现代化“十五五”规划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A7B10C1300C0484590CA3AA9EF17DAB9_13</vt:lpwstr>
  </property>
  <property fmtid="{D5CDD505-2E9C-101B-9397-08002B2CF9AE}" pid="4" name="KSOTemplateDocerSaveRecord">
    <vt:lpwstr>eyJoZGlkIjoiMGFkMGY4Yzk4MGNlZmQ0M2U4MmQ2ZjM4Mzc4ODg0YTgiLCJ1c2VySWQiOiI3NTE5MzUzNDYifQ==</vt:lpwstr>
  </property>
</Properties>
</file>