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ind w:firstLine="0" w:firstLineChars="0"/>
        <w:jc w:val="center"/>
        <w:rPr>
          <w:rFonts w:hint="eastAsia" w:ascii="方正小标宋简体" w:hAnsi="方正小标宋简体" w:eastAsia="方正小标宋简体" w:cs="方正小标宋简体"/>
          <w:color w:val="000000" w:themeColor="text1"/>
          <w:sz w:val="40"/>
          <w:szCs w:val="32"/>
          <w14:textFill>
            <w14:solidFill>
              <w14:schemeClr w14:val="tx1"/>
            </w14:solidFill>
          </w14:textFill>
        </w:rPr>
      </w:pPr>
    </w:p>
    <w:p>
      <w:pPr>
        <w:spacing w:line="720" w:lineRule="exact"/>
        <w:ind w:firstLine="0" w:firstLineChars="0"/>
        <w:jc w:val="center"/>
        <w:rPr>
          <w:rFonts w:hint="eastAsia" w:ascii="方正小标宋简体" w:hAnsi="方正小标宋简体" w:eastAsia="方正小标宋简体" w:cs="方正小标宋简体"/>
          <w:color w:val="000000" w:themeColor="text1"/>
          <w:sz w:val="52"/>
          <w:szCs w:val="44"/>
          <w14:textFill>
            <w14:solidFill>
              <w14:schemeClr w14:val="tx1"/>
            </w14:solidFill>
          </w14:textFill>
        </w:rPr>
      </w:pPr>
    </w:p>
    <w:p>
      <w:pPr>
        <w:spacing w:line="720" w:lineRule="exact"/>
        <w:ind w:firstLine="0" w:firstLineChars="0"/>
        <w:jc w:val="center"/>
        <w:outlineLvl w:val="9"/>
        <w:rPr>
          <w:rFonts w:hint="eastAsia" w:ascii="方正小标宋简体" w:hAnsi="方正小标宋简体" w:eastAsia="方正小标宋简体" w:cs="方正小标宋简体"/>
          <w:color w:val="000000" w:themeColor="text1"/>
          <w:sz w:val="52"/>
          <w:szCs w:val="44"/>
          <w14:textFill>
            <w14:solidFill>
              <w14:schemeClr w14:val="tx1"/>
            </w14:solidFill>
          </w14:textFill>
        </w:rPr>
      </w:pPr>
      <w:bookmarkStart w:id="0" w:name="_Toc17652"/>
      <w:bookmarkStart w:id="1" w:name="_Toc31690"/>
      <w:bookmarkStart w:id="2" w:name="_Toc24740"/>
      <w:bookmarkStart w:id="3" w:name="_Toc28353"/>
      <w:bookmarkStart w:id="4" w:name="_Toc11059"/>
      <w:bookmarkStart w:id="5" w:name="_Toc14351"/>
      <w:bookmarkStart w:id="6" w:name="_Toc18294"/>
      <w:bookmarkStart w:id="7" w:name="_Toc10460"/>
      <w:bookmarkStart w:id="8" w:name="_Toc221007670"/>
      <w:bookmarkStart w:id="9" w:name="_Toc3224"/>
      <w:r>
        <w:rPr>
          <w:rFonts w:hint="eastAsia" w:ascii="方正小标宋简体" w:hAnsi="方正小标宋简体" w:eastAsia="方正小标宋简体" w:cs="方正小标宋简体"/>
          <w:color w:val="000000" w:themeColor="text1"/>
          <w:sz w:val="52"/>
          <w:szCs w:val="44"/>
          <w14:textFill>
            <w14:solidFill>
              <w14:schemeClr w14:val="tx1"/>
            </w14:solidFill>
          </w14:textFill>
        </w:rPr>
        <w:t>汕尾市高质量建设制造强市</w:t>
      </w:r>
    </w:p>
    <w:p>
      <w:pPr>
        <w:spacing w:line="720" w:lineRule="exact"/>
        <w:ind w:firstLine="0" w:firstLineChars="0"/>
        <w:jc w:val="center"/>
        <w:outlineLvl w:val="9"/>
        <w:rPr>
          <w:rFonts w:hint="eastAsia" w:ascii="方正小标宋简体" w:hAnsi="方正小标宋简体" w:eastAsia="方正小标宋简体" w:cs="方正小标宋简体"/>
          <w:color w:val="000000" w:themeColor="text1"/>
          <w:sz w:val="52"/>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52"/>
          <w:szCs w:val="44"/>
          <w14:textFill>
            <w14:solidFill>
              <w14:schemeClr w14:val="tx1"/>
            </w14:solidFill>
          </w14:textFill>
        </w:rPr>
        <w:t>“十五五”规划</w:t>
      </w:r>
      <w:bookmarkEnd w:id="0"/>
      <w:bookmarkEnd w:id="1"/>
      <w:bookmarkEnd w:id="2"/>
      <w:bookmarkEnd w:id="3"/>
      <w:bookmarkEnd w:id="4"/>
      <w:bookmarkEnd w:id="5"/>
      <w:bookmarkEnd w:id="6"/>
      <w:bookmarkEnd w:id="7"/>
      <w:bookmarkEnd w:id="8"/>
      <w:bookmarkEnd w:id="9"/>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0" w:firstLineChars="0"/>
        <w:jc w:val="center"/>
        <w:rPr>
          <w:rFonts w:hint="default" w:eastAsia="黑体"/>
          <w:color w:val="000000" w:themeColor="text1"/>
          <w:szCs w:val="32"/>
          <w:lang w:val="en-US" w:eastAsia="zh-CN"/>
          <w14:textFill>
            <w14:solidFill>
              <w14:schemeClr w14:val="tx1"/>
            </w14:solidFill>
          </w14:textFill>
        </w:rPr>
      </w:pPr>
      <w:r>
        <w:rPr>
          <w:rFonts w:hint="default" w:eastAsia="黑体"/>
          <w:color w:val="000000" w:themeColor="text1"/>
          <w:szCs w:val="32"/>
          <w:lang w:val="en-US" w:eastAsia="zh-CN"/>
          <w14:textFill>
            <w14:solidFill>
              <w14:schemeClr w14:val="tx1"/>
            </w14:solidFill>
          </w14:textFill>
        </w:rPr>
        <w:t>汕尾市工业和信息化局</w:t>
      </w:r>
    </w:p>
    <w:p>
      <w:pPr>
        <w:ind w:firstLine="0" w:firstLineChars="0"/>
        <w:jc w:val="center"/>
        <w:rPr>
          <w:rFonts w:ascii="Times New Roman" w:hAnsi="Times New Roman" w:eastAsia="黑体" w:cs="Times New Roman"/>
          <w:color w:val="000000" w:themeColor="text1"/>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eastAsia="黑体"/>
          <w:color w:val="000000" w:themeColor="text1"/>
          <w:szCs w:val="32"/>
          <w:lang w:val="en-US" w:eastAsia="zh-CN"/>
          <w14:textFill>
            <w14:solidFill>
              <w14:schemeClr w14:val="tx1"/>
            </w14:solidFill>
          </w14:textFill>
        </w:rPr>
        <w:t>二〇二六</w:t>
      </w:r>
      <w:r>
        <w:rPr>
          <w:rFonts w:hint="default" w:eastAsia="黑体"/>
          <w:color w:val="000000" w:themeColor="text1"/>
          <w:szCs w:val="32"/>
          <w14:textFill>
            <w14:solidFill>
              <w14:schemeClr w14:val="tx1"/>
            </w14:solidFill>
          </w14:textFill>
        </w:rPr>
        <w:t>年</w:t>
      </w:r>
      <w:r>
        <w:rPr>
          <w:rFonts w:hint="eastAsia" w:eastAsia="黑体"/>
          <w:color w:val="000000" w:themeColor="text1"/>
          <w:szCs w:val="32"/>
          <w:lang w:val="en-US" w:eastAsia="zh-CN"/>
          <w14:textFill>
            <w14:solidFill>
              <w14:schemeClr w14:val="tx1"/>
            </w14:solidFill>
          </w14:textFill>
        </w:rPr>
        <w:t>七</w:t>
      </w:r>
      <w:r>
        <w:rPr>
          <w:rFonts w:hint="default" w:eastAsia="黑体"/>
          <w:color w:val="000000" w:themeColor="text1"/>
          <w:szCs w:val="32"/>
          <w14:textFill>
            <w14:solidFill>
              <w14:schemeClr w14:val="tx1"/>
            </w14:solidFill>
          </w14:textFill>
        </w:rPr>
        <w:t>月</w:t>
      </w:r>
    </w:p>
    <w:p>
      <w:pPr>
        <w:ind w:firstLine="0" w:firstLineChars="0"/>
        <w:jc w:val="center"/>
        <w:rPr>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目 录</w:t>
      </w:r>
    </w:p>
    <w:sdt>
      <w:sdtPr>
        <w:rPr>
          <w:rFonts w:ascii="宋体" w:hAnsi="宋体" w:eastAsia="宋体"/>
          <w:color w:val="000000" w:themeColor="text1"/>
          <w:sz w:val="21"/>
          <w14:textFill>
            <w14:solidFill>
              <w14:schemeClr w14:val="tx1"/>
            </w14:solidFill>
          </w14:textFill>
        </w:rPr>
        <w:id w:val="147457266"/>
        <w15:color w:val="DBDBDB"/>
        <w:docPartObj>
          <w:docPartGallery w:val="Table of Contents"/>
          <w:docPartUnique/>
        </w:docPartObj>
      </w:sdtPr>
      <w:sdtEndPr>
        <w:rPr>
          <w:rFonts w:ascii="宋体" w:hAnsi="宋体" w:eastAsia="宋体"/>
          <w:color w:val="000000" w:themeColor="text1"/>
          <w:sz w:val="21"/>
          <w14:textFill>
            <w14:solidFill>
              <w14:schemeClr w14:val="tx1"/>
            </w14:solidFill>
          </w14:textFill>
        </w:rPr>
      </w:sdtEndPr>
      <w:sdtContent>
        <w:p>
          <w:pPr>
            <w:pStyle w:val="16"/>
            <w:tabs>
              <w:tab w:val="right" w:leader="dot" w:pos="8306"/>
            </w:tabs>
            <w:spacing w:line="240" w:lineRule="auto"/>
            <w:ind w:firstLine="640"/>
            <w:rPr>
              <w:rFonts w:ascii="Times New Roman" w:hAnsi="Times New Roman" w:eastAsia="仿宋_GB2312" w:cs="Times New Roman"/>
              <w:color w:val="000000" w:themeColor="text1"/>
              <w:kern w:val="2"/>
              <w:sz w:val="32"/>
              <w:szCs w:val="21"/>
              <w:lang w:val="en-US" w:eastAsia="zh-CN" w:bidi="ar-SA"/>
              <w14:textFill>
                <w14:solidFill>
                  <w14:schemeClr w14:val="tx1"/>
                </w14:solidFill>
              </w14:textFill>
            </w:rPr>
          </w:pPr>
          <w:bookmarkStart w:id="10" w:name="_Toc21283"/>
          <w:bookmarkStart w:id="11" w:name="_Toc24495"/>
          <w:bookmarkStart w:id="12" w:name="_Toc10269"/>
          <w:bookmarkStart w:id="13" w:name="_Toc31385"/>
          <w:r>
            <w:rPr>
              <w:color w:val="000000" w:themeColor="text1"/>
              <w:sz w:val="24"/>
              <w:szCs w:val="21"/>
              <w14:textFill>
                <w14:solidFill>
                  <w14:schemeClr w14:val="tx1"/>
                </w14:solidFill>
              </w14:textFill>
            </w:rPr>
            <w:fldChar w:fldCharType="begin"/>
          </w:r>
          <w:r>
            <w:rPr>
              <w:color w:val="000000" w:themeColor="text1"/>
              <w:sz w:val="24"/>
              <w:szCs w:val="21"/>
              <w14:textFill>
                <w14:solidFill>
                  <w14:schemeClr w14:val="tx1"/>
                </w14:solidFill>
              </w14:textFill>
            </w:rPr>
            <w:instrText xml:space="preserve">TOC \o "1-3" \h \u </w:instrText>
          </w:r>
          <w:r>
            <w:rPr>
              <w:color w:val="000000" w:themeColor="text1"/>
              <w:sz w:val="24"/>
              <w:szCs w:val="21"/>
              <w14:textFill>
                <w14:solidFill>
                  <w14:schemeClr w14:val="tx1"/>
                </w14:solidFill>
              </w14:textFill>
            </w:rPr>
            <w:fldChar w:fldCharType="separate"/>
          </w:r>
        </w:p>
        <w:p>
          <w:pPr>
            <w:pStyle w:val="16"/>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_Toc21178 </w:instrText>
          </w:r>
          <w:r>
            <w:rPr>
              <w:szCs w:val="21"/>
            </w:rPr>
            <w:fldChar w:fldCharType="separate"/>
          </w:r>
          <w:r>
            <w:rPr>
              <w:rFonts w:hint="eastAsia"/>
              <w:lang w:val="en-US" w:eastAsia="zh-CN"/>
            </w:rPr>
            <w:t>一</w:t>
          </w:r>
          <w:r>
            <w:rPr>
              <w:rFonts w:hint="eastAsia"/>
            </w:rPr>
            <w:t>、总体要求</w:t>
          </w:r>
          <w:r>
            <w:tab/>
          </w:r>
          <w:r>
            <w:fldChar w:fldCharType="begin"/>
          </w:r>
          <w:r>
            <w:instrText xml:space="preserve"> PAGEREF _Toc21178 \h </w:instrText>
          </w:r>
          <w:r>
            <w:fldChar w:fldCharType="separate"/>
          </w:r>
          <w:r>
            <w:t>1</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_Toc21770 </w:instrText>
          </w:r>
          <w:r>
            <w:rPr>
              <w:szCs w:val="21"/>
            </w:rPr>
            <w:fldChar w:fldCharType="separate"/>
          </w:r>
          <w:r>
            <w:rPr>
              <w:rFonts w:hint="eastAsia"/>
            </w:rPr>
            <w:t>（一）指导思想</w:t>
          </w:r>
          <w:r>
            <w:tab/>
          </w:r>
          <w:r>
            <w:fldChar w:fldCharType="begin"/>
          </w:r>
          <w:r>
            <w:instrText xml:space="preserve"> PAGEREF _Toc21770 \h </w:instrText>
          </w:r>
          <w:r>
            <w:fldChar w:fldCharType="separate"/>
          </w:r>
          <w:r>
            <w:t>1</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_Toc32193 </w:instrText>
          </w:r>
          <w:r>
            <w:rPr>
              <w:szCs w:val="21"/>
            </w:rPr>
            <w:fldChar w:fldCharType="separate"/>
          </w:r>
          <w:r>
            <w:rPr>
              <w:rFonts w:hint="eastAsia"/>
            </w:rPr>
            <w:t>（</w:t>
          </w:r>
          <w:r>
            <w:rPr>
              <w:rFonts w:hint="eastAsia"/>
              <w:lang w:val="en-US" w:eastAsia="zh-CN"/>
            </w:rPr>
            <w:t>二</w:t>
          </w:r>
          <w:r>
            <w:rPr>
              <w:rFonts w:hint="eastAsia"/>
            </w:rPr>
            <w:t>）发展目标</w:t>
          </w:r>
          <w:r>
            <w:tab/>
          </w:r>
          <w:r>
            <w:fldChar w:fldCharType="begin"/>
          </w:r>
          <w:r>
            <w:instrText xml:space="preserve"> PAGEREF _Toc32193 \h </w:instrText>
          </w:r>
          <w:r>
            <w:fldChar w:fldCharType="separate"/>
          </w:r>
          <w:r>
            <w:t>1</w:t>
          </w:r>
          <w:r>
            <w:fldChar w:fldCharType="end"/>
          </w:r>
          <w:r>
            <w:rPr>
              <w:color w:val="000000" w:themeColor="text1"/>
              <w:szCs w:val="21"/>
              <w14:textFill>
                <w14:solidFill>
                  <w14:schemeClr w14:val="tx1"/>
                </w14:solidFill>
              </w14:textFill>
            </w:rPr>
            <w:fldChar w:fldCharType="end"/>
          </w:r>
        </w:p>
        <w:p>
          <w:pPr>
            <w:pStyle w:val="16"/>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_Toc18647 </w:instrText>
          </w:r>
          <w:r>
            <w:rPr>
              <w:szCs w:val="21"/>
            </w:rPr>
            <w:fldChar w:fldCharType="separate"/>
          </w:r>
          <w:r>
            <w:rPr>
              <w:rFonts w:hint="eastAsia"/>
              <w:lang w:val="en-US" w:eastAsia="zh-CN"/>
            </w:rPr>
            <w:t>二</w:t>
          </w:r>
          <w:r>
            <w:rPr>
              <w:rFonts w:hint="eastAsia"/>
            </w:rPr>
            <w:t>、</w:t>
          </w:r>
          <w:r>
            <w:rPr>
              <w:rFonts w:hint="eastAsia"/>
              <w:lang w:val="en-US" w:eastAsia="zh-CN"/>
            </w:rPr>
            <w:t>产业发展重点</w:t>
          </w:r>
          <w:r>
            <w:tab/>
          </w:r>
          <w:r>
            <w:fldChar w:fldCharType="begin"/>
          </w:r>
          <w:r>
            <w:instrText xml:space="preserve"> PAGEREF _Toc18647 \h </w:instrText>
          </w:r>
          <w:r>
            <w:fldChar w:fldCharType="separate"/>
          </w:r>
          <w:r>
            <w:t>3</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_Toc23381 </w:instrText>
          </w:r>
          <w:r>
            <w:rPr>
              <w:szCs w:val="21"/>
            </w:rPr>
            <w:fldChar w:fldCharType="separate"/>
          </w:r>
          <w:r>
            <w:rPr>
              <w:rFonts w:hint="eastAsia"/>
            </w:rPr>
            <w:t>（一）巩固提升传统产业</w:t>
          </w:r>
          <w:r>
            <w:tab/>
          </w:r>
          <w:r>
            <w:fldChar w:fldCharType="begin"/>
          </w:r>
          <w:r>
            <w:instrText xml:space="preserve"> PAGEREF _Toc23381 \h </w:instrText>
          </w:r>
          <w:r>
            <w:fldChar w:fldCharType="separate"/>
          </w:r>
          <w:r>
            <w:t>3</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_Toc15944 </w:instrText>
          </w:r>
          <w:r>
            <w:rPr>
              <w:szCs w:val="21"/>
            </w:rPr>
            <w:fldChar w:fldCharType="separate"/>
          </w:r>
          <w:r>
            <w:rPr>
              <w:rFonts w:hint="eastAsia"/>
            </w:rPr>
            <w:t>1.食品工业</w:t>
          </w:r>
          <w:r>
            <w:tab/>
          </w:r>
          <w:r>
            <w:fldChar w:fldCharType="begin"/>
          </w:r>
          <w:r>
            <w:instrText xml:space="preserve"> PAGEREF _Toc15944 \h </w:instrText>
          </w:r>
          <w:r>
            <w:fldChar w:fldCharType="separate"/>
          </w:r>
          <w:r>
            <w:t>3</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_Toc9501 </w:instrText>
          </w:r>
          <w:r>
            <w:rPr>
              <w:szCs w:val="21"/>
            </w:rPr>
            <w:fldChar w:fldCharType="separate"/>
          </w:r>
          <w:r>
            <w:rPr>
              <w:rFonts w:hint="eastAsia"/>
            </w:rPr>
            <w:t>2.金银首饰珠宝产业</w:t>
          </w:r>
          <w:r>
            <w:tab/>
          </w:r>
          <w:r>
            <w:fldChar w:fldCharType="begin"/>
          </w:r>
          <w:r>
            <w:instrText xml:space="preserve"> PAGEREF _Toc9501 \h </w:instrText>
          </w:r>
          <w:r>
            <w:fldChar w:fldCharType="separate"/>
          </w:r>
          <w:r>
            <w:t>4</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_Toc25792 </w:instrText>
          </w:r>
          <w:r>
            <w:rPr>
              <w:szCs w:val="21"/>
            </w:rPr>
            <w:fldChar w:fldCharType="separate"/>
          </w:r>
          <w:r>
            <w:rPr>
              <w:rFonts w:hint="eastAsia"/>
            </w:rPr>
            <w:t>3.纺织服装产业</w:t>
          </w:r>
          <w:r>
            <w:tab/>
          </w:r>
          <w:r>
            <w:fldChar w:fldCharType="begin"/>
          </w:r>
          <w:r>
            <w:instrText xml:space="preserve"> PAGEREF _Toc25792 \h </w:instrText>
          </w:r>
          <w:r>
            <w:fldChar w:fldCharType="separate"/>
          </w:r>
          <w:r>
            <w:t>4</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_Toc8161 </w:instrText>
          </w:r>
          <w:r>
            <w:rPr>
              <w:szCs w:val="21"/>
            </w:rPr>
            <w:fldChar w:fldCharType="separate"/>
          </w:r>
          <w:r>
            <w:rPr>
              <w:rFonts w:hint="eastAsia"/>
            </w:rPr>
            <w:t>4.五金配件产业</w:t>
          </w:r>
          <w:r>
            <w:tab/>
          </w:r>
          <w:r>
            <w:fldChar w:fldCharType="begin"/>
          </w:r>
          <w:r>
            <w:instrText xml:space="preserve"> PAGEREF _Toc8161 \h </w:instrText>
          </w:r>
          <w:r>
            <w:fldChar w:fldCharType="separate"/>
          </w:r>
          <w:r>
            <w:t>5</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_Toc15639 </w:instrText>
          </w:r>
          <w:r>
            <w:rPr>
              <w:szCs w:val="21"/>
            </w:rPr>
            <w:fldChar w:fldCharType="separate"/>
          </w:r>
          <w:r>
            <w:rPr>
              <w:rFonts w:hint="eastAsia"/>
            </w:rPr>
            <w:t>（二）</w:t>
          </w:r>
          <w:r>
            <w:rPr>
              <w:rFonts w:ascii="Times New Roman" w:hAnsi="Times New Roman" w:eastAsia="楷体_GB2312" w:cs="Times New Roman"/>
            </w:rPr>
            <w:t>培育壮大新兴产业</w:t>
          </w:r>
          <w:r>
            <w:tab/>
          </w:r>
          <w:r>
            <w:fldChar w:fldCharType="begin"/>
          </w:r>
          <w:r>
            <w:instrText xml:space="preserve"> PAGEREF _Toc15639 \h </w:instrText>
          </w:r>
          <w:r>
            <w:fldChar w:fldCharType="separate"/>
          </w:r>
          <w:r>
            <w:t>5</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_Toc918 </w:instrText>
          </w:r>
          <w:r>
            <w:rPr>
              <w:szCs w:val="21"/>
            </w:rPr>
            <w:fldChar w:fldCharType="separate"/>
          </w:r>
          <w:r>
            <w:rPr>
              <w:rFonts w:hint="eastAsia"/>
            </w:rPr>
            <w:t>5.新能源汽车产业</w:t>
          </w:r>
          <w:r>
            <w:tab/>
          </w:r>
          <w:r>
            <w:fldChar w:fldCharType="begin"/>
          </w:r>
          <w:r>
            <w:instrText xml:space="preserve"> PAGEREF _Toc918 \h </w:instrText>
          </w:r>
          <w:r>
            <w:fldChar w:fldCharType="separate"/>
          </w:r>
          <w:r>
            <w:t>5</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_Toc30689 </w:instrText>
          </w:r>
          <w:r>
            <w:rPr>
              <w:szCs w:val="21"/>
            </w:rPr>
            <w:fldChar w:fldCharType="separate"/>
          </w:r>
          <w:r>
            <w:rPr>
              <w:rFonts w:hint="eastAsia"/>
            </w:rPr>
            <w:t>6.新一代电子信息产业</w:t>
          </w:r>
          <w:r>
            <w:tab/>
          </w:r>
          <w:r>
            <w:fldChar w:fldCharType="begin"/>
          </w:r>
          <w:r>
            <w:instrText xml:space="preserve"> PAGEREF _Toc30689 \h </w:instrText>
          </w:r>
          <w:r>
            <w:fldChar w:fldCharType="separate"/>
          </w:r>
          <w:r>
            <w:t>6</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_Toc7448 </w:instrText>
          </w:r>
          <w:r>
            <w:rPr>
              <w:szCs w:val="21"/>
            </w:rPr>
            <w:fldChar w:fldCharType="separate"/>
          </w:r>
          <w:r>
            <w:rPr>
              <w:rFonts w:hint="eastAsia"/>
            </w:rPr>
            <w:t>7.低碳新能源产业</w:t>
          </w:r>
          <w:r>
            <w:tab/>
          </w:r>
          <w:r>
            <w:fldChar w:fldCharType="begin"/>
          </w:r>
          <w:r>
            <w:instrText xml:space="preserve"> PAGEREF _Toc7448 \h </w:instrText>
          </w:r>
          <w:r>
            <w:fldChar w:fldCharType="separate"/>
          </w:r>
          <w:r>
            <w:t>7</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_Toc23257 </w:instrText>
          </w:r>
          <w:r>
            <w:rPr>
              <w:szCs w:val="21"/>
            </w:rPr>
            <w:fldChar w:fldCharType="separate"/>
          </w:r>
          <w:r>
            <w:rPr>
              <w:rFonts w:hint="eastAsia"/>
            </w:rPr>
            <w:t>8.高端装备制造产业</w:t>
          </w:r>
          <w:r>
            <w:tab/>
          </w:r>
          <w:r>
            <w:fldChar w:fldCharType="begin"/>
          </w:r>
          <w:r>
            <w:instrText xml:space="preserve"> PAGEREF _Toc23257 \h </w:instrText>
          </w:r>
          <w:r>
            <w:fldChar w:fldCharType="separate"/>
          </w:r>
          <w:r>
            <w:t>8</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_Toc15962 </w:instrText>
          </w:r>
          <w:r>
            <w:rPr>
              <w:szCs w:val="21"/>
            </w:rPr>
            <w:fldChar w:fldCharType="separate"/>
          </w:r>
          <w:r>
            <w:rPr>
              <w:rFonts w:hint="eastAsia"/>
              <w:lang w:val="en-US" w:eastAsia="zh-CN"/>
            </w:rPr>
            <w:t>9.</w:t>
          </w:r>
          <w:r>
            <w:rPr>
              <w:rFonts w:hint="eastAsia"/>
            </w:rPr>
            <w:t>安全应急与环保新材料产业</w:t>
          </w:r>
          <w:r>
            <w:tab/>
          </w:r>
          <w:r>
            <w:fldChar w:fldCharType="begin"/>
          </w:r>
          <w:r>
            <w:instrText xml:space="preserve"> PAGEREF _Toc15962 \h </w:instrText>
          </w:r>
          <w:r>
            <w:fldChar w:fldCharType="separate"/>
          </w:r>
          <w:r>
            <w:t>9</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_Toc3774 </w:instrText>
          </w:r>
          <w:r>
            <w:rPr>
              <w:szCs w:val="21"/>
            </w:rPr>
            <w:fldChar w:fldCharType="separate"/>
          </w:r>
          <w:r>
            <w:rPr>
              <w:rFonts w:hint="eastAsia"/>
            </w:rPr>
            <w:t>（三）前瞻布局未来产业</w:t>
          </w:r>
          <w:r>
            <w:tab/>
          </w:r>
          <w:r>
            <w:fldChar w:fldCharType="begin"/>
          </w:r>
          <w:r>
            <w:instrText xml:space="preserve"> PAGEREF _Toc3774 \h </w:instrText>
          </w:r>
          <w:r>
            <w:fldChar w:fldCharType="separate"/>
          </w:r>
          <w:r>
            <w:t>10</w:t>
          </w:r>
          <w:r>
            <w:fldChar w:fldCharType="end"/>
          </w:r>
          <w:r>
            <w:rPr>
              <w:color w:val="000000" w:themeColor="text1"/>
              <w:szCs w:val="21"/>
              <w14:textFill>
                <w14:solidFill>
                  <w14:schemeClr w14:val="tx1"/>
                </w14:solidFill>
              </w14:textFill>
            </w:rPr>
            <w:fldChar w:fldCharType="end"/>
          </w:r>
        </w:p>
        <w:p>
          <w:pPr>
            <w:pStyle w:val="16"/>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_Toc31049 </w:instrText>
          </w:r>
          <w:r>
            <w:rPr>
              <w:szCs w:val="21"/>
            </w:rPr>
            <w:fldChar w:fldCharType="separate"/>
          </w:r>
          <w:r>
            <w:rPr>
              <w:rFonts w:hint="eastAsia"/>
              <w:lang w:val="en-US" w:eastAsia="zh-CN"/>
            </w:rPr>
            <w:t>三、</w:t>
          </w:r>
          <w:r>
            <w:rPr>
              <w:rFonts w:hint="eastAsia"/>
            </w:rPr>
            <w:t>空间布局</w:t>
          </w:r>
          <w:r>
            <w:tab/>
          </w:r>
          <w:r>
            <w:fldChar w:fldCharType="begin"/>
          </w:r>
          <w:r>
            <w:instrText xml:space="preserve"> PAGEREF _Toc31049 \h </w:instrText>
          </w:r>
          <w:r>
            <w:fldChar w:fldCharType="separate"/>
          </w:r>
          <w:r>
            <w:t>11</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_Toc306 </w:instrText>
          </w:r>
          <w:r>
            <w:rPr>
              <w:szCs w:val="21"/>
            </w:rPr>
            <w:fldChar w:fldCharType="separate"/>
          </w:r>
          <w:r>
            <w:rPr>
              <w:rFonts w:hint="eastAsia"/>
            </w:rPr>
            <w:t>（一）打造“一核</w:t>
          </w:r>
          <w:r>
            <w:rPr>
              <w:rFonts w:hint="eastAsia"/>
              <w:lang w:val="en-US" w:eastAsia="zh-CN"/>
            </w:rPr>
            <w:t>一</w:t>
          </w:r>
          <w:r>
            <w:rPr>
              <w:rFonts w:hint="eastAsia"/>
            </w:rPr>
            <w:t>带</w:t>
          </w:r>
          <w:r>
            <w:rPr>
              <w:rFonts w:hint="eastAsia"/>
              <w:lang w:val="en-US" w:eastAsia="zh-CN"/>
            </w:rPr>
            <w:t>两湾四组团</w:t>
          </w:r>
          <w:r>
            <w:rPr>
              <w:rFonts w:hint="eastAsia"/>
            </w:rPr>
            <w:t>”</w:t>
          </w:r>
          <w:r>
            <w:rPr>
              <w:rFonts w:hint="eastAsia"/>
              <w:lang w:val="en-US" w:eastAsia="zh-CN"/>
            </w:rPr>
            <w:t>产业</w:t>
          </w:r>
          <w:r>
            <w:rPr>
              <w:rFonts w:hint="eastAsia"/>
            </w:rPr>
            <w:t>空间布局</w:t>
          </w:r>
          <w:r>
            <w:tab/>
          </w:r>
          <w:r>
            <w:fldChar w:fldCharType="begin"/>
          </w:r>
          <w:r>
            <w:instrText xml:space="preserve"> PAGEREF _Toc306 \h </w:instrText>
          </w:r>
          <w:r>
            <w:fldChar w:fldCharType="separate"/>
          </w:r>
          <w:r>
            <w:t>11</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_Toc17095 </w:instrText>
          </w:r>
          <w:r>
            <w:rPr>
              <w:szCs w:val="21"/>
            </w:rPr>
            <w:fldChar w:fldCharType="separate"/>
          </w:r>
          <w:r>
            <w:rPr>
              <w:rFonts w:hint="eastAsia"/>
            </w:rPr>
            <w:t>（二）统筹各区（县、市）产业分工布局</w:t>
          </w:r>
          <w:r>
            <w:tab/>
          </w:r>
          <w:r>
            <w:fldChar w:fldCharType="begin"/>
          </w:r>
          <w:r>
            <w:instrText xml:space="preserve"> PAGEREF _Toc17095 \h </w:instrText>
          </w:r>
          <w:r>
            <w:fldChar w:fldCharType="separate"/>
          </w:r>
          <w:r>
            <w:t>14</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_Toc8782 </w:instrText>
          </w:r>
          <w:r>
            <w:rPr>
              <w:szCs w:val="21"/>
            </w:rPr>
            <w:fldChar w:fldCharType="separate"/>
          </w:r>
          <w:r>
            <w:rPr>
              <w:rFonts w:hint="eastAsia"/>
            </w:rPr>
            <w:t>（三）构建“1+4+N”</w:t>
          </w:r>
          <w:r>
            <w:rPr>
              <w:rFonts w:hint="eastAsia"/>
              <w:lang w:val="en-US" w:eastAsia="zh-CN"/>
            </w:rPr>
            <w:t>的</w:t>
          </w:r>
          <w:r>
            <w:rPr>
              <w:rFonts w:hint="eastAsia"/>
            </w:rPr>
            <w:t>园区体系</w:t>
          </w:r>
          <w:r>
            <w:tab/>
          </w:r>
          <w:r>
            <w:fldChar w:fldCharType="begin"/>
          </w:r>
          <w:r>
            <w:instrText xml:space="preserve"> PAGEREF _Toc8782 \h </w:instrText>
          </w:r>
          <w:r>
            <w:fldChar w:fldCharType="separate"/>
          </w:r>
          <w:r>
            <w:t>14</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_Toc18009 </w:instrText>
          </w:r>
          <w:r>
            <w:rPr>
              <w:szCs w:val="21"/>
            </w:rPr>
            <w:fldChar w:fldCharType="separate"/>
          </w:r>
          <w:r>
            <w:rPr>
              <w:rFonts w:hint="eastAsia"/>
            </w:rPr>
            <w:t>1.汕尾市承接产业有序转移主平台</w:t>
          </w:r>
          <w:r>
            <w:tab/>
          </w:r>
          <w:r>
            <w:fldChar w:fldCharType="begin"/>
          </w:r>
          <w:r>
            <w:instrText xml:space="preserve"> PAGEREF _Toc18009 \h </w:instrText>
          </w:r>
          <w:r>
            <w:fldChar w:fldCharType="separate"/>
          </w:r>
          <w:r>
            <w:t>17</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_Toc17412 </w:instrText>
          </w:r>
          <w:r>
            <w:rPr>
              <w:szCs w:val="21"/>
            </w:rPr>
            <w:fldChar w:fldCharType="separate"/>
          </w:r>
          <w:r>
            <w:rPr>
              <w:rFonts w:hint="eastAsia"/>
              <w:bCs/>
              <w:lang w:val="en-US" w:eastAsia="zh-CN"/>
            </w:rPr>
            <w:t>2</w:t>
          </w:r>
          <w:r>
            <w:rPr>
              <w:rFonts w:hint="eastAsia"/>
              <w:bCs/>
            </w:rPr>
            <w:t>.四个省级产业园区：</w:t>
          </w:r>
          <w:r>
            <w:rPr>
              <w:rFonts w:hint="eastAsia"/>
              <w:bCs/>
              <w:szCs w:val="32"/>
            </w:rPr>
            <w:t>红海湾产业园区、陆丰产业园区、海丰产业园区和陆河产业园区</w:t>
          </w:r>
          <w:r>
            <w:tab/>
          </w:r>
          <w:r>
            <w:fldChar w:fldCharType="begin"/>
          </w:r>
          <w:r>
            <w:instrText xml:space="preserve"> PAGEREF _Toc17412 \h </w:instrText>
          </w:r>
          <w:r>
            <w:fldChar w:fldCharType="separate"/>
          </w:r>
          <w:r>
            <w:t>17</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_Toc20886 </w:instrText>
          </w:r>
          <w:r>
            <w:rPr>
              <w:szCs w:val="21"/>
            </w:rPr>
            <w:fldChar w:fldCharType="separate"/>
          </w:r>
          <w:r>
            <w:rPr>
              <w:rFonts w:hint="eastAsia" w:ascii="Times New Roman" w:hAnsi="Times New Roman" w:cs="Times New Roman"/>
              <w:bCs/>
              <w:szCs w:val="32"/>
              <w:lang w:val="en-US" w:eastAsia="zh-CN"/>
            </w:rPr>
            <w:t>3</w:t>
          </w:r>
          <w:r>
            <w:rPr>
              <w:rFonts w:hint="eastAsia" w:ascii="Times New Roman" w:hAnsi="Times New Roman" w:cs="Times New Roman"/>
              <w:bCs/>
              <w:szCs w:val="32"/>
            </w:rPr>
            <w:t>.其他重点园区：</w:t>
          </w:r>
          <w:r>
            <w:rPr>
              <w:rFonts w:hint="eastAsia" w:ascii="Times New Roman" w:hAnsi="Times New Roman" w:eastAsia="仿宋_GB2312" w:cs="Times New Roman"/>
              <w:bCs/>
              <w:kern w:val="2"/>
              <w:szCs w:val="32"/>
              <w:lang w:val="en-US" w:eastAsia="zh-CN" w:bidi="ar"/>
            </w:rPr>
            <w:t>深汕合作拓展区、</w:t>
          </w:r>
          <w:r>
            <w:rPr>
              <w:rFonts w:hint="eastAsia" w:ascii="Times New Roman" w:hAnsi="Times New Roman" w:cs="Times New Roman"/>
              <w:bCs/>
              <w:szCs w:val="32"/>
            </w:rPr>
            <w:t>星都</w:t>
          </w:r>
          <w:r>
            <w:rPr>
              <w:rFonts w:hint="eastAsia" w:ascii="Times New Roman" w:hAnsi="Times New Roman" w:cs="Times New Roman"/>
              <w:bCs/>
              <w:szCs w:val="32"/>
              <w:lang w:eastAsia="zh-CN"/>
            </w:rPr>
            <w:t>—</w:t>
          </w:r>
          <w:r>
            <w:rPr>
              <w:rFonts w:hint="eastAsia" w:ascii="Times New Roman" w:hAnsi="Times New Roman" w:cs="Times New Roman"/>
              <w:bCs/>
              <w:szCs w:val="32"/>
            </w:rPr>
            <w:t>可塘合作共建产业园、光明</w:t>
          </w:r>
          <w:r>
            <w:rPr>
              <w:rFonts w:hint="eastAsia" w:ascii="Times New Roman" w:hAnsi="Times New Roman" w:cs="Times New Roman"/>
              <w:bCs/>
              <w:szCs w:val="32"/>
              <w:lang w:eastAsia="zh-CN"/>
            </w:rPr>
            <w:t>—</w:t>
          </w:r>
          <w:r>
            <w:rPr>
              <w:rFonts w:hint="eastAsia" w:ascii="Times New Roman" w:hAnsi="Times New Roman" w:cs="Times New Roman"/>
              <w:bCs/>
              <w:szCs w:val="32"/>
            </w:rPr>
            <w:t>城区结对共建产业园、陆丰三甲五金配件产业园、陆河富民兴村产业园</w:t>
          </w:r>
          <w:r>
            <w:tab/>
          </w:r>
          <w:r>
            <w:fldChar w:fldCharType="begin"/>
          </w:r>
          <w:r>
            <w:instrText xml:space="preserve"> PAGEREF _Toc20886 \h </w:instrText>
          </w:r>
          <w:r>
            <w:fldChar w:fldCharType="separate"/>
          </w:r>
          <w:r>
            <w:t>18</w:t>
          </w:r>
          <w:r>
            <w:fldChar w:fldCharType="end"/>
          </w:r>
          <w:r>
            <w:rPr>
              <w:color w:val="000000" w:themeColor="text1"/>
              <w:szCs w:val="21"/>
              <w14:textFill>
                <w14:solidFill>
                  <w14:schemeClr w14:val="tx1"/>
                </w14:solidFill>
              </w14:textFill>
            </w:rPr>
            <w:fldChar w:fldCharType="end"/>
          </w:r>
        </w:p>
        <w:p>
          <w:pPr>
            <w:pStyle w:val="16"/>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_Toc9481 </w:instrText>
          </w:r>
          <w:r>
            <w:rPr>
              <w:szCs w:val="21"/>
            </w:rPr>
            <w:fldChar w:fldCharType="separate"/>
          </w:r>
          <w:r>
            <w:rPr>
              <w:rFonts w:hint="eastAsia"/>
              <w:lang w:val="en-US" w:eastAsia="zh-CN"/>
            </w:rPr>
            <w:t>四</w:t>
          </w:r>
          <w:r>
            <w:rPr>
              <w:rFonts w:hint="eastAsia"/>
            </w:rPr>
            <w:t>、主要任务</w:t>
          </w:r>
          <w:r>
            <w:tab/>
          </w:r>
          <w:r>
            <w:fldChar w:fldCharType="begin"/>
          </w:r>
          <w:r>
            <w:instrText xml:space="preserve"> PAGEREF _Toc9481 \h </w:instrText>
          </w:r>
          <w:r>
            <w:fldChar w:fldCharType="separate"/>
          </w:r>
          <w:r>
            <w:t>19</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_Toc1950 </w:instrText>
          </w:r>
          <w:r>
            <w:rPr>
              <w:szCs w:val="21"/>
            </w:rPr>
            <w:fldChar w:fldCharType="separate"/>
          </w:r>
          <w:r>
            <w:rPr>
              <w:rFonts w:hint="eastAsia" w:ascii="Times New Roman" w:hAnsi="Times New Roman" w:eastAsia="楷体_GB2312" w:cs="Times New Roman"/>
              <w:bCs/>
              <w:kern w:val="2"/>
              <w:szCs w:val="24"/>
              <w:lang w:val="en-US" w:eastAsia="zh-CN" w:bidi="ar-SA"/>
            </w:rPr>
            <w:t>（</w:t>
          </w:r>
          <w:r>
            <w:rPr>
              <w:rFonts w:hint="eastAsia" w:cs="Times New Roman"/>
              <w:bCs/>
              <w:kern w:val="2"/>
              <w:szCs w:val="24"/>
              <w:lang w:val="en-US" w:eastAsia="zh-CN" w:bidi="ar-SA"/>
            </w:rPr>
            <w:t>一</w:t>
          </w:r>
          <w:r>
            <w:rPr>
              <w:rFonts w:hint="eastAsia" w:ascii="Times New Roman" w:hAnsi="Times New Roman" w:eastAsia="楷体_GB2312" w:cs="Times New Roman"/>
              <w:bCs/>
              <w:kern w:val="2"/>
              <w:szCs w:val="24"/>
              <w:lang w:val="en-US" w:eastAsia="zh-CN" w:bidi="ar-SA"/>
            </w:rPr>
            <w:t>）</w:t>
          </w:r>
          <w:r>
            <w:rPr>
              <w:rFonts w:hint="eastAsia" w:ascii="Times New Roman" w:hAnsi="Times New Roman" w:cs="Times New Roman"/>
              <w:bCs/>
              <w:lang w:val="en-US" w:eastAsia="zh-CN"/>
            </w:rPr>
            <w:t>注重创新铸魂，促进产研双向融合</w:t>
          </w:r>
          <w:r>
            <w:tab/>
          </w:r>
          <w:r>
            <w:fldChar w:fldCharType="begin"/>
          </w:r>
          <w:r>
            <w:instrText xml:space="preserve"> PAGEREF _Toc1950 \h </w:instrText>
          </w:r>
          <w:r>
            <w:fldChar w:fldCharType="separate"/>
          </w:r>
          <w:r>
            <w:t>19</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_Toc24328 </w:instrText>
          </w:r>
          <w:r>
            <w:rPr>
              <w:szCs w:val="21"/>
            </w:rPr>
            <w:fldChar w:fldCharType="separate"/>
          </w:r>
          <w:r>
            <w:rPr>
              <w:rFonts w:hint="eastAsia"/>
              <w:bCs w:val="0"/>
              <w:lang w:val="en-US" w:eastAsia="zh-CN"/>
            </w:rPr>
            <w:t>1</w:t>
          </w:r>
          <w:r>
            <w:rPr>
              <w:rFonts w:hint="eastAsia"/>
              <w:bCs w:val="0"/>
            </w:rPr>
            <w:t>.强化企业创新主体地位，激发</w:t>
          </w:r>
          <w:r>
            <w:rPr>
              <w:rFonts w:hint="eastAsia"/>
              <w:bCs w:val="0"/>
              <w:lang w:val="en-US" w:eastAsia="zh-CN"/>
            </w:rPr>
            <w:t>企业</w:t>
          </w:r>
          <w:r>
            <w:rPr>
              <w:rFonts w:hint="eastAsia"/>
              <w:bCs w:val="0"/>
            </w:rPr>
            <w:t>创新</w:t>
          </w:r>
          <w:r>
            <w:rPr>
              <w:rFonts w:hint="eastAsia"/>
              <w:bCs w:val="0"/>
              <w:lang w:val="en-US" w:eastAsia="zh-CN"/>
            </w:rPr>
            <w:t>动能</w:t>
          </w:r>
          <w:r>
            <w:tab/>
          </w:r>
          <w:r>
            <w:fldChar w:fldCharType="begin"/>
          </w:r>
          <w:r>
            <w:instrText xml:space="preserve"> PAGEREF _Toc24328 \h </w:instrText>
          </w:r>
          <w:r>
            <w:fldChar w:fldCharType="separate"/>
          </w:r>
          <w:r>
            <w:t>19</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_Toc22909 </w:instrText>
          </w:r>
          <w:r>
            <w:rPr>
              <w:szCs w:val="21"/>
            </w:rPr>
            <w:fldChar w:fldCharType="separate"/>
          </w:r>
          <w:r>
            <w:rPr>
              <w:rFonts w:hint="eastAsia"/>
              <w:bCs w:val="0"/>
              <w:lang w:val="en-US" w:eastAsia="zh-CN"/>
            </w:rPr>
            <w:t>2.</w:t>
          </w:r>
          <w:r>
            <w:rPr>
              <w:rFonts w:hint="eastAsia"/>
              <w:bCs w:val="0"/>
            </w:rPr>
            <w:t>构建高效创新平台体系，加快完</w:t>
          </w:r>
          <w:r>
            <w:rPr>
              <w:rFonts w:hint="eastAsia" w:ascii="Times New Roman" w:hAnsi="Times New Roman" w:eastAsia="仿宋_GB2312" w:cs="Times New Roman"/>
              <w:kern w:val="2"/>
              <w:szCs w:val="24"/>
              <w:lang w:val="en-US" w:eastAsia="zh-CN" w:bidi="ar-SA"/>
            </w:rPr>
            <w:t>善创新生态</w:t>
          </w:r>
          <w:r>
            <w:tab/>
          </w:r>
          <w:r>
            <w:fldChar w:fldCharType="begin"/>
          </w:r>
          <w:r>
            <w:instrText xml:space="preserve"> PAGEREF _Toc22909 \h </w:instrText>
          </w:r>
          <w:r>
            <w:fldChar w:fldCharType="separate"/>
          </w:r>
          <w:r>
            <w:t>19</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_Toc11638 </w:instrText>
          </w:r>
          <w:r>
            <w:rPr>
              <w:szCs w:val="21"/>
            </w:rPr>
            <w:fldChar w:fldCharType="separate"/>
          </w:r>
          <w:r>
            <w:rPr>
              <w:rFonts w:hint="eastAsia" w:cs="Times New Roman"/>
              <w:bCs w:val="0"/>
              <w:lang w:val="en-US" w:eastAsia="zh-CN"/>
            </w:rPr>
            <w:t>3.</w:t>
          </w:r>
          <w:r>
            <w:rPr>
              <w:rFonts w:hint="eastAsia" w:ascii="Times New Roman" w:hAnsi="Times New Roman" w:cs="Times New Roman"/>
              <w:bCs w:val="0"/>
              <w:lang w:val="en-US" w:eastAsia="zh-CN"/>
            </w:rPr>
            <w:t>完善创新服务体系，激发</w:t>
          </w:r>
          <w:r>
            <w:rPr>
              <w:rFonts w:hint="eastAsia" w:cs="Times New Roman"/>
              <w:bCs w:val="0"/>
              <w:lang w:val="en-US" w:eastAsia="zh-CN"/>
            </w:rPr>
            <w:t>社会</w:t>
          </w:r>
          <w:r>
            <w:rPr>
              <w:rFonts w:hint="eastAsia" w:ascii="Times New Roman" w:hAnsi="Times New Roman" w:cs="Times New Roman"/>
              <w:bCs w:val="0"/>
              <w:lang w:val="en-US" w:eastAsia="zh-CN"/>
            </w:rPr>
            <w:t>创新活力</w:t>
          </w:r>
          <w:r>
            <w:tab/>
          </w:r>
          <w:r>
            <w:fldChar w:fldCharType="begin"/>
          </w:r>
          <w:r>
            <w:instrText xml:space="preserve"> PAGEREF _Toc11638 \h </w:instrText>
          </w:r>
          <w:r>
            <w:fldChar w:fldCharType="separate"/>
          </w:r>
          <w:r>
            <w:t>20</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_Toc22320 </w:instrText>
          </w:r>
          <w:r>
            <w:rPr>
              <w:szCs w:val="21"/>
            </w:rPr>
            <w:fldChar w:fldCharType="separate"/>
          </w:r>
          <w:r>
            <w:rPr>
              <w:rFonts w:hint="eastAsia" w:ascii="Times New Roman" w:hAnsi="Times New Roman" w:cs="Times New Roman"/>
              <w:bCs/>
              <w:lang w:val="en-US" w:eastAsia="zh-CN"/>
            </w:rPr>
            <w:t>（二）</w:t>
          </w:r>
          <w:r>
            <w:rPr>
              <w:rFonts w:hint="eastAsia" w:cs="Times New Roman"/>
              <w:bCs w:val="0"/>
              <w:lang w:val="en-US" w:eastAsia="zh-CN"/>
            </w:rPr>
            <w:t>聚焦人工智能，驱动工业提质升级</w:t>
          </w:r>
          <w:r>
            <w:tab/>
          </w:r>
          <w:r>
            <w:fldChar w:fldCharType="begin"/>
          </w:r>
          <w:r>
            <w:instrText xml:space="preserve"> PAGEREF _Toc22320 \h </w:instrText>
          </w:r>
          <w:r>
            <w:fldChar w:fldCharType="separate"/>
          </w:r>
          <w:r>
            <w:t>21</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_Toc23037 </w:instrText>
          </w:r>
          <w:r>
            <w:rPr>
              <w:szCs w:val="21"/>
            </w:rPr>
            <w:fldChar w:fldCharType="separate"/>
          </w:r>
          <w:r>
            <w:rPr>
              <w:rFonts w:hint="eastAsia" w:cs="Times New Roman"/>
              <w:bCs/>
              <w:lang w:val="en-US" w:eastAsia="zh-CN"/>
            </w:rPr>
            <w:t>4</w:t>
          </w:r>
          <w:r>
            <w:rPr>
              <w:rFonts w:hint="eastAsia" w:ascii="Times New Roman" w:hAnsi="Times New Roman" w:cs="Times New Roman"/>
              <w:bCs/>
              <w:lang w:val="en-US" w:eastAsia="zh-CN"/>
            </w:rPr>
            <w:t>.</w:t>
          </w:r>
          <w:r>
            <w:rPr>
              <w:rFonts w:ascii="Times New Roman" w:hAnsi="Times New Roman" w:cs="Times New Roman"/>
              <w:bCs/>
            </w:rPr>
            <w:t>推进人工智能赋能</w:t>
          </w:r>
          <w:r>
            <w:rPr>
              <w:rFonts w:hint="eastAsia" w:ascii="Times New Roman" w:hAnsi="Times New Roman" w:cs="Times New Roman"/>
              <w:bCs/>
              <w:lang w:val="en-US" w:eastAsia="zh-CN"/>
            </w:rPr>
            <w:t>产业发展</w:t>
          </w:r>
          <w:r>
            <w:tab/>
          </w:r>
          <w:r>
            <w:fldChar w:fldCharType="begin"/>
          </w:r>
          <w:r>
            <w:instrText xml:space="preserve"> PAGEREF _Toc23037 \h </w:instrText>
          </w:r>
          <w:r>
            <w:fldChar w:fldCharType="separate"/>
          </w:r>
          <w:r>
            <w:t>21</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_Toc16091 </w:instrText>
          </w:r>
          <w:r>
            <w:rPr>
              <w:szCs w:val="21"/>
            </w:rPr>
            <w:fldChar w:fldCharType="separate"/>
          </w:r>
          <w:r>
            <w:rPr>
              <w:rFonts w:hint="eastAsia" w:ascii="Times New Roman" w:hAnsi="Times New Roman" w:cs="Times New Roman"/>
              <w:bCs/>
              <w:lang w:val="en-US" w:eastAsia="zh-CN"/>
            </w:rPr>
            <w:t>5.加速制造业数字化转型</w:t>
          </w:r>
          <w:r>
            <w:tab/>
          </w:r>
          <w:r>
            <w:fldChar w:fldCharType="begin"/>
          </w:r>
          <w:r>
            <w:instrText xml:space="preserve"> PAGEREF _Toc16091 \h </w:instrText>
          </w:r>
          <w:r>
            <w:fldChar w:fldCharType="separate"/>
          </w:r>
          <w:r>
            <w:t>22</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_Toc16614 </w:instrText>
          </w:r>
          <w:r>
            <w:rPr>
              <w:szCs w:val="21"/>
            </w:rPr>
            <w:fldChar w:fldCharType="separate"/>
          </w:r>
          <w:r>
            <w:rPr>
              <w:rFonts w:hint="eastAsia" w:ascii="Times New Roman" w:hAnsi="Times New Roman" w:cs="Times New Roman"/>
              <w:bCs w:val="0"/>
              <w:lang w:val="en-US" w:eastAsia="zh-CN"/>
            </w:rPr>
            <w:t>（三）</w:t>
          </w:r>
          <w:r>
            <w:rPr>
              <w:rFonts w:hint="eastAsia" w:cs="Times New Roman"/>
              <w:bCs w:val="0"/>
              <w:lang w:val="en-US" w:eastAsia="zh-CN"/>
            </w:rPr>
            <w:t>完善产业体系，筑牢产业现代根基</w:t>
          </w:r>
          <w:r>
            <w:tab/>
          </w:r>
          <w:r>
            <w:fldChar w:fldCharType="begin"/>
          </w:r>
          <w:r>
            <w:instrText xml:space="preserve"> PAGEREF _Toc16614 \h </w:instrText>
          </w:r>
          <w:r>
            <w:fldChar w:fldCharType="separate"/>
          </w:r>
          <w:r>
            <w:t>23</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_Toc32642 </w:instrText>
          </w:r>
          <w:r>
            <w:rPr>
              <w:szCs w:val="21"/>
            </w:rPr>
            <w:fldChar w:fldCharType="separate"/>
          </w:r>
          <w:r>
            <w:rPr>
              <w:rFonts w:hint="eastAsia" w:ascii="Times New Roman" w:hAnsi="Times New Roman" w:cs="Times New Roman"/>
              <w:bCs/>
              <w:lang w:val="en-US" w:eastAsia="zh-CN"/>
            </w:rPr>
            <w:t>6.加强产业链强链补链延链。</w:t>
          </w:r>
          <w:r>
            <w:tab/>
          </w:r>
          <w:r>
            <w:fldChar w:fldCharType="begin"/>
          </w:r>
          <w:r>
            <w:instrText xml:space="preserve"> PAGEREF _Toc32642 \h </w:instrText>
          </w:r>
          <w:r>
            <w:fldChar w:fldCharType="separate"/>
          </w:r>
          <w:r>
            <w:t>23</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_Toc12642 </w:instrText>
          </w:r>
          <w:r>
            <w:rPr>
              <w:szCs w:val="21"/>
            </w:rPr>
            <w:fldChar w:fldCharType="separate"/>
          </w:r>
          <w:r>
            <w:rPr>
              <w:rFonts w:hint="eastAsia" w:ascii="Times New Roman" w:hAnsi="Times New Roman" w:cs="Times New Roman"/>
              <w:bCs/>
              <w:lang w:val="en-US" w:eastAsia="zh-CN"/>
            </w:rPr>
            <w:t>7.强化产业基础支撑能力</w:t>
          </w:r>
          <w:r>
            <w:tab/>
          </w:r>
          <w:r>
            <w:fldChar w:fldCharType="begin"/>
          </w:r>
          <w:r>
            <w:instrText xml:space="preserve"> PAGEREF _Toc12642 \h </w:instrText>
          </w:r>
          <w:r>
            <w:fldChar w:fldCharType="separate"/>
          </w:r>
          <w:r>
            <w:t>24</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_Toc24275 </w:instrText>
          </w:r>
          <w:r>
            <w:rPr>
              <w:szCs w:val="21"/>
            </w:rPr>
            <w:fldChar w:fldCharType="separate"/>
          </w:r>
          <w:r>
            <w:rPr>
              <w:rFonts w:hint="eastAsia" w:cs="Times New Roman"/>
              <w:bCs w:val="0"/>
              <w:lang w:val="en-US" w:eastAsia="zh-CN"/>
            </w:rPr>
            <w:t>（四）聚焦精准招商，提高招商引资实效</w:t>
          </w:r>
          <w:r>
            <w:tab/>
          </w:r>
          <w:r>
            <w:fldChar w:fldCharType="begin"/>
          </w:r>
          <w:r>
            <w:instrText xml:space="preserve"> PAGEREF _Toc24275 \h </w:instrText>
          </w:r>
          <w:r>
            <w:fldChar w:fldCharType="separate"/>
          </w:r>
          <w:r>
            <w:t>25</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_Toc10433 </w:instrText>
          </w:r>
          <w:r>
            <w:rPr>
              <w:szCs w:val="21"/>
            </w:rPr>
            <w:fldChar w:fldCharType="separate"/>
          </w:r>
          <w:r>
            <w:rPr>
              <w:rFonts w:hint="eastAsia"/>
              <w:bCs w:val="0"/>
              <w:lang w:val="en-US" w:eastAsia="zh-CN"/>
            </w:rPr>
            <w:t>8</w:t>
          </w:r>
          <w:r>
            <w:rPr>
              <w:rFonts w:hint="eastAsia" w:ascii="Times New Roman" w:hAnsi="Times New Roman" w:cs="Times New Roman"/>
              <w:bCs/>
              <w:lang w:val="en-US" w:eastAsia="zh-CN"/>
            </w:rPr>
            <w:t>.</w:t>
          </w:r>
          <w:r>
            <w:rPr>
              <w:rFonts w:hint="default" w:ascii="Times New Roman" w:hAnsi="Times New Roman" w:cs="Times New Roman"/>
              <w:bCs/>
              <w:lang w:val="en-US" w:eastAsia="zh-CN"/>
            </w:rPr>
            <w:t>开展以</w:t>
          </w:r>
          <w:r>
            <w:rPr>
              <w:rFonts w:hint="eastAsia" w:cs="Times New Roman"/>
              <w:bCs/>
              <w:lang w:val="en-US" w:eastAsia="zh-CN"/>
            </w:rPr>
            <w:t>延链补链强链</w:t>
          </w:r>
          <w:r>
            <w:rPr>
              <w:rFonts w:hint="default" w:ascii="Times New Roman" w:hAnsi="Times New Roman" w:cs="Times New Roman"/>
              <w:bCs/>
              <w:lang w:val="en-US" w:eastAsia="zh-CN"/>
            </w:rPr>
            <w:t>为导向的精准招商</w:t>
          </w:r>
          <w:r>
            <w:tab/>
          </w:r>
          <w:r>
            <w:fldChar w:fldCharType="begin"/>
          </w:r>
          <w:r>
            <w:instrText xml:space="preserve"> PAGEREF _Toc10433 \h </w:instrText>
          </w:r>
          <w:r>
            <w:fldChar w:fldCharType="separate"/>
          </w:r>
          <w:r>
            <w:t>25</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_Toc16870 </w:instrText>
          </w:r>
          <w:r>
            <w:rPr>
              <w:szCs w:val="21"/>
            </w:rPr>
            <w:fldChar w:fldCharType="separate"/>
          </w:r>
          <w:r>
            <w:rPr>
              <w:rFonts w:hint="eastAsia" w:cs="Times New Roman"/>
              <w:bCs/>
              <w:lang w:val="en-US" w:eastAsia="zh-CN"/>
            </w:rPr>
            <w:t>9</w:t>
          </w:r>
          <w:r>
            <w:rPr>
              <w:rFonts w:hint="eastAsia" w:ascii="Times New Roman" w:hAnsi="Times New Roman" w:cs="Times New Roman"/>
              <w:bCs/>
              <w:lang w:val="en-US" w:eastAsia="zh-CN"/>
            </w:rPr>
            <w:t>.完善全流程招商工作体系，提升引资质效</w:t>
          </w:r>
          <w:r>
            <w:tab/>
          </w:r>
          <w:r>
            <w:fldChar w:fldCharType="begin"/>
          </w:r>
          <w:r>
            <w:instrText xml:space="preserve"> PAGEREF _Toc16870 \h </w:instrText>
          </w:r>
          <w:r>
            <w:fldChar w:fldCharType="separate"/>
          </w:r>
          <w:r>
            <w:t>26</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_Toc2197 </w:instrText>
          </w:r>
          <w:r>
            <w:rPr>
              <w:szCs w:val="21"/>
            </w:rPr>
            <w:fldChar w:fldCharType="separate"/>
          </w:r>
          <w:r>
            <w:rPr>
              <w:rFonts w:hint="eastAsia" w:cs="Times New Roman"/>
              <w:bCs w:val="0"/>
              <w:lang w:val="en-US" w:eastAsia="zh-CN"/>
            </w:rPr>
            <w:t>（五）聚焦企业培优，做强市场经营主体</w:t>
          </w:r>
          <w:r>
            <w:tab/>
          </w:r>
          <w:r>
            <w:fldChar w:fldCharType="begin"/>
          </w:r>
          <w:r>
            <w:instrText xml:space="preserve"> PAGEREF _Toc2197 \h </w:instrText>
          </w:r>
          <w:r>
            <w:fldChar w:fldCharType="separate"/>
          </w:r>
          <w:r>
            <w:t>27</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_Toc22883 </w:instrText>
          </w:r>
          <w:r>
            <w:rPr>
              <w:szCs w:val="21"/>
            </w:rPr>
            <w:fldChar w:fldCharType="separate"/>
          </w:r>
          <w:r>
            <w:rPr>
              <w:rFonts w:hint="eastAsia" w:ascii="Times New Roman" w:hAnsi="Times New Roman" w:cs="Times New Roman"/>
              <w:bCs/>
              <w:lang w:val="en-US" w:eastAsia="zh-CN"/>
            </w:rPr>
            <w:t>10.实施梯队化企业培育，</w:t>
          </w:r>
          <w:r>
            <w:rPr>
              <w:rFonts w:hint="default" w:ascii="Times New Roman" w:hAnsi="Times New Roman" w:eastAsia="仿宋_GB2312" w:cs="Times New Roman"/>
              <w:bCs/>
              <w:szCs w:val="24"/>
            </w:rPr>
            <w:t>做强市场经营主体</w:t>
          </w:r>
          <w:r>
            <w:tab/>
          </w:r>
          <w:r>
            <w:fldChar w:fldCharType="begin"/>
          </w:r>
          <w:r>
            <w:instrText xml:space="preserve"> PAGEREF _Toc22883 \h </w:instrText>
          </w:r>
          <w:r>
            <w:fldChar w:fldCharType="separate"/>
          </w:r>
          <w:r>
            <w:t>27</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_Toc9950 </w:instrText>
          </w:r>
          <w:r>
            <w:rPr>
              <w:szCs w:val="21"/>
            </w:rPr>
            <w:fldChar w:fldCharType="separate"/>
          </w:r>
          <w:r>
            <w:rPr>
              <w:rFonts w:hint="eastAsia" w:cs="Times New Roman"/>
              <w:bCs/>
              <w:szCs w:val="32"/>
              <w:lang w:val="en-US" w:eastAsia="zh-CN"/>
            </w:rPr>
            <w:t>11</w:t>
          </w:r>
          <w:r>
            <w:rPr>
              <w:rFonts w:hint="default" w:ascii="Times New Roman" w:hAnsi="Times New Roman" w:eastAsia="仿宋_GB2312" w:cs="Times New Roman"/>
              <w:bCs/>
              <w:szCs w:val="32"/>
              <w:lang w:val="en-US" w:eastAsia="zh-CN"/>
            </w:rPr>
            <w:t>.</w:t>
          </w:r>
          <w:r>
            <w:rPr>
              <w:rFonts w:hint="default"/>
              <w:bCs/>
              <w:lang w:val="en-US" w:eastAsia="zh-CN"/>
            </w:rPr>
            <w:t>促进大中小企业融通，凝聚产业发展合力</w:t>
          </w:r>
          <w:r>
            <w:tab/>
          </w:r>
          <w:r>
            <w:fldChar w:fldCharType="begin"/>
          </w:r>
          <w:r>
            <w:instrText xml:space="preserve"> PAGEREF _Toc9950 \h </w:instrText>
          </w:r>
          <w:r>
            <w:fldChar w:fldCharType="separate"/>
          </w:r>
          <w:r>
            <w:t>28</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_Toc13164 </w:instrText>
          </w:r>
          <w:r>
            <w:rPr>
              <w:szCs w:val="21"/>
            </w:rPr>
            <w:fldChar w:fldCharType="separate"/>
          </w:r>
          <w:r>
            <w:rPr>
              <w:rFonts w:hint="eastAsia" w:ascii="Times New Roman" w:hAnsi="Times New Roman" w:eastAsia="楷体_GB2312" w:cs="Times New Roman"/>
              <w:bCs/>
              <w:szCs w:val="24"/>
              <w:lang w:val="en-US" w:eastAsia="zh-CN"/>
            </w:rPr>
            <w:t>（</w:t>
          </w:r>
          <w:r>
            <w:rPr>
              <w:rFonts w:hint="eastAsia" w:cs="Times New Roman"/>
              <w:bCs/>
              <w:szCs w:val="24"/>
              <w:lang w:val="en-US" w:eastAsia="zh-CN"/>
            </w:rPr>
            <w:t>六</w:t>
          </w:r>
          <w:r>
            <w:rPr>
              <w:rFonts w:hint="eastAsia" w:ascii="Times New Roman" w:hAnsi="Times New Roman" w:eastAsia="楷体_GB2312" w:cs="Times New Roman"/>
              <w:bCs/>
              <w:szCs w:val="24"/>
              <w:lang w:val="en-US" w:eastAsia="zh-CN"/>
            </w:rPr>
            <w:t>）</w:t>
          </w:r>
          <w:r>
            <w:rPr>
              <w:rFonts w:hint="eastAsia" w:cs="Times New Roman"/>
              <w:bCs w:val="0"/>
              <w:lang w:val="en-US" w:eastAsia="zh-CN"/>
            </w:rPr>
            <w:t>推动园区跃升，打造集约发展平台</w:t>
          </w:r>
          <w:r>
            <w:tab/>
          </w:r>
          <w:r>
            <w:fldChar w:fldCharType="begin"/>
          </w:r>
          <w:r>
            <w:instrText xml:space="preserve"> PAGEREF _Toc13164 \h </w:instrText>
          </w:r>
          <w:r>
            <w:fldChar w:fldCharType="separate"/>
          </w:r>
          <w:r>
            <w:t>29</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_Toc20660 </w:instrText>
          </w:r>
          <w:r>
            <w:rPr>
              <w:szCs w:val="21"/>
            </w:rPr>
            <w:fldChar w:fldCharType="separate"/>
          </w:r>
          <w:r>
            <w:rPr>
              <w:rFonts w:hint="eastAsia" w:cs="Times New Roman"/>
              <w:bCs/>
              <w:szCs w:val="32"/>
              <w:lang w:val="en-US" w:eastAsia="zh-CN"/>
            </w:rPr>
            <w:t>12</w:t>
          </w:r>
          <w:r>
            <w:rPr>
              <w:rFonts w:hint="default" w:ascii="Times New Roman" w:hAnsi="Times New Roman" w:eastAsia="仿宋_GB2312" w:cs="Times New Roman"/>
              <w:bCs/>
              <w:szCs w:val="32"/>
              <w:lang w:val="en-US" w:eastAsia="zh-CN"/>
            </w:rPr>
            <w:t>.强化园区要素保障能力，支撑园区高质量发展</w:t>
          </w:r>
          <w:r>
            <w:tab/>
          </w:r>
          <w:r>
            <w:fldChar w:fldCharType="begin"/>
          </w:r>
          <w:r>
            <w:instrText xml:space="preserve"> PAGEREF _Toc20660 \h </w:instrText>
          </w:r>
          <w:r>
            <w:fldChar w:fldCharType="separate"/>
          </w:r>
          <w:r>
            <w:t>29</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_Toc2617 </w:instrText>
          </w:r>
          <w:r>
            <w:rPr>
              <w:szCs w:val="21"/>
            </w:rPr>
            <w:fldChar w:fldCharType="separate"/>
          </w:r>
          <w:r>
            <w:rPr>
              <w:rFonts w:hint="default" w:ascii="Times New Roman" w:hAnsi="Times New Roman" w:cs="Times New Roman"/>
              <w:bCs/>
              <w:szCs w:val="32"/>
              <w:lang w:val="en-US" w:eastAsia="zh-CN"/>
            </w:rPr>
            <w:t>13</w:t>
          </w:r>
          <w:r>
            <w:rPr>
              <w:rFonts w:hint="default" w:ascii="Times New Roman" w:hAnsi="Times New Roman" w:eastAsia="仿宋_GB2312" w:cs="Times New Roman"/>
              <w:bCs/>
              <w:szCs w:val="32"/>
              <w:lang w:val="en-US" w:eastAsia="zh-CN"/>
            </w:rPr>
            <w:t>.创新园区运营管理模式，提升园区运营效能</w:t>
          </w:r>
          <w:r>
            <w:tab/>
          </w:r>
          <w:r>
            <w:fldChar w:fldCharType="begin"/>
          </w:r>
          <w:r>
            <w:instrText xml:space="preserve"> PAGEREF _Toc2617 \h </w:instrText>
          </w:r>
          <w:r>
            <w:fldChar w:fldCharType="separate"/>
          </w:r>
          <w:r>
            <w:t>30</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_Toc23296 </w:instrText>
          </w:r>
          <w:r>
            <w:rPr>
              <w:szCs w:val="21"/>
            </w:rPr>
            <w:fldChar w:fldCharType="separate"/>
          </w:r>
          <w:r>
            <w:rPr>
              <w:rFonts w:hint="eastAsia" w:cs="Times New Roman"/>
              <w:bCs/>
              <w:lang w:val="en-US" w:eastAsia="zh-CN"/>
            </w:rPr>
            <w:t>（七）实施</w:t>
          </w:r>
          <w:r>
            <w:rPr>
              <w:rFonts w:hint="eastAsia" w:ascii="Times New Roman" w:hAnsi="Times New Roman" w:cs="Times New Roman"/>
              <w:bCs/>
              <w:lang w:val="en-US" w:eastAsia="zh-CN"/>
            </w:rPr>
            <w:t>绿色转型，</w:t>
          </w:r>
          <w:r>
            <w:rPr>
              <w:rFonts w:hint="eastAsia" w:cs="Times New Roman"/>
              <w:bCs/>
              <w:lang w:val="en-US" w:eastAsia="zh-CN"/>
            </w:rPr>
            <w:t>推进</w:t>
          </w:r>
          <w:r>
            <w:rPr>
              <w:rFonts w:hint="eastAsia" w:ascii="Times New Roman" w:hAnsi="Times New Roman" w:cs="Times New Roman"/>
              <w:bCs/>
              <w:lang w:val="en-US" w:eastAsia="zh-CN"/>
            </w:rPr>
            <w:t>产业</w:t>
          </w:r>
          <w:r>
            <w:rPr>
              <w:rFonts w:hint="eastAsia" w:cs="Times New Roman"/>
              <w:bCs/>
              <w:lang w:val="en-US" w:eastAsia="zh-CN"/>
            </w:rPr>
            <w:t>绿色</w:t>
          </w:r>
          <w:r>
            <w:rPr>
              <w:rFonts w:hint="eastAsia" w:ascii="Times New Roman" w:hAnsi="Times New Roman" w:cs="Times New Roman"/>
              <w:bCs/>
              <w:lang w:val="en-US" w:eastAsia="zh-CN"/>
            </w:rPr>
            <w:t>发展</w:t>
          </w:r>
          <w:r>
            <w:tab/>
          </w:r>
          <w:r>
            <w:fldChar w:fldCharType="begin"/>
          </w:r>
          <w:r>
            <w:instrText xml:space="preserve"> PAGEREF _Toc23296 \h </w:instrText>
          </w:r>
          <w:r>
            <w:fldChar w:fldCharType="separate"/>
          </w:r>
          <w:r>
            <w:t>31</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_Toc7252 </w:instrText>
          </w:r>
          <w:r>
            <w:rPr>
              <w:szCs w:val="21"/>
            </w:rPr>
            <w:fldChar w:fldCharType="separate"/>
          </w:r>
          <w:r>
            <w:rPr>
              <w:rFonts w:hint="eastAsia" w:cs="Times New Roman"/>
              <w:bCs/>
              <w:lang w:val="en-US" w:eastAsia="zh-CN"/>
            </w:rPr>
            <w:t>14</w:t>
          </w:r>
          <w:r>
            <w:rPr>
              <w:rFonts w:hint="eastAsia" w:ascii="Times New Roman" w:hAnsi="Times New Roman" w:cs="Times New Roman"/>
              <w:bCs/>
            </w:rPr>
            <w:t>.以绿色低碳</w:t>
          </w:r>
          <w:r>
            <w:rPr>
              <w:rFonts w:hint="eastAsia" w:ascii="Times New Roman" w:hAnsi="Times New Roman" w:cs="Times New Roman"/>
              <w:bCs/>
              <w:lang w:val="en-US" w:eastAsia="zh-CN"/>
            </w:rPr>
            <w:t>为导向，</w:t>
          </w:r>
          <w:r>
            <w:rPr>
              <w:rFonts w:hint="eastAsia" w:ascii="Times New Roman" w:hAnsi="Times New Roman" w:cs="Times New Roman"/>
              <w:bCs/>
            </w:rPr>
            <w:t>探索</w:t>
          </w:r>
          <w:r>
            <w:rPr>
              <w:rFonts w:hint="eastAsia" w:ascii="Times New Roman" w:hAnsi="Times New Roman" w:cs="Times New Roman"/>
              <w:bCs/>
              <w:lang w:val="en-US" w:eastAsia="zh-CN"/>
            </w:rPr>
            <w:t>产业</w:t>
          </w:r>
          <w:r>
            <w:rPr>
              <w:rFonts w:hint="eastAsia" w:ascii="Times New Roman" w:hAnsi="Times New Roman" w:cs="Times New Roman"/>
              <w:bCs/>
            </w:rPr>
            <w:t>零碳</w:t>
          </w:r>
          <w:r>
            <w:rPr>
              <w:rFonts w:hint="eastAsia" w:ascii="Times New Roman" w:hAnsi="Times New Roman" w:cs="Times New Roman"/>
              <w:bCs/>
              <w:lang w:val="en-US" w:eastAsia="zh-CN"/>
            </w:rPr>
            <w:t>发展</w:t>
          </w:r>
          <w:r>
            <w:rPr>
              <w:rFonts w:hint="eastAsia" w:ascii="Times New Roman" w:hAnsi="Times New Roman" w:cs="Times New Roman"/>
              <w:bCs/>
            </w:rPr>
            <w:t>路径</w:t>
          </w:r>
          <w:r>
            <w:tab/>
          </w:r>
          <w:r>
            <w:fldChar w:fldCharType="begin"/>
          </w:r>
          <w:r>
            <w:instrText xml:space="preserve"> PAGEREF _Toc7252 \h </w:instrText>
          </w:r>
          <w:r>
            <w:fldChar w:fldCharType="separate"/>
          </w:r>
          <w:r>
            <w:t>31</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_Toc31305 </w:instrText>
          </w:r>
          <w:r>
            <w:rPr>
              <w:szCs w:val="21"/>
            </w:rPr>
            <w:fldChar w:fldCharType="separate"/>
          </w:r>
          <w:r>
            <w:rPr>
              <w:rFonts w:hint="eastAsia" w:ascii="Times New Roman" w:hAnsi="Times New Roman" w:cs="Times New Roman"/>
              <w:bCs/>
              <w:lang w:val="en-US" w:eastAsia="zh-CN"/>
            </w:rPr>
            <w:t>1</w:t>
          </w:r>
          <w:r>
            <w:rPr>
              <w:rFonts w:hint="eastAsia" w:cs="Times New Roman"/>
              <w:bCs/>
              <w:lang w:val="en-US" w:eastAsia="zh-CN"/>
            </w:rPr>
            <w:t>5</w:t>
          </w:r>
          <w:r>
            <w:rPr>
              <w:rFonts w:hint="eastAsia" w:ascii="Times New Roman" w:hAnsi="Times New Roman" w:cs="Times New Roman"/>
              <w:bCs/>
              <w:lang w:val="en-US" w:eastAsia="zh-CN"/>
            </w:rPr>
            <w:t>.深化园区绿色低碳转型，夯实制造业高质量绿色发展支撑</w:t>
          </w:r>
          <w:r>
            <w:tab/>
          </w:r>
          <w:r>
            <w:fldChar w:fldCharType="begin"/>
          </w:r>
          <w:r>
            <w:instrText xml:space="preserve"> PAGEREF _Toc31305 \h </w:instrText>
          </w:r>
          <w:r>
            <w:fldChar w:fldCharType="separate"/>
          </w:r>
          <w:r>
            <w:t>31</w:t>
          </w:r>
          <w:r>
            <w:fldChar w:fldCharType="end"/>
          </w:r>
          <w:r>
            <w:rPr>
              <w:color w:val="000000" w:themeColor="text1"/>
              <w:szCs w:val="21"/>
              <w14:textFill>
                <w14:solidFill>
                  <w14:schemeClr w14:val="tx1"/>
                </w14:solidFill>
              </w14:textFill>
            </w:rPr>
            <w:fldChar w:fldCharType="end"/>
          </w:r>
        </w:p>
        <w:p>
          <w:pPr>
            <w:pStyle w:val="19"/>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_Toc968 </w:instrText>
          </w:r>
          <w:r>
            <w:rPr>
              <w:szCs w:val="21"/>
            </w:rPr>
            <w:fldChar w:fldCharType="separate"/>
          </w:r>
          <w:r>
            <w:rPr>
              <w:rFonts w:hint="eastAsia"/>
              <w:bCs/>
              <w:lang w:val="en-US" w:eastAsia="zh-CN"/>
            </w:rPr>
            <w:t>（八）</w:t>
          </w:r>
          <w:r>
            <w:rPr>
              <w:rFonts w:hint="eastAsia"/>
              <w:bCs/>
            </w:rPr>
            <w:t>深化区域协同，拓展开放发展空间</w:t>
          </w:r>
          <w:r>
            <w:tab/>
          </w:r>
          <w:r>
            <w:fldChar w:fldCharType="begin"/>
          </w:r>
          <w:r>
            <w:instrText xml:space="preserve"> PAGEREF _Toc968 \h </w:instrText>
          </w:r>
          <w:r>
            <w:fldChar w:fldCharType="separate"/>
          </w:r>
          <w:r>
            <w:t>32</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_Toc8609 </w:instrText>
          </w:r>
          <w:r>
            <w:rPr>
              <w:szCs w:val="21"/>
            </w:rPr>
            <w:fldChar w:fldCharType="separate"/>
          </w:r>
          <w:r>
            <w:rPr>
              <w:rFonts w:hint="eastAsia"/>
              <w:bCs w:val="0"/>
              <w:lang w:val="en-US" w:eastAsia="zh-CN"/>
            </w:rPr>
            <w:t>16.</w:t>
          </w:r>
          <w:r>
            <w:rPr>
              <w:rFonts w:hint="eastAsia"/>
              <w:bCs w:val="0"/>
            </w:rPr>
            <w:t>深度</w:t>
          </w:r>
          <w:r>
            <w:rPr>
              <w:rFonts w:hint="eastAsia"/>
              <w:bCs w:val="0"/>
              <w:lang w:val="en-US" w:eastAsia="zh-CN"/>
            </w:rPr>
            <w:t>融入</w:t>
          </w:r>
          <w:r>
            <w:rPr>
              <w:rFonts w:hint="eastAsia"/>
              <w:bCs w:val="0"/>
            </w:rPr>
            <w:t>粤港澳大湾区，</w:t>
          </w:r>
          <w:r>
            <w:rPr>
              <w:rFonts w:hint="eastAsia" w:ascii="Times New Roman" w:hAnsi="Times New Roman" w:cs="Times New Roman"/>
              <w:lang w:val="en-US" w:eastAsia="zh-CN"/>
            </w:rPr>
            <w:t>打造粤港澳大湾区产业协同发展承载地</w:t>
          </w:r>
          <w:r>
            <w:tab/>
          </w:r>
          <w:r>
            <w:fldChar w:fldCharType="begin"/>
          </w:r>
          <w:r>
            <w:instrText xml:space="preserve"> PAGEREF _Toc8609 \h </w:instrText>
          </w:r>
          <w:r>
            <w:fldChar w:fldCharType="separate"/>
          </w:r>
          <w:r>
            <w:t>32</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_Toc27593 </w:instrText>
          </w:r>
          <w:r>
            <w:rPr>
              <w:szCs w:val="21"/>
            </w:rPr>
            <w:fldChar w:fldCharType="separate"/>
          </w:r>
          <w:r>
            <w:rPr>
              <w:rFonts w:hint="eastAsia"/>
              <w:bCs w:val="0"/>
              <w:lang w:val="en-US" w:eastAsia="zh-CN"/>
            </w:rPr>
            <w:t>17</w:t>
          </w:r>
          <w:r>
            <w:rPr>
              <w:rFonts w:hint="eastAsia"/>
              <w:bCs w:val="0"/>
            </w:rPr>
            <w:t>.强化深汕合作，</w:t>
          </w:r>
          <w:r>
            <w:rPr>
              <w:rFonts w:hint="eastAsia"/>
              <w:bCs w:val="0"/>
              <w:lang w:val="en-US" w:eastAsia="zh-CN"/>
            </w:rPr>
            <w:t>探索“</w:t>
          </w:r>
          <w:r>
            <w:rPr>
              <w:rFonts w:hint="default"/>
              <w:bCs w:val="0"/>
              <w:lang w:val="en-US"/>
            </w:rPr>
            <w:t>飞地经济</w:t>
          </w:r>
          <w:r>
            <w:rPr>
              <w:rFonts w:hint="eastAsia"/>
              <w:bCs w:val="0"/>
              <w:lang w:val="en-US" w:eastAsia="zh-CN"/>
            </w:rPr>
            <w:t>”</w:t>
          </w:r>
          <w:r>
            <w:rPr>
              <w:rFonts w:hint="default"/>
              <w:bCs w:val="0"/>
              <w:lang w:val="en-US"/>
            </w:rPr>
            <w:t>融合发展新路径</w:t>
          </w:r>
          <w:r>
            <w:tab/>
          </w:r>
          <w:r>
            <w:fldChar w:fldCharType="begin"/>
          </w:r>
          <w:r>
            <w:instrText xml:space="preserve"> PAGEREF _Toc27593 \h </w:instrText>
          </w:r>
          <w:r>
            <w:fldChar w:fldCharType="separate"/>
          </w:r>
          <w:r>
            <w:t>33</w:t>
          </w:r>
          <w:r>
            <w:fldChar w:fldCharType="end"/>
          </w:r>
          <w:r>
            <w:rPr>
              <w:color w:val="000000" w:themeColor="text1"/>
              <w:szCs w:val="21"/>
              <w14:textFill>
                <w14:solidFill>
                  <w14:schemeClr w14:val="tx1"/>
                </w14:solidFill>
              </w14:textFill>
            </w:rPr>
            <w:fldChar w:fldCharType="end"/>
          </w:r>
        </w:p>
        <w:p>
          <w:pPr>
            <w:pStyle w:val="12"/>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_Toc27181 </w:instrText>
          </w:r>
          <w:r>
            <w:rPr>
              <w:szCs w:val="21"/>
            </w:rPr>
            <w:fldChar w:fldCharType="separate"/>
          </w:r>
          <w:r>
            <w:rPr>
              <w:rFonts w:hint="eastAsia"/>
              <w:bCs w:val="0"/>
              <w:lang w:val="en-US" w:eastAsia="zh-CN"/>
            </w:rPr>
            <w:t>18.加强与粤东沿海经济带协同联动，共建共赢发展格局</w:t>
          </w:r>
          <w:r>
            <w:tab/>
          </w:r>
          <w:r>
            <w:fldChar w:fldCharType="begin"/>
          </w:r>
          <w:r>
            <w:instrText xml:space="preserve"> PAGEREF _Toc27181 \h </w:instrText>
          </w:r>
          <w:r>
            <w:fldChar w:fldCharType="separate"/>
          </w:r>
          <w:r>
            <w:t>34</w:t>
          </w:r>
          <w:r>
            <w:fldChar w:fldCharType="end"/>
          </w:r>
          <w:r>
            <w:rPr>
              <w:color w:val="000000" w:themeColor="text1"/>
              <w:szCs w:val="21"/>
              <w14:textFill>
                <w14:solidFill>
                  <w14:schemeClr w14:val="tx1"/>
                </w14:solidFill>
              </w14:textFill>
            </w:rPr>
            <w:fldChar w:fldCharType="end"/>
          </w:r>
        </w:p>
        <w:p>
          <w:pPr>
            <w:pStyle w:val="16"/>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_Toc16540 </w:instrText>
          </w:r>
          <w:r>
            <w:rPr>
              <w:szCs w:val="21"/>
            </w:rPr>
            <w:fldChar w:fldCharType="separate"/>
          </w:r>
          <w:r>
            <w:rPr>
              <w:rFonts w:hint="eastAsia"/>
              <w:lang w:val="en-US" w:eastAsia="zh-CN"/>
            </w:rPr>
            <w:t>五</w:t>
          </w:r>
          <w:r>
            <w:rPr>
              <w:rFonts w:hint="eastAsia"/>
            </w:rPr>
            <w:t>、组织实施</w:t>
          </w:r>
          <w:r>
            <w:tab/>
          </w:r>
          <w:r>
            <w:fldChar w:fldCharType="begin"/>
          </w:r>
          <w:r>
            <w:instrText xml:space="preserve"> PAGEREF _Toc16540 \h </w:instrText>
          </w:r>
          <w:r>
            <w:fldChar w:fldCharType="separate"/>
          </w:r>
          <w:r>
            <w:t>35</w:t>
          </w:r>
          <w:r>
            <w:fldChar w:fldCharType="end"/>
          </w:r>
          <w:r>
            <w:rPr>
              <w:color w:val="000000" w:themeColor="text1"/>
              <w:szCs w:val="21"/>
              <w14:textFill>
                <w14:solidFill>
                  <w14:schemeClr w14:val="tx1"/>
                </w14:solidFill>
              </w14:textFill>
            </w:rPr>
            <w:fldChar w:fldCharType="end"/>
          </w:r>
        </w:p>
        <w:p>
          <w:pPr>
            <w:pStyle w:val="16"/>
            <w:tabs>
              <w:tab w:val="right" w:leader="dot" w:pos="8306"/>
            </w:tabs>
          </w:pPr>
          <w:r>
            <w:rPr>
              <w:color w:val="000000" w:themeColor="text1"/>
              <w:szCs w:val="21"/>
              <w14:textFill>
                <w14:solidFill>
                  <w14:schemeClr w14:val="tx1"/>
                </w14:solidFill>
              </w14:textFill>
            </w:rPr>
            <w:fldChar w:fldCharType="begin"/>
          </w:r>
          <w:r>
            <w:rPr>
              <w:szCs w:val="21"/>
            </w:rPr>
            <w:instrText xml:space="preserve"> HYPERLINK \l _Toc20462 </w:instrText>
          </w:r>
          <w:r>
            <w:rPr>
              <w:szCs w:val="21"/>
            </w:rPr>
            <w:fldChar w:fldCharType="separate"/>
          </w:r>
          <w:r>
            <w:rPr>
              <w:rFonts w:hint="eastAsia" w:ascii="黑体" w:hAnsi="黑体" w:eastAsia="黑体" w:cs="黑体"/>
              <w:lang w:val="en-US" w:eastAsia="zh-CN"/>
            </w:rPr>
            <w:t>附件</w:t>
          </w:r>
          <w:r>
            <w:rPr>
              <w:rFonts w:hint="eastAsia" w:ascii="黑体" w:hAnsi="黑体" w:cs="黑体"/>
              <w:lang w:val="en-US" w:eastAsia="zh-CN"/>
            </w:rPr>
            <w:t>：</w:t>
          </w:r>
          <w:r>
            <w:rPr>
              <w:rFonts w:hint="eastAsia" w:ascii="黑体" w:hAnsi="黑体" w:eastAsia="黑体" w:cs="黑体"/>
              <w:lang w:val="en-US" w:eastAsia="zh-CN"/>
            </w:rPr>
            <w:t>汕尾市重点建设项目计划表</w:t>
          </w:r>
          <w:r>
            <w:tab/>
          </w:r>
          <w:r>
            <w:fldChar w:fldCharType="begin"/>
          </w:r>
          <w:r>
            <w:instrText xml:space="preserve"> PAGEREF _Toc20462 \h </w:instrText>
          </w:r>
          <w:r>
            <w:fldChar w:fldCharType="separate"/>
          </w:r>
          <w:r>
            <w:t>36</w:t>
          </w:r>
          <w:r>
            <w:fldChar w:fldCharType="end"/>
          </w:r>
          <w:r>
            <w:rPr>
              <w:color w:val="000000" w:themeColor="text1"/>
              <w:szCs w:val="21"/>
              <w14:textFill>
                <w14:solidFill>
                  <w14:schemeClr w14:val="tx1"/>
                </w14:solidFill>
              </w14:textFill>
            </w:rPr>
            <w:fldChar w:fldCharType="end"/>
          </w:r>
        </w:p>
        <w:p>
          <w:pPr>
            <w:pStyle w:val="16"/>
            <w:tabs>
              <w:tab w:val="right" w:leader="dot" w:pos="8306"/>
            </w:tabs>
            <w:spacing w:line="240" w:lineRule="auto"/>
            <w:ind w:firstLine="640"/>
            <w:rPr>
              <w:color w:val="000000" w:themeColor="text1"/>
              <w14:textFill>
                <w14:solidFill>
                  <w14:schemeClr w14:val="tx1"/>
                </w14:solidFill>
              </w14:textFill>
            </w:rPr>
          </w:pPr>
          <w:r>
            <w:rPr>
              <w:color w:val="000000" w:themeColor="text1"/>
              <w:szCs w:val="21"/>
              <w14:textFill>
                <w14:solidFill>
                  <w14:schemeClr w14:val="tx1"/>
                </w14:solidFill>
              </w14:textFill>
            </w:rPr>
            <w:fldChar w:fldCharType="end"/>
          </w:r>
        </w:p>
      </w:sdtContent>
    </w:sdt>
    <w:p>
      <w:pPr>
        <w:ind w:firstLine="0" w:firstLineChars="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bookmarkEnd w:id="10"/>
    <w:bookmarkEnd w:id="11"/>
    <w:bookmarkEnd w:id="12"/>
    <w:bookmarkEnd w:id="13"/>
    <w:p>
      <w:pPr>
        <w:pStyle w:val="3"/>
        <w:ind w:firstLine="643"/>
        <w:rPr>
          <w:color w:val="000000" w:themeColor="text1"/>
          <w14:textFill>
            <w14:solidFill>
              <w14:schemeClr w14:val="tx1"/>
            </w14:solidFill>
          </w14:textFill>
        </w:rPr>
      </w:pPr>
      <w:bookmarkStart w:id="14" w:name="_Toc6103"/>
      <w:bookmarkStart w:id="15" w:name="_Toc4218"/>
      <w:bookmarkStart w:id="16" w:name="_Toc12428"/>
      <w:bookmarkStart w:id="17" w:name="_Toc21178"/>
      <w:bookmarkStart w:id="18" w:name="_Toc2520"/>
      <w:bookmarkStart w:id="19" w:name="_Toc25127"/>
      <w:bookmarkStart w:id="20" w:name="_Toc25646"/>
      <w:bookmarkStart w:id="21" w:name="_Toc20361"/>
      <w:bookmarkStart w:id="22" w:name="_Toc32395"/>
      <w:bookmarkStart w:id="23" w:name="_Toc27982"/>
      <w:bookmarkStart w:id="24" w:name="_Toc27291"/>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、总体要求</w:t>
      </w:r>
      <w:bookmarkEnd w:id="14"/>
      <w:bookmarkEnd w:id="15"/>
      <w:bookmarkEnd w:id="16"/>
      <w:bookmarkEnd w:id="17"/>
      <w:bookmarkEnd w:id="18"/>
      <w:bookmarkEnd w:id="19"/>
      <w:bookmarkEnd w:id="20"/>
      <w:bookmarkEnd w:id="21"/>
      <w:bookmarkEnd w:id="22"/>
      <w:bookmarkEnd w:id="23"/>
      <w:bookmarkEnd w:id="24"/>
    </w:p>
    <w:p>
      <w:pPr>
        <w:pStyle w:val="4"/>
        <w:ind w:firstLine="643"/>
        <w:rPr>
          <w:color w:val="000000" w:themeColor="text1"/>
          <w14:textFill>
            <w14:solidFill>
              <w14:schemeClr w14:val="tx1"/>
            </w14:solidFill>
          </w14:textFill>
        </w:rPr>
      </w:pPr>
      <w:bookmarkStart w:id="25" w:name="_Toc29396"/>
      <w:bookmarkStart w:id="26" w:name="_Toc11081"/>
      <w:bookmarkStart w:id="27" w:name="_Toc23879"/>
      <w:bookmarkStart w:id="28" w:name="_Toc4759"/>
      <w:bookmarkStart w:id="29" w:name="_Toc12935"/>
      <w:bookmarkStart w:id="30" w:name="_Toc11313"/>
      <w:bookmarkStart w:id="31" w:name="_Toc30895"/>
      <w:bookmarkStart w:id="32" w:name="_Toc20330"/>
      <w:bookmarkStart w:id="33" w:name="_Toc29636"/>
      <w:bookmarkStart w:id="34" w:name="_Toc12035"/>
      <w:bookmarkStart w:id="35" w:name="_Toc21770"/>
      <w:r>
        <w:rPr>
          <w:rFonts w:hint="eastAsia"/>
          <w:color w:val="000000" w:themeColor="text1"/>
          <w14:textFill>
            <w14:solidFill>
              <w14:schemeClr w14:val="tx1"/>
            </w14:solidFill>
          </w14:textFill>
        </w:rPr>
        <w:t>（一）指导思想</w:t>
      </w:r>
      <w:bookmarkEnd w:id="25"/>
      <w:bookmarkEnd w:id="26"/>
      <w:bookmarkEnd w:id="27"/>
      <w:bookmarkEnd w:id="28"/>
      <w:bookmarkEnd w:id="29"/>
      <w:bookmarkEnd w:id="30"/>
      <w:bookmarkEnd w:id="31"/>
      <w:bookmarkEnd w:id="32"/>
      <w:bookmarkEnd w:id="33"/>
      <w:bookmarkEnd w:id="34"/>
      <w:bookmarkEnd w:id="35"/>
    </w:p>
    <w:p>
      <w:pPr>
        <w:spacing w:line="580" w:lineRule="exact"/>
        <w:ind w:firstLine="640"/>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以习近平新时代中国特色社会主义思想为指导，全面贯彻党的二十大和二十届</w:t>
      </w:r>
      <w:r>
        <w:rPr>
          <w:rFonts w:hint="eastAsia"/>
          <w:color w:val="000000" w:themeColor="text1"/>
          <w:lang w:val="en-US" w:eastAsia="zh-CN"/>
          <w14:textFill>
            <w14:solidFill>
              <w14:schemeClr w14:val="tx1"/>
            </w14:solidFill>
          </w14:textFill>
        </w:rPr>
        <w:t>历次</w:t>
      </w:r>
      <w:r>
        <w:rPr>
          <w:rFonts w:hint="eastAsia"/>
          <w:color w:val="000000" w:themeColor="text1"/>
          <w14:textFill>
            <w14:solidFill>
              <w14:schemeClr w14:val="tx1"/>
            </w14:solidFill>
          </w14:textFill>
        </w:rPr>
        <w:t>全会</w:t>
      </w:r>
      <w:r>
        <w:rPr>
          <w:rFonts w:hint="eastAsia"/>
          <w:color w:val="000000" w:themeColor="text1"/>
          <w:lang w:val="en-US" w:eastAsia="zh-CN"/>
          <w14:textFill>
            <w14:solidFill>
              <w14:schemeClr w14:val="tx1"/>
            </w14:solidFill>
          </w14:textFill>
        </w:rPr>
        <w:t>精神以及</w:t>
      </w:r>
      <w:r>
        <w:rPr>
          <w:rFonts w:hint="eastAsia"/>
          <w:color w:val="000000" w:themeColor="text1"/>
          <w:kern w:val="0"/>
          <w:szCs w:val="32"/>
          <w14:textFill>
            <w14:solidFill>
              <w14:schemeClr w14:val="tx1"/>
            </w14:solidFill>
          </w14:textFill>
        </w:rPr>
        <w:t>中央经济工作会议</w:t>
      </w:r>
      <w:r>
        <w:rPr>
          <w:rFonts w:hint="eastAsia"/>
          <w:color w:val="000000" w:themeColor="text1"/>
          <w14:textFill>
            <w14:solidFill>
              <w14:schemeClr w14:val="tx1"/>
            </w14:solidFill>
          </w14:textFill>
        </w:rPr>
        <w:t>精神，深入学习贯彻习近平总书记对广东系列重要讲话和重要指示精神，</w:t>
      </w:r>
      <w:r>
        <w:rPr>
          <w:rFonts w:hint="eastAsia"/>
          <w:color w:val="000000" w:themeColor="text1"/>
          <w:kern w:val="0"/>
          <w:szCs w:val="32"/>
          <w:lang w:val="en-US" w:eastAsia="zh-CN"/>
          <w14:textFill>
            <w14:solidFill>
              <w14:schemeClr w14:val="tx1"/>
            </w14:solidFill>
          </w14:textFill>
        </w:rPr>
        <w:t>全面</w:t>
      </w:r>
      <w:r>
        <w:rPr>
          <w:rFonts w:hint="eastAsia"/>
          <w:color w:val="000000" w:themeColor="text1"/>
          <w14:textFill>
            <w14:solidFill>
              <w14:schemeClr w14:val="tx1"/>
            </w14:solidFill>
          </w14:textFill>
        </w:rPr>
        <w:t>落实广东省委“1310”工作部署</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锚定“做实做强西承东联桥头堡、全力打造东海岸重要支点”总任务，紧扣“再造一个新汕尾”总目标，</w:t>
      </w:r>
      <w:r>
        <w:rPr>
          <w:rFonts w:hint="eastAsia"/>
          <w:color w:val="000000" w:themeColor="text1"/>
          <w:lang w:val="en-US" w:eastAsia="zh-CN"/>
          <w14:textFill>
            <w14:solidFill>
              <w14:schemeClr w14:val="tx1"/>
            </w14:solidFill>
          </w14:textFill>
        </w:rPr>
        <w:t>深入实施</w:t>
      </w:r>
      <w:r>
        <w:rPr>
          <w:rFonts w:hint="eastAsia"/>
          <w:color w:val="000000" w:themeColor="text1"/>
          <w14:textFill>
            <w14:solidFill>
              <w14:schemeClr w14:val="tx1"/>
            </w14:solidFill>
          </w14:textFill>
        </w:rPr>
        <w:t>市委“</w:t>
      </w:r>
      <w:r>
        <w:rPr>
          <w:rFonts w:hint="eastAsia"/>
          <w:color w:val="000000" w:themeColor="text1"/>
          <w:lang w:val="en-US" w:eastAsia="zh-CN"/>
          <w14:textFill>
            <w14:solidFill>
              <w14:schemeClr w14:val="tx1"/>
            </w14:solidFill>
          </w14:textFill>
        </w:rPr>
        <w:t>1233”规划部署</w:t>
      </w:r>
      <w:r>
        <w:rPr>
          <w:rFonts w:hint="eastAsia"/>
          <w:color w:val="000000" w:themeColor="text1"/>
          <w14:textFill>
            <w14:solidFill>
              <w14:schemeClr w14:val="tx1"/>
            </w14:solidFill>
          </w14:textFill>
        </w:rPr>
        <w:t>，坚持制造强市不动摇，紧紧围绕高质量发展首要任务，以深化供给侧结构性改革为主线，以改革创新为根本动力，加快构建以先进制造业为骨干的现代化产业体系，</w:t>
      </w:r>
      <w:r>
        <w:rPr>
          <w:rFonts w:hint="eastAsia"/>
          <w:color w:val="000000" w:themeColor="text1"/>
          <w:lang w:val="en-US" w:eastAsia="zh-CN"/>
          <w14:textFill>
            <w14:solidFill>
              <w14:schemeClr w14:val="tx1"/>
            </w14:solidFill>
          </w14:textFill>
        </w:rPr>
        <w:t>巩固提升</w:t>
      </w:r>
      <w:r>
        <w:rPr>
          <w:color w:val="000000" w:themeColor="text1"/>
          <w:szCs w:val="32"/>
          <w14:textFill>
            <w14:solidFill>
              <w14:schemeClr w14:val="tx1"/>
            </w14:solidFill>
          </w14:textFill>
        </w:rPr>
        <w:t>传统产业</w:t>
      </w:r>
      <w:r>
        <w:rPr>
          <w:rFonts w:hint="eastAsia"/>
          <w:color w:val="000000" w:themeColor="text1"/>
          <w:szCs w:val="32"/>
          <w:lang w:eastAsia="zh-CN"/>
          <w14:textFill>
            <w14:solidFill>
              <w14:schemeClr w14:val="tx1"/>
            </w14:solidFill>
          </w14:textFill>
        </w:rPr>
        <w:t>，</w:t>
      </w:r>
      <w:r>
        <w:rPr>
          <w:rFonts w:hint="eastAsia"/>
          <w:color w:val="000000" w:themeColor="text1"/>
          <w:szCs w:val="32"/>
          <w:lang w:val="en-US" w:eastAsia="zh-CN"/>
          <w14:textFill>
            <w14:solidFill>
              <w14:schemeClr w14:val="tx1"/>
            </w14:solidFill>
          </w14:textFill>
        </w:rPr>
        <w:t>培育壮大新兴</w:t>
      </w:r>
      <w:r>
        <w:rPr>
          <w:color w:val="000000" w:themeColor="text1"/>
          <w:szCs w:val="32"/>
          <w14:textFill>
            <w14:solidFill>
              <w14:schemeClr w14:val="tx1"/>
            </w14:solidFill>
          </w14:textFill>
        </w:rPr>
        <w:t>产业</w:t>
      </w:r>
      <w:r>
        <w:rPr>
          <w:rFonts w:hint="eastAsia"/>
          <w:color w:val="000000" w:themeColor="text1"/>
          <w:szCs w:val="32"/>
          <w:lang w:eastAsia="zh-CN"/>
          <w14:textFill>
            <w14:solidFill>
              <w14:schemeClr w14:val="tx1"/>
            </w14:solidFill>
          </w14:textFill>
        </w:rPr>
        <w:t>，</w:t>
      </w:r>
      <w:r>
        <w:rPr>
          <w:rFonts w:hint="eastAsia"/>
          <w:color w:val="000000" w:themeColor="text1"/>
          <w:szCs w:val="32"/>
          <w:lang w:val="en-US" w:eastAsia="zh-CN"/>
          <w14:textFill>
            <w14:solidFill>
              <w14:schemeClr w14:val="tx1"/>
            </w14:solidFill>
          </w14:textFill>
        </w:rPr>
        <w:t>前瞻布局</w:t>
      </w:r>
      <w:r>
        <w:rPr>
          <w:color w:val="000000" w:themeColor="text1"/>
          <w:szCs w:val="32"/>
          <w14:textFill>
            <w14:solidFill>
              <w14:schemeClr w14:val="tx1"/>
            </w14:solidFill>
          </w14:textFill>
        </w:rPr>
        <w:t>未来产业，</w:t>
      </w:r>
      <w:r>
        <w:rPr>
          <w:rFonts w:hint="eastAsia"/>
          <w:color w:val="000000" w:themeColor="text1"/>
          <w:szCs w:val="32"/>
          <w:lang w:val="en-US" w:eastAsia="zh-CN"/>
          <w14:textFill>
            <w14:solidFill>
              <w14:schemeClr w14:val="tx1"/>
            </w14:solidFill>
          </w14:textFill>
        </w:rPr>
        <w:t>奋力</w:t>
      </w:r>
      <w:r>
        <w:rPr>
          <w:rFonts w:hint="eastAsia"/>
          <w:color w:val="000000" w:themeColor="text1"/>
          <w:szCs w:val="32"/>
          <w:lang w:eastAsia="zh-CN"/>
          <w14:textFill>
            <w14:solidFill>
              <w14:schemeClr w14:val="tx1"/>
            </w14:solidFill>
          </w14:textFill>
        </w:rPr>
        <w:t>推动中国式现代化的汕尾实践取得</w:t>
      </w:r>
      <w:r>
        <w:rPr>
          <w:rFonts w:hint="eastAsia"/>
          <w:color w:val="000000" w:themeColor="text1"/>
          <w:szCs w:val="32"/>
          <w:lang w:val="en-US" w:eastAsia="zh-CN"/>
          <w14:textFill>
            <w14:solidFill>
              <w14:schemeClr w14:val="tx1"/>
            </w14:solidFill>
          </w14:textFill>
        </w:rPr>
        <w:t>新的更大突破</w:t>
      </w:r>
      <w:r>
        <w:rPr>
          <w:rFonts w:hint="eastAsia"/>
          <w:color w:val="000000" w:themeColor="text1"/>
          <w:szCs w:val="32"/>
          <w:lang w:eastAsia="zh-CN"/>
          <w14:textFill>
            <w14:solidFill>
              <w14:schemeClr w14:val="tx1"/>
            </w14:solidFill>
          </w14:textFill>
        </w:rPr>
        <w:t>。</w:t>
      </w:r>
    </w:p>
    <w:p>
      <w:pPr>
        <w:pStyle w:val="4"/>
        <w:ind w:firstLine="643"/>
        <w:rPr>
          <w:rFonts w:hint="eastAsia" w:eastAsia="楷体_GB2312"/>
          <w:color w:val="000000" w:themeColor="text1"/>
          <w:lang w:eastAsia="zh-CN"/>
          <w14:textFill>
            <w14:solidFill>
              <w14:schemeClr w14:val="tx1"/>
            </w14:solidFill>
          </w14:textFill>
        </w:rPr>
      </w:pPr>
      <w:bookmarkStart w:id="36" w:name="_Toc23144"/>
      <w:bookmarkStart w:id="37" w:name="_Toc32558"/>
      <w:bookmarkStart w:id="38" w:name="_Toc15211"/>
      <w:bookmarkStart w:id="39" w:name="_Toc29846"/>
      <w:bookmarkStart w:id="40" w:name="_Toc13400"/>
      <w:bookmarkStart w:id="41" w:name="_Toc23029"/>
      <w:bookmarkStart w:id="42" w:name="_Toc16357"/>
      <w:bookmarkStart w:id="43" w:name="_Toc17162"/>
      <w:bookmarkStart w:id="44" w:name="_Toc12731"/>
      <w:bookmarkStart w:id="45" w:name="_Toc32193"/>
      <w:bookmarkStart w:id="46" w:name="_Toc7426"/>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）发展目标</w:t>
      </w:r>
      <w:bookmarkEnd w:id="36"/>
      <w:bookmarkEnd w:id="37"/>
      <w:bookmarkEnd w:id="38"/>
      <w:bookmarkEnd w:id="39"/>
      <w:bookmarkEnd w:id="40"/>
      <w:bookmarkEnd w:id="41"/>
      <w:bookmarkEnd w:id="42"/>
      <w:bookmarkEnd w:id="43"/>
      <w:bookmarkEnd w:id="44"/>
      <w:bookmarkEnd w:id="45"/>
      <w:bookmarkEnd w:id="46"/>
    </w:p>
    <w:p>
      <w:pPr>
        <w:keepNext w:val="0"/>
        <w:keepLines w:val="0"/>
        <w:widowControl/>
        <w:suppressLineNumbers w:val="0"/>
        <w:spacing w:before="0" w:beforeAutospacing="0" w:after="0" w:afterAutospacing="0" w:line="580" w:lineRule="exact"/>
        <w:ind w:left="0" w:right="0" w:firstLine="640"/>
        <w:rPr>
          <w:rFonts w:hint="eastAsia" w:ascii="Times New Roman" w:hAnsi="Times New Roman" w:cs="Times New Roman"/>
          <w:color w:val="000000" w:themeColor="text1"/>
          <w:sz w:val="32"/>
          <w:szCs w:val="24"/>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到2030年，汕尾</w:t>
      </w:r>
      <w:r>
        <w:rPr>
          <w:rFonts w:hint="eastAsia" w:ascii="Times New Roman" w:hAnsi="Times New Roman" w:cs="Times New Roman"/>
          <w:color w:val="000000" w:themeColor="text1"/>
          <w:lang w:val="en-US" w:eastAsia="zh-CN"/>
          <w14:textFill>
            <w14:solidFill>
              <w14:schemeClr w14:val="tx1"/>
            </w14:solidFill>
          </w14:textFill>
        </w:rPr>
        <w:t>市建成陆海统筹、</w:t>
      </w:r>
      <w:r>
        <w:rPr>
          <w:rFonts w:hint="eastAsia" w:ascii="Times New Roman" w:hAnsi="Times New Roman" w:eastAsia="仿宋_GB2312" w:cs="Times New Roman"/>
          <w:color w:val="000000" w:themeColor="text1"/>
          <w:sz w:val="32"/>
          <w:szCs w:val="24"/>
          <w14:textFill>
            <w14:solidFill>
              <w14:schemeClr w14:val="tx1"/>
            </w14:solidFill>
          </w14:textFill>
        </w:rPr>
        <w:t>特色鲜明、优势突出的现代化产业体系</w:t>
      </w:r>
      <w:r>
        <w:rPr>
          <w:rFonts w:hint="eastAsia" w:ascii="Times New Roman" w:hAnsi="Times New Roman" w:cs="Times New Roman"/>
          <w:color w:val="000000" w:themeColor="text1"/>
          <w14:textFill>
            <w14:solidFill>
              <w14:schemeClr w14:val="tx1"/>
            </w14:solidFill>
          </w14:textFill>
        </w:rPr>
        <w:t>，规模质量综合实力显著增强，创新驱动内生动能持续充沛，数智赋能产业转型纵深推进，绿色低碳发展成效全面凸显，融湾开放共享格局加快成型，</w:t>
      </w:r>
      <w:r>
        <w:rPr>
          <w:rFonts w:hint="eastAsia" w:ascii="Times New Roman" w:hAnsi="Times New Roman" w:eastAsia="仿宋_GB2312" w:cs="Times New Roman"/>
          <w:color w:val="000000" w:themeColor="text1"/>
          <w:sz w:val="32"/>
          <w:szCs w:val="24"/>
          <w14:textFill>
            <w14:solidFill>
              <w14:schemeClr w14:val="tx1"/>
            </w14:solidFill>
          </w14:textFill>
        </w:rPr>
        <w:t>制造业价值链稳步迈向中高端，制造业当家地位更加稳固</w:t>
      </w:r>
      <w:r>
        <w:rPr>
          <w:rFonts w:hint="eastAsia" w:ascii="Times New Roman" w:hAnsi="Times New Roman" w:eastAsia="仿宋_GB2312" w:cs="Times New Roman"/>
          <w:color w:val="000000" w:themeColor="text1"/>
          <w:sz w:val="32"/>
          <w:szCs w:val="24"/>
          <w:lang w:eastAsia="zh-CN"/>
          <w14:textFill>
            <w14:solidFill>
              <w14:schemeClr w14:val="tx1"/>
            </w14:solidFill>
          </w14:textFill>
        </w:rPr>
        <w:t>，</w:t>
      </w:r>
      <w:r>
        <w:rPr>
          <w:rFonts w:hint="eastAsia" w:ascii="Times New Roman" w:hAnsi="Times New Roman" w:cs="Times New Roman"/>
          <w:color w:val="000000" w:themeColor="text1"/>
          <w:sz w:val="32"/>
          <w:szCs w:val="24"/>
          <w:lang w:val="en-US" w:eastAsia="zh-CN"/>
          <w14:textFill>
            <w14:solidFill>
              <w14:schemeClr w14:val="tx1"/>
            </w14:solidFill>
          </w14:textFill>
        </w:rPr>
        <w:t>推动汕尾市制造业</w:t>
      </w:r>
      <w:r>
        <w:rPr>
          <w:rFonts w:hint="eastAsia" w:ascii="Times New Roman" w:hAnsi="Times New Roman" w:cs="Times New Roman"/>
          <w:color w:val="000000" w:themeColor="text1"/>
          <w:sz w:val="32"/>
          <w:szCs w:val="24"/>
          <w:lang w:eastAsia="zh-CN"/>
          <w14:textFill>
            <w14:solidFill>
              <w14:schemeClr w14:val="tx1"/>
            </w14:solidFill>
          </w14:textFill>
        </w:rPr>
        <w:t>高质量发展实现新跨越，</w:t>
      </w:r>
      <w:r>
        <w:rPr>
          <w:rFonts w:hint="eastAsia" w:ascii="Times New Roman" w:hAnsi="Times New Roman" w:eastAsia="仿宋_GB2312" w:cs="Times New Roman"/>
          <w:color w:val="000000" w:themeColor="text1"/>
          <w:sz w:val="32"/>
          <w:szCs w:val="24"/>
          <w:lang w:val="en-US" w:eastAsia="zh-CN"/>
          <w14:textFill>
            <w14:solidFill>
              <w14:schemeClr w14:val="tx1"/>
            </w14:solidFill>
          </w14:textFill>
        </w:rPr>
        <w:t>为全市基本实现新型工业化奠定坚实产业基础</w:t>
      </w:r>
      <w:r>
        <w:rPr>
          <w:rFonts w:hint="eastAsia" w:ascii="Times New Roman" w:hAnsi="Times New Roman" w:cs="Times New Roman"/>
          <w:color w:val="000000" w:themeColor="text1"/>
          <w:sz w:val="32"/>
          <w:szCs w:val="24"/>
          <w:lang w:eastAsia="zh-CN"/>
          <w14:textFill>
            <w14:solidFill>
              <w14:schemeClr w14:val="tx1"/>
            </w14:solidFill>
          </w14:textFill>
        </w:rPr>
        <w:t>，</w:t>
      </w:r>
    </w:p>
    <w:p>
      <w:pPr>
        <w:keepNext/>
        <w:widowControl/>
        <w:ind w:firstLine="0" w:firstLineChars="0"/>
        <w:jc w:val="center"/>
        <w:rPr>
          <w:rFonts w:hint="eastAsia" w:ascii="黑体" w:hAnsi="黑体" w:eastAsia="黑体" w:cs="黑体"/>
          <w:color w:val="000000" w:themeColor="text1"/>
          <w:sz w:val="28"/>
          <w:szCs w:val="22"/>
          <w:highlight w:val="none"/>
          <w14:textFill>
            <w14:solidFill>
              <w14:schemeClr w14:val="tx1"/>
            </w14:solidFill>
          </w14:textFill>
        </w:rPr>
      </w:pPr>
      <w:r>
        <w:rPr>
          <w:rFonts w:hint="eastAsia" w:ascii="黑体" w:hAnsi="黑体" w:eastAsia="黑体" w:cs="黑体"/>
          <w:color w:val="000000" w:themeColor="text1"/>
          <w:sz w:val="28"/>
          <w:szCs w:val="22"/>
          <w:highlight w:val="none"/>
          <w14:textFill>
            <w14:solidFill>
              <w14:schemeClr w14:val="tx1"/>
            </w14:solidFill>
          </w14:textFill>
        </w:rPr>
        <w:t>表1 汕尾市“十五五”制造业高质量发展指标</w:t>
      </w:r>
    </w:p>
    <w:tbl>
      <w:tblPr>
        <w:tblStyle w:val="22"/>
        <w:tblW w:w="8197" w:type="dxa"/>
        <w:tblInd w:w="0" w:type="dxa"/>
        <w:tblLayout w:type="fixed"/>
        <w:tblCellMar>
          <w:top w:w="0" w:type="dxa"/>
          <w:left w:w="108" w:type="dxa"/>
          <w:bottom w:w="0" w:type="dxa"/>
          <w:right w:w="108" w:type="dxa"/>
        </w:tblCellMar>
      </w:tblPr>
      <w:tblGrid>
        <w:gridCol w:w="840"/>
        <w:gridCol w:w="545"/>
        <w:gridCol w:w="3183"/>
        <w:gridCol w:w="926"/>
        <w:gridCol w:w="983"/>
        <w:gridCol w:w="1720"/>
      </w:tblGrid>
      <w:tr>
        <w:tblPrEx>
          <w:tblCellMar>
            <w:top w:w="0" w:type="dxa"/>
            <w:left w:w="108" w:type="dxa"/>
            <w:bottom w:w="0" w:type="dxa"/>
            <w:right w:w="108" w:type="dxa"/>
          </w:tblCellMar>
        </w:tblPrEx>
        <w:trPr>
          <w:trHeight w:val="675" w:hRule="atLeast"/>
          <w:tblHeader/>
        </w:trPr>
        <w:tc>
          <w:tcPr>
            <w:tcW w:w="840"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目标定位</w:t>
            </w:r>
          </w:p>
        </w:tc>
        <w:tc>
          <w:tcPr>
            <w:tcW w:w="545"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序号</w:t>
            </w:r>
          </w:p>
        </w:tc>
        <w:tc>
          <w:tcPr>
            <w:tcW w:w="3183"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指标</w:t>
            </w:r>
          </w:p>
        </w:tc>
        <w:tc>
          <w:tcPr>
            <w:tcW w:w="926"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t>2025年</w:t>
            </w:r>
          </w:p>
        </w:tc>
        <w:tc>
          <w:tcPr>
            <w:tcW w:w="983"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bidi="ar"/>
                <w14:textFill>
                  <w14:solidFill>
                    <w14:schemeClr w14:val="tx1"/>
                  </w14:solidFill>
                </w14:textFill>
              </w:rPr>
              <w:t>2030年目标</w:t>
            </w:r>
          </w:p>
        </w:tc>
        <w:tc>
          <w:tcPr>
            <w:tcW w:w="1720" w:type="dxa"/>
            <w:tcBorders>
              <w:top w:val="single" w:color="000000" w:sz="4" w:space="0"/>
              <w:left w:val="single" w:color="000000" w:sz="4" w:space="0"/>
              <w:bottom w:val="single" w:color="auto" w:sz="4" w:space="0"/>
              <w:right w:val="single" w:color="000000" w:sz="4" w:space="0"/>
            </w:tcBorders>
            <w:vAlign w:val="center"/>
          </w:tcPr>
          <w:p>
            <w:pPr>
              <w:keepNext/>
              <w:keepLines w:val="0"/>
              <w:widowControl/>
              <w:suppressLineNumbers w:val="0"/>
              <w:snapToGrid w:val="0"/>
              <w:spacing w:before="0" w:beforeAutospacing="0" w:after="0" w:afterAutospacing="0" w:line="240" w:lineRule="auto"/>
              <w:ind w:left="0" w:leftChars="0" w:right="0" w:rightChars="0" w:firstLine="0" w:firstLineChars="0"/>
              <w:jc w:val="center"/>
              <w:textAlignment w:val="top"/>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黑体" w:cs="Times New Roman"/>
                <w:b w:val="0"/>
                <w:bCs/>
                <w:color w:val="000000" w:themeColor="text1"/>
                <w:kern w:val="0"/>
                <w:sz w:val="24"/>
                <w:szCs w:val="24"/>
                <w:highlight w:val="none"/>
                <w:u w:val="none"/>
                <w:lang w:val="en-US" w:eastAsia="zh-CN" w:bidi="ar"/>
                <w14:textFill>
                  <w14:solidFill>
                    <w14:schemeClr w14:val="tx1"/>
                  </w14:solidFill>
                </w14:textFill>
              </w:rPr>
              <w:t>责任部门</w:t>
            </w:r>
          </w:p>
        </w:tc>
      </w:tr>
      <w:tr>
        <w:tblPrEx>
          <w:tblCellMar>
            <w:top w:w="0" w:type="dxa"/>
            <w:left w:w="108" w:type="dxa"/>
            <w:bottom w:w="0" w:type="dxa"/>
            <w:right w:w="108" w:type="dxa"/>
          </w:tblCellMar>
        </w:tblPrEx>
        <w:trPr>
          <w:trHeight w:val="675" w:hRule="atLeast"/>
        </w:trPr>
        <w:tc>
          <w:tcPr>
            <w:tcW w:w="8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14:textFill>
                  <w14:solidFill>
                    <w14:schemeClr w14:val="tx1"/>
                  </w14:solidFill>
                </w14:textFill>
              </w:rPr>
              <w:t>规模质量</w:t>
            </w:r>
          </w:p>
        </w:tc>
        <w:tc>
          <w:tcPr>
            <w:tcW w:w="5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1</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制造业增加值占GDP比重（%）</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15.6</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2</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主导产业集群</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14:ligatures w14:val="none"/>
              </w:rPr>
              <w:t>规上</w:t>
            </w: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产值规模（亿元）</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667</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1500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3</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规模以上工业全员劳动生产率（万元/人）</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33.25</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38.5</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1008"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eastAsia" w:eastAsia="宋体" w:cs="Times New Roman"/>
                <w:b w:val="0"/>
                <w:bCs w:val="0"/>
                <w:color w:val="000000" w:themeColor="text1"/>
                <w:kern w:val="0"/>
                <w:sz w:val="24"/>
                <w:szCs w:val="24"/>
                <w:highlight w:val="none"/>
                <w:u w:val="none"/>
                <w:lang w:val="en-US" w:eastAsia="zh-CN" w:bidi="ar"/>
                <w14:textFill>
                  <w14:solidFill>
                    <w14:schemeClr w14:val="tx1"/>
                  </w14:solidFill>
                </w14:textFill>
              </w:rPr>
              <w:t>4</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高技术制造业、先进制造业增加值占规模以上工业增加值比重（%）</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32.3、39</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45、50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统计局</w:t>
            </w:r>
          </w:p>
        </w:tc>
      </w:tr>
      <w:tr>
        <w:tblPrEx>
          <w:tblCellMar>
            <w:top w:w="0" w:type="dxa"/>
            <w:left w:w="108" w:type="dxa"/>
            <w:bottom w:w="0" w:type="dxa"/>
            <w:right w:w="108" w:type="dxa"/>
          </w:tblCellMar>
        </w:tblPrEx>
        <w:trPr>
          <w:trHeight w:val="837" w:hRule="atLeast"/>
        </w:trPr>
        <w:tc>
          <w:tcPr>
            <w:tcW w:w="8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创新驱动</w:t>
            </w: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center" w:pos="344"/>
                <w:tab w:val="left" w:pos="548"/>
              </w:tabs>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5</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规模以上</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工业</w:t>
            </w: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企业研发经费支出占营业收入比重（%）</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X</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2.20</w:t>
            </w:r>
            <w:r>
              <w:rPr>
                <w:rFonts w:hint="default" w:ascii="Times New Roman" w:hAnsi="Times New Roman" w:eastAsia="宋体" w:cs="Times New Roman"/>
                <w:i w:val="0"/>
                <w:color w:val="000000" w:themeColor="text1"/>
                <w:kern w:val="0"/>
                <w:sz w:val="24"/>
                <w:szCs w:val="24"/>
                <w:u w:val="none"/>
                <w:vertAlign w:val="superscript"/>
                <w:lang w:val="en-US" w:eastAsia="zh-CN" w:bidi="ar"/>
                <w14:textFill>
                  <w14:solidFill>
                    <w14:schemeClr w14:val="tx1"/>
                  </w14:solidFill>
                </w14:textFill>
              </w:rPr>
              <w:t>[1]</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请市科技局提供</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6</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规模以上</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工业</w:t>
            </w: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企业</w:t>
            </w:r>
            <w:r>
              <w:rPr>
                <w:rFonts w:hint="eastAsia" w:ascii="Times New Roman" w:hAnsi="Times New Roman" w:eastAsia="宋体" w:cs="Times New Roman"/>
                <w:color w:val="000000" w:themeColor="text1"/>
                <w:kern w:val="0"/>
                <w:sz w:val="24"/>
                <w:szCs w:val="24"/>
                <w:highlight w:val="none"/>
                <w:u w:val="none"/>
                <w:lang w:bidi="ar"/>
                <w14:textFill>
                  <w14:solidFill>
                    <w14:schemeClr w14:val="tx1"/>
                  </w14:solidFill>
                </w14:textFill>
              </w:rPr>
              <w:t>有效发明专利数量</w:t>
            </w:r>
            <w:r>
              <w:rPr>
                <w:rFonts w:hint="eastAsia" w:ascii="Times New Roman" w:hAnsi="Times New Roman" w:eastAsia="宋体" w:cs="Times New Roman"/>
                <w:color w:val="000000" w:themeColor="text1"/>
                <w:kern w:val="0"/>
                <w:sz w:val="24"/>
                <w:szCs w:val="24"/>
                <w:highlight w:val="none"/>
                <w:u w:val="none"/>
                <w:lang w:eastAsia="zh-CN" w:bidi="ar"/>
                <w14:textFill>
                  <w14:solidFill>
                    <w14:schemeClr w14:val="tx1"/>
                  </w14:solidFill>
                </w14:textFill>
              </w:rPr>
              <w:t>（万件）</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X</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eastAsia="宋体" w:cs="Times New Roman"/>
                <w:b w:val="0"/>
                <w:bCs w:val="0"/>
                <w:color w:val="000000" w:themeColor="text1"/>
                <w:kern w:val="0"/>
                <w:sz w:val="24"/>
                <w:szCs w:val="24"/>
                <w:highlight w:val="none"/>
                <w:u w:val="none"/>
                <w:lang w:val="en-US" w:eastAsia="zh-CN" w:bidi="ar"/>
                <w14:textFill>
                  <w14:solidFill>
                    <w14:schemeClr w14:val="tx1"/>
                  </w14:solidFill>
                </w14:textFill>
              </w:rPr>
              <w:t>50</w:t>
            </w:r>
            <w:r>
              <w:rPr>
                <w:rFonts w:hint="default" w:ascii="Times New Roman" w:hAnsi="Times New Roman" w:eastAsia="宋体" w:cs="Times New Roman"/>
                <w:i w:val="0"/>
                <w:color w:val="000000" w:themeColor="text1"/>
                <w:kern w:val="0"/>
                <w:sz w:val="24"/>
                <w:szCs w:val="24"/>
                <w:u w:val="none"/>
                <w:vertAlign w:val="superscript"/>
                <w:lang w:val="en-US" w:eastAsia="zh-CN" w:bidi="ar"/>
                <w14:textFill>
                  <w14:solidFill>
                    <w14:schemeClr w14:val="tx1"/>
                  </w14:solidFill>
                </w14:textFill>
              </w:rPr>
              <w:t>[2]</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t>请市市场监管局提供</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7</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仿宋_GB2312" w:cs="Times New Roman"/>
                <w:b w:val="0"/>
                <w:bCs w:val="0"/>
                <w:color w:val="000000" w:themeColor="text1"/>
                <w:kern w:val="0"/>
                <w:sz w:val="22"/>
                <w:szCs w:val="22"/>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aps w:val="0"/>
                <w:color w:val="000000" w:themeColor="text1"/>
                <w:spacing w:val="0"/>
                <w:kern w:val="0"/>
                <w:sz w:val="24"/>
                <w:szCs w:val="24"/>
                <w:highlight w:val="none"/>
                <w:u w:val="none"/>
                <w:shd w:val="clear"/>
                <w:lang w:bidi="ar"/>
                <w14:textFill>
                  <w14:solidFill>
                    <w14:schemeClr w14:val="tx1"/>
                  </w14:solidFill>
                </w14:textFill>
              </w:rPr>
              <w:t>市级企业研发中心</w:t>
            </w:r>
            <w:r>
              <w:rPr>
                <w:rFonts w:hint="eastAsia" w:ascii="Times New Roman" w:hAnsi="Times New Roman" w:eastAsia="宋体" w:cs="Times New Roman"/>
                <w:i w:val="0"/>
                <w:iCs w:val="0"/>
                <w:caps w:val="0"/>
                <w:color w:val="000000" w:themeColor="text1"/>
                <w:spacing w:val="0"/>
                <w:kern w:val="0"/>
                <w:sz w:val="24"/>
                <w:szCs w:val="24"/>
                <w:highlight w:val="none"/>
                <w:u w:val="none"/>
                <w:shd w:val="clear"/>
                <w:lang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0"/>
                <w:sz w:val="24"/>
                <w:szCs w:val="24"/>
                <w:highlight w:val="none"/>
                <w:u w:val="none"/>
                <w:shd w:val="clear"/>
                <w:lang w:val="en-US" w:eastAsia="zh-CN" w:bidi="ar"/>
                <w14:textFill>
                  <w14:solidFill>
                    <w14:schemeClr w14:val="tx1"/>
                  </w14:solidFill>
                </w14:textFill>
              </w:rPr>
              <w:t>家）</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b w:val="0"/>
                <w:bCs w:val="0"/>
                <w:color w:val="000000" w:themeColor="text1"/>
                <w:kern w:val="2"/>
                <w:sz w:val="22"/>
                <w:szCs w:val="20"/>
                <w:highlight w:val="none"/>
                <w:u w:val="none"/>
                <w:lang w:val="en-US" w:eastAsia="zh-CN" w:bidi="ar-SA"/>
                <w14:textFill>
                  <w14:solidFill>
                    <w14:schemeClr w14:val="tx1"/>
                  </w14:solidFill>
                </w14:textFill>
              </w:rPr>
            </w:pPr>
            <w:r>
              <w:rPr>
                <w:rFonts w:hint="eastAsia" w:cs="Times New Roman"/>
                <w:b w:val="0"/>
                <w:bCs w:val="0"/>
                <w:color w:val="000000" w:themeColor="text1"/>
                <w:sz w:val="22"/>
                <w:szCs w:val="20"/>
                <w:highlight w:val="none"/>
                <w:u w:val="none"/>
                <w:lang w:val="en-US" w:eastAsia="zh-CN"/>
                <w14:textFill>
                  <w14:solidFill>
                    <w14:schemeClr w14:val="tx1"/>
                  </w14:solidFill>
                </w14:textFill>
              </w:rPr>
              <w:t>20</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_GB2312" w:cs="Times New Roman"/>
                <w:b w:val="0"/>
                <w:bCs w:val="0"/>
                <w:color w:val="000000" w:themeColor="text1"/>
                <w:kern w:val="0"/>
                <w:sz w:val="22"/>
                <w:szCs w:val="20"/>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t>[X]</w:t>
            </w:r>
            <w:bookmarkStart w:id="369" w:name="_GoBack"/>
            <w:bookmarkEnd w:id="369"/>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仿宋_GB2312" w:cs="Times New Roman"/>
                <w:b w:val="0"/>
                <w:bCs w:val="0"/>
                <w:color w:val="000000" w:themeColor="text1"/>
                <w:kern w:val="0"/>
                <w:sz w:val="22"/>
                <w:szCs w:val="20"/>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市科技局、市工业和信息化局</w:t>
            </w:r>
          </w:p>
        </w:tc>
      </w:tr>
      <w:tr>
        <w:tblPrEx>
          <w:tblCellMar>
            <w:top w:w="0" w:type="dxa"/>
            <w:left w:w="108" w:type="dxa"/>
            <w:bottom w:w="0" w:type="dxa"/>
            <w:right w:w="108" w:type="dxa"/>
          </w:tblCellMar>
        </w:tblPrEx>
        <w:trPr>
          <w:trHeight w:val="675" w:hRule="atLeast"/>
        </w:trPr>
        <w:tc>
          <w:tcPr>
            <w:tcW w:w="8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t>数智赋能</w:t>
            </w: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8</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实施数字化转型的规上工业企业数量（家）</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179</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260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市工业和信息化局</w:t>
            </w:r>
          </w:p>
        </w:tc>
      </w:tr>
      <w:tr>
        <w:tblPrEx>
          <w:tblCellMar>
            <w:top w:w="0" w:type="dxa"/>
            <w:left w:w="108" w:type="dxa"/>
            <w:bottom w:w="0" w:type="dxa"/>
            <w:right w:w="108" w:type="dxa"/>
          </w:tblCellMar>
        </w:tblPrEx>
        <w:trPr>
          <w:trHeight w:val="883"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9</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数字经济核心产业增加值占GDP比重</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rPr>
              <w:t>）</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9</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10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请</w:t>
            </w:r>
            <w:r>
              <w:rPr>
                <w:rFonts w:ascii="宋体" w:hAnsi="宋体" w:eastAsia="宋体" w:cs="宋体"/>
                <w:color w:val="000000" w:themeColor="text1"/>
                <w:sz w:val="24"/>
                <w:szCs w:val="24"/>
                <w14:textFill>
                  <w14:solidFill>
                    <w14:schemeClr w14:val="tx1"/>
                  </w14:solidFill>
                </w14:textFill>
              </w:rPr>
              <w:t>市工业和信息化局</w:t>
            </w:r>
            <w:r>
              <w:rPr>
                <w:rFonts w:hint="eastAsia" w:ascii="宋体" w:hAnsi="宋体" w:eastAsia="宋体" w:cs="宋体"/>
                <w:color w:val="000000" w:themeColor="text1"/>
                <w:sz w:val="24"/>
                <w:szCs w:val="24"/>
                <w:lang w:val="en-US" w:eastAsia="zh-CN"/>
                <w14:textFill>
                  <w14:solidFill>
                    <w14:schemeClr w14:val="tx1"/>
                  </w14:solidFill>
                </w14:textFill>
              </w:rPr>
              <w:t>提供</w:t>
            </w:r>
          </w:p>
        </w:tc>
      </w:tr>
      <w:tr>
        <w:tblPrEx>
          <w:tblCellMar>
            <w:top w:w="0" w:type="dxa"/>
            <w:left w:w="108" w:type="dxa"/>
            <w:bottom w:w="0" w:type="dxa"/>
            <w:right w:w="108" w:type="dxa"/>
          </w:tblCellMar>
        </w:tblPrEx>
        <w:trPr>
          <w:trHeight w:val="675" w:hRule="atLeast"/>
        </w:trPr>
        <w:tc>
          <w:tcPr>
            <w:tcW w:w="8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绿</w:t>
            </w:r>
            <w:r>
              <w:rPr>
                <w:rFonts w:hint="default" w:ascii="Times New Roman" w:hAnsi="Times New Roman" w:eastAsia="黑体" w:cs="Times New Roman"/>
                <w:b w:val="0"/>
                <w:bCs w:val="0"/>
                <w:color w:val="000000" w:themeColor="text1"/>
                <w:kern w:val="0"/>
                <w:sz w:val="24"/>
                <w:szCs w:val="24"/>
                <w:highlight w:val="none"/>
                <w:u w:val="none"/>
                <w:lang w:val="en-US" w:eastAsia="zh-CN" w:bidi="ar"/>
                <w14:textFill>
                  <w14:solidFill>
                    <w14:schemeClr w14:val="tx1"/>
                  </w14:solidFill>
                </w14:textFill>
              </w:rPr>
              <w:t>色发展</w:t>
            </w:r>
          </w:p>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0</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规模以上工业</w:t>
            </w:r>
            <w:r>
              <w:rPr>
                <w:rFonts w:hint="default"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rPr>
              <w:t>单位</w:t>
            </w: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增加值能耗降低率（%）</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X</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t>[</w:t>
            </w:r>
            <w:r>
              <w:rPr>
                <w:rFonts w:hint="eastAsia" w:eastAsia="宋体" w:cs="Times New Roman"/>
                <w:i w:val="0"/>
                <w:color w:val="000000" w:themeColor="text1"/>
                <w:kern w:val="0"/>
                <w:sz w:val="24"/>
                <w:szCs w:val="24"/>
                <w:highlight w:val="none"/>
                <w:u w:val="none"/>
                <w:lang w:val="en-US" w:eastAsia="zh-CN" w:bidi="ar"/>
                <w14:textFill>
                  <w14:solidFill>
                    <w14:schemeClr w14:val="tx1"/>
                  </w14:solidFill>
                </w14:textFill>
              </w:rPr>
              <w:t>X</w:t>
            </w:r>
            <w:r>
              <w:rPr>
                <w:rFonts w:hint="eastAsia"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t>]</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请</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市发展改革局</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提供</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11</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规模以上</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工业单位增加值水耗下降（%）</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X</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4"/>
                <w:szCs w:val="24"/>
                <w:highlight w:val="none"/>
                <w:u w:val="none"/>
                <w:lang w:val="en-US" w:eastAsia="zh-CN" w:bidi="ar"/>
                <w14:textFill>
                  <w14:solidFill>
                    <w14:schemeClr w14:val="tx1"/>
                  </w14:solidFill>
                </w14:textFill>
              </w:rPr>
              <w:t>[X]</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请市水务局提供</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仿宋_GB2312" w:cs="Times New Roman"/>
                <w:b w:val="0"/>
                <w:b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2"/>
                <w:szCs w:val="22"/>
                <w:highlight w:val="none"/>
                <w:u w:val="none"/>
                <w:lang w:val="en-US" w:eastAsia="zh-CN" w:bidi="ar"/>
                <w14:textFill>
                  <w14:solidFill>
                    <w14:schemeClr w14:val="tx1"/>
                  </w14:solidFill>
                </w14:textFill>
              </w:rPr>
              <w:t>1</w:t>
            </w:r>
            <w:r>
              <w:rPr>
                <w:rFonts w:hint="eastAsia" w:ascii="Times New Roman" w:hAnsi="Times New Roman" w:cs="Times New Roman"/>
                <w:b w:val="0"/>
                <w:bCs w:val="0"/>
                <w:color w:val="000000" w:themeColor="text1"/>
                <w:kern w:val="0"/>
                <w:sz w:val="22"/>
                <w:szCs w:val="22"/>
                <w:highlight w:val="none"/>
                <w:u w:val="none"/>
                <w:lang w:val="en-US" w:eastAsia="zh-CN" w:bidi="ar"/>
                <w14:textFill>
                  <w14:solidFill>
                    <w14:schemeClr w14:val="tx1"/>
                  </w14:solidFill>
                </w14:textFill>
              </w:rPr>
              <w:t>2</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规模以上工业单位增加值二氧化碳排放降低（%）</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napToGrid/>
              <w:spacing w:before="0" w:beforeAutospacing="0" w:after="0" w:afterAutospacing="0" w:line="240" w:lineRule="auto"/>
              <w:ind w:left="0" w:leftChars="0" w:right="0" w:rightChars="0" w:firstLine="0" w:firstLineChars="0"/>
              <w:jc w:val="center"/>
              <w:rPr>
                <w:rFonts w:hint="eastAsia" w:ascii="Times New Roman" w:hAnsi="Times New Roman" w:eastAsia="仿宋_GB2312" w:cs="Times New Roman"/>
                <w:b w:val="0"/>
                <w:bCs w:val="0"/>
                <w:color w:val="000000" w:themeColor="text1"/>
                <w:kern w:val="0"/>
                <w:sz w:val="22"/>
                <w:szCs w:val="20"/>
                <w:highlight w:val="none"/>
                <w:u w:val="none"/>
                <w:lang w:val="en-US" w:eastAsia="zh-CN" w:bidi="ar"/>
                <w14:textFill>
                  <w14:solidFill>
                    <w14:schemeClr w14:val="tx1"/>
                  </w14:solidFill>
                </w14:textFill>
              </w:rPr>
            </w:pPr>
            <w:r>
              <w:rPr>
                <w:rFonts w:hint="eastAsia" w:cs="Times New Roman"/>
                <w:b w:val="0"/>
                <w:bCs w:val="0"/>
                <w:color w:val="000000" w:themeColor="text1"/>
                <w:kern w:val="0"/>
                <w:sz w:val="22"/>
                <w:szCs w:val="20"/>
                <w:highlight w:val="none"/>
                <w:u w:val="none"/>
                <w:lang w:val="en-US" w:eastAsia="zh-CN" w:bidi="ar"/>
                <w14:textFill>
                  <w14:solidFill>
                    <w14:schemeClr w14:val="tx1"/>
                  </w14:solidFill>
                </w14:textFill>
              </w:rPr>
              <w:t>X</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仿宋_GB2312" w:cs="Times New Roman"/>
                <w:b w:val="0"/>
                <w:bCs w:val="0"/>
                <w:color w:val="000000" w:themeColor="text1"/>
                <w:kern w:val="0"/>
                <w:sz w:val="22"/>
                <w:szCs w:val="20"/>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2"/>
                <w:szCs w:val="22"/>
                <w:highlight w:val="none"/>
                <w:u w:val="none"/>
                <w:lang w:val="en-US" w:eastAsia="zh-CN" w:bidi="ar"/>
                <w14:textFill>
                  <w14:solidFill>
                    <w14:schemeClr w14:val="tx1"/>
                  </w14:solidFill>
                </w14:textFill>
              </w:rPr>
              <w:t>[</w:t>
            </w: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X</w:t>
            </w:r>
            <w:r>
              <w:rPr>
                <w:rFonts w:hint="default" w:ascii="Times New Roman" w:hAnsi="Times New Roman" w:cs="Times New Roman"/>
                <w:i w:val="0"/>
                <w:color w:val="000000" w:themeColor="text1"/>
                <w:kern w:val="0"/>
                <w:sz w:val="22"/>
                <w:szCs w:val="22"/>
                <w:highlight w:val="none"/>
                <w:u w:val="none"/>
                <w:lang w:val="en-US" w:eastAsia="zh-CN" w:bidi="ar"/>
                <w14:textFill>
                  <w14:solidFill>
                    <w14:schemeClr w14:val="tx1"/>
                  </w14:solidFill>
                </w14:textFill>
              </w:rPr>
              <w:t>]</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请</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市发展改革局</w:t>
            </w: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t>提供</w:t>
            </w:r>
          </w:p>
        </w:tc>
      </w:tr>
      <w:tr>
        <w:tblPrEx>
          <w:tblCellMar>
            <w:top w:w="0" w:type="dxa"/>
            <w:left w:w="108" w:type="dxa"/>
            <w:bottom w:w="0" w:type="dxa"/>
            <w:right w:w="108" w:type="dxa"/>
          </w:tblCellMar>
        </w:tblPrEx>
        <w:trPr>
          <w:trHeight w:val="408"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_GB2312" w:cs="Times New Roman"/>
                <w:b w:val="0"/>
                <w:b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2"/>
                <w:szCs w:val="22"/>
                <w:highlight w:val="none"/>
                <w:u w:val="none"/>
                <w:lang w:val="en-US" w:eastAsia="zh-CN" w:bidi="ar"/>
                <w14:textFill>
                  <w14:solidFill>
                    <w14:schemeClr w14:val="tx1"/>
                  </w14:solidFill>
                </w14:textFill>
              </w:rPr>
              <w:t>1</w:t>
            </w:r>
            <w:r>
              <w:rPr>
                <w:rFonts w:hint="eastAsia" w:ascii="Times New Roman" w:hAnsi="Times New Roman" w:cs="Times New Roman"/>
                <w:b w:val="0"/>
                <w:bCs w:val="0"/>
                <w:color w:val="000000" w:themeColor="text1"/>
                <w:kern w:val="0"/>
                <w:sz w:val="22"/>
                <w:szCs w:val="22"/>
                <w:highlight w:val="none"/>
                <w:u w:val="none"/>
                <w:lang w:val="en-US" w:eastAsia="zh-CN" w:bidi="ar"/>
                <w14:textFill>
                  <w14:solidFill>
                    <w14:schemeClr w14:val="tx1"/>
                  </w14:solidFill>
                </w14:textFill>
              </w:rPr>
              <w:t>3</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清洁能源消费占比（%）</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23.9</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50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市发展改革局</w:t>
            </w:r>
          </w:p>
        </w:tc>
      </w:tr>
      <w:tr>
        <w:tblPrEx>
          <w:tblCellMar>
            <w:top w:w="0" w:type="dxa"/>
            <w:left w:w="108" w:type="dxa"/>
            <w:bottom w:w="0" w:type="dxa"/>
            <w:right w:w="108" w:type="dxa"/>
          </w:tblCellMar>
        </w:tblPrEx>
        <w:trPr>
          <w:trHeight w:val="1008" w:hRule="atLeast"/>
        </w:trPr>
        <w:tc>
          <w:tcPr>
            <w:tcW w:w="8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t>开放共享</w:t>
            </w: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14</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制造业实际使用外商直接投资额占全</w:t>
            </w:r>
            <w:r>
              <w:rPr>
                <w:rFonts w:hint="eastAsia" w:eastAsia="宋体" w:cs="Times New Roman"/>
                <w:b w:val="0"/>
                <w:bCs w:val="0"/>
                <w:color w:val="000000" w:themeColor="text1"/>
                <w:kern w:val="0"/>
                <w:sz w:val="24"/>
                <w:szCs w:val="24"/>
                <w:highlight w:val="none"/>
                <w:u w:val="none"/>
                <w:lang w:val="en-US" w:eastAsia="zh-CN" w:bidi="ar"/>
                <w14:textFill>
                  <w14:solidFill>
                    <w14:schemeClr w14:val="tx1"/>
                  </w14:solidFill>
                </w14:textFill>
              </w:rPr>
              <w:t>市</w:t>
            </w: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实际使用外商直接投资额的比重</w:t>
            </w:r>
            <w:r>
              <w:rPr>
                <w:rFonts w:hint="eastAsia" w:eastAsia="宋体" w:cs="Times New Roman"/>
                <w:b w:val="0"/>
                <w:bCs w:val="0"/>
                <w:color w:val="000000" w:themeColor="text1"/>
                <w:kern w:val="0"/>
                <w:sz w:val="24"/>
                <w:szCs w:val="24"/>
                <w:highlight w:val="none"/>
                <w:u w:val="none"/>
                <w:lang w:eastAsia="zh-CN" w:bidi="ar"/>
                <w14:textFill>
                  <w14:solidFill>
                    <w14:schemeClr w14:val="tx1"/>
                  </w14:solidFill>
                </w14:textFill>
              </w:rPr>
              <w:t>（</w:t>
            </w:r>
            <w:r>
              <w:rPr>
                <w:rFonts w:hint="eastAsia" w:eastAsia="宋体" w:cs="Times New Roman"/>
                <w:b w:val="0"/>
                <w:bCs w:val="0"/>
                <w:color w:val="000000" w:themeColor="text1"/>
                <w:kern w:val="0"/>
                <w:sz w:val="24"/>
                <w:szCs w:val="24"/>
                <w:highlight w:val="none"/>
                <w:u w:val="none"/>
                <w:lang w:val="en-US" w:eastAsia="zh-CN" w:bidi="ar"/>
                <w14:textFill>
                  <w14:solidFill>
                    <w14:schemeClr w14:val="tx1"/>
                  </w14:solidFill>
                </w14:textFill>
              </w:rPr>
              <w:t>%）</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11.2</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20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市商务局</w:t>
            </w:r>
          </w:p>
        </w:tc>
      </w:tr>
      <w:tr>
        <w:tblPrEx>
          <w:tblCellMar>
            <w:top w:w="0" w:type="dxa"/>
            <w:left w:w="108" w:type="dxa"/>
            <w:bottom w:w="0" w:type="dxa"/>
            <w:right w:w="108" w:type="dxa"/>
          </w:tblCellMar>
        </w:tblPrEx>
        <w:trPr>
          <w:trHeight w:val="675"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eastAsia="zh-CN"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15</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rPr>
              <w:t>高新技术产品出口额占全市外贸出口额的比重（%）</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43.8</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45</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市商务局</w:t>
            </w:r>
          </w:p>
        </w:tc>
      </w:tr>
      <w:tr>
        <w:tblPrEx>
          <w:tblCellMar>
            <w:top w:w="0" w:type="dxa"/>
            <w:left w:w="108" w:type="dxa"/>
            <w:bottom w:w="0" w:type="dxa"/>
            <w:right w:w="108" w:type="dxa"/>
          </w:tblCellMar>
        </w:tblPrEx>
        <w:trPr>
          <w:trHeight w:val="540" w:hRule="atLeast"/>
        </w:trPr>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黑体" w:cs="Times New Roman"/>
                <w:b w:val="0"/>
                <w:bCs w:val="0"/>
                <w:color w:val="000000" w:themeColor="text1"/>
                <w:kern w:val="0"/>
                <w:sz w:val="24"/>
                <w:szCs w:val="24"/>
                <w:highlight w:val="none"/>
                <w:u w:val="none"/>
                <w:lang w:bidi="ar"/>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standardContextual"/>
              </w:rPr>
              <w:t>16</w:t>
            </w:r>
          </w:p>
        </w:tc>
        <w:tc>
          <w:tcPr>
            <w:tcW w:w="31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全年货物进出口总额</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14:ligatures w14:val="none"/>
              </w:rPr>
              <w:t>（</w:t>
            </w: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亿元</w:t>
            </w:r>
            <w:r>
              <w:rPr>
                <w:rFonts w:hint="eastAsia" w:ascii="Times New Roman" w:hAnsi="Times New Roman" w:eastAsia="宋体" w:cs="Times New Roman"/>
                <w:b w:val="0"/>
                <w:bCs w:val="0"/>
                <w:color w:val="000000" w:themeColor="text1"/>
                <w:kern w:val="0"/>
                <w:sz w:val="24"/>
                <w:szCs w:val="24"/>
                <w:highlight w:val="none"/>
                <w:u w:val="none"/>
                <w:lang w:eastAsia="zh-CN" w:bidi="ar"/>
                <w14:textFill>
                  <w14:solidFill>
                    <w14:schemeClr w14:val="tx1"/>
                  </w14:solidFill>
                </w14:textFill>
                <w14:ligatures w14:val="none"/>
              </w:rPr>
              <w:t>）</w:t>
            </w:r>
          </w:p>
        </w:tc>
        <w:tc>
          <w:tcPr>
            <w:tcW w:w="9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163.4</w:t>
            </w:r>
          </w:p>
        </w:tc>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eastAsia"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t>190</w:t>
            </w: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000000" w:themeColor="text1"/>
                <w:kern w:val="0"/>
                <w:sz w:val="24"/>
                <w:szCs w:val="24"/>
                <w:highlight w:val="none"/>
                <w:u w:val="none"/>
                <w:lang w:val="en-US" w:eastAsia="zh-CN" w:bidi="ar"/>
                <w14:textFill>
                  <w14:solidFill>
                    <w14:schemeClr w14:val="tx1"/>
                  </w14:solidFill>
                </w14:textFill>
                <w14:ligatures w14:val="none"/>
              </w:rPr>
            </w:pPr>
            <w:r>
              <w:rPr>
                <w:rFonts w:hint="default" w:ascii="Times New Roman" w:hAnsi="Times New Roman" w:eastAsia="宋体" w:cs="Times New Roman"/>
                <w:b w:val="0"/>
                <w:bCs w:val="0"/>
                <w:color w:val="000000" w:themeColor="text1"/>
                <w:kern w:val="0"/>
                <w:sz w:val="24"/>
                <w:szCs w:val="24"/>
                <w:highlight w:val="none"/>
                <w:u w:val="none"/>
                <w:lang w:bidi="ar"/>
                <w14:textFill>
                  <w14:solidFill>
                    <w14:schemeClr w14:val="tx1"/>
                  </w14:solidFill>
                </w14:textFill>
                <w14:ligatures w14:val="none"/>
              </w:rPr>
              <w:t>市商务局</w:t>
            </w:r>
          </w:p>
        </w:tc>
      </w:tr>
    </w:tbl>
    <w:p>
      <w:pPr>
        <w:outlineLvl w:val="9"/>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注：①带*的为202</w:t>
      </w:r>
      <w:r>
        <w:rPr>
          <w:rFonts w:hint="eastAsia" w:eastAsia="宋体" w:cs="Times New Roman"/>
          <w:b w:val="0"/>
          <w:bCs w:val="0"/>
          <w:color w:val="000000" w:themeColor="text1"/>
          <w:sz w:val="24"/>
          <w:szCs w:val="32"/>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年数据</w:t>
      </w:r>
      <w:r>
        <w:rPr>
          <w:rFonts w:hint="eastAsia" w:eastAsia="宋体" w:cs="Times New Roman"/>
          <w:b w:val="0"/>
          <w:bCs w:val="0"/>
          <w:color w:val="000000" w:themeColor="text1"/>
          <w:sz w:val="24"/>
          <w:szCs w:val="32"/>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带</w:t>
      </w:r>
      <w:r>
        <w:rPr>
          <w:rFonts w:hint="eastAsia" w:eastAsia="宋体" w:cs="Times New Roman"/>
          <w:b w:val="0"/>
          <w:bCs w:val="0"/>
          <w:color w:val="000000" w:themeColor="text1"/>
          <w:sz w:val="24"/>
          <w:szCs w:val="32"/>
          <w:lang w:val="en-US" w:eastAsia="zh-CN"/>
          <w14:textFill>
            <w14:solidFill>
              <w14:schemeClr w14:val="tx1"/>
            </w14:solidFill>
          </w14:textFill>
        </w:rPr>
        <w:t>[ ]</w:t>
      </w:r>
      <w:r>
        <w:rPr>
          <w:rFonts w:hint="default" w:ascii="Times New Roman" w:hAnsi="Times New Roman" w:eastAsia="宋体" w:cs="Times New Roman"/>
          <w:b w:val="0"/>
          <w:bCs w:val="0"/>
          <w:color w:val="000000" w:themeColor="text1"/>
          <w:sz w:val="24"/>
          <w:szCs w:val="32"/>
          <w:lang w:val="en-US" w:eastAsia="zh-CN"/>
          <w14:textFill>
            <w14:solidFill>
              <w14:schemeClr w14:val="tx1"/>
            </w14:solidFill>
          </w14:textFill>
        </w:rPr>
        <w:t>的</w:t>
      </w:r>
      <w:r>
        <w:rPr>
          <w:rFonts w:hint="eastAsia" w:eastAsia="宋体" w:cs="Times New Roman"/>
          <w:b w:val="0"/>
          <w:bCs w:val="0"/>
          <w:color w:val="000000" w:themeColor="text1"/>
          <w:sz w:val="24"/>
          <w:szCs w:val="32"/>
          <w:lang w:val="en-US" w:eastAsia="zh-CN"/>
          <w14:textFill>
            <w14:solidFill>
              <w14:schemeClr w14:val="tx1"/>
            </w14:solidFill>
          </w14:textFill>
        </w:rPr>
        <w:t>为省工信目标数据；</w:t>
      </w:r>
    </w:p>
    <w:p>
      <w:pPr>
        <w:pStyle w:val="3"/>
        <w:ind w:firstLine="643"/>
        <w:rPr>
          <w:color w:val="000000" w:themeColor="text1"/>
          <w14:textFill>
            <w14:solidFill>
              <w14:schemeClr w14:val="tx1"/>
            </w14:solidFill>
          </w14:textFill>
        </w:rPr>
      </w:pPr>
      <w:bookmarkStart w:id="47" w:name="_Toc18647"/>
      <w:bookmarkStart w:id="48" w:name="_Toc22710"/>
      <w:bookmarkStart w:id="49" w:name="_Toc8320"/>
      <w:bookmarkStart w:id="50" w:name="_Toc14097"/>
      <w:bookmarkStart w:id="51" w:name="_Toc12499"/>
      <w:bookmarkStart w:id="52" w:name="_Toc6737"/>
      <w:bookmarkStart w:id="53" w:name="_Toc17957"/>
      <w:bookmarkStart w:id="54" w:name="_Toc1466"/>
      <w:bookmarkStart w:id="55" w:name="_Toc17115"/>
      <w:bookmarkStart w:id="56" w:name="_Toc24962"/>
      <w:bookmarkStart w:id="57" w:name="_Toc1308"/>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产业发展重点</w:t>
      </w:r>
      <w:bookmarkEnd w:id="47"/>
      <w:bookmarkEnd w:id="48"/>
      <w:bookmarkEnd w:id="49"/>
      <w:bookmarkEnd w:id="50"/>
      <w:bookmarkEnd w:id="51"/>
      <w:bookmarkEnd w:id="52"/>
      <w:bookmarkEnd w:id="53"/>
      <w:bookmarkEnd w:id="54"/>
      <w:bookmarkEnd w:id="55"/>
      <w:bookmarkEnd w:id="56"/>
      <w:bookmarkEnd w:id="57"/>
    </w:p>
    <w:p>
      <w:pPr>
        <w:pStyle w:val="4"/>
        <w:ind w:firstLine="643"/>
        <w:rPr>
          <w:color w:val="000000" w:themeColor="text1"/>
          <w14:textFill>
            <w14:solidFill>
              <w14:schemeClr w14:val="tx1"/>
            </w14:solidFill>
          </w14:textFill>
        </w:rPr>
      </w:pPr>
      <w:bookmarkStart w:id="58" w:name="_Toc1697"/>
      <w:bookmarkStart w:id="59" w:name="_Toc29309"/>
      <w:bookmarkStart w:id="60" w:name="_Toc9972"/>
      <w:bookmarkStart w:id="61" w:name="_Toc2892"/>
      <w:bookmarkStart w:id="62" w:name="_Toc13969"/>
      <w:bookmarkStart w:id="63" w:name="_Toc23381"/>
      <w:bookmarkStart w:id="64" w:name="_Toc4272"/>
      <w:bookmarkStart w:id="65" w:name="_Toc28772"/>
      <w:bookmarkStart w:id="66" w:name="_Toc1559"/>
      <w:bookmarkStart w:id="67" w:name="_Toc23196"/>
      <w:bookmarkStart w:id="68" w:name="_Toc856"/>
      <w:r>
        <w:rPr>
          <w:rFonts w:hint="eastAsia"/>
          <w:color w:val="000000" w:themeColor="text1"/>
          <w14:textFill>
            <w14:solidFill>
              <w14:schemeClr w14:val="tx1"/>
            </w14:solidFill>
          </w14:textFill>
        </w:rPr>
        <w:t>（一）</w:t>
      </w:r>
      <w:bookmarkEnd w:id="58"/>
      <w:r>
        <w:rPr>
          <w:rFonts w:hint="eastAsia"/>
          <w:color w:val="000000" w:themeColor="text1"/>
          <w14:textFill>
            <w14:solidFill>
              <w14:schemeClr w14:val="tx1"/>
            </w14:solidFill>
          </w14:textFill>
        </w:rPr>
        <w:t>巩固提升传统产业</w:t>
      </w:r>
      <w:bookmarkEnd w:id="59"/>
      <w:bookmarkEnd w:id="60"/>
      <w:bookmarkEnd w:id="61"/>
      <w:bookmarkEnd w:id="62"/>
      <w:bookmarkEnd w:id="63"/>
      <w:bookmarkEnd w:id="64"/>
      <w:bookmarkEnd w:id="65"/>
      <w:bookmarkEnd w:id="66"/>
      <w:bookmarkEnd w:id="67"/>
      <w:bookmarkEnd w:id="68"/>
    </w:p>
    <w:p>
      <w:pPr>
        <w:pStyle w:val="5"/>
        <w:ind w:firstLine="643"/>
        <w:rPr>
          <w:color w:val="000000" w:themeColor="text1"/>
          <w14:textFill>
            <w14:solidFill>
              <w14:schemeClr w14:val="tx1"/>
            </w14:solidFill>
          </w14:textFill>
        </w:rPr>
      </w:pPr>
      <w:bookmarkStart w:id="69" w:name="_Toc13010"/>
      <w:bookmarkStart w:id="70" w:name="_Toc6137"/>
      <w:bookmarkStart w:id="71" w:name="_Toc2625"/>
      <w:bookmarkStart w:id="72" w:name="_Toc30319"/>
      <w:bookmarkStart w:id="73" w:name="_Toc15944"/>
      <w:bookmarkStart w:id="74" w:name="_Toc29295"/>
      <w:bookmarkStart w:id="75" w:name="_Toc30663"/>
      <w:bookmarkStart w:id="76" w:name="_Toc3861"/>
      <w:bookmarkStart w:id="77" w:name="_Toc1010"/>
      <w:bookmarkStart w:id="78" w:name="_Toc1300"/>
      <w:bookmarkStart w:id="79" w:name="_Toc11034"/>
      <w:r>
        <w:rPr>
          <w:rFonts w:hint="eastAsia"/>
          <w:color w:val="000000" w:themeColor="text1"/>
          <w14:textFill>
            <w14:solidFill>
              <w14:schemeClr w14:val="tx1"/>
            </w14:solidFill>
          </w14:textFill>
        </w:rPr>
        <w:t>1.食品工业</w:t>
      </w:r>
      <w:bookmarkEnd w:id="69"/>
      <w:bookmarkEnd w:id="70"/>
      <w:bookmarkEnd w:id="71"/>
      <w:bookmarkEnd w:id="72"/>
      <w:bookmarkEnd w:id="73"/>
      <w:bookmarkEnd w:id="74"/>
      <w:bookmarkEnd w:id="75"/>
      <w:bookmarkEnd w:id="76"/>
      <w:bookmarkEnd w:id="77"/>
      <w:bookmarkEnd w:id="78"/>
      <w:bookmarkEnd w:id="79"/>
    </w:p>
    <w:p>
      <w:pPr>
        <w:ind w:firstLine="640"/>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深耕特色水产、粮油肉类、茶酒糕点、健康食品领域，推进产品品类创新与功能升级，持续延展农副产品加工产业链、塑造特色食品产业品牌。</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到2030年，力争食品工业产值达到100亿元。</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9" w:type="dxa"/>
            <w:noWrap w:val="0"/>
            <w:vAlign w:val="top"/>
          </w:tcPr>
          <w:p>
            <w:pPr>
              <w:ind w:firstLineChars="0"/>
              <w:jc w:val="center"/>
              <w:rPr>
                <w:rFonts w:hint="default" w:ascii="Times New Roman" w:hAnsi="Times New Roman" w:eastAsia="黑体" w:cs="Times New Roman"/>
                <w:color w:val="000000" w:themeColor="text1"/>
                <w:kern w:val="0"/>
                <w:sz w:val="28"/>
                <w:szCs w:val="22"/>
                <w:highlight w:val="none"/>
                <w:lang w:eastAsia="zh-CN"/>
                <w14:textFill>
                  <w14:solidFill>
                    <w14:schemeClr w14:val="tx1"/>
                  </w14:solidFill>
                </w14:textFill>
              </w:rPr>
            </w:pPr>
            <w:r>
              <w:rPr>
                <w:rFonts w:ascii="Times New Roman" w:hAnsi="Times New Roman" w:eastAsia="黑体" w:cs="Times New Roman"/>
                <w:color w:val="000000" w:themeColor="text1"/>
                <w:kern w:val="0"/>
                <w:sz w:val="28"/>
                <w:szCs w:val="22"/>
                <w:highlight w:val="none"/>
                <w14:textFill>
                  <w14:solidFill>
                    <w14:schemeClr w14:val="tx1"/>
                  </w14:solidFill>
                </w14:textFill>
              </w:rPr>
              <w:t>专栏</w:t>
            </w:r>
            <w:r>
              <w:rPr>
                <w:rFonts w:hint="default" w:ascii="Times New Roman" w:hAnsi="Times New Roman" w:eastAsia="黑体" w:cs="Times New Roman"/>
                <w:color w:val="000000" w:themeColor="text1"/>
                <w:kern w:val="0"/>
                <w:sz w:val="28"/>
                <w:szCs w:val="22"/>
                <w:highlight w:val="none"/>
                <w14:textFill>
                  <w14:solidFill>
                    <w14:schemeClr w14:val="tx1"/>
                  </w14:solidFill>
                </w14:textFill>
              </w:rPr>
              <w:t>1食品工业</w:t>
            </w:r>
            <w:r>
              <w:rPr>
                <w:rFonts w:hint="default" w:ascii="Times New Roman" w:hAnsi="Times New Roman" w:eastAsia="黑体" w:cs="Times New Roman"/>
                <w:b w:val="0"/>
                <w:bCs w:val="0"/>
                <w:color w:val="000000" w:themeColor="text1"/>
                <w:kern w:val="0"/>
                <w:sz w:val="28"/>
                <w:szCs w:val="22"/>
                <w:highlight w:val="none"/>
                <w14:textFill>
                  <w14:solidFill>
                    <w14:schemeClr w14:val="tx1"/>
                  </w14:solidFill>
                </w14:textFill>
              </w:rPr>
              <w:t>细分领域</w:t>
            </w:r>
          </w:p>
          <w:p>
            <w:pPr>
              <w:widowControl/>
              <w:snapToGrid w:val="0"/>
              <w:spacing w:line="240" w:lineRule="auto"/>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b/>
                <w:bCs/>
                <w:color w:val="000000" w:themeColor="text1"/>
                <w:kern w:val="0"/>
                <w:sz w:val="28"/>
                <w:szCs w:val="28"/>
                <w:highlight w:val="none"/>
                <w:lang w:val="en-US" w:eastAsia="zh-CN"/>
                <w14:textFill>
                  <w14:solidFill>
                    <w14:schemeClr w14:val="tx1"/>
                  </w14:solidFill>
                </w14:textFill>
              </w:rPr>
              <w:t>1.</w:t>
            </w:r>
            <w:r>
              <w:rPr>
                <w:rFonts w:hint="eastAsia" w:ascii="Times New Roman" w:hAnsi="Times New Roman" w:eastAsia="宋体" w:cs="宋体"/>
                <w:b/>
                <w:bCs/>
                <w:color w:val="000000" w:themeColor="text1"/>
                <w:kern w:val="0"/>
                <w:sz w:val="28"/>
                <w:szCs w:val="28"/>
                <w:highlight w:val="none"/>
                <w14:textFill>
                  <w14:solidFill>
                    <w14:schemeClr w14:val="tx1"/>
                  </w14:solidFill>
                </w14:textFill>
              </w:rPr>
              <w:t>水产品。</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丰富冻鱼片、冻虾、冻贝肉、冷冻鱼糜及鱼糜制品、冷冻调理产品等产品线布局。鼓励海产品加工向便捷化、快销化方向发展，推动鱼、虾等海产品精深加工，开发石斑鱼、军曹鱼等</w:t>
            </w:r>
            <w:r>
              <w:rPr>
                <w:rFonts w:hint="eastAsia" w:eastAsia="宋体" w:cs="宋体"/>
                <w:b w:val="0"/>
                <w:bCs w:val="0"/>
                <w:color w:val="000000" w:themeColor="text1"/>
                <w:kern w:val="0"/>
                <w:sz w:val="28"/>
                <w:szCs w:val="28"/>
                <w:highlight w:val="none"/>
                <w:lang w:val="en-US" w:eastAsia="zh-CN"/>
                <w14:textFill>
                  <w14:solidFill>
                    <w14:schemeClr w14:val="tx1"/>
                  </w14:solidFill>
                </w14:textFill>
              </w:rPr>
              <w:t>本地特色</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品种的速食产品，打造汕尾海产新品牌</w:t>
            </w:r>
            <w:r>
              <w:rPr>
                <w:rFonts w:hint="eastAsia" w:ascii="Times New Roman" w:hAnsi="Times New Roman" w:eastAsia="宋体" w:cs="宋体"/>
                <w:b w:val="0"/>
                <w:bCs w:val="0"/>
                <w:color w:val="000000" w:themeColor="text1"/>
                <w:kern w:val="0"/>
                <w:sz w:val="28"/>
                <w:szCs w:val="28"/>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 w:val="28"/>
                <w:szCs w:val="28"/>
                <w:highlight w:val="none"/>
                <w:lang w:val="en-US" w:eastAsia="zh-CN"/>
                <w14:textFill>
                  <w14:solidFill>
                    <w14:schemeClr w14:val="tx1"/>
                  </w14:solidFill>
                </w14:textFill>
              </w:rPr>
              <w:t>聚焦</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仿生食品、功能性食品、风味酶解等核心技术研发，开发适合现代消费需求的干制、预制、方便、休闲等水产新食品</w:t>
            </w:r>
            <w:r>
              <w:rPr>
                <w:rFonts w:hint="eastAsia" w:ascii="Times New Roman" w:hAnsi="Times New Roman" w:eastAsia="宋体" w:cs="宋体"/>
                <w:b w:val="0"/>
                <w:bCs w:val="0"/>
                <w:color w:val="000000" w:themeColor="text1"/>
                <w:kern w:val="0"/>
                <w:sz w:val="28"/>
                <w:szCs w:val="28"/>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8"/>
                <w:szCs w:val="28"/>
                <w:highlight w:val="none"/>
                <w14:textFill>
                  <w14:solidFill>
                    <w14:schemeClr w14:val="tx1"/>
                  </w14:solidFill>
                </w14:textFill>
              </w:rPr>
              <w:t>突破深海低值鱼资源化加工技术，向下游延伸仿生制品、水产汤底、特色调味辅料等产品线，拉长产业增值链条。</w:t>
            </w:r>
          </w:p>
          <w:p>
            <w:pPr>
              <w:widowControl/>
              <w:snapToGrid w:val="0"/>
              <w:spacing w:line="240" w:lineRule="auto"/>
              <w:rPr>
                <w:rFonts w:hint="eastAsia" w:ascii="Times New Roman" w:hAnsi="Times New Roman" w:eastAsia="宋体" w:cs="宋体"/>
                <w:b w:val="0"/>
                <w:bCs w:val="0"/>
                <w:color w:val="000000" w:themeColor="text1"/>
                <w:kern w:val="0"/>
                <w:sz w:val="28"/>
                <w:szCs w:val="28"/>
                <w:highlight w:val="none"/>
                <w:lang w:eastAsia="zh-CN"/>
                <w14:textFill>
                  <w14:solidFill>
                    <w14:schemeClr w14:val="tx1"/>
                  </w14:solidFill>
                </w14:textFill>
              </w:rPr>
            </w:pPr>
            <w:r>
              <w:rPr>
                <w:rFonts w:hint="eastAsia" w:ascii="Times New Roman" w:hAnsi="Times New Roman" w:eastAsia="宋体" w:cs="宋体"/>
                <w:b/>
                <w:bCs/>
                <w:color w:val="000000" w:themeColor="text1"/>
                <w:kern w:val="0"/>
                <w:sz w:val="28"/>
                <w:szCs w:val="28"/>
                <w:highlight w:val="none"/>
                <w:lang w:val="en-US" w:eastAsia="zh-CN"/>
                <w14:textFill>
                  <w14:solidFill>
                    <w14:schemeClr w14:val="tx1"/>
                  </w14:solidFill>
                </w14:textFill>
              </w:rPr>
              <w:t>2.</w:t>
            </w:r>
            <w:r>
              <w:rPr>
                <w:rFonts w:hint="eastAsia" w:ascii="Times New Roman" w:hAnsi="Times New Roman" w:eastAsia="宋体" w:cs="宋体"/>
                <w:b/>
                <w:bCs/>
                <w:color w:val="000000" w:themeColor="text1"/>
                <w:kern w:val="0"/>
                <w:sz w:val="28"/>
                <w:szCs w:val="28"/>
                <w:highlight w:val="none"/>
                <w14:textFill>
                  <w14:solidFill>
                    <w14:schemeClr w14:val="tx1"/>
                  </w14:solidFill>
                </w14:textFill>
              </w:rPr>
              <w:t>海洋功能性食品。</w:t>
            </w:r>
            <w:r>
              <w:rPr>
                <w:rFonts w:hint="eastAsia" w:ascii="Times New Roman" w:hAnsi="Times New Roman" w:eastAsia="宋体" w:cs="宋体"/>
                <w:color w:val="000000" w:themeColor="text1"/>
                <w:kern w:val="0"/>
                <w:sz w:val="28"/>
                <w:szCs w:val="28"/>
                <w:highlight w:val="none"/>
                <w14:textFill>
                  <w14:solidFill>
                    <w14:schemeClr w14:val="tx1"/>
                  </w14:solidFill>
                </w14:textFill>
              </w:rPr>
              <w:t>聚焦海洋活性物质提取、海洋药物研发、检测试剂研制方向，</w:t>
            </w:r>
            <w:r>
              <w:rPr>
                <w:rFonts w:hint="eastAsia" w:ascii="Times New Roman" w:hAnsi="Times New Roman" w:eastAsia="宋体" w:cs="宋体"/>
                <w:color w:val="000000" w:themeColor="text1"/>
                <w:kern w:val="0"/>
                <w:sz w:val="28"/>
                <w:szCs w:val="28"/>
                <w:highlight w:val="none"/>
                <w:lang w:val="en-US" w:eastAsia="zh-CN"/>
                <w14:textFill>
                  <w14:solidFill>
                    <w14:schemeClr w14:val="tx1"/>
                  </w14:solidFill>
                </w14:textFill>
              </w:rPr>
              <w:t>开发</w:t>
            </w:r>
            <w:r>
              <w:rPr>
                <w:rFonts w:hint="eastAsia" w:ascii="Times New Roman" w:hAnsi="Times New Roman" w:eastAsia="宋体" w:cs="宋体"/>
                <w:color w:val="000000" w:themeColor="text1"/>
                <w:kern w:val="0"/>
                <w:sz w:val="28"/>
                <w:szCs w:val="28"/>
                <w:highlight w:val="none"/>
                <w14:textFill>
                  <w14:solidFill>
                    <w14:schemeClr w14:val="tx1"/>
                  </w14:solidFill>
                </w14:textFill>
              </w:rPr>
              <w:t>鱼胶原蛋白、海参肽、鱼油、海藻等海洋功能食品，深挖鱼皮等本土水产资源推进药食同源产品研发；延伸海洋多糖、生物活性多肽、特色氨基酸、海洋脂质、壳聚糖等上游精深加工链条，推出膳食增补、便携食补类衍生品</w:t>
            </w:r>
            <w:r>
              <w:rPr>
                <w:rFonts w:hint="eastAsia" w:ascii="Times New Roman" w:hAnsi="Times New Roman" w:eastAsia="宋体" w:cs="宋体"/>
                <w:color w:val="000000" w:themeColor="text1"/>
                <w:kern w:val="0"/>
                <w:sz w:val="28"/>
                <w:szCs w:val="28"/>
                <w:highlight w:val="none"/>
                <w:lang w:eastAsia="zh-CN"/>
                <w14:textFill>
                  <w14:solidFill>
                    <w14:schemeClr w14:val="tx1"/>
                  </w14:solidFill>
                </w14:textFill>
              </w:rPr>
              <w:t>。</w:t>
            </w:r>
          </w:p>
          <w:p>
            <w:pPr>
              <w:widowControl/>
              <w:snapToGrid w:val="0"/>
              <w:spacing w:line="240" w:lineRule="auto"/>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b/>
                <w:bCs/>
                <w:color w:val="000000" w:themeColor="text1"/>
                <w:kern w:val="0"/>
                <w:sz w:val="28"/>
                <w:szCs w:val="28"/>
                <w:highlight w:val="none"/>
                <w:lang w:val="en-US" w:eastAsia="zh-CN"/>
                <w14:textFill>
                  <w14:solidFill>
                    <w14:schemeClr w14:val="tx1"/>
                  </w14:solidFill>
                </w14:textFill>
              </w:rPr>
              <w:t>3.</w:t>
            </w:r>
            <w:r>
              <w:rPr>
                <w:rFonts w:hint="eastAsia" w:ascii="Times New Roman" w:hAnsi="Times New Roman" w:eastAsia="宋体" w:cs="宋体"/>
                <w:b/>
                <w:bCs/>
                <w:color w:val="000000" w:themeColor="text1"/>
                <w:kern w:val="0"/>
                <w:sz w:val="28"/>
                <w:szCs w:val="28"/>
                <w:highlight w:val="none"/>
                <w14:textFill>
                  <w14:solidFill>
                    <w14:schemeClr w14:val="tx1"/>
                  </w14:solidFill>
                </w14:textFill>
              </w:rPr>
              <w:t>粮油、肉类及其他农副产品。</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重点发展优质稻米加工品及米面制品产业链，</w:t>
            </w:r>
            <w:r>
              <w:rPr>
                <w:rFonts w:hint="eastAsia" w:ascii="Times New Roman" w:hAnsi="Times New Roman" w:eastAsia="宋体" w:cs="宋体"/>
                <w:b w:val="0"/>
                <w:bCs w:val="0"/>
                <w:color w:val="000000" w:themeColor="text1"/>
                <w:kern w:val="0"/>
                <w:sz w:val="28"/>
                <w:szCs w:val="28"/>
                <w:highlight w:val="none"/>
                <w:lang w:val="en-US" w:eastAsia="zh-CN"/>
                <w14:textFill>
                  <w14:solidFill>
                    <w14:schemeClr w14:val="tx1"/>
                  </w14:solidFill>
                </w14:textFill>
              </w:rPr>
              <w:t>依托</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陆丰甘薯、海丰番薯、海丰花生、海丰芝麻等优势作物，做精做优特色薯类和油料加工。以智能化屠宰为重点，巩固提升冷却肉、分割肉等基础生鲜品类，丰富生鲜调理、速冻调理等高附加值产品供给，做强特色肉禽预制菜、休闲熟食等精深加工，持续延链强链。大力推动塔岭粉签、南万咸菜、南万美人芋丝、南万腐竹等特色农副产品规模化、标准化、品牌化发展。</w:t>
            </w:r>
          </w:p>
          <w:p>
            <w:pPr>
              <w:widowControl/>
              <w:snapToGrid w:val="0"/>
              <w:spacing w:line="240" w:lineRule="auto"/>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b/>
                <w:bCs/>
                <w:color w:val="000000" w:themeColor="text1"/>
                <w:kern w:val="0"/>
                <w:sz w:val="28"/>
                <w:szCs w:val="28"/>
                <w:highlight w:val="none"/>
                <w:lang w:val="en-US" w:eastAsia="zh-CN"/>
                <w14:textFill>
                  <w14:solidFill>
                    <w14:schemeClr w14:val="tx1"/>
                  </w14:solidFill>
                </w14:textFill>
              </w:rPr>
              <w:t>4.</w:t>
            </w:r>
            <w:r>
              <w:rPr>
                <w:rFonts w:hint="eastAsia" w:ascii="Times New Roman" w:hAnsi="Times New Roman" w:eastAsia="宋体" w:cs="宋体"/>
                <w:b/>
                <w:bCs/>
                <w:color w:val="000000" w:themeColor="text1"/>
                <w:kern w:val="0"/>
                <w:sz w:val="28"/>
                <w:szCs w:val="28"/>
                <w:highlight w:val="none"/>
                <w14:textFill>
                  <w14:solidFill>
                    <w14:schemeClr w14:val="tx1"/>
                  </w14:solidFill>
                </w14:textFill>
              </w:rPr>
              <w:t>酒、饮料和精制茶</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。围绕原料、配方、生产工艺、食用场景、商业模式等方面加强技术革新，着力提升青梅酒、莲花山茶等相关产品质量及品牌效应，以“文化+旅游”的方式促进产业融合发展，提高产品附加值。</w:t>
            </w:r>
          </w:p>
          <w:p>
            <w:pPr>
              <w:pStyle w:val="14"/>
              <w:keepNext w:val="0"/>
              <w:keepLines w:val="0"/>
              <w:pageBreakBefore w:val="0"/>
              <w:tabs>
                <w:tab w:val="left" w:pos="312"/>
                <w:tab w:val="clear" w:pos="4153"/>
                <w:tab w:val="clear" w:pos="8306"/>
              </w:tabs>
              <w:kinsoku/>
              <w:wordWrap/>
              <w:overflowPunct/>
              <w:topLinePunct w:val="0"/>
              <w:autoSpaceDE/>
              <w:autoSpaceDN/>
              <w:bidi w:val="0"/>
              <w:adjustRightInd/>
              <w:snapToGrid w:val="0"/>
              <w:spacing w:line="240" w:lineRule="auto"/>
              <w:ind w:firstLine="562"/>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宋体"/>
                <w:b/>
                <w:bCs/>
                <w:color w:val="000000" w:themeColor="text1"/>
                <w:kern w:val="0"/>
                <w:sz w:val="28"/>
                <w:szCs w:val="28"/>
                <w:highlight w:val="none"/>
                <w:lang w:val="en-US" w:eastAsia="zh-CN"/>
                <w14:textFill>
                  <w14:solidFill>
                    <w14:schemeClr w14:val="tx1"/>
                  </w14:solidFill>
                </w14:textFill>
              </w:rPr>
              <w:t>5.</w:t>
            </w:r>
            <w:r>
              <w:rPr>
                <w:rFonts w:hint="eastAsia" w:ascii="Times New Roman" w:hAnsi="Times New Roman" w:eastAsia="宋体" w:cs="宋体"/>
                <w:b/>
                <w:bCs/>
                <w:color w:val="000000" w:themeColor="text1"/>
                <w:kern w:val="0"/>
                <w:sz w:val="28"/>
                <w:szCs w:val="28"/>
                <w:highlight w:val="none"/>
                <w14:textFill>
                  <w14:solidFill>
                    <w14:schemeClr w14:val="tx1"/>
                  </w14:solidFill>
                </w14:textFill>
              </w:rPr>
              <w:t>烘烤糕点、果干蜜饯和健康食品。</w:t>
            </w:r>
            <w:r>
              <w:rPr>
                <w:rFonts w:hint="eastAsia" w:ascii="Times New Roman" w:hAnsi="Times New Roman" w:eastAsia="宋体" w:cs="宋体"/>
                <w:b w:val="0"/>
                <w:bCs w:val="0"/>
                <w:color w:val="000000" w:themeColor="text1"/>
                <w:kern w:val="0"/>
                <w:sz w:val="28"/>
                <w:szCs w:val="28"/>
                <w:highlight w:val="none"/>
                <w:lang w:val="en-US" w:eastAsia="zh-CN"/>
                <w14:textFill>
                  <w14:solidFill>
                    <w14:schemeClr w14:val="tx1"/>
                  </w14:solidFill>
                </w14:textFill>
              </w:rPr>
              <w:t>发挥</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毗邻湾区市场的优势，开发港式、粤式烘焙</w:t>
            </w:r>
            <w:r>
              <w:rPr>
                <w:rFonts w:hint="eastAsia" w:ascii="Times New Roman" w:hAnsi="Times New Roman" w:eastAsia="宋体" w:cs="宋体"/>
                <w:b w:val="0"/>
                <w:bCs w:val="0"/>
                <w:color w:val="000000" w:themeColor="text1"/>
                <w:kern w:val="0"/>
                <w:sz w:val="28"/>
                <w:szCs w:val="28"/>
                <w:highlight w:val="none"/>
                <w:lang w:val="en-US" w:eastAsia="zh-CN"/>
                <w14:textFill>
                  <w14:solidFill>
                    <w14:schemeClr w14:val="tx1"/>
                  </w14:solidFill>
                </w14:textFill>
              </w:rPr>
              <w:t>糕点，创新开发兼具传统风味与现代工艺的特色点心</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w:t>
            </w:r>
            <w:r>
              <w:rPr>
                <w:rFonts w:hint="eastAsia" w:ascii="Times New Roman" w:hAnsi="Times New Roman" w:eastAsia="宋体" w:cs="宋体"/>
                <w:b w:val="0"/>
                <w:bCs w:val="0"/>
                <w:color w:val="000000" w:themeColor="text1"/>
                <w:kern w:val="0"/>
                <w:sz w:val="28"/>
                <w:szCs w:val="28"/>
                <w:highlight w:val="none"/>
                <w:lang w:val="en-US" w:eastAsia="zh-CN"/>
                <w14:textFill>
                  <w14:solidFill>
                    <w14:schemeClr w14:val="tx1"/>
                  </w14:solidFill>
                </w14:textFill>
              </w:rPr>
              <w:t>依托</w:t>
            </w:r>
            <w:r>
              <w:rPr>
                <w:rFonts w:hint="eastAsia" w:ascii="Times New Roman" w:hAnsi="Times New Roman" w:eastAsia="宋体" w:cs="宋体"/>
                <w:b w:val="0"/>
                <w:bCs w:val="0"/>
                <w:color w:val="000000" w:themeColor="text1"/>
                <w:kern w:val="0"/>
                <w:sz w:val="28"/>
                <w:szCs w:val="28"/>
                <w:highlight w:val="none"/>
                <w14:textFill>
                  <w14:solidFill>
                    <w14:schemeClr w14:val="tx1"/>
                  </w14:solidFill>
                </w14:textFill>
              </w:rPr>
              <w:t>汕尾青梅、荔枝、莲雾等优质果蔬资源，加快培育“低糖无添加”“天然食材+个性化定制”果干蜜饯食品。</w:t>
            </w:r>
            <w:r>
              <w:rPr>
                <w:rFonts w:hint="eastAsia" w:ascii="Times New Roman" w:hAnsi="Times New Roman" w:eastAsia="宋体" w:cs="宋体"/>
                <w:color w:val="000000" w:themeColor="text1"/>
                <w:kern w:val="0"/>
                <w:sz w:val="28"/>
                <w:szCs w:val="28"/>
                <w:highlight w:val="none"/>
                <w14:textFill>
                  <w14:solidFill>
                    <w14:schemeClr w14:val="tx1"/>
                  </w14:solidFill>
                </w14:textFill>
              </w:rPr>
              <w:t>紧扣即食便捷、药食同源发展方向，丰富细分多元功能性食品与营养补充剂，针对老年、婴童群体开发专属健康饮品</w:t>
            </w:r>
            <w:r>
              <w:rPr>
                <w:rFonts w:hint="eastAsia" w:ascii="Times New Roman" w:hAnsi="Times New Roman" w:eastAsia="宋体" w:cs="宋体"/>
                <w:color w:val="000000" w:themeColor="text1"/>
                <w:kern w:val="0"/>
                <w:sz w:val="28"/>
                <w:szCs w:val="28"/>
                <w:highlight w:val="none"/>
                <w:lang w:val="en-US" w:eastAsia="zh-CN"/>
                <w14:textFill>
                  <w14:solidFill>
                    <w14:schemeClr w14:val="tx1"/>
                  </w14:solidFill>
                </w14:textFill>
              </w:rPr>
              <w:t>及</w:t>
            </w:r>
            <w:r>
              <w:rPr>
                <w:rFonts w:hint="eastAsia" w:ascii="Times New Roman" w:hAnsi="Times New Roman" w:eastAsia="宋体" w:cs="宋体"/>
                <w:color w:val="000000" w:themeColor="text1"/>
                <w:kern w:val="0"/>
                <w:sz w:val="28"/>
                <w:szCs w:val="28"/>
                <w:highlight w:val="none"/>
                <w14:textFill>
                  <w14:solidFill>
                    <w14:schemeClr w14:val="tx1"/>
                  </w14:solidFill>
                </w14:textFill>
              </w:rPr>
              <w:t>膳食营养补充剂</w:t>
            </w:r>
            <w:r>
              <w:rPr>
                <w:rFonts w:hint="eastAsia" w:ascii="Times New Roman" w:hAnsi="Times New Roman" w:eastAsia="宋体" w:cs="宋体"/>
                <w:b w:val="0"/>
                <w:bCs w:val="0"/>
                <w:color w:val="000000" w:themeColor="text1"/>
                <w:kern w:val="0"/>
                <w:sz w:val="28"/>
                <w:szCs w:val="28"/>
                <w:highlight w:val="none"/>
                <w:lang w:eastAsia="zh-CN"/>
                <w14:textFill>
                  <w14:solidFill>
                    <w14:schemeClr w14:val="tx1"/>
                  </w14:solidFill>
                </w14:textFill>
              </w:rPr>
              <w:t>。</w:t>
            </w:r>
          </w:p>
        </w:tc>
      </w:tr>
    </w:tbl>
    <w:p>
      <w:pPr>
        <w:pStyle w:val="5"/>
        <w:ind w:firstLine="643"/>
        <w:rPr>
          <w:color w:val="000000" w:themeColor="text1"/>
          <w14:textFill>
            <w14:solidFill>
              <w14:schemeClr w14:val="tx1"/>
            </w14:solidFill>
          </w14:textFill>
        </w:rPr>
      </w:pPr>
      <w:bookmarkStart w:id="80" w:name="_Toc31725"/>
      <w:bookmarkStart w:id="81" w:name="_Toc31117"/>
      <w:bookmarkStart w:id="82" w:name="_Toc29701"/>
      <w:bookmarkStart w:id="83" w:name="_Toc25994"/>
      <w:bookmarkStart w:id="84" w:name="_Toc15419"/>
      <w:bookmarkStart w:id="85" w:name="_Toc32340"/>
      <w:bookmarkStart w:id="86" w:name="_Toc16968"/>
      <w:bookmarkStart w:id="87" w:name="_Toc16984"/>
      <w:bookmarkStart w:id="88" w:name="_Toc9501"/>
      <w:bookmarkStart w:id="89" w:name="_Toc10350"/>
      <w:bookmarkStart w:id="90" w:name="_Toc7338"/>
      <w:r>
        <w:rPr>
          <w:rFonts w:hint="eastAsia"/>
          <w:color w:val="000000" w:themeColor="text1"/>
          <w14:textFill>
            <w14:solidFill>
              <w14:schemeClr w14:val="tx1"/>
            </w14:solidFill>
          </w14:textFill>
        </w:rPr>
        <w:t>2.金银首饰珠宝产业</w:t>
      </w:r>
      <w:bookmarkEnd w:id="80"/>
      <w:bookmarkEnd w:id="81"/>
      <w:bookmarkEnd w:id="82"/>
      <w:bookmarkEnd w:id="83"/>
      <w:bookmarkEnd w:id="84"/>
      <w:bookmarkEnd w:id="85"/>
      <w:bookmarkEnd w:id="86"/>
      <w:bookmarkEnd w:id="87"/>
      <w:bookmarkEnd w:id="88"/>
      <w:bookmarkEnd w:id="89"/>
      <w:bookmarkEnd w:id="90"/>
    </w:p>
    <w:p>
      <w:pPr>
        <w:snapToGrid w:val="0"/>
        <w:ind w:firstLine="0"/>
        <w:outlineLvl w:val="9"/>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cs="仿宋_GB2312"/>
          <w:color w:val="000000" w:themeColor="text1"/>
          <w:lang w:val="en-US" w:eastAsia="zh-CN"/>
          <w14:textFill>
            <w14:solidFill>
              <w14:schemeClr w14:val="tx1"/>
            </w14:solidFill>
          </w14:textFill>
        </w:rPr>
        <w:t>重点创新饰品制作传统工艺、探索布局功能性珠宝赛道，赋能产业数字赋能、智能提质、绿色增效。</w:t>
      </w:r>
    </w:p>
    <w:p>
      <w:pPr>
        <w:snapToGrid w:val="0"/>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w:t>
      </w:r>
      <w:r>
        <w:rPr>
          <w:rFonts w:hint="eastAsia"/>
          <w:color w:val="000000" w:themeColor="text1"/>
          <w:lang w:val="en-US" w:eastAsia="zh-CN"/>
          <w14:textFill>
            <w14:solidFill>
              <w14:schemeClr w14:val="tx1"/>
            </w14:solidFill>
          </w14:textFill>
        </w:rPr>
        <w:t>金银彩宝</w:t>
      </w:r>
      <w:r>
        <w:rPr>
          <w:rFonts w:hint="eastAsia"/>
          <w:color w:val="000000" w:themeColor="text1"/>
          <w14:textFill>
            <w14:solidFill>
              <w14:schemeClr w14:val="tx1"/>
            </w14:solidFill>
          </w14:textFill>
        </w:rPr>
        <w:t>产业产值达到100亿元。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numPr>
                <w:ilvl w:val="0"/>
                <w:numId w:val="0"/>
              </w:numPr>
              <w:snapToGrid/>
              <w:spacing w:line="240" w:lineRule="auto"/>
              <w:ind w:firstLine="0" w:firstLineChars="0"/>
              <w:jc w:val="center"/>
              <w:rPr>
                <w:rFonts w:hint="default" w:ascii="Times New Roman" w:hAnsi="Times New Roman" w:eastAsia="黑体" w:cs="Times New Roman"/>
                <w:b w:val="0"/>
                <w:bCs w:val="0"/>
                <w:color w:val="000000" w:themeColor="text1"/>
                <w:kern w:val="0"/>
                <w:sz w:val="28"/>
                <w:szCs w:val="22"/>
                <w:highlight w:val="none"/>
                <w14:textFill>
                  <w14:solidFill>
                    <w14:schemeClr w14:val="tx1"/>
                  </w14:solidFill>
                </w14:textFill>
              </w:rPr>
            </w:pPr>
            <w:r>
              <w:rPr>
                <w:rFonts w:hint="default" w:ascii="Times New Roman" w:hAnsi="Times New Roman" w:eastAsia="黑体" w:cs="Times New Roman"/>
                <w:b w:val="0"/>
                <w:bCs w:val="0"/>
                <w:color w:val="000000" w:themeColor="text1"/>
                <w:kern w:val="0"/>
                <w:sz w:val="28"/>
                <w:szCs w:val="22"/>
                <w:highlight w:val="none"/>
                <w14:textFill>
                  <w14:solidFill>
                    <w14:schemeClr w14:val="tx1"/>
                  </w14:solidFill>
                </w14:textFill>
              </w:rPr>
              <w:t>专栏2 金银首饰珠宝产业细分领域</w:t>
            </w:r>
          </w:p>
          <w:p>
            <w:pPr>
              <w:pStyle w:val="14"/>
              <w:spacing w:line="240" w:lineRule="auto"/>
              <w:ind w:firstLine="562"/>
              <w:rPr>
                <w:rFonts w:hint="eastAsia" w:ascii="宋体" w:hAnsi="宋体" w:eastAsia="宋体" w:cs="宋体"/>
                <w:b w:val="0"/>
                <w:bCs w:val="0"/>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1.</w:t>
            </w:r>
            <w:r>
              <w:rPr>
                <w:rFonts w:hint="eastAsia" w:ascii="宋体" w:hAnsi="宋体" w:eastAsia="宋体" w:cs="宋体"/>
                <w:b/>
                <w:bCs/>
                <w:color w:val="000000" w:themeColor="text1"/>
                <w:kern w:val="0"/>
                <w:sz w:val="28"/>
                <w:szCs w:val="28"/>
                <w:highlight w:val="none"/>
                <w14:textFill>
                  <w14:solidFill>
                    <w14:schemeClr w14:val="tx1"/>
                  </w14:solidFill>
                </w14:textFill>
              </w:rPr>
              <w:t>传统工艺创新饰品。</w:t>
            </w:r>
            <w:r>
              <w:rPr>
                <w:rFonts w:hint="eastAsia" w:ascii="宋体" w:hAnsi="宋体" w:eastAsia="宋体" w:cs="宋体"/>
                <w:b w:val="0"/>
                <w:bCs w:val="0"/>
                <w:color w:val="000000" w:themeColor="text1"/>
                <w:kern w:val="0"/>
                <w:sz w:val="28"/>
                <w:szCs w:val="28"/>
                <w:highlight w:val="none"/>
                <w14:textFill>
                  <w14:solidFill>
                    <w14:schemeClr w14:val="tx1"/>
                  </w14:solidFill>
                </w14:textFill>
              </w:rPr>
              <w:t>强化錾刻、累丝、镶嵌等传统金属工艺传承，</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运用</w:t>
            </w:r>
            <w:r>
              <w:rPr>
                <w:rFonts w:hint="eastAsia" w:ascii="宋体" w:hAnsi="宋体" w:eastAsia="宋体" w:cs="宋体"/>
                <w:b w:val="0"/>
                <w:bCs w:val="0"/>
                <w:color w:val="000000" w:themeColor="text1"/>
                <w:kern w:val="0"/>
                <w:sz w:val="28"/>
                <w:szCs w:val="28"/>
                <w:highlight w:val="none"/>
                <w14:textFill>
                  <w14:solidFill>
                    <w14:schemeClr w14:val="tx1"/>
                  </w14:solidFill>
                </w14:textFill>
              </w:rPr>
              <w:t>3D打印蜡模、激光焊接等技术推动工艺升级，加快推进非遗技艺与现代技术融合。深度挖掘海陆丰红色文化、海洋文化、民俗文化等本土文化元素，开发设计“轻非遗”风格日常首饰</w:t>
            </w:r>
            <w:r>
              <w:rPr>
                <w:rFonts w:hint="eastAsia" w:ascii="宋体" w:hAnsi="宋体" w:eastAsia="宋体" w:cs="宋体"/>
                <w:b w:val="0"/>
                <w:bCs w:val="0"/>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8"/>
                <w:szCs w:val="28"/>
                <w:highlight w:val="none"/>
                <w14:textFill>
                  <w14:solidFill>
                    <w14:schemeClr w14:val="tx1"/>
                  </w14:solidFill>
                </w14:textFill>
              </w:rPr>
              <w:t>婚嫁类饰品</w:t>
            </w:r>
            <w:r>
              <w:rPr>
                <w:rFonts w:hint="eastAsia" w:ascii="宋体" w:hAnsi="宋体" w:eastAsia="宋体" w:cs="宋体"/>
                <w:b w:val="0"/>
                <w:bCs w:val="0"/>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8"/>
                <w:szCs w:val="28"/>
                <w:highlight w:val="none"/>
                <w14:textFill>
                  <w14:solidFill>
                    <w14:schemeClr w14:val="tx1"/>
                  </w14:solidFill>
                </w14:textFill>
              </w:rPr>
              <w:t>文创饰品。</w:t>
            </w:r>
          </w:p>
          <w:p>
            <w:pPr>
              <w:pStyle w:val="14"/>
              <w:spacing w:line="240" w:lineRule="auto"/>
              <w:ind w:firstLine="562"/>
              <w:rPr>
                <w:color w:val="000000" w:themeColor="text1"/>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8"/>
                <w:szCs w:val="28"/>
                <w:highlight w:val="none"/>
                <w14:textFill>
                  <w14:solidFill>
                    <w14:schemeClr w14:val="tx1"/>
                  </w14:solidFill>
                </w14:textFill>
              </w:rPr>
              <w:t>探索发展功能性珠宝产品。</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推动</w:t>
            </w:r>
            <w:r>
              <w:rPr>
                <w:rFonts w:hint="eastAsia" w:ascii="宋体" w:hAnsi="宋体" w:eastAsia="宋体" w:cs="宋体"/>
                <w:b w:val="0"/>
                <w:bCs w:val="0"/>
                <w:color w:val="000000" w:themeColor="text1"/>
                <w:kern w:val="0"/>
                <w:sz w:val="28"/>
                <w:szCs w:val="28"/>
                <w:highlight w:val="none"/>
                <w14:textFill>
                  <w14:solidFill>
                    <w14:schemeClr w14:val="tx1"/>
                  </w14:solidFill>
                </w14:textFill>
              </w:rPr>
              <w:t>珠宝</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与</w:t>
            </w:r>
            <w:r>
              <w:rPr>
                <w:rFonts w:hint="eastAsia" w:ascii="宋体" w:hAnsi="宋体" w:eastAsia="宋体" w:cs="宋体"/>
                <w:b w:val="0"/>
                <w:bCs w:val="0"/>
                <w:color w:val="000000" w:themeColor="text1"/>
                <w:kern w:val="0"/>
                <w:sz w:val="28"/>
                <w:szCs w:val="28"/>
                <w:highlight w:val="none"/>
                <w14:textFill>
                  <w14:solidFill>
                    <w14:schemeClr w14:val="tx1"/>
                  </w14:solidFill>
                </w14:textFill>
              </w:rPr>
              <w:t>健康</w:t>
            </w:r>
            <w:r>
              <w:rPr>
                <w:rFonts w:hint="eastAsia" w:ascii="宋体" w:hAnsi="宋体" w:eastAsia="宋体" w:cs="宋体"/>
                <w:b w:val="0"/>
                <w:bCs w:val="0"/>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8"/>
                <w:szCs w:val="28"/>
                <w:highlight w:val="none"/>
                <w14:textFill>
                  <w14:solidFill>
                    <w14:schemeClr w14:val="tx1"/>
                  </w14:solidFill>
                </w14:textFill>
              </w:rPr>
              <w:t>智能</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领域</w:t>
            </w:r>
            <w:r>
              <w:rPr>
                <w:rFonts w:hint="eastAsia" w:ascii="宋体" w:hAnsi="宋体" w:eastAsia="宋体" w:cs="宋体"/>
                <w:b w:val="0"/>
                <w:bCs w:val="0"/>
                <w:color w:val="000000" w:themeColor="text1"/>
                <w:kern w:val="0"/>
                <w:sz w:val="28"/>
                <w:szCs w:val="28"/>
                <w:highlight w:val="none"/>
                <w14:textFill>
                  <w14:solidFill>
                    <w14:schemeClr w14:val="tx1"/>
                  </w14:solidFill>
                </w14:textFill>
              </w:rPr>
              <w:t>跨界</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融合</w:t>
            </w:r>
            <w:r>
              <w:rPr>
                <w:rFonts w:hint="eastAsia" w:ascii="宋体" w:hAnsi="宋体" w:eastAsia="宋体" w:cs="宋体"/>
                <w:b w:val="0"/>
                <w:bCs w:val="0"/>
                <w:color w:val="000000" w:themeColor="text1"/>
                <w:kern w:val="0"/>
                <w:sz w:val="28"/>
                <w:szCs w:val="28"/>
                <w:highlight w:val="none"/>
                <w14:textFill>
                  <w14:solidFill>
                    <w14:schemeClr w14:val="tx1"/>
                  </w14:solidFill>
                </w14:textFill>
              </w:rPr>
              <w:t>，开发银饰内嵌远红外陶瓷片、黄金镶嵌砭石等养生</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类</w:t>
            </w:r>
            <w:r>
              <w:rPr>
                <w:rFonts w:hint="eastAsia" w:ascii="宋体" w:hAnsi="宋体" w:eastAsia="宋体" w:cs="宋体"/>
                <w:b w:val="0"/>
                <w:bCs w:val="0"/>
                <w:color w:val="000000" w:themeColor="text1"/>
                <w:kern w:val="0"/>
                <w:sz w:val="28"/>
                <w:szCs w:val="28"/>
                <w:highlight w:val="none"/>
                <w14:textFill>
                  <w14:solidFill>
                    <w14:schemeClr w14:val="tx1"/>
                  </w14:solidFill>
                </w14:textFill>
              </w:rPr>
              <w:t>珠宝</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制品</w:t>
            </w:r>
            <w:r>
              <w:rPr>
                <w:rFonts w:hint="eastAsia" w:ascii="宋体" w:hAnsi="宋体" w:eastAsia="宋体" w:cs="宋体"/>
                <w:b w:val="0"/>
                <w:bCs w:val="0"/>
                <w:color w:val="000000" w:themeColor="text1"/>
                <w:kern w:val="0"/>
                <w:sz w:val="28"/>
                <w:szCs w:val="28"/>
                <w:highlight w:val="none"/>
                <w14:textFill>
                  <w14:solidFill>
                    <w14:schemeClr w14:val="tx1"/>
                  </w14:solidFill>
                </w14:textFill>
              </w:rPr>
              <w:t>；</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加强</w:t>
            </w:r>
            <w:r>
              <w:rPr>
                <w:rFonts w:hint="eastAsia" w:ascii="宋体" w:hAnsi="宋体" w:eastAsia="宋体" w:cs="宋体"/>
                <w:b w:val="0"/>
                <w:bCs w:val="0"/>
                <w:color w:val="000000" w:themeColor="text1"/>
                <w:kern w:val="0"/>
                <w:sz w:val="28"/>
                <w:szCs w:val="28"/>
                <w:highlight w:val="none"/>
                <w14:textFill>
                  <w14:solidFill>
                    <w14:schemeClr w14:val="tx1"/>
                  </w14:solidFill>
                </w14:textFill>
              </w:rPr>
              <w:t>与</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电子信息领域的龙头</w:t>
            </w:r>
            <w:r>
              <w:rPr>
                <w:rFonts w:hint="eastAsia" w:ascii="宋体" w:hAnsi="宋体" w:eastAsia="宋体" w:cs="宋体"/>
                <w:b w:val="0"/>
                <w:bCs w:val="0"/>
                <w:color w:val="000000" w:themeColor="text1"/>
                <w:kern w:val="0"/>
                <w:sz w:val="28"/>
                <w:szCs w:val="28"/>
                <w:highlight w:val="none"/>
                <w14:textFill>
                  <w14:solidFill>
                    <w14:schemeClr w14:val="tx1"/>
                  </w14:solidFill>
                </w14:textFill>
              </w:rPr>
              <w:t>企业合作，试点</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研</w:t>
            </w:r>
            <w:r>
              <w:rPr>
                <w:rFonts w:hint="eastAsia" w:ascii="宋体" w:hAnsi="宋体" w:eastAsia="宋体" w:cs="宋体"/>
                <w:b w:val="0"/>
                <w:bCs w:val="0"/>
                <w:color w:val="000000" w:themeColor="text1"/>
                <w:kern w:val="0"/>
                <w:sz w:val="28"/>
                <w:szCs w:val="28"/>
                <w:highlight w:val="none"/>
                <w14:textFill>
                  <w14:solidFill>
                    <w14:schemeClr w14:val="tx1"/>
                  </w14:solidFill>
                </w14:textFill>
              </w:rPr>
              <w:t>发融合心率监测、睡眠监测等功能的智能珠宝，打造装饰</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与</w:t>
            </w:r>
            <w:r>
              <w:rPr>
                <w:rFonts w:hint="eastAsia" w:ascii="宋体" w:hAnsi="宋体" w:eastAsia="宋体" w:cs="宋体"/>
                <w:b w:val="0"/>
                <w:bCs w:val="0"/>
                <w:color w:val="000000" w:themeColor="text1"/>
                <w:kern w:val="0"/>
                <w:sz w:val="28"/>
                <w:szCs w:val="28"/>
                <w:highlight w:val="none"/>
                <w14:textFill>
                  <w14:solidFill>
                    <w14:schemeClr w14:val="tx1"/>
                  </w14:solidFill>
                </w14:textFill>
              </w:rPr>
              <w:t>智能健康</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相结合</w:t>
            </w:r>
            <w:r>
              <w:rPr>
                <w:rFonts w:hint="eastAsia" w:ascii="宋体" w:hAnsi="宋体" w:eastAsia="宋体" w:cs="宋体"/>
                <w:b w:val="0"/>
                <w:bCs w:val="0"/>
                <w:color w:val="000000" w:themeColor="text1"/>
                <w:kern w:val="0"/>
                <w:sz w:val="28"/>
                <w:szCs w:val="28"/>
                <w:highlight w:val="none"/>
                <w14:textFill>
                  <w14:solidFill>
                    <w14:schemeClr w14:val="tx1"/>
                  </w14:solidFill>
                </w14:textFill>
              </w:rPr>
              <w:t>的特色智能穿戴新品类。</w:t>
            </w:r>
          </w:p>
        </w:tc>
      </w:tr>
    </w:tbl>
    <w:p>
      <w:pPr>
        <w:pStyle w:val="5"/>
        <w:ind w:firstLine="643"/>
        <w:rPr>
          <w:rFonts w:hint="default" w:eastAsia="仿宋_GB2312"/>
          <w:color w:val="000000" w:themeColor="text1"/>
          <w:lang w:val="en-US" w:eastAsia="zh-CN"/>
          <w14:textFill>
            <w14:solidFill>
              <w14:schemeClr w14:val="tx1"/>
            </w14:solidFill>
          </w14:textFill>
        </w:rPr>
      </w:pPr>
      <w:bookmarkStart w:id="91" w:name="_Toc32462"/>
      <w:bookmarkStart w:id="92" w:name="_Toc25792"/>
      <w:bookmarkStart w:id="93" w:name="_Toc821"/>
      <w:bookmarkStart w:id="94" w:name="_Toc23635"/>
      <w:bookmarkStart w:id="95" w:name="_Toc18440"/>
      <w:bookmarkStart w:id="96" w:name="_Toc2891"/>
      <w:bookmarkStart w:id="97" w:name="_Toc1707"/>
      <w:bookmarkStart w:id="98" w:name="_Toc22288"/>
      <w:bookmarkStart w:id="99" w:name="_Toc4620"/>
      <w:bookmarkStart w:id="100" w:name="_Toc24363"/>
      <w:bookmarkStart w:id="101" w:name="_Toc19499"/>
      <w:r>
        <w:rPr>
          <w:rFonts w:hint="eastAsia"/>
          <w:color w:val="000000" w:themeColor="text1"/>
          <w14:textFill>
            <w14:solidFill>
              <w14:schemeClr w14:val="tx1"/>
            </w14:solidFill>
          </w14:textFill>
        </w:rPr>
        <w:t>3.纺织服装产业</w:t>
      </w:r>
      <w:bookmarkEnd w:id="91"/>
      <w:bookmarkEnd w:id="92"/>
      <w:bookmarkEnd w:id="93"/>
      <w:bookmarkEnd w:id="94"/>
      <w:bookmarkEnd w:id="95"/>
      <w:bookmarkEnd w:id="96"/>
      <w:bookmarkEnd w:id="97"/>
      <w:bookmarkEnd w:id="98"/>
      <w:bookmarkEnd w:id="99"/>
      <w:bookmarkEnd w:id="100"/>
      <w:bookmarkEnd w:id="101"/>
    </w:p>
    <w:p>
      <w:pPr>
        <w:ind w:firstLine="643"/>
        <w:rPr>
          <w:rFonts w:hint="eastAsia" w:ascii="仿宋_GB2312" w:hAnsi="仿宋_GB2312" w:cs="仿宋_GB2312"/>
          <w:bCs w:val="0"/>
          <w:color w:val="000000" w:themeColor="text1"/>
          <w:kern w:val="2"/>
          <w:sz w:val="32"/>
          <w:szCs w:val="24"/>
          <w:lang w:val="en-US" w:eastAsia="zh-CN" w:bidi="ar-SA"/>
          <w14:textFill>
            <w14:solidFill>
              <w14:schemeClr w14:val="tx1"/>
            </w14:solidFill>
          </w14:textFill>
        </w:rPr>
      </w:pPr>
      <w:r>
        <w:rPr>
          <w:rFonts w:hint="eastAsia" w:ascii="仿宋_GB2312" w:hAnsi="仿宋_GB2312" w:cs="仿宋_GB2312"/>
          <w:bCs w:val="0"/>
          <w:color w:val="000000" w:themeColor="text1"/>
          <w:kern w:val="2"/>
          <w:sz w:val="32"/>
          <w:szCs w:val="24"/>
          <w:lang w:val="en-US" w:eastAsia="zh-CN" w:bidi="ar-SA"/>
          <w14:textFill>
            <w14:solidFill>
              <w14:schemeClr w14:val="tx1"/>
            </w14:solidFill>
          </w14:textFill>
        </w:rPr>
        <w:t>重点围绕纤维新材料与纺织服装产业布局，攻坚纺织智造与面料工艺技术，补齐辅料配套短板、拓宽终端服饰品类，做强特色纺织产业集群、塑造区域产业名片。</w:t>
      </w:r>
    </w:p>
    <w:p>
      <w:pPr>
        <w:ind w:firstLine="64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到2030年，力争纺织服装产业产值达到100亿元。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numPr>
                <w:ilvl w:val="0"/>
                <w:numId w:val="0"/>
              </w:numPr>
              <w:snapToGrid/>
              <w:spacing w:line="240" w:lineRule="auto"/>
              <w:ind w:firstLine="0" w:firstLineChars="0"/>
              <w:jc w:val="center"/>
              <w:rPr>
                <w:rFonts w:hint="default" w:ascii="Times New Roman" w:hAnsi="Times New Roman" w:eastAsia="黑体" w:cs="Times New Roman"/>
                <w:b w:val="0"/>
                <w:bCs w:val="0"/>
                <w:color w:val="000000" w:themeColor="text1"/>
                <w:kern w:val="0"/>
                <w:sz w:val="28"/>
                <w:szCs w:val="22"/>
                <w:highlight w:val="none"/>
                <w14:textFill>
                  <w14:solidFill>
                    <w14:schemeClr w14:val="tx1"/>
                  </w14:solidFill>
                </w14:textFill>
              </w:rPr>
            </w:pPr>
            <w:r>
              <w:rPr>
                <w:rFonts w:hint="default" w:ascii="Times New Roman" w:hAnsi="Times New Roman" w:eastAsia="黑体" w:cs="Times New Roman"/>
                <w:b w:val="0"/>
                <w:bCs w:val="0"/>
                <w:color w:val="000000" w:themeColor="text1"/>
                <w:kern w:val="0"/>
                <w:sz w:val="28"/>
                <w:szCs w:val="22"/>
                <w:highlight w:val="none"/>
                <w14:textFill>
                  <w14:solidFill>
                    <w14:schemeClr w14:val="tx1"/>
                  </w14:solidFill>
                </w14:textFill>
              </w:rPr>
              <w:t>专栏3 纺织服装产业细分领域</w:t>
            </w:r>
          </w:p>
          <w:p>
            <w:pPr>
              <w:pStyle w:val="14"/>
              <w:spacing w:line="240" w:lineRule="auto"/>
              <w:ind w:firstLine="562"/>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1.纤维和纺织品。</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围绕功能化高性能纤维新材料、高端用纤维及纺织品、前沿纤维新材料、纺织智能制造等重点领域，突破高档面料等工艺技术、纺织废弃物高值化回用工艺难点和堵点，加快提升高性能纤维的质量一致性和批次稳定性，提高织造、非织造与复合成型技术的应用。</w:t>
            </w:r>
          </w:p>
          <w:p>
            <w:pPr>
              <w:pStyle w:val="14"/>
              <w:spacing w:line="240" w:lineRule="auto"/>
              <w:ind w:firstLine="562"/>
              <w:rPr>
                <w:color w:val="000000" w:themeColor="text1"/>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2.</w:t>
            </w:r>
            <w:r>
              <w:rPr>
                <w:rFonts w:hint="default" w:ascii="宋体" w:hAnsi="宋体" w:eastAsia="宋体" w:cs="宋体"/>
                <w:b/>
                <w:bCs/>
                <w:color w:val="000000" w:themeColor="text1"/>
                <w:kern w:val="0"/>
                <w:sz w:val="28"/>
                <w:szCs w:val="28"/>
                <w:highlight w:val="none"/>
                <w:lang w:val="en-US" w:eastAsia="zh-CN"/>
                <w14:textFill>
                  <w14:solidFill>
                    <w14:schemeClr w14:val="tx1"/>
                  </w14:solidFill>
                </w14:textFill>
              </w:rPr>
              <w:t>纺织服装及服饰</w:t>
            </w: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w:t>
            </w:r>
            <w:r>
              <w:rPr>
                <w:rFonts w:hint="eastAsia" w:ascii="宋体" w:hAnsi="宋体" w:eastAsia="宋体" w:cs="宋体"/>
                <w:color w:val="000000" w:themeColor="text1"/>
                <w:kern w:val="0"/>
                <w:sz w:val="28"/>
                <w:szCs w:val="28"/>
                <w:highlight w:val="none"/>
                <w14:textFill>
                  <w14:solidFill>
                    <w14:schemeClr w14:val="tx1"/>
                  </w14:solidFill>
                </w14:textFill>
              </w:rPr>
              <w:t>深耕拉链、制线等服装辅料配套细分赛道，完善上下游配套体系</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；重点发展西服、童装、体育运动服装、时尚女装、内衣、家居服、针织品、丝织品、老年服装、特种服装等服装品类，培育壮大“汕尾织造”区域公共品牌。</w:t>
            </w:r>
          </w:p>
        </w:tc>
      </w:tr>
    </w:tbl>
    <w:p>
      <w:pPr>
        <w:pStyle w:val="5"/>
        <w:ind w:firstLine="643"/>
        <w:rPr>
          <w:color w:val="000000" w:themeColor="text1"/>
          <w14:textFill>
            <w14:solidFill>
              <w14:schemeClr w14:val="tx1"/>
            </w14:solidFill>
          </w14:textFill>
        </w:rPr>
      </w:pPr>
      <w:bookmarkStart w:id="102" w:name="_Toc31619"/>
      <w:bookmarkStart w:id="103" w:name="_Toc3836"/>
      <w:bookmarkStart w:id="104" w:name="_Toc13384"/>
      <w:bookmarkStart w:id="105" w:name="_Toc26165"/>
      <w:bookmarkStart w:id="106" w:name="_Toc3857"/>
      <w:bookmarkStart w:id="107" w:name="_Toc8161"/>
      <w:bookmarkStart w:id="108" w:name="_Toc6353"/>
      <w:bookmarkStart w:id="109" w:name="_Toc28953"/>
      <w:bookmarkStart w:id="110" w:name="_Toc8870"/>
      <w:bookmarkStart w:id="111" w:name="_Toc22982"/>
      <w:bookmarkStart w:id="112" w:name="_Toc14858"/>
      <w:r>
        <w:rPr>
          <w:rFonts w:hint="eastAsia"/>
          <w:color w:val="000000" w:themeColor="text1"/>
          <w14:textFill>
            <w14:solidFill>
              <w14:schemeClr w14:val="tx1"/>
            </w14:solidFill>
          </w14:textFill>
        </w:rPr>
        <w:t>4.五金配件产业</w:t>
      </w:r>
      <w:bookmarkEnd w:id="102"/>
      <w:bookmarkEnd w:id="103"/>
      <w:bookmarkEnd w:id="104"/>
      <w:bookmarkEnd w:id="105"/>
      <w:bookmarkEnd w:id="106"/>
      <w:bookmarkEnd w:id="107"/>
      <w:bookmarkEnd w:id="108"/>
      <w:bookmarkEnd w:id="109"/>
      <w:bookmarkEnd w:id="110"/>
      <w:bookmarkEnd w:id="111"/>
      <w:bookmarkEnd w:id="112"/>
    </w:p>
    <w:p>
      <w:pPr>
        <w:ind w:firstLine="643"/>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重点聚焦建筑五金、精密工具、新能源配套五金及五金电镀领域，丰富高端五金产品体系，延伸精密加工产业链条，全面提升五金产业发展水平。</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到2030年，力争五金产业产值达到100亿元。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numPr>
                <w:ilvl w:val="0"/>
                <w:numId w:val="0"/>
              </w:numPr>
              <w:snapToGrid/>
              <w:spacing w:line="240" w:lineRule="auto"/>
              <w:ind w:firstLine="0" w:firstLineChars="0"/>
              <w:jc w:val="center"/>
              <w:rPr>
                <w:rFonts w:hint="default" w:eastAsia="黑体"/>
                <w:b w:val="0"/>
                <w:bCs w:val="0"/>
                <w:color w:val="000000" w:themeColor="text1"/>
                <w:kern w:val="0"/>
                <w:sz w:val="28"/>
                <w:szCs w:val="22"/>
                <w:highlight w:val="none"/>
                <w14:textFill>
                  <w14:solidFill>
                    <w14:schemeClr w14:val="tx1"/>
                  </w14:solidFill>
                </w14:textFill>
              </w:rPr>
            </w:pPr>
            <w:r>
              <w:rPr>
                <w:rFonts w:hint="default" w:eastAsia="黑体"/>
                <w:b w:val="0"/>
                <w:bCs w:val="0"/>
                <w:color w:val="000000" w:themeColor="text1"/>
                <w:kern w:val="0"/>
                <w:sz w:val="28"/>
                <w:szCs w:val="22"/>
                <w:highlight w:val="none"/>
                <w14:textFill>
                  <w14:solidFill>
                    <w14:schemeClr w14:val="tx1"/>
                  </w14:solidFill>
                </w14:textFill>
              </w:rPr>
              <w:t>专栏4 五金产业细分领域</w:t>
            </w:r>
          </w:p>
          <w:p>
            <w:pPr>
              <w:snapToGrid w:val="0"/>
              <w:spacing w:line="240" w:lineRule="auto"/>
              <w:ind w:firstLine="643"/>
              <w:rPr>
                <w:rFonts w:hint="eastAsia" w:asciiTheme="minorEastAsia" w:hAnsiTheme="minorEastAsia" w:eastAsiaTheme="minorEastAsia" w:cstheme="minorEastAsia"/>
                <w:b/>
                <w:bCs/>
                <w:color w:val="000000" w:themeColor="text1"/>
                <w:sz w:val="28"/>
                <w:szCs w:val="22"/>
                <w14:textFill>
                  <w14:solidFill>
                    <w14:schemeClr w14:val="tx1"/>
                  </w14:solidFill>
                </w14:textFill>
              </w:rPr>
            </w:pPr>
            <w:r>
              <w:rPr>
                <w:rFonts w:hint="eastAsia" w:asciiTheme="minorEastAsia" w:hAnsiTheme="minorEastAsia" w:eastAsiaTheme="minorEastAsia" w:cstheme="minorEastAsia"/>
                <w:b/>
                <w:bCs/>
                <w:color w:val="000000" w:themeColor="text1"/>
                <w:sz w:val="28"/>
                <w:szCs w:val="22"/>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 w:val="28"/>
                <w:szCs w:val="22"/>
                <w14:textFill>
                  <w14:solidFill>
                    <w14:schemeClr w14:val="tx1"/>
                  </w14:solidFill>
                </w14:textFill>
              </w:rPr>
              <w:t>高端建筑五金</w:t>
            </w:r>
            <w:r>
              <w:rPr>
                <w:rFonts w:hint="eastAsia" w:asciiTheme="minorEastAsia" w:hAnsiTheme="minorEastAsia" w:eastAsiaTheme="minorEastAsia" w:cstheme="minorEastAsia"/>
                <w:b/>
                <w:bCs/>
                <w:color w:val="000000" w:themeColor="text1"/>
                <w:sz w:val="28"/>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2"/>
                <w14:textFill>
                  <w14:solidFill>
                    <w14:schemeClr w14:val="tx1"/>
                  </w14:solidFill>
                </w14:textFill>
              </w:rPr>
              <w:t>重点发展节能铝合金门窗五金、抗震建筑连接件、智能门锁及装配式建筑预埋五金</w:t>
            </w:r>
            <w:r>
              <w:rPr>
                <w:rFonts w:hint="eastAsia" w:asciiTheme="minorEastAsia" w:hAnsiTheme="minorEastAsia" w:eastAsiaTheme="minorEastAsia" w:cstheme="minorEastAsia"/>
                <w:color w:val="000000" w:themeColor="text1"/>
                <w:sz w:val="28"/>
                <w:szCs w:val="22"/>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8"/>
                <w:szCs w:val="22"/>
                <w14:textFill>
                  <w14:solidFill>
                    <w14:schemeClr w14:val="tx1"/>
                  </w14:solidFill>
                </w14:textFill>
              </w:rPr>
              <w:t>。</w:t>
            </w:r>
          </w:p>
          <w:p>
            <w:pPr>
              <w:snapToGrid w:val="0"/>
              <w:spacing w:line="240" w:lineRule="auto"/>
              <w:ind w:firstLine="643"/>
              <w:rPr>
                <w:rFonts w:hint="eastAsia" w:asciiTheme="minorEastAsia" w:hAnsiTheme="minorEastAsia" w:eastAsiaTheme="minorEastAsia" w:cstheme="minorEastAsia"/>
                <w:b/>
                <w:bCs/>
                <w:color w:val="000000" w:themeColor="text1"/>
                <w:sz w:val="28"/>
                <w:szCs w:val="22"/>
                <w14:textFill>
                  <w14:solidFill>
                    <w14:schemeClr w14:val="tx1"/>
                  </w14:solidFill>
                </w14:textFill>
              </w:rPr>
            </w:pPr>
            <w:r>
              <w:rPr>
                <w:rFonts w:hint="eastAsia" w:asciiTheme="minorEastAsia" w:hAnsiTheme="minorEastAsia" w:eastAsiaTheme="minorEastAsia" w:cstheme="minorEastAsia"/>
                <w:b/>
                <w:bCs/>
                <w:color w:val="000000" w:themeColor="text1"/>
                <w:sz w:val="28"/>
                <w:szCs w:val="22"/>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z w:val="28"/>
                <w:szCs w:val="22"/>
                <w:lang w:eastAsia="zh-CN"/>
                <w14:textFill>
                  <w14:solidFill>
                    <w14:schemeClr w14:val="tx1"/>
                  </w14:solidFill>
                </w14:textFill>
              </w:rPr>
              <w:t>精密</w:t>
            </w:r>
            <w:r>
              <w:rPr>
                <w:rFonts w:hint="eastAsia" w:asciiTheme="minorEastAsia" w:hAnsiTheme="minorEastAsia" w:eastAsiaTheme="minorEastAsia" w:cstheme="minorEastAsia"/>
                <w:b/>
                <w:bCs/>
                <w:color w:val="000000" w:themeColor="text1"/>
                <w:sz w:val="28"/>
                <w:szCs w:val="22"/>
                <w14:textFill>
                  <w14:solidFill>
                    <w14:schemeClr w14:val="tx1"/>
                  </w14:solidFill>
                </w14:textFill>
              </w:rPr>
              <w:t>工具五金</w:t>
            </w:r>
            <w:r>
              <w:rPr>
                <w:rFonts w:hint="eastAsia" w:asciiTheme="minorEastAsia" w:hAnsiTheme="minorEastAsia" w:eastAsiaTheme="minorEastAsia" w:cstheme="minorEastAsia"/>
                <w:color w:val="000000" w:themeColor="text1"/>
                <w:sz w:val="28"/>
                <w:szCs w:val="22"/>
                <w14:textFill>
                  <w14:solidFill>
                    <w14:schemeClr w14:val="tx1"/>
                  </w14:solidFill>
                </w14:textFill>
              </w:rPr>
              <w:t>。重点发展高精度切削刀具、数控装备功能部件及工业测量工具等。</w:t>
            </w:r>
          </w:p>
          <w:p>
            <w:pPr>
              <w:snapToGrid w:val="0"/>
              <w:spacing w:line="240" w:lineRule="auto"/>
              <w:ind w:firstLine="643"/>
              <w:rPr>
                <w:rFonts w:hint="eastAsia" w:asciiTheme="minorEastAsia" w:hAnsiTheme="minorEastAsia" w:eastAsiaTheme="minorEastAsia" w:cstheme="minorEastAsia"/>
                <w:color w:val="000000" w:themeColor="text1"/>
                <w:sz w:val="28"/>
                <w:szCs w:val="22"/>
                <w14:textFill>
                  <w14:solidFill>
                    <w14:schemeClr w14:val="tx1"/>
                  </w14:solidFill>
                </w14:textFill>
              </w:rPr>
            </w:pPr>
            <w:r>
              <w:rPr>
                <w:rFonts w:hint="eastAsia" w:asciiTheme="minorEastAsia" w:hAnsiTheme="minorEastAsia" w:eastAsiaTheme="minorEastAsia" w:cstheme="minorEastAsia"/>
                <w:b/>
                <w:bCs/>
                <w:color w:val="000000" w:themeColor="text1"/>
                <w:sz w:val="28"/>
                <w:szCs w:val="22"/>
                <w:lang w:val="en-US" w:eastAsia="zh-CN"/>
                <w14:textFill>
                  <w14:solidFill>
                    <w14:schemeClr w14:val="tx1"/>
                  </w14:solidFill>
                </w14:textFill>
              </w:rPr>
              <w:t>3.</w:t>
            </w:r>
            <w:r>
              <w:rPr>
                <w:rFonts w:hint="eastAsia" w:asciiTheme="minorEastAsia" w:hAnsiTheme="minorEastAsia" w:eastAsiaTheme="minorEastAsia" w:cstheme="minorEastAsia"/>
                <w:b/>
                <w:bCs/>
                <w:color w:val="000000" w:themeColor="text1"/>
                <w:sz w:val="28"/>
                <w:szCs w:val="22"/>
                <w14:textFill>
                  <w14:solidFill>
                    <w14:schemeClr w14:val="tx1"/>
                  </w14:solidFill>
                </w14:textFill>
              </w:rPr>
              <w:t>新能源五金配套</w:t>
            </w:r>
            <w:r>
              <w:rPr>
                <w:rFonts w:hint="eastAsia" w:asciiTheme="minorEastAsia" w:hAnsiTheme="minorEastAsia" w:eastAsiaTheme="minorEastAsia" w:cstheme="minorEastAsia"/>
                <w:color w:val="000000" w:themeColor="text1"/>
                <w:sz w:val="28"/>
                <w:szCs w:val="22"/>
                <w14:textFill>
                  <w14:solidFill>
                    <w14:schemeClr w14:val="tx1"/>
                  </w14:solidFill>
                </w14:textFill>
              </w:rPr>
              <w:t>。加快发展风电塔筒高强度紧固件、光伏支架铝合金连接件、储能电池箱体五金件及充电桩精密结构件</w:t>
            </w:r>
            <w:r>
              <w:rPr>
                <w:rFonts w:hint="eastAsia" w:asciiTheme="minorEastAsia" w:hAnsiTheme="minorEastAsia" w:eastAsiaTheme="minorEastAsia" w:cstheme="minorEastAsia"/>
                <w:color w:val="000000" w:themeColor="text1"/>
                <w:sz w:val="28"/>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2"/>
                <w14:textFill>
                  <w14:solidFill>
                    <w14:schemeClr w14:val="tx1"/>
                  </w14:solidFill>
                </w14:textFill>
              </w:rPr>
              <w:t>推动“原材料—精密加工—整机配套”链条延伸，支持合作开发定制化产品</w:t>
            </w:r>
            <w:r>
              <w:rPr>
                <w:rFonts w:hint="eastAsia" w:asciiTheme="minorEastAsia" w:hAnsiTheme="minorEastAsia" w:eastAsiaTheme="minorEastAsia" w:cstheme="minorEastAsia"/>
                <w:color w:val="000000" w:themeColor="text1"/>
                <w:sz w:val="28"/>
                <w:szCs w:val="22"/>
                <w:lang w:eastAsia="zh-CN"/>
                <w14:textFill>
                  <w14:solidFill>
                    <w14:schemeClr w14:val="tx1"/>
                  </w14:solidFill>
                </w14:textFill>
              </w:rPr>
              <w:t>。承接深莞新能源零部件</w:t>
            </w:r>
            <w:r>
              <w:rPr>
                <w:rFonts w:hint="eastAsia" w:asciiTheme="minorEastAsia" w:hAnsiTheme="minorEastAsia" w:eastAsiaTheme="minorEastAsia" w:cstheme="minorEastAsia"/>
                <w:color w:val="000000" w:themeColor="text1"/>
                <w:sz w:val="28"/>
                <w:szCs w:val="22"/>
                <w:lang w:val="en-US" w:eastAsia="zh-CN"/>
                <w14:textFill>
                  <w14:solidFill>
                    <w14:schemeClr w14:val="tx1"/>
                  </w14:solidFill>
                </w14:textFill>
              </w:rPr>
              <w:t>五金配套</w:t>
            </w:r>
            <w:r>
              <w:rPr>
                <w:rFonts w:hint="eastAsia" w:asciiTheme="minorEastAsia" w:hAnsiTheme="minorEastAsia" w:eastAsiaTheme="minorEastAsia" w:cstheme="minorEastAsia"/>
                <w:color w:val="000000" w:themeColor="text1"/>
                <w:sz w:val="28"/>
                <w:szCs w:val="22"/>
                <w:lang w:eastAsia="zh-CN"/>
                <w14:textFill>
                  <w14:solidFill>
                    <w14:schemeClr w14:val="tx1"/>
                  </w14:solidFill>
                </w14:textFill>
              </w:rPr>
              <w:t>企业有序转移，</w:t>
            </w:r>
            <w:r>
              <w:rPr>
                <w:rFonts w:hint="eastAsia" w:asciiTheme="minorEastAsia" w:hAnsiTheme="minorEastAsia" w:eastAsiaTheme="minorEastAsia" w:cstheme="minorEastAsia"/>
                <w:color w:val="000000" w:themeColor="text1"/>
                <w:sz w:val="28"/>
                <w:szCs w:val="22"/>
                <w14:textFill>
                  <w14:solidFill>
                    <w14:schemeClr w14:val="tx1"/>
                  </w14:solidFill>
                </w14:textFill>
              </w:rPr>
              <w:t>引入真空渗氮、搅拌摩擦焊等先进工艺</w:t>
            </w:r>
            <w:r>
              <w:rPr>
                <w:rFonts w:hint="eastAsia" w:asciiTheme="minorEastAsia" w:hAnsiTheme="minorEastAsia" w:eastAsiaTheme="minorEastAsia" w:cstheme="minorEastAsia"/>
                <w:color w:val="000000" w:themeColor="text1"/>
                <w:sz w:val="28"/>
                <w:szCs w:val="22"/>
                <w:lang w:eastAsia="zh-CN"/>
                <w14:textFill>
                  <w14:solidFill>
                    <w14:schemeClr w14:val="tx1"/>
                  </w14:solidFill>
                </w14:textFill>
              </w:rPr>
              <w:t>，提升产品附加值和本地配套率。</w:t>
            </w:r>
          </w:p>
          <w:p>
            <w:pPr>
              <w:snapToGrid w:val="0"/>
              <w:spacing w:line="240" w:lineRule="auto"/>
              <w:ind w:firstLine="643"/>
              <w:rPr>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sz w:val="28"/>
                <w:szCs w:val="22"/>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8"/>
                <w:szCs w:val="22"/>
                <w14:textFill>
                  <w14:solidFill>
                    <w14:schemeClr w14:val="tx1"/>
                  </w14:solidFill>
                </w14:textFill>
              </w:rPr>
              <w:t>五金配件电镀</w:t>
            </w:r>
            <w:r>
              <w:rPr>
                <w:rFonts w:hint="eastAsia" w:asciiTheme="minorEastAsia" w:hAnsiTheme="minorEastAsia" w:eastAsiaTheme="minorEastAsia" w:cstheme="minorEastAsia"/>
                <w:color w:val="000000" w:themeColor="text1"/>
                <w:sz w:val="28"/>
                <w:szCs w:val="22"/>
                <w14:textFill>
                  <w14:solidFill>
                    <w14:schemeClr w14:val="tx1"/>
                  </w14:solidFill>
                </w14:textFill>
              </w:rPr>
              <w:t>。推进</w:t>
            </w:r>
            <w:r>
              <w:rPr>
                <w:rFonts w:hint="eastAsia" w:asciiTheme="minorEastAsia" w:hAnsiTheme="minorEastAsia" w:eastAsiaTheme="minorEastAsia" w:cstheme="minorEastAsia"/>
                <w:color w:val="000000" w:themeColor="text1"/>
                <w:sz w:val="28"/>
                <w:szCs w:val="22"/>
                <w:lang w:val="en-US" w:eastAsia="zh-CN"/>
                <w14:textFill>
                  <w14:solidFill>
                    <w14:schemeClr w14:val="tx1"/>
                  </w14:solidFill>
                </w14:textFill>
              </w:rPr>
              <w:t>汕尾陆丰产业园三甲五金产业片区</w:t>
            </w:r>
            <w:r>
              <w:rPr>
                <w:rFonts w:hint="eastAsia" w:asciiTheme="minorEastAsia" w:hAnsiTheme="minorEastAsia" w:eastAsiaTheme="minorEastAsia" w:cstheme="minorEastAsia"/>
                <w:color w:val="000000" w:themeColor="text1"/>
                <w:sz w:val="28"/>
                <w:szCs w:val="22"/>
                <w14:textFill>
                  <w14:solidFill>
                    <w14:schemeClr w14:val="tx1"/>
                  </w14:solidFill>
                </w14:textFill>
              </w:rPr>
              <w:t>及电镀万洋众创城建设，整合甲子、甲东、甲西三镇资源，打造研发科创、电镀生产、物流配套一体化园区</w:t>
            </w:r>
            <w:r>
              <w:rPr>
                <w:rFonts w:hint="eastAsia" w:asciiTheme="minorEastAsia" w:hAnsiTheme="minorEastAsia" w:eastAsiaTheme="minorEastAsia" w:cstheme="minorEastAsia"/>
                <w:color w:val="000000" w:themeColor="text1"/>
                <w:sz w:val="28"/>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依托“</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三甲</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”电镀许可资质，</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主动对接</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大湾区外溢</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电镀企业，精准引进一批优质五金电镀项目。</w:t>
            </w:r>
          </w:p>
        </w:tc>
      </w:tr>
    </w:tbl>
    <w:p>
      <w:pPr>
        <w:pStyle w:val="4"/>
        <w:ind w:firstLine="643"/>
        <w:rPr>
          <w:color w:val="000000" w:themeColor="text1"/>
          <w14:textFill>
            <w14:solidFill>
              <w14:schemeClr w14:val="tx1"/>
            </w14:solidFill>
          </w14:textFill>
        </w:rPr>
      </w:pPr>
      <w:bookmarkStart w:id="113" w:name="_Toc14884"/>
      <w:bookmarkStart w:id="114" w:name="_Toc30596"/>
      <w:bookmarkStart w:id="115" w:name="_Toc21993"/>
      <w:bookmarkStart w:id="116" w:name="_Toc1510"/>
      <w:bookmarkStart w:id="117" w:name="_Toc6270"/>
      <w:bookmarkStart w:id="118" w:name="_Toc21815"/>
      <w:bookmarkStart w:id="119" w:name="_Toc22252"/>
      <w:bookmarkStart w:id="120" w:name="_Toc16554"/>
      <w:bookmarkStart w:id="121" w:name="_Toc14963"/>
      <w:bookmarkStart w:id="122" w:name="_Toc15639"/>
      <w:bookmarkStart w:id="123" w:name="_Toc30650"/>
      <w:r>
        <w:rPr>
          <w:rFonts w:hint="eastAsia"/>
          <w:color w:val="000000" w:themeColor="text1"/>
          <w14:textFill>
            <w14:solidFill>
              <w14:schemeClr w14:val="tx1"/>
            </w14:solidFill>
          </w14:textFill>
        </w:rPr>
        <w:t>（二）</w:t>
      </w:r>
      <w:r>
        <w:rPr>
          <w:rFonts w:ascii="Times New Roman" w:hAnsi="Times New Roman" w:eastAsia="楷体_GB2312" w:cs="Times New Roman"/>
          <w:color w:val="000000" w:themeColor="text1"/>
          <w14:textFill>
            <w14:solidFill>
              <w14:schemeClr w14:val="tx1"/>
            </w14:solidFill>
          </w14:textFill>
        </w:rPr>
        <w:t>培育壮大新兴产业</w:t>
      </w:r>
      <w:bookmarkEnd w:id="113"/>
      <w:bookmarkEnd w:id="114"/>
      <w:bookmarkEnd w:id="115"/>
      <w:bookmarkEnd w:id="116"/>
      <w:bookmarkEnd w:id="117"/>
      <w:bookmarkEnd w:id="118"/>
      <w:bookmarkEnd w:id="119"/>
      <w:bookmarkEnd w:id="120"/>
      <w:bookmarkEnd w:id="121"/>
      <w:bookmarkEnd w:id="122"/>
      <w:bookmarkEnd w:id="123"/>
    </w:p>
    <w:p>
      <w:pPr>
        <w:pStyle w:val="5"/>
        <w:ind w:firstLine="643"/>
        <w:rPr>
          <w:color w:val="000000" w:themeColor="text1"/>
          <w14:textFill>
            <w14:solidFill>
              <w14:schemeClr w14:val="tx1"/>
            </w14:solidFill>
          </w14:textFill>
        </w:rPr>
      </w:pPr>
      <w:bookmarkStart w:id="124" w:name="_Toc30882"/>
      <w:bookmarkStart w:id="125" w:name="_Toc16062"/>
      <w:bookmarkStart w:id="126" w:name="_Toc29915"/>
      <w:bookmarkStart w:id="127" w:name="_Toc1739"/>
      <w:bookmarkStart w:id="128" w:name="_Toc14443"/>
      <w:bookmarkStart w:id="129" w:name="_Toc13040"/>
      <w:bookmarkStart w:id="130" w:name="_Toc13085"/>
      <w:bookmarkStart w:id="131" w:name="_Toc15077"/>
      <w:bookmarkStart w:id="132" w:name="_Toc14474"/>
      <w:bookmarkStart w:id="133" w:name="_Toc11569"/>
      <w:bookmarkStart w:id="134" w:name="_Toc918"/>
      <w:r>
        <w:rPr>
          <w:rFonts w:hint="eastAsia"/>
          <w:color w:val="000000" w:themeColor="text1"/>
          <w14:textFill>
            <w14:solidFill>
              <w14:schemeClr w14:val="tx1"/>
            </w14:solidFill>
          </w14:textFill>
        </w:rPr>
        <w:t>5.新能源汽车产业</w:t>
      </w:r>
      <w:bookmarkEnd w:id="124"/>
      <w:bookmarkEnd w:id="125"/>
      <w:bookmarkEnd w:id="126"/>
      <w:bookmarkEnd w:id="127"/>
      <w:bookmarkEnd w:id="128"/>
      <w:bookmarkEnd w:id="129"/>
      <w:bookmarkEnd w:id="130"/>
      <w:bookmarkEnd w:id="131"/>
      <w:bookmarkEnd w:id="132"/>
      <w:bookmarkEnd w:id="133"/>
      <w:bookmarkEnd w:id="134"/>
    </w:p>
    <w:p>
      <w:pPr>
        <w:ind w:firstLine="640"/>
        <w:rPr>
          <w:rFonts w:hint="eastAsia" w:ascii="Times New Roman" w:hAnsi="Times New Roman"/>
          <w:color w:val="000000" w:themeColor="text1"/>
          <w:sz w:val="32"/>
          <w14:textFill>
            <w14:solidFill>
              <w14:schemeClr w14:val="tx1"/>
            </w14:solidFill>
          </w14:textFill>
        </w:rPr>
      </w:pPr>
      <w:r>
        <w:rPr>
          <w:rFonts w:hint="eastAsia" w:ascii="Times New Roman" w:hAnsi="Times New Roman"/>
          <w:color w:val="000000" w:themeColor="text1"/>
          <w:sz w:val="32"/>
          <w14:textFill>
            <w14:solidFill>
              <w14:schemeClr w14:val="tx1"/>
            </w14:solidFill>
          </w14:textFill>
        </w:rPr>
        <w:t>壮大汽车零部件配套体系，深耕新能源商用车与专用车细分赛道，攻坚“三电”核心系统关键技术，拓展“三智”前沿领域融合应用，引导新能源汽车产业向规模化、高端化、智能化、绿色化转型。</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到2030年，力争新能源汽车产业产值达1000亿元。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widowControl/>
              <w:numPr>
                <w:ilvl w:val="0"/>
                <w:numId w:val="0"/>
              </w:numPr>
              <w:suppressLineNumbers w:val="0"/>
              <w:snapToGrid/>
              <w:spacing w:line="240" w:lineRule="auto"/>
              <w:ind w:firstLine="0" w:firstLineChars="0"/>
              <w:jc w:val="center"/>
              <w:rPr>
                <w:rFonts w:hint="default" w:eastAsia="黑体"/>
                <w:b w:val="0"/>
                <w:bCs w:val="0"/>
                <w:color w:val="000000" w:themeColor="text1"/>
                <w:kern w:val="0"/>
                <w:sz w:val="28"/>
                <w:szCs w:val="22"/>
                <w:highlight w:val="none"/>
                <w14:textFill>
                  <w14:solidFill>
                    <w14:schemeClr w14:val="tx1"/>
                  </w14:solidFill>
                </w14:textFill>
              </w:rPr>
            </w:pPr>
            <w:r>
              <w:rPr>
                <w:rFonts w:hint="default" w:eastAsia="黑体"/>
                <w:b w:val="0"/>
                <w:bCs w:val="0"/>
                <w:color w:val="000000" w:themeColor="text1"/>
                <w:kern w:val="0"/>
                <w:sz w:val="28"/>
                <w:szCs w:val="22"/>
                <w:highlight w:val="none"/>
                <w14:textFill>
                  <w14:solidFill>
                    <w14:schemeClr w14:val="tx1"/>
                  </w14:solidFill>
                </w14:textFill>
              </w:rPr>
              <w:t>专栏5 新能源汽车产业细分领域</w:t>
            </w:r>
          </w:p>
          <w:p>
            <w:pPr>
              <w:pStyle w:val="14"/>
              <w:keepNext w:val="0"/>
              <w:keepLines w:val="0"/>
              <w:widowControl/>
              <w:suppressLineNumbers w:val="0"/>
              <w:spacing w:line="240" w:lineRule="auto"/>
              <w:ind w:firstLine="562"/>
              <w:jc w:val="left"/>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1.汽车零部件。</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依托红海湾绿色制造产业园，加快KD件生产线扩产升级，打造面向全球</w:t>
            </w:r>
            <w:r>
              <w:rPr>
                <w:rFonts w:hint="eastAsia" w:ascii="宋体" w:hAnsi="宋体" w:eastAsia="宋体" w:cs="宋体"/>
                <w:b w:val="0"/>
                <w:bCs w:val="0"/>
                <w:color w:val="000000" w:themeColor="text1"/>
                <w:kern w:val="0"/>
                <w:sz w:val="28"/>
                <w:szCs w:val="28"/>
                <w:highlight w:val="none"/>
                <w14:textFill>
                  <w14:solidFill>
                    <w14:schemeClr w14:val="tx1"/>
                  </w14:solidFill>
                </w14:textFill>
              </w:rPr>
              <w:t>的零部件规模化出口载体</w:t>
            </w:r>
            <w:r>
              <w:rPr>
                <w:rFonts w:hint="eastAsia" w:ascii="宋体" w:hAnsi="宋体" w:eastAsia="宋体" w:cs="宋体"/>
                <w:b w:val="0"/>
                <w:bCs w:val="0"/>
                <w:color w:val="000000" w:themeColor="text1"/>
                <w:kern w:val="0"/>
                <w:sz w:val="28"/>
                <w:szCs w:val="28"/>
                <w:highlight w:val="none"/>
                <w:lang w:val="en-US" w:eastAsia="zh-CN" w:bidi="ar"/>
                <w14:textFill>
                  <w14:solidFill>
                    <w14:schemeClr w14:val="tx1"/>
                  </w14:solidFill>
                </w14:textFill>
              </w:rPr>
              <w:t>。支持骨干企业深耕车载显示终端、集成触控模组、车用电子仪表、传感器等</w:t>
            </w:r>
            <w:r>
              <w:rPr>
                <w:rFonts w:hint="eastAsia" w:ascii="宋体" w:hAnsi="宋体" w:eastAsia="宋体" w:cs="宋体"/>
                <w:b w:val="0"/>
                <w:bCs w:val="0"/>
                <w:color w:val="000000" w:themeColor="text1"/>
                <w:kern w:val="0"/>
                <w:sz w:val="28"/>
                <w:szCs w:val="28"/>
                <w:highlight w:val="none"/>
                <w14:textFill>
                  <w14:solidFill>
                    <w14:schemeClr w14:val="tx1"/>
                  </w14:solidFill>
                </w14:textFill>
              </w:rPr>
              <w:t>车载电子零部件</w:t>
            </w:r>
            <w:r>
              <w:rPr>
                <w:rFonts w:hint="eastAsia" w:ascii="宋体" w:hAnsi="宋体" w:eastAsia="宋体" w:cs="宋体"/>
                <w:b w:val="0"/>
                <w:bCs w:val="0"/>
                <w:color w:val="000000" w:themeColor="text1"/>
                <w:kern w:val="0"/>
                <w:sz w:val="28"/>
                <w:szCs w:val="28"/>
                <w:highlight w:val="none"/>
                <w:lang w:val="en-US" w:eastAsia="zh-CN" w:bidi="ar"/>
                <w14:textFill>
                  <w14:solidFill>
                    <w14:schemeClr w14:val="tx1"/>
                  </w14:solidFill>
                </w14:textFill>
              </w:rPr>
              <w:t>，拓展电动门窗、电子防盗、中控锁等车身电子产品布局，引进电池材料、车身结构件、智能座椅等关键配套环节，</w:t>
            </w:r>
            <w:r>
              <w:rPr>
                <w:rFonts w:hint="eastAsia" w:ascii="宋体" w:hAnsi="宋体" w:eastAsia="宋体" w:cs="宋体"/>
                <w:b w:val="0"/>
                <w:bCs w:val="0"/>
                <w:color w:val="000000" w:themeColor="text1"/>
                <w:kern w:val="0"/>
                <w:sz w:val="28"/>
                <w:szCs w:val="28"/>
                <w:highlight w:val="none"/>
                <w14:textFill>
                  <w14:solidFill>
                    <w14:schemeClr w14:val="tx1"/>
                  </w14:solidFill>
                </w14:textFill>
              </w:rPr>
              <w:t>持续</w:t>
            </w:r>
            <w:r>
              <w:rPr>
                <w:rFonts w:hint="eastAsia" w:ascii="宋体" w:hAnsi="宋体" w:eastAsia="宋体" w:cs="宋体"/>
                <w:b w:val="0"/>
                <w:bCs w:val="0"/>
                <w:color w:val="000000" w:themeColor="text1"/>
                <w:kern w:val="0"/>
                <w:sz w:val="28"/>
                <w:szCs w:val="28"/>
                <w:highlight w:val="none"/>
                <w:lang w:val="en-US" w:eastAsia="zh-CN" w:bidi="ar"/>
                <w14:textFill>
                  <w14:solidFill>
                    <w14:schemeClr w14:val="tx1"/>
                  </w14:solidFill>
                </w14:textFill>
              </w:rPr>
              <w:t>提升本地配套率与核心竞争力。推进</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动力电池、储能电池的回收</w:t>
            </w:r>
            <w:r>
              <w:rPr>
                <w:rFonts w:hint="eastAsia" w:ascii="宋体" w:hAnsi="宋体" w:eastAsia="宋体" w:cs="宋体"/>
                <w:b w:val="0"/>
                <w:bCs w:val="0"/>
                <w:color w:val="000000" w:themeColor="text1"/>
                <w:kern w:val="0"/>
                <w:sz w:val="28"/>
                <w:szCs w:val="28"/>
                <w:highlight w:val="none"/>
                <w:lang w:val="en-US" w:eastAsia="zh-CN" w:bidi="ar"/>
                <w14:textFill>
                  <w14:solidFill>
                    <w14:schemeClr w14:val="tx1"/>
                  </w14:solidFill>
                </w14:textFill>
              </w:rPr>
              <w:t>及梯次利用，构建“生产—应用—回收”绿色循环链条。</w:t>
            </w:r>
          </w:p>
          <w:p>
            <w:pPr>
              <w:pStyle w:val="14"/>
              <w:spacing w:line="240" w:lineRule="auto"/>
              <w:ind w:firstLine="562"/>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2.新能源汽车商用车与专用车。</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重点布局纯电动、混合动力等多元新能源技术路线，聚焦长途物流、城市配送、城市公交、工程建设等应用场景，规模化生产新能源物流车、城市配送车、环卫车、工程专用车，同步拓展冷链运输、应急保障等细分专用车型，推动产业规模化、专业化发展。依托现有整车资质与改装基础，招引头部专用车企业在汕尾设立生产基地，通过“定制化生产+本地化配套”发展模式，持续扩大整车产能规模、提升市场占有率。</w:t>
            </w:r>
          </w:p>
          <w:p>
            <w:pPr>
              <w:pStyle w:val="14"/>
              <w:spacing w:line="240" w:lineRule="auto"/>
              <w:ind w:firstLine="562"/>
              <w:rPr>
                <w:rFonts w:hint="default"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3.</w:t>
            </w:r>
            <w:r>
              <w:rPr>
                <w:rFonts w:hint="eastAsia" w:ascii="宋体" w:hAnsi="宋体" w:eastAsia="宋体" w:cs="宋体"/>
                <w:b/>
                <w:bCs/>
                <w:color w:val="000000" w:themeColor="text1"/>
                <w:kern w:val="0"/>
                <w:sz w:val="28"/>
                <w:szCs w:val="28"/>
                <w:highlight w:val="none"/>
                <w14:textFill>
                  <w14:solidFill>
                    <w14:schemeClr w14:val="tx1"/>
                  </w14:solidFill>
                </w14:textFill>
              </w:rPr>
              <w:t>新能源汽车“三电”核心系统。</w:t>
            </w:r>
            <w:r>
              <w:rPr>
                <w:rFonts w:hint="eastAsia" w:ascii="宋体" w:hAnsi="宋体" w:eastAsia="宋体" w:cs="宋体"/>
                <w:color w:val="000000" w:themeColor="text1"/>
                <w:kern w:val="0"/>
                <w:sz w:val="28"/>
                <w:szCs w:val="28"/>
                <w:highlight w:val="none"/>
                <w14:textFill>
                  <w14:solidFill>
                    <w14:schemeClr w14:val="tx1"/>
                  </w14:solidFill>
                </w14:textFill>
              </w:rPr>
              <w:t>动力电池方面，重点发展锂离子电池正负极、隔膜、电解液等基础关键材料，布局高镍三元、硅基负极、固态电解质等前沿材料，延伸布局模组组装、电池包集成环节；驱动电机方面，重点发展高功率、轻量化驱动电机及配套控制器，推进电机、电控、减速器“三合一”集成化生产，提升电机系统集成能力与整车适配水平；电控系统方面，布局整车控制器、电机控制器、电池管理系统，完善传感控制模块配套供给，持续增强电控系统本地配套供给能力。</w:t>
            </w:r>
          </w:p>
          <w:p>
            <w:pPr>
              <w:pStyle w:val="14"/>
              <w:spacing w:line="240" w:lineRule="auto"/>
              <w:ind w:firstLine="562"/>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4.新能源汽车“三智”前沿系统</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w:t>
            </w:r>
            <w:r>
              <w:rPr>
                <w:rFonts w:hint="eastAsia" w:ascii="宋体" w:hAnsi="宋体" w:eastAsia="宋体" w:cs="宋体"/>
                <w:color w:val="000000" w:themeColor="text1"/>
                <w:kern w:val="0"/>
                <w:sz w:val="28"/>
                <w:szCs w:val="28"/>
                <w:highlight w:val="none"/>
                <w14:textFill>
                  <w14:solidFill>
                    <w14:schemeClr w14:val="tx1"/>
                  </w14:solidFill>
                </w14:textFill>
              </w:rPr>
              <w:t>立足现有车载显示、触控集成产业基础，研发车载显示屏、全液晶仪表、AR-HUD等产品，打造集智能中控、语音交互、场景联动于一体的一体化座舱解决方案，增强专用车、改装车的差异化竞争优势</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在</w:t>
            </w:r>
            <w:r>
              <w:rPr>
                <w:rFonts w:hint="eastAsia" w:ascii="宋体" w:hAnsi="宋体" w:eastAsia="宋体" w:cs="宋体"/>
                <w:color w:val="000000" w:themeColor="text1"/>
                <w:kern w:val="0"/>
                <w:sz w:val="28"/>
                <w:szCs w:val="28"/>
                <w:highlight w:val="none"/>
                <w14:textFill>
                  <w14:solidFill>
                    <w14:schemeClr w14:val="tx1"/>
                  </w14:solidFill>
                </w14:textFill>
              </w:rPr>
              <w:t>智能驾驶</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方面，</w:t>
            </w:r>
            <w:r>
              <w:rPr>
                <w:rFonts w:hint="eastAsia" w:ascii="宋体" w:hAnsi="宋体" w:eastAsia="宋体" w:cs="宋体"/>
                <w:color w:val="000000" w:themeColor="text1"/>
                <w:kern w:val="0"/>
                <w:sz w:val="28"/>
                <w:szCs w:val="28"/>
                <w:highlight w:val="none"/>
                <w14:textFill>
                  <w14:solidFill>
                    <w14:schemeClr w14:val="tx1"/>
                  </w14:solidFill>
                </w14:textFill>
              </w:rPr>
              <w:t>发展车载摄像头、视觉感知传感器等硬件，推进高阶辅助驾驶系统在本地专用车、园区物流车上的集成应用，分阶段实现园区物流、港口转运等</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特定</w:t>
            </w:r>
            <w:r>
              <w:rPr>
                <w:rFonts w:hint="eastAsia" w:ascii="宋体" w:hAnsi="宋体" w:eastAsia="宋体" w:cs="宋体"/>
                <w:color w:val="000000" w:themeColor="text1"/>
                <w:kern w:val="0"/>
                <w:sz w:val="28"/>
                <w:szCs w:val="28"/>
                <w:highlight w:val="none"/>
                <w14:textFill>
                  <w14:solidFill>
                    <w14:schemeClr w14:val="tx1"/>
                  </w14:solidFill>
                </w14:textFill>
              </w:rPr>
              <w:t>场景自动驾驶</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示范应用</w:t>
            </w:r>
            <w:r>
              <w:rPr>
                <w:rFonts w:hint="eastAsia" w:ascii="宋体" w:hAnsi="宋体" w:eastAsia="宋体" w:cs="宋体"/>
                <w:color w:val="000000" w:themeColor="text1"/>
                <w:kern w:val="0"/>
                <w:sz w:val="28"/>
                <w:szCs w:val="28"/>
                <w:highlight w:val="none"/>
                <w14:textFill>
                  <w14:solidFill>
                    <w14:schemeClr w14:val="tx1"/>
                  </w14:solidFill>
                </w14:textFill>
              </w:rPr>
              <w:t>；</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在</w:t>
            </w:r>
            <w:r>
              <w:rPr>
                <w:rFonts w:hint="eastAsia" w:ascii="宋体" w:hAnsi="宋体" w:eastAsia="宋体" w:cs="宋体"/>
                <w:color w:val="000000" w:themeColor="text1"/>
                <w:kern w:val="0"/>
                <w:sz w:val="28"/>
                <w:szCs w:val="28"/>
                <w:highlight w:val="none"/>
                <w14:textFill>
                  <w14:solidFill>
                    <w14:schemeClr w14:val="tx1"/>
                  </w14:solidFill>
                </w14:textFill>
              </w:rPr>
              <w:t>智能网联</w:t>
            </w:r>
            <w:r>
              <w:rPr>
                <w:rFonts w:hint="eastAsia" w:ascii="宋体" w:hAnsi="宋体" w:eastAsia="宋体" w:cs="宋体"/>
                <w:color w:val="000000" w:themeColor="text1"/>
                <w:kern w:val="0"/>
                <w:sz w:val="28"/>
                <w:szCs w:val="28"/>
                <w:highlight w:val="none"/>
                <w:lang w:val="en-US" w:eastAsia="zh-CN"/>
                <w14:textFill>
                  <w14:solidFill>
                    <w14:schemeClr w14:val="tx1"/>
                  </w14:solidFill>
                </w14:textFill>
              </w:rPr>
              <w:t>方面，</w:t>
            </w:r>
            <w:r>
              <w:rPr>
                <w:rFonts w:hint="eastAsia" w:ascii="宋体" w:hAnsi="宋体" w:eastAsia="宋体" w:cs="宋体"/>
                <w:color w:val="000000" w:themeColor="text1"/>
                <w:kern w:val="0"/>
                <w:sz w:val="28"/>
                <w:szCs w:val="28"/>
                <w:highlight w:val="none"/>
                <w14:textFill>
                  <w14:solidFill>
                    <w14:schemeClr w14:val="tx1"/>
                  </w14:solidFill>
                </w14:textFill>
              </w:rPr>
              <w:t>布局车载通信模块、车云终端，加快车机互联、数据互通与基础车路协同配套建设。</w:t>
            </w:r>
          </w:p>
        </w:tc>
      </w:tr>
    </w:tbl>
    <w:p>
      <w:pPr>
        <w:pStyle w:val="5"/>
        <w:ind w:firstLine="643"/>
        <w:rPr>
          <w:color w:val="000000" w:themeColor="text1"/>
          <w14:textFill>
            <w14:solidFill>
              <w14:schemeClr w14:val="tx1"/>
            </w14:solidFill>
          </w14:textFill>
        </w:rPr>
      </w:pPr>
      <w:bookmarkStart w:id="135" w:name="_Toc23774"/>
      <w:bookmarkStart w:id="136" w:name="_Toc26132"/>
      <w:bookmarkStart w:id="137" w:name="_Toc4997"/>
      <w:bookmarkStart w:id="138" w:name="_Toc25140"/>
      <w:bookmarkStart w:id="139" w:name="_Toc13656"/>
      <w:bookmarkStart w:id="140" w:name="_Toc30689"/>
      <w:bookmarkStart w:id="141" w:name="_Toc24792"/>
      <w:bookmarkStart w:id="142" w:name="_Toc31451"/>
      <w:bookmarkStart w:id="143" w:name="_Toc22114"/>
      <w:bookmarkStart w:id="144" w:name="_Toc26334"/>
      <w:bookmarkStart w:id="145" w:name="_Toc10284"/>
      <w:r>
        <w:rPr>
          <w:rFonts w:hint="eastAsia"/>
          <w:color w:val="000000" w:themeColor="text1"/>
          <w14:textFill>
            <w14:solidFill>
              <w14:schemeClr w14:val="tx1"/>
            </w14:solidFill>
          </w14:textFill>
        </w:rPr>
        <w:t>6.新一代电子信息产业</w:t>
      </w:r>
      <w:bookmarkEnd w:id="135"/>
      <w:bookmarkEnd w:id="136"/>
      <w:bookmarkEnd w:id="137"/>
      <w:bookmarkEnd w:id="138"/>
      <w:bookmarkEnd w:id="139"/>
      <w:bookmarkEnd w:id="140"/>
      <w:bookmarkEnd w:id="141"/>
      <w:bookmarkEnd w:id="142"/>
      <w:bookmarkEnd w:id="143"/>
      <w:bookmarkEnd w:id="144"/>
      <w:bookmarkEnd w:id="145"/>
    </w:p>
    <w:p>
      <w:pPr>
        <w:ind w:firstLine="643"/>
        <w:rPr>
          <w:rFonts w:hint="eastAsia" w:ascii="仿宋_GB2312" w:hAnsi="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重点围绕新型显示器件发展布局，攻坚光电子元器件技术，拓展半导体分立器件场景应用，引导下游电子信息终端产品向高端化</w:t>
      </w:r>
      <w:r>
        <w:rPr>
          <w:rFonts w:hint="eastAsia" w:ascii="仿宋_GB2312" w:hAnsi="仿宋_GB2312" w:cs="仿宋_GB2312"/>
          <w:color w:val="000000" w:themeColor="text1"/>
          <w:lang w:val="en-US" w:eastAsia="zh-CN"/>
          <w14:textFill>
            <w14:solidFill>
              <w14:schemeClr w14:val="tx1"/>
            </w14:solidFill>
          </w14:textFill>
        </w:rPr>
        <w:t>和</w:t>
      </w:r>
      <w:r>
        <w:rPr>
          <w:rFonts w:hint="eastAsia" w:ascii="仿宋_GB2312" w:hAnsi="仿宋_GB2312" w:eastAsia="仿宋_GB2312" w:cs="仿宋_GB2312"/>
          <w:color w:val="000000" w:themeColor="text1"/>
          <w:lang w:val="en-US" w:eastAsia="zh-CN"/>
          <w14:textFill>
            <w14:solidFill>
              <w14:schemeClr w14:val="tx1"/>
            </w14:solidFill>
          </w14:textFill>
        </w:rPr>
        <w:t>智能化转型</w:t>
      </w:r>
      <w:r>
        <w:rPr>
          <w:rFonts w:hint="eastAsia" w:ascii="仿宋_GB2312" w:hAnsi="仿宋_GB2312" w:cs="仿宋_GB2312"/>
          <w:color w:val="000000" w:themeColor="text1"/>
          <w:lang w:val="en-US" w:eastAsia="zh-CN"/>
          <w14:textFill>
            <w14:solidFill>
              <w14:schemeClr w14:val="tx1"/>
            </w14:solidFill>
          </w14:textFill>
        </w:rPr>
        <w:t>。</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到2030年，力争电子信息产业产值达500亿元。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numPr>
                <w:ilvl w:val="0"/>
                <w:numId w:val="0"/>
              </w:numPr>
              <w:snapToGrid/>
              <w:spacing w:line="240" w:lineRule="auto"/>
              <w:ind w:firstLine="0" w:firstLineChars="0"/>
              <w:jc w:val="center"/>
              <w:rPr>
                <w:rFonts w:hint="default" w:eastAsia="黑体"/>
                <w:b w:val="0"/>
                <w:bCs w:val="0"/>
                <w:color w:val="000000" w:themeColor="text1"/>
                <w:kern w:val="0"/>
                <w:sz w:val="28"/>
                <w:szCs w:val="22"/>
                <w:highlight w:val="none"/>
                <w14:textFill>
                  <w14:solidFill>
                    <w14:schemeClr w14:val="tx1"/>
                  </w14:solidFill>
                </w14:textFill>
              </w:rPr>
            </w:pPr>
            <w:bookmarkStart w:id="146" w:name="_Toc3705"/>
            <w:bookmarkStart w:id="147" w:name="_Toc24443"/>
            <w:bookmarkStart w:id="148" w:name="_Toc22539"/>
            <w:bookmarkStart w:id="149" w:name="_Toc12981"/>
            <w:bookmarkStart w:id="150" w:name="_Toc2695"/>
            <w:bookmarkStart w:id="151" w:name="_Toc13142"/>
            <w:bookmarkStart w:id="152" w:name="_Toc9553"/>
            <w:bookmarkStart w:id="153" w:name="_Toc5347"/>
            <w:bookmarkStart w:id="154" w:name="_Toc13115"/>
            <w:r>
              <w:rPr>
                <w:rFonts w:hint="default" w:eastAsia="黑体"/>
                <w:b w:val="0"/>
                <w:bCs w:val="0"/>
                <w:color w:val="000000" w:themeColor="text1"/>
                <w:kern w:val="0"/>
                <w:sz w:val="28"/>
                <w:szCs w:val="22"/>
                <w:highlight w:val="none"/>
                <w14:textFill>
                  <w14:solidFill>
                    <w14:schemeClr w14:val="tx1"/>
                  </w14:solidFill>
                </w14:textFill>
              </w:rPr>
              <w:t>专栏6 新一代电子信息产业细分领域</w:t>
            </w:r>
          </w:p>
          <w:p>
            <w:pPr>
              <w:widowControl/>
              <w:snapToGrid w:val="0"/>
              <w:spacing w:line="240" w:lineRule="auto"/>
              <w:ind w:firstLine="482" w:firstLineChars="0"/>
              <w:rPr>
                <w:rFonts w:hint="default" w:ascii="Times New Roman" w:hAnsi="Times New Roman" w:eastAsia="宋体" w:cs="Times New Roman"/>
                <w:color w:val="000000" w:themeColor="text1"/>
                <w:kern w:val="2"/>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14:textFill>
                  <w14:solidFill>
                    <w14:schemeClr w14:val="tx1"/>
                  </w14:solidFill>
                </w14:textFill>
              </w:rPr>
              <w:t>1.新型显示器件。</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做优做大LCD成熟面板产能，依托毗邻深圳科创资源攻关OLED量产工艺，突破超薄玻璃减薄、触控一体化核心加工工艺；做强中大尺寸车载显示面板，配套新能源汽车智能座舱产业发展，培育手机、工业触控显示及摄像头模组等核心配套部件，健全新型显示全产业链布局</w:t>
            </w:r>
            <w:r>
              <w:rPr>
                <w:rFonts w:hint="default" w:ascii="Times New Roman" w:hAnsi="Times New Roman" w:eastAsia="宋体" w:cs="Times New Roman"/>
                <w:color w:val="000000" w:themeColor="text1"/>
                <w:kern w:val="2"/>
                <w:sz w:val="28"/>
                <w:szCs w:val="28"/>
                <w:highlight w:val="none"/>
                <w14:textFill>
                  <w14:solidFill>
                    <w14:schemeClr w14:val="tx1"/>
                  </w14:solidFill>
                </w14:textFill>
              </w:rPr>
              <w:t>。</w:t>
            </w:r>
          </w:p>
          <w:p>
            <w:pPr>
              <w:pStyle w:val="14"/>
              <w:spacing w:line="240" w:lineRule="auto"/>
              <w:ind w:firstLine="562"/>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14:textFill>
                  <w14:solidFill>
                    <w14:schemeClr w14:val="tx1"/>
                  </w14:solidFill>
                </w14:textFill>
              </w:rPr>
              <w:t>2.光电子元器件。</w:t>
            </w:r>
            <w:r>
              <w:rPr>
                <w:rFonts w:hint="default"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t>鼓励骨干企业做强光通信器件、连接类元器件，重点布局光芯片、激光器、探测器、调制器、光电池器件、半导体发光器件及</w:t>
            </w:r>
            <w:r>
              <w:rPr>
                <w:rFonts w:hint="eastAsia"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t>光电子</w:t>
            </w:r>
            <w:r>
              <w:rPr>
                <w:rFonts w:hint="default" w:ascii="Times New Roman" w:hAnsi="Times New Roman" w:eastAsia="宋体" w:cs="Times New Roman"/>
                <w:b w:val="0"/>
                <w:bCs w:val="0"/>
                <w:color w:val="000000" w:themeColor="text1"/>
                <w:kern w:val="2"/>
                <w:sz w:val="28"/>
                <w:szCs w:val="28"/>
                <w:highlight w:val="none"/>
                <w:lang w:val="en-US" w:eastAsia="zh-CN"/>
                <w14:textFill>
                  <w14:solidFill>
                    <w14:schemeClr w14:val="tx1"/>
                  </w14:solidFill>
                </w14:textFill>
              </w:rPr>
              <w:t>器件，推动光电子器件向高速率、小型化、集成化升级，提升上下游配套与供应链自主可控能力</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w:t>
            </w:r>
          </w:p>
          <w:p>
            <w:pPr>
              <w:pStyle w:val="14"/>
              <w:spacing w:line="240" w:lineRule="auto"/>
              <w:ind w:firstLine="562"/>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3.拓展发展半导体分立器件。</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持续发展中低压MOSFET、肖特基二极管、快恢复二极管、稳压二极管、整流桥以及小功率三极管等优势产品，前瞻布局SiC二极管、SiC MOSFET等宽禁带器件，补齐芯片设计、封装测试产业链环节，推动分立器件在新能源、智能电网、汽车电子、AR/VR等场景领域落地应用。</w:t>
            </w:r>
          </w:p>
        </w:tc>
      </w:tr>
    </w:tbl>
    <w:p>
      <w:pPr>
        <w:pStyle w:val="5"/>
        <w:ind w:firstLine="643"/>
        <w:rPr>
          <w:rFonts w:hint="default" w:eastAsia="仿宋_GB2312"/>
          <w:color w:val="000000" w:themeColor="text1"/>
          <w:lang w:val="en-US" w:eastAsia="zh-CN"/>
          <w14:textFill>
            <w14:solidFill>
              <w14:schemeClr w14:val="tx1"/>
            </w14:solidFill>
          </w14:textFill>
        </w:rPr>
      </w:pPr>
      <w:bookmarkStart w:id="155" w:name="_Toc7448"/>
      <w:bookmarkStart w:id="156" w:name="_Toc9346"/>
      <w:r>
        <w:rPr>
          <w:rFonts w:hint="eastAsia"/>
          <w:color w:val="000000" w:themeColor="text1"/>
          <w14:textFill>
            <w14:solidFill>
              <w14:schemeClr w14:val="tx1"/>
            </w14:solidFill>
          </w14:textFill>
        </w:rPr>
        <w:t>7.低碳新能源产业</w:t>
      </w:r>
      <w:bookmarkEnd w:id="146"/>
      <w:bookmarkEnd w:id="147"/>
      <w:bookmarkEnd w:id="148"/>
      <w:bookmarkEnd w:id="149"/>
      <w:bookmarkEnd w:id="150"/>
      <w:bookmarkEnd w:id="151"/>
      <w:bookmarkEnd w:id="152"/>
      <w:bookmarkEnd w:id="153"/>
      <w:bookmarkEnd w:id="154"/>
      <w:bookmarkEnd w:id="155"/>
      <w:bookmarkEnd w:id="156"/>
    </w:p>
    <w:p>
      <w:pPr>
        <w:spacing w:line="580" w:lineRule="exact"/>
        <w:ind w:firstLine="643"/>
        <w:rPr>
          <w:rFonts w:hint="eastAsia" w:ascii="仿宋_GB2312" w:hAnsi="仿宋_GB2312" w:cs="仿宋_GB2312"/>
          <w:b w:val="0"/>
          <w:bCs w:val="0"/>
          <w:color w:val="000000" w:themeColor="text1"/>
          <w:lang w:eastAsia="zh-CN"/>
          <w14:textFill>
            <w14:solidFill>
              <w14:schemeClr w14:val="tx1"/>
            </w14:solidFill>
          </w14:textFill>
        </w:rPr>
      </w:pPr>
      <w:r>
        <w:rPr>
          <w:rFonts w:hint="eastAsia" w:ascii="仿宋_GB2312" w:hAnsi="仿宋_GB2312" w:eastAsia="仿宋_GB2312" w:cs="仿宋_GB2312"/>
          <w:b w:val="0"/>
          <w:bCs w:val="0"/>
          <w:color w:val="000000" w:themeColor="text1"/>
          <w14:textFill>
            <w14:solidFill>
              <w14:schemeClr w14:val="tx1"/>
            </w14:solidFill>
          </w14:textFill>
        </w:rPr>
        <w:t>推动海上风电规模化</w:t>
      </w:r>
      <w:r>
        <w:rPr>
          <w:rFonts w:hint="eastAsia" w:ascii="仿宋_GB2312" w:hAnsi="仿宋_GB2312" w:eastAsia="仿宋_GB2312" w:cs="仿宋_GB2312"/>
          <w:b w:val="0"/>
          <w:bCs w:val="0"/>
          <w:color w:val="000000" w:themeColor="text1"/>
          <w:lang w:val="en-US" w:eastAsia="zh-CN"/>
          <w14:textFill>
            <w14:solidFill>
              <w14:schemeClr w14:val="tx1"/>
            </w14:solidFill>
          </w14:textFill>
        </w:rPr>
        <w:t>和</w:t>
      </w:r>
      <w:r>
        <w:rPr>
          <w:rFonts w:hint="eastAsia" w:ascii="仿宋_GB2312" w:hAnsi="仿宋_GB2312" w:eastAsia="仿宋_GB2312" w:cs="仿宋_GB2312"/>
          <w:b w:val="0"/>
          <w:bCs w:val="0"/>
          <w:color w:val="000000" w:themeColor="text1"/>
          <w14:textFill>
            <w14:solidFill>
              <w14:schemeClr w14:val="tx1"/>
            </w14:solidFill>
          </w14:textFill>
        </w:rPr>
        <w:t>融合化发展</w:t>
      </w:r>
      <w:r>
        <w:rPr>
          <w:rFonts w:hint="eastAsia" w:ascii="仿宋_GB2312" w:hAnsi="仿宋_GB2312" w:eastAsia="仿宋_GB2312" w:cs="仿宋_GB2312"/>
          <w:b w:val="0"/>
          <w:bCs w:val="0"/>
          <w:color w:val="000000" w:themeColor="text1"/>
          <w:lang w:eastAsia="zh-CN"/>
          <w14:textFill>
            <w14:solidFill>
              <w14:schemeClr w14:val="tx1"/>
            </w14:solidFill>
          </w14:textFill>
        </w:rPr>
        <w:t>，</w:t>
      </w:r>
      <w:r>
        <w:rPr>
          <w:rFonts w:hint="eastAsia" w:ascii="仿宋_GB2312" w:hAnsi="仿宋_GB2312" w:eastAsia="仿宋_GB2312" w:cs="仿宋_GB2312"/>
          <w:b w:val="0"/>
          <w:bCs w:val="0"/>
          <w:color w:val="000000" w:themeColor="text1"/>
          <w14:textFill>
            <w14:solidFill>
              <w14:schemeClr w14:val="tx1"/>
            </w14:solidFill>
          </w14:textFill>
        </w:rPr>
        <w:t>支持</w:t>
      </w:r>
      <w:r>
        <w:rPr>
          <w:rFonts w:hint="eastAsia" w:ascii="仿宋_GB2312" w:hAnsi="仿宋_GB2312" w:cs="仿宋_GB2312"/>
          <w:b w:val="0"/>
          <w:bCs w:val="0"/>
          <w:color w:val="000000" w:themeColor="text1"/>
          <w:lang w:val="en-US" w:eastAsia="zh-CN"/>
          <w14:textFill>
            <w14:solidFill>
              <w14:schemeClr w14:val="tx1"/>
            </w14:solidFill>
          </w14:textFill>
        </w:rPr>
        <w:t>太阳能、</w:t>
      </w:r>
      <w:r>
        <w:rPr>
          <w:rFonts w:hint="eastAsia" w:ascii="仿宋_GB2312" w:hAnsi="仿宋_GB2312" w:eastAsia="仿宋_GB2312" w:cs="仿宋_GB2312"/>
          <w:b w:val="0"/>
          <w:bCs w:val="0"/>
          <w:color w:val="000000" w:themeColor="text1"/>
          <w14:textFill>
            <w14:solidFill>
              <w14:schemeClr w14:val="tx1"/>
            </w14:solidFill>
          </w14:textFill>
        </w:rPr>
        <w:t>核电</w:t>
      </w:r>
      <w:r>
        <w:rPr>
          <w:rFonts w:hint="eastAsia" w:ascii="仿宋_GB2312" w:hAnsi="仿宋_GB2312" w:eastAsia="仿宋_GB2312" w:cs="仿宋_GB2312"/>
          <w:b w:val="0"/>
          <w:bCs w:val="0"/>
          <w:color w:val="000000" w:themeColor="text1"/>
          <w:lang w:eastAsia="zh-CN"/>
          <w14:textFill>
            <w14:solidFill>
              <w14:schemeClr w14:val="tx1"/>
            </w14:solidFill>
          </w14:textFill>
        </w:rPr>
        <w:t>、</w:t>
      </w:r>
      <w:r>
        <w:rPr>
          <w:rFonts w:hint="eastAsia" w:ascii="仿宋_GB2312" w:hAnsi="仿宋_GB2312" w:cs="仿宋_GB2312"/>
          <w:b w:val="0"/>
          <w:bCs w:val="0"/>
          <w:color w:val="000000" w:themeColor="text1"/>
          <w:lang w:val="en-US" w:eastAsia="zh-CN"/>
          <w14:textFill>
            <w14:solidFill>
              <w14:schemeClr w14:val="tx1"/>
            </w14:solidFill>
          </w14:textFill>
        </w:rPr>
        <w:t>先进核能、</w:t>
      </w:r>
      <w:r>
        <w:rPr>
          <w:rFonts w:hint="eastAsia" w:ascii="仿宋_GB2312" w:hAnsi="仿宋_GB2312" w:eastAsia="仿宋_GB2312" w:cs="仿宋_GB2312"/>
          <w:b w:val="0"/>
          <w:bCs w:val="0"/>
          <w:color w:val="000000" w:themeColor="text1"/>
          <w14:textFill>
            <w14:solidFill>
              <w14:schemeClr w14:val="tx1"/>
            </w14:solidFill>
          </w14:textFill>
        </w:rPr>
        <w:t>储能</w:t>
      </w:r>
      <w:r>
        <w:rPr>
          <w:rFonts w:hint="eastAsia" w:ascii="仿宋_GB2312" w:hAnsi="仿宋_GB2312" w:cs="仿宋_GB2312"/>
          <w:b w:val="0"/>
          <w:bCs w:val="0"/>
          <w:color w:val="000000" w:themeColor="text1"/>
          <w:lang w:val="en-US" w:eastAsia="zh-CN"/>
          <w14:textFill>
            <w14:solidFill>
              <w14:schemeClr w14:val="tx1"/>
            </w14:solidFill>
          </w14:textFill>
        </w:rPr>
        <w:t>等清洁能源</w:t>
      </w:r>
      <w:r>
        <w:rPr>
          <w:rFonts w:hint="eastAsia" w:ascii="仿宋_GB2312" w:hAnsi="仿宋_GB2312" w:eastAsia="仿宋_GB2312" w:cs="仿宋_GB2312"/>
          <w:b w:val="0"/>
          <w:bCs w:val="0"/>
          <w:color w:val="000000" w:themeColor="text1"/>
          <w:lang w:val="en-US" w:eastAsia="zh-CN"/>
          <w14:textFill>
            <w14:solidFill>
              <w14:schemeClr w14:val="tx1"/>
            </w14:solidFill>
          </w14:textFill>
        </w:rPr>
        <w:t>发展，</w:t>
      </w:r>
      <w:r>
        <w:rPr>
          <w:rFonts w:hint="eastAsia" w:ascii="仿宋_GB2312" w:hAnsi="仿宋_GB2312" w:eastAsia="仿宋_GB2312" w:cs="仿宋_GB2312"/>
          <w:b w:val="0"/>
          <w:bCs w:val="0"/>
          <w:color w:val="000000" w:themeColor="text1"/>
          <w14:textFill>
            <w14:solidFill>
              <w14:schemeClr w14:val="tx1"/>
            </w14:solidFill>
          </w14:textFill>
        </w:rPr>
        <w:t>加快智能电网与综合能源服务体系建设</w:t>
      </w:r>
      <w:r>
        <w:rPr>
          <w:rFonts w:hint="eastAsia" w:ascii="仿宋_GB2312" w:hAnsi="仿宋_GB2312" w:cs="仿宋_GB2312"/>
          <w:b w:val="0"/>
          <w:bCs w:val="0"/>
          <w:color w:val="000000" w:themeColor="text1"/>
          <w:lang w:eastAsia="zh-CN"/>
          <w14:textFill>
            <w14:solidFill>
              <w14:schemeClr w14:val="tx1"/>
            </w14:solidFill>
          </w14:textFill>
        </w:rPr>
        <w:t>。</w:t>
      </w:r>
    </w:p>
    <w:p>
      <w:pPr>
        <w:spacing w:line="560" w:lineRule="exact"/>
        <w:ind w:firstLine="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到2030年，力争全市电力总装机规模达到3000万千瓦，清洁能源占比将超50%</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5000" w:type="pct"/>
          </w:tcPr>
          <w:p>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b w:val="0"/>
                <w:bCs w:val="0"/>
                <w:color w:val="000000" w:themeColor="text1"/>
                <w:kern w:val="0"/>
                <w:sz w:val="28"/>
                <w:szCs w:val="22"/>
                <w:highlight w:val="none"/>
                <w:lang w:val="en-US" w:eastAsia="zh-CN"/>
                <w14:textFill>
                  <w14:solidFill>
                    <w14:schemeClr w14:val="tx1"/>
                  </w14:solidFill>
                </w14:textFill>
              </w:rPr>
            </w:pPr>
            <w:r>
              <w:rPr>
                <w:rFonts w:hint="default" w:eastAsia="黑体"/>
                <w:b w:val="0"/>
                <w:bCs w:val="0"/>
                <w:color w:val="000000" w:themeColor="text1"/>
                <w:kern w:val="0"/>
                <w:sz w:val="28"/>
                <w:szCs w:val="22"/>
                <w:highlight w:val="none"/>
                <w14:textFill>
                  <w14:solidFill>
                    <w14:schemeClr w14:val="tx1"/>
                  </w14:solidFill>
                </w14:textFill>
              </w:rPr>
              <w:t>专栏7 低碳新能源产业细分领域</w:t>
            </w:r>
          </w:p>
          <w:p>
            <w:pPr>
              <w:pStyle w:val="14"/>
              <w:spacing w:line="240" w:lineRule="auto"/>
              <w:ind w:firstLine="562"/>
              <w:jc w:val="both"/>
              <w:rPr>
                <w:rFonts w:hint="eastAsia" w:ascii="宋体" w:hAnsi="宋体" w:eastAsia="宋体" w:cs="宋体"/>
                <w:color w:val="000000" w:themeColor="text1"/>
                <w:kern w:val="0"/>
                <w:sz w:val="30"/>
                <w:szCs w:val="30"/>
                <w:highlight w:val="none"/>
                <w:lang w:eastAsia="zh-CN"/>
                <w14:textFill>
                  <w14:solidFill>
                    <w14:schemeClr w14:val="tx1"/>
                  </w14:solidFill>
                </w14:textFill>
              </w:rPr>
            </w:pPr>
            <w:r>
              <w:rPr>
                <w:rFonts w:hint="eastAsia" w:ascii="宋体" w:hAnsi="宋体" w:eastAsia="宋体" w:cs="宋体"/>
                <w:b/>
                <w:bCs/>
                <w:color w:val="000000" w:themeColor="text1"/>
                <w:kern w:val="0"/>
                <w:sz w:val="30"/>
                <w:szCs w:val="30"/>
                <w:highlight w:val="none"/>
                <w:lang w:val="en-US" w:eastAsia="zh-CN"/>
                <w14:textFill>
                  <w14:solidFill>
                    <w14:schemeClr w14:val="tx1"/>
                  </w14:solidFill>
                </w14:textFill>
              </w:rPr>
              <w:t>1.风能。</w:t>
            </w:r>
            <w:r>
              <w:rPr>
                <w:rFonts w:hint="eastAsia" w:ascii="宋体" w:hAnsi="宋体" w:eastAsia="宋体" w:cs="宋体"/>
                <w:b w:val="0"/>
                <w:bCs w:val="0"/>
                <w:color w:val="000000" w:themeColor="text1"/>
                <w:kern w:val="0"/>
                <w:sz w:val="30"/>
                <w:szCs w:val="30"/>
                <w:highlight w:val="none"/>
                <w:lang w:val="en-US" w:eastAsia="zh-CN"/>
                <w14:textFill>
                  <w14:solidFill>
                    <w14:schemeClr w14:val="tx1"/>
                  </w14:solidFill>
                </w14:textFill>
              </w:rPr>
              <w:t>推进红海湾海上风电项目落地建设，攻关深远海、漂浮式风电前沿技术；有序开展国管海域海上风电示范工程，全力推进粤东海上风电基地汕尾第二、三批示范项目申报。培育风电运维、检测认证等生产性配套服务业，打造“资源开发—装备制造—运维服务”一体化风电全链条产业集群。</w:t>
            </w:r>
          </w:p>
          <w:p>
            <w:pPr>
              <w:pStyle w:val="14"/>
              <w:spacing w:line="240" w:lineRule="auto"/>
              <w:ind w:firstLine="562"/>
              <w:jc w:val="both"/>
              <w:rPr>
                <w:rFonts w:hint="eastAsia" w:ascii="宋体" w:hAnsi="宋体" w:eastAsia="宋体" w:cs="宋体"/>
                <w:b w:val="0"/>
                <w:bCs w:val="0"/>
                <w:color w:val="000000" w:themeColor="text1"/>
                <w:kern w:val="0"/>
                <w:sz w:val="30"/>
                <w:szCs w:val="30"/>
                <w:highlight w:val="none"/>
                <w:lang w:val="en-US" w:eastAsia="zh-CN"/>
                <w14:textFill>
                  <w14:solidFill>
                    <w14:schemeClr w14:val="tx1"/>
                  </w14:solidFill>
                </w14:textFill>
              </w:rPr>
            </w:pPr>
            <w:r>
              <w:rPr>
                <w:rFonts w:hint="eastAsia" w:ascii="宋体" w:hAnsi="宋体" w:eastAsia="宋体" w:cs="宋体"/>
                <w:b/>
                <w:bCs/>
                <w:color w:val="000000" w:themeColor="text1"/>
                <w:kern w:val="0"/>
                <w:sz w:val="30"/>
                <w:szCs w:val="30"/>
                <w:highlight w:val="none"/>
                <w:lang w:val="en-US" w:eastAsia="zh-CN"/>
                <w14:textFill>
                  <w14:solidFill>
                    <w14:schemeClr w14:val="tx1"/>
                  </w14:solidFill>
                </w14:textFill>
              </w:rPr>
              <w:t>2.太阳能。</w:t>
            </w:r>
            <w:r>
              <w:rPr>
                <w:rFonts w:hint="eastAsia" w:ascii="宋体" w:hAnsi="宋体" w:eastAsia="宋体" w:cs="宋体"/>
                <w:b w:val="0"/>
                <w:bCs w:val="0"/>
                <w:color w:val="000000" w:themeColor="text1"/>
                <w:kern w:val="0"/>
                <w:sz w:val="30"/>
                <w:szCs w:val="30"/>
                <w:highlight w:val="none"/>
                <w:lang w:val="en-US" w:eastAsia="zh-CN"/>
                <w14:textFill>
                  <w14:solidFill>
                    <w14:schemeClr w14:val="tx1"/>
                  </w14:solidFill>
                </w14:textFill>
              </w:rPr>
              <w:t>鼓励发展高效光伏组件、光伏系统集成、智能运维等技术产品，探索布局海上漂浮式光伏电站、光伏建筑一体化（BIPV）等创新应用场景，推动光伏产业创新发展。</w:t>
            </w:r>
          </w:p>
          <w:p>
            <w:pPr>
              <w:pStyle w:val="14"/>
              <w:spacing w:line="240" w:lineRule="auto"/>
              <w:ind w:firstLine="562"/>
              <w:jc w:val="both"/>
              <w:rPr>
                <w:rFonts w:hint="eastAsia" w:ascii="宋体" w:hAnsi="宋体" w:eastAsia="宋体" w:cs="宋体"/>
                <w:b w:val="0"/>
                <w:bCs w:val="0"/>
                <w:color w:val="000000" w:themeColor="text1"/>
                <w:kern w:val="0"/>
                <w:sz w:val="30"/>
                <w:szCs w:val="30"/>
                <w:highlight w:val="none"/>
                <w:lang w:val="en-US" w:eastAsia="zh-CN"/>
                <w14:textFill>
                  <w14:solidFill>
                    <w14:schemeClr w14:val="tx1"/>
                  </w14:solidFill>
                </w14:textFill>
              </w:rPr>
            </w:pPr>
            <w:r>
              <w:rPr>
                <w:rFonts w:hint="eastAsia" w:ascii="宋体" w:hAnsi="宋体" w:eastAsia="宋体" w:cs="宋体"/>
                <w:b/>
                <w:bCs/>
                <w:color w:val="000000" w:themeColor="text1"/>
                <w:kern w:val="0"/>
                <w:sz w:val="30"/>
                <w:szCs w:val="30"/>
                <w:highlight w:val="none"/>
                <w:lang w:val="en-US" w:eastAsia="zh-CN"/>
                <w14:textFill>
                  <w14:solidFill>
                    <w14:schemeClr w14:val="tx1"/>
                  </w14:solidFill>
                </w14:textFill>
              </w:rPr>
              <w:t>3.先进核能。</w:t>
            </w:r>
            <w:r>
              <w:rPr>
                <w:rFonts w:hint="eastAsia" w:ascii="宋体" w:hAnsi="宋体" w:eastAsia="宋体" w:cs="宋体"/>
                <w:b w:val="0"/>
                <w:bCs w:val="0"/>
                <w:color w:val="000000" w:themeColor="text1"/>
                <w:kern w:val="0"/>
                <w:sz w:val="30"/>
                <w:szCs w:val="30"/>
                <w:highlight w:val="none"/>
                <w:lang w:val="en-US" w:eastAsia="zh-CN"/>
                <w14:textFill>
                  <w14:solidFill>
                    <w14:schemeClr w14:val="tx1"/>
                  </w14:solidFill>
                </w14:textFill>
              </w:rPr>
              <w:t>加快建设陆丰核电1、2号、5、6号机组，推动陆丰核电3、4号机组核准开工建设</w:t>
            </w:r>
            <w:r>
              <w:rPr>
                <w:rFonts w:hint="eastAsia" w:ascii="宋体" w:hAnsi="宋体" w:eastAsia="宋体" w:cs="宋体"/>
                <w:color w:val="000000" w:themeColor="text1"/>
                <w:kern w:val="0"/>
                <w:sz w:val="30"/>
                <w:szCs w:val="30"/>
                <w:highlight w:val="none"/>
                <w14:textFill>
                  <w14:solidFill>
                    <w14:schemeClr w14:val="tx1"/>
                  </w14:solidFill>
                </w14:textFill>
              </w:rPr>
              <w:t>；依托第四代核电研发基础，攻关海上小型堆、铅基快堆等核心技术；拓展核电运维、工程调试、核能综合利用业务，谋划落地涉核装备制造产业。</w:t>
            </w:r>
          </w:p>
          <w:p>
            <w:pPr>
              <w:pStyle w:val="14"/>
              <w:spacing w:line="240" w:lineRule="auto"/>
              <w:ind w:firstLine="562"/>
              <w:jc w:val="both"/>
              <w:rPr>
                <w:rFonts w:hint="default" w:ascii="宋体" w:hAnsi="宋体" w:eastAsia="宋体" w:cs="宋体"/>
                <w:b w:val="0"/>
                <w:bCs w:val="0"/>
                <w:color w:val="000000" w:themeColor="text1"/>
                <w:kern w:val="0"/>
                <w:sz w:val="30"/>
                <w:szCs w:val="30"/>
                <w:highlight w:val="none"/>
                <w:lang w:val="en-US" w:eastAsia="zh-CN"/>
                <w14:textFill>
                  <w14:solidFill>
                    <w14:schemeClr w14:val="tx1"/>
                  </w14:solidFill>
                </w14:textFill>
              </w:rPr>
            </w:pPr>
            <w:r>
              <w:rPr>
                <w:rFonts w:hint="eastAsia" w:ascii="宋体" w:hAnsi="宋体" w:eastAsia="宋体" w:cs="宋体"/>
                <w:b/>
                <w:bCs/>
                <w:color w:val="000000" w:themeColor="text1"/>
                <w:kern w:val="0"/>
                <w:sz w:val="30"/>
                <w:szCs w:val="30"/>
                <w:highlight w:val="none"/>
                <w:lang w:val="en-US" w:eastAsia="zh-CN"/>
                <w14:textFill>
                  <w14:solidFill>
                    <w14:schemeClr w14:val="tx1"/>
                  </w14:solidFill>
                </w14:textFill>
              </w:rPr>
              <w:t>4.储能。</w:t>
            </w:r>
            <w:r>
              <w:rPr>
                <w:rFonts w:hint="eastAsia" w:ascii="宋体" w:hAnsi="宋体" w:eastAsia="宋体" w:cs="宋体"/>
                <w:b w:val="0"/>
                <w:bCs w:val="0"/>
                <w:color w:val="000000" w:themeColor="text1"/>
                <w:kern w:val="0"/>
                <w:sz w:val="30"/>
                <w:szCs w:val="30"/>
                <w:highlight w:val="none"/>
                <w:lang w:val="en-US" w:eastAsia="zh-CN"/>
                <w14:textFill>
                  <w14:solidFill>
                    <w14:schemeClr w14:val="tx1"/>
                  </w14:solidFill>
                </w14:textFill>
              </w:rPr>
              <w:t>培育储能电池制造、系统集成等产业链环节，构建“发电—储能—输配”一体化能源体系。加快汕尾高新区200MW/800MWh锂钠新型储能、陆丰集中式电化学储能电站等项目建设，推进区域新型储能发展。</w:t>
            </w:r>
          </w:p>
        </w:tc>
      </w:tr>
    </w:tbl>
    <w:p>
      <w:pPr>
        <w:pStyle w:val="5"/>
        <w:ind w:firstLine="643"/>
        <w:rPr>
          <w:color w:val="000000" w:themeColor="text1"/>
          <w14:textFill>
            <w14:solidFill>
              <w14:schemeClr w14:val="tx1"/>
            </w14:solidFill>
          </w14:textFill>
        </w:rPr>
      </w:pPr>
      <w:bookmarkStart w:id="157" w:name="_Toc14424"/>
      <w:bookmarkStart w:id="158" w:name="_Toc10925"/>
      <w:bookmarkStart w:id="159" w:name="_Toc2882"/>
      <w:bookmarkStart w:id="160" w:name="_Toc14323"/>
      <w:bookmarkStart w:id="161" w:name="_Toc5007"/>
      <w:bookmarkStart w:id="162" w:name="_Toc29645"/>
      <w:bookmarkStart w:id="163" w:name="_Toc27730"/>
      <w:bookmarkStart w:id="164" w:name="_Toc25909"/>
      <w:bookmarkStart w:id="165" w:name="_Toc19757"/>
      <w:bookmarkStart w:id="166" w:name="_Toc23257"/>
      <w:bookmarkStart w:id="167" w:name="_Toc25718"/>
      <w:r>
        <w:rPr>
          <w:rFonts w:hint="eastAsia"/>
          <w:color w:val="000000" w:themeColor="text1"/>
          <w14:textFill>
            <w14:solidFill>
              <w14:schemeClr w14:val="tx1"/>
            </w14:solidFill>
          </w14:textFill>
        </w:rPr>
        <w:t>8.高端装备制造产业</w:t>
      </w:r>
      <w:bookmarkEnd w:id="157"/>
      <w:bookmarkEnd w:id="158"/>
      <w:bookmarkEnd w:id="159"/>
      <w:bookmarkEnd w:id="160"/>
      <w:bookmarkEnd w:id="161"/>
      <w:bookmarkEnd w:id="162"/>
      <w:bookmarkEnd w:id="163"/>
      <w:bookmarkEnd w:id="164"/>
      <w:bookmarkEnd w:id="165"/>
      <w:bookmarkEnd w:id="166"/>
      <w:bookmarkEnd w:id="167"/>
    </w:p>
    <w:p>
      <w:pPr>
        <w:ind w:firstLine="643"/>
        <w:rPr>
          <w:rFonts w:hint="eastAsia" w:ascii="仿宋_GB2312" w:hAnsi="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重点发展海洋工程装备</w:t>
      </w:r>
      <w:r>
        <w:rPr>
          <w:rFonts w:hint="eastAsia" w:ascii="仿宋_GB2312" w:hAnsi="仿宋_GB2312" w:cs="仿宋_GB2312"/>
          <w:b w:val="0"/>
          <w:bCs w:val="0"/>
          <w:color w:val="000000" w:themeColor="text1"/>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lang w:val="en-US" w:eastAsia="zh-CN"/>
          <w14:textFill>
            <w14:solidFill>
              <w14:schemeClr w14:val="tx1"/>
            </w14:solidFill>
          </w14:textFill>
        </w:rPr>
        <w:t>高技术船舶，壮大智能制造装备，探索发展通用航空器及无人机装备，夯实核心零部件配套基础。</w:t>
      </w:r>
    </w:p>
    <w:p>
      <w:pPr>
        <w:ind w:firstLine="643"/>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到2030年，力争高端装备制造产业集群产值达到500亿元。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b w:val="0"/>
                <w:bCs w:val="0"/>
                <w:color w:val="000000" w:themeColor="text1"/>
                <w:kern w:val="0"/>
                <w:sz w:val="28"/>
                <w:szCs w:val="22"/>
                <w:highlight w:val="none"/>
                <w14:textFill>
                  <w14:solidFill>
                    <w14:schemeClr w14:val="tx1"/>
                  </w14:solidFill>
                </w14:textFill>
              </w:rPr>
            </w:pPr>
            <w:r>
              <w:rPr>
                <w:rFonts w:hint="default" w:eastAsia="黑体"/>
                <w:b w:val="0"/>
                <w:bCs w:val="0"/>
                <w:color w:val="000000" w:themeColor="text1"/>
                <w:kern w:val="0"/>
                <w:sz w:val="28"/>
                <w:szCs w:val="22"/>
                <w:highlight w:val="none"/>
                <w14:textFill>
                  <w14:solidFill>
                    <w14:schemeClr w14:val="tx1"/>
                  </w14:solidFill>
                </w14:textFill>
              </w:rPr>
              <w:t>专栏8 高端装备制造产业细分领域</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562"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kern w:val="2"/>
                <w:sz w:val="28"/>
                <w:szCs w:val="22"/>
                <w:lang w:val="en-US" w:eastAsia="zh-CN" w:bidi="ar-SA"/>
                <w14:textFill>
                  <w14:solidFill>
                    <w14:schemeClr w14:val="tx1"/>
                  </w14:solidFill>
                </w14:textFill>
              </w:rPr>
              <w:t>1.</w:t>
            </w:r>
            <w:r>
              <w:rPr>
                <w:rFonts w:hint="eastAsia" w:ascii="宋体" w:hAnsi="宋体" w:eastAsia="宋体" w:cs="宋体"/>
                <w:b/>
                <w:bCs/>
                <w:color w:val="000000" w:themeColor="text1"/>
                <w:sz w:val="28"/>
                <w:szCs w:val="22"/>
                <w:lang w:val="en-US" w:eastAsia="zh-CN"/>
                <w14:textFill>
                  <w14:solidFill>
                    <w14:schemeClr w14:val="tx1"/>
                  </w14:solidFill>
                </w14:textFill>
              </w:rPr>
              <w:t>海洋工程装备</w:t>
            </w:r>
            <w:r>
              <w:rPr>
                <w:rFonts w:hint="eastAsia" w:ascii="宋体" w:hAnsi="宋体" w:eastAsia="宋体" w:cs="宋体"/>
                <w:b/>
                <w:bCs/>
                <w:color w:val="000000" w:themeColor="text1"/>
                <w:sz w:val="28"/>
                <w:szCs w:val="22"/>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加快推进</w:t>
            </w:r>
            <w:r>
              <w:rPr>
                <w:rFonts w:hint="default" w:ascii="宋体" w:hAnsi="宋体" w:eastAsia="宋体" w:cs="宋体"/>
                <w:color w:val="000000" w:themeColor="text1"/>
                <w:sz w:val="28"/>
                <w:szCs w:val="28"/>
                <w14:textFill>
                  <w14:solidFill>
                    <w14:schemeClr w14:val="tx1"/>
                  </w14:solidFill>
                </w14:textFill>
              </w:rPr>
              <w:t>汕尾海上风电装备制造及工程基地</w:t>
            </w:r>
            <w:r>
              <w:rPr>
                <w:rFonts w:hint="eastAsia" w:ascii="宋体" w:hAnsi="宋体" w:eastAsia="宋体" w:cs="宋体"/>
                <w:color w:val="000000" w:themeColor="text1"/>
                <w:sz w:val="28"/>
                <w:szCs w:val="28"/>
                <w:lang w:val="en-US" w:eastAsia="zh-CN"/>
                <w14:textFill>
                  <w14:solidFill>
                    <w14:schemeClr w14:val="tx1"/>
                  </w14:solidFill>
                </w14:textFill>
              </w:rPr>
              <w:t>建设，重点研发</w:t>
            </w:r>
            <w:r>
              <w:rPr>
                <w:rFonts w:hint="eastAsia" w:ascii="宋体" w:hAnsi="宋体" w:eastAsia="宋体" w:cs="宋体"/>
                <w:color w:val="000000" w:themeColor="text1"/>
                <w:sz w:val="28"/>
                <w:szCs w:val="28"/>
                <w14:textFill>
                  <w14:solidFill>
                    <w14:schemeClr w14:val="tx1"/>
                  </w14:solidFill>
                </w14:textFill>
              </w:rPr>
              <w:t>制造10兆瓦级</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20兆瓦级的风电机组，</w:t>
            </w:r>
            <w:r>
              <w:rPr>
                <w:rFonts w:hint="eastAsia" w:ascii="宋体" w:hAnsi="宋体" w:eastAsia="宋体" w:cs="宋体"/>
                <w:color w:val="000000" w:themeColor="text1"/>
                <w:sz w:val="28"/>
                <w:szCs w:val="28"/>
                <w:lang w:val="en-US" w:eastAsia="zh-CN"/>
                <w14:textFill>
                  <w14:solidFill>
                    <w14:schemeClr w14:val="tx1"/>
                  </w14:solidFill>
                </w14:textFill>
              </w:rPr>
              <w:t>做强</w:t>
            </w:r>
            <w:r>
              <w:rPr>
                <w:rFonts w:hint="eastAsia" w:ascii="宋体" w:hAnsi="宋体" w:eastAsia="宋体" w:cs="宋体"/>
                <w:color w:val="000000" w:themeColor="text1"/>
                <w:sz w:val="28"/>
                <w:szCs w:val="28"/>
                <w14:textFill>
                  <w14:solidFill>
                    <w14:schemeClr w14:val="tx1"/>
                  </w14:solidFill>
                </w14:textFill>
              </w:rPr>
              <w:t>超大型风机总装集成能力，重点发展叶片、塔筒、导管架、海底电缆等大型结构件</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补齐发电机、齿轮箱、控制系统等关键部件配套</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鼓励发展</w:t>
            </w:r>
            <w:r>
              <w:rPr>
                <w:rFonts w:hint="eastAsia" w:ascii="宋体" w:hAnsi="宋体" w:eastAsia="宋体" w:cs="宋体"/>
                <w:color w:val="000000" w:themeColor="text1"/>
                <w:sz w:val="28"/>
                <w:szCs w:val="28"/>
                <w14:textFill>
                  <w14:solidFill>
                    <w14:schemeClr w14:val="tx1"/>
                  </w14:solidFill>
                </w14:textFill>
              </w:rPr>
              <w:t>“海上风电+电解水制氢”一体化装备，突破海上浮式制氢平台、高效质子交换膜电解槽等关键技术</w:t>
            </w:r>
            <w:r>
              <w:rPr>
                <w:rFonts w:hint="eastAsia" w:ascii="宋体" w:hAnsi="宋体" w:eastAsia="宋体" w:cs="宋体"/>
                <w:color w:val="000000" w:themeColor="text1"/>
                <w:sz w:val="28"/>
                <w:szCs w:val="28"/>
                <w:lang w:eastAsia="zh-CN"/>
                <w14:textFill>
                  <w14:solidFill>
                    <w14:schemeClr w14:val="tx1"/>
                  </w14:solidFill>
                </w14:textFill>
              </w:rPr>
              <w:t>，推动建设海上能源综合示范项目。</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562"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2.</w:t>
            </w:r>
            <w:r>
              <w:rPr>
                <w:rFonts w:hint="eastAsia" w:ascii="宋体" w:hAnsi="宋体" w:eastAsia="宋体" w:cs="宋体"/>
                <w:b/>
                <w:bCs/>
                <w:color w:val="000000" w:themeColor="text1"/>
                <w:sz w:val="28"/>
                <w:szCs w:val="22"/>
                <w:lang w:val="en-US" w:eastAsia="zh-CN"/>
                <w14:textFill>
                  <w14:solidFill>
                    <w14:schemeClr w14:val="tx1"/>
                  </w14:solidFill>
                </w14:textFill>
              </w:rPr>
              <w:t>高技术船舶。</w:t>
            </w:r>
            <w:r>
              <w:rPr>
                <w:rFonts w:hint="eastAsia" w:ascii="宋体" w:hAnsi="宋体" w:eastAsia="宋体" w:cs="宋体"/>
                <w:color w:val="000000" w:themeColor="text1"/>
                <w:sz w:val="28"/>
                <w:szCs w:val="28"/>
                <w:lang w:val="en-US" w:eastAsia="zh-CN"/>
                <w14:textFill>
                  <w14:solidFill>
                    <w14:schemeClr w14:val="tx1"/>
                  </w14:solidFill>
                </w14:textFill>
              </w:rPr>
              <w:t>以现代化海洋牧场为牵引，</w:t>
            </w:r>
            <w:r>
              <w:rPr>
                <w:rFonts w:hint="eastAsia" w:ascii="宋体" w:hAnsi="宋体" w:eastAsia="宋体" w:cs="宋体"/>
                <w:color w:val="000000" w:themeColor="text1"/>
                <w:sz w:val="28"/>
                <w:szCs w:val="28"/>
                <w14:textFill>
                  <w14:solidFill>
                    <w14:schemeClr w14:val="tx1"/>
                  </w14:solidFill>
                </w14:textFill>
              </w:rPr>
              <w:t>研发新型深远海养殖平台、鱼类自动分级系统等</w:t>
            </w:r>
            <w:r>
              <w:rPr>
                <w:rFonts w:hint="eastAsia" w:ascii="宋体" w:hAnsi="宋体" w:eastAsia="宋体" w:cs="宋体"/>
                <w:color w:val="000000" w:themeColor="text1"/>
                <w:sz w:val="28"/>
                <w:szCs w:val="28"/>
                <w:lang w:val="en-US" w:eastAsia="zh-CN"/>
                <w14:textFill>
                  <w14:solidFill>
                    <w14:schemeClr w14:val="tx1"/>
                  </w14:solidFill>
                </w14:textFill>
              </w:rPr>
              <w:t>重型</w:t>
            </w:r>
            <w:r>
              <w:rPr>
                <w:rFonts w:hint="eastAsia" w:ascii="宋体" w:hAnsi="宋体" w:eastAsia="宋体" w:cs="宋体"/>
                <w:color w:val="000000" w:themeColor="text1"/>
                <w:sz w:val="28"/>
                <w:szCs w:val="28"/>
                <w14:textFill>
                  <w14:solidFill>
                    <w14:schemeClr w14:val="tx1"/>
                  </w14:solidFill>
                </w14:textFill>
              </w:rPr>
              <w:t>装备</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配套发展船载智能终端、海洋监测通信与导航雷达，布局新能源船舶及</w:t>
            </w:r>
            <w:r>
              <w:rPr>
                <w:rFonts w:hint="eastAsia" w:ascii="宋体" w:hAnsi="宋体" w:eastAsia="宋体" w:cs="宋体"/>
                <w:color w:val="000000" w:themeColor="text1"/>
                <w:sz w:val="28"/>
                <w:szCs w:val="28"/>
                <w14:textFill>
                  <w14:solidFill>
                    <w14:schemeClr w14:val="tx1"/>
                  </w14:solidFill>
                </w14:textFill>
              </w:rPr>
              <w:t>智驱高性能深远海养殖辅助船</w:t>
            </w:r>
            <w:r>
              <w:rPr>
                <w:rFonts w:hint="eastAsia" w:ascii="宋体" w:hAnsi="宋体" w:eastAsia="宋体" w:cs="宋体"/>
                <w:color w:val="000000" w:themeColor="text1"/>
                <w:sz w:val="28"/>
                <w:szCs w:val="28"/>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562" w:firstLineChars="200"/>
              <w:textAlignment w:val="auto"/>
              <w:rPr>
                <w:rFonts w:hint="eastAsia" w:ascii="宋体" w:hAnsi="宋体" w:eastAsia="宋体" w:cs="宋体"/>
                <w:b w:val="0"/>
                <w:bCs w:val="0"/>
                <w:color w:val="000000" w:themeColor="text1"/>
                <w:sz w:val="28"/>
                <w:szCs w:val="22"/>
                <w:lang w:val="en-US" w:eastAsia="zh-CN"/>
                <w14:textFill>
                  <w14:solidFill>
                    <w14:schemeClr w14:val="tx1"/>
                  </w14:solidFill>
                </w14:textFill>
              </w:rPr>
            </w:pPr>
            <w:r>
              <w:rPr>
                <w:rFonts w:hint="eastAsia" w:ascii="宋体" w:hAnsi="宋体" w:eastAsia="宋体" w:cs="宋体"/>
                <w:b/>
                <w:bCs/>
                <w:color w:val="000000" w:themeColor="text1"/>
                <w:sz w:val="28"/>
                <w:szCs w:val="22"/>
                <w:lang w:val="en-US" w:eastAsia="zh-CN"/>
                <w14:textFill>
                  <w14:solidFill>
                    <w14:schemeClr w14:val="tx1"/>
                  </w14:solidFill>
                </w14:textFill>
              </w:rPr>
              <w:t>3.智能制造装备。</w:t>
            </w:r>
            <w:r>
              <w:rPr>
                <w:rFonts w:hint="eastAsia" w:ascii="宋体" w:hAnsi="宋体" w:eastAsia="宋体" w:cs="宋体"/>
                <w:b w:val="0"/>
                <w:bCs w:val="0"/>
                <w:color w:val="000000" w:themeColor="text1"/>
                <w:sz w:val="28"/>
                <w:szCs w:val="22"/>
                <w:lang w:val="en-US" w:eastAsia="zh-CN"/>
                <w14:textFill>
                  <w14:solidFill>
                    <w14:schemeClr w14:val="tx1"/>
                  </w14:solidFill>
                </w14:textFill>
              </w:rPr>
              <w:t>在工业机器人领域，鼓励发展精密装配机器人、分拣搬运机器人、协作机器人，推进产线自动化改造；在智能检测装备领域，发展机器视觉表面缺陷检测设备、在线尺寸检测装备、高精度几何测量仪器，适配制造业全流程质检环节，提升产品良率与质量稳定性；在高端数控机床装备领域，研发精密数控磨床、多轴精密加工中心及专用数控切削机床，提升本地数控设备加工精度与运行稳定性。</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562" w:firstLineChars="200"/>
              <w:textAlignment w:val="auto"/>
              <w:rPr>
                <w:rFonts w:hint="default" w:ascii="宋体" w:hAnsi="宋体" w:eastAsia="宋体" w:cs="宋体"/>
                <w:b w:val="0"/>
                <w:bCs w:val="0"/>
                <w:color w:val="000000" w:themeColor="text1"/>
                <w:sz w:val="28"/>
                <w:szCs w:val="22"/>
                <w:lang w:val="en-US" w:eastAsia="zh-CN"/>
                <w14:textFill>
                  <w14:solidFill>
                    <w14:schemeClr w14:val="tx1"/>
                  </w14:solidFill>
                </w14:textFill>
              </w:rPr>
            </w:pPr>
            <w:r>
              <w:rPr>
                <w:rFonts w:hint="eastAsia" w:ascii="宋体" w:hAnsi="宋体" w:eastAsia="宋体" w:cs="宋体"/>
                <w:b/>
                <w:bCs/>
                <w:color w:val="000000" w:themeColor="text1"/>
                <w:sz w:val="28"/>
                <w:szCs w:val="22"/>
                <w:lang w:val="en-US" w:eastAsia="zh-CN"/>
                <w14:textFill>
                  <w14:solidFill>
                    <w14:schemeClr w14:val="tx1"/>
                  </w14:solidFill>
                </w14:textFill>
              </w:rPr>
              <w:t>4.通用航空器及无人机装备。</w:t>
            </w:r>
            <w:r>
              <w:rPr>
                <w:rFonts w:hint="eastAsia" w:ascii="宋体" w:hAnsi="宋体" w:eastAsia="宋体" w:cs="宋体"/>
                <w:color w:val="000000" w:themeColor="text1"/>
                <w:sz w:val="28"/>
                <w:szCs w:val="22"/>
                <w14:textFill>
                  <w14:solidFill>
                    <w14:schemeClr w14:val="tx1"/>
                  </w14:solidFill>
                </w14:textFill>
              </w:rPr>
              <w:t>重点发展轻型运动飞机、直升机旋翼系统</w:t>
            </w:r>
            <w:r>
              <w:rPr>
                <w:rFonts w:hint="eastAsia" w:ascii="宋体" w:hAnsi="宋体" w:eastAsia="宋体" w:cs="宋体"/>
                <w:color w:val="000000" w:themeColor="text1"/>
                <w:sz w:val="28"/>
                <w:szCs w:val="22"/>
                <w:lang w:eastAsia="zh-CN"/>
                <w14:textFill>
                  <w14:solidFill>
                    <w14:schemeClr w14:val="tx1"/>
                  </w14:solidFill>
                </w14:textFill>
              </w:rPr>
              <w:t>以及</w:t>
            </w:r>
            <w:r>
              <w:rPr>
                <w:rFonts w:hint="eastAsia" w:ascii="宋体" w:hAnsi="宋体" w:eastAsia="宋体" w:cs="宋体"/>
                <w:color w:val="000000" w:themeColor="text1"/>
                <w:sz w:val="28"/>
                <w:szCs w:val="22"/>
                <w14:textFill>
                  <w14:solidFill>
                    <w14:schemeClr w14:val="tx1"/>
                  </w14:solidFill>
                </w14:textFill>
              </w:rPr>
              <w:t>通用航空发动机</w:t>
            </w:r>
            <w:r>
              <w:rPr>
                <w:rFonts w:hint="eastAsia" w:ascii="宋体" w:hAnsi="宋体" w:eastAsia="宋体" w:cs="宋体"/>
                <w:color w:val="000000" w:themeColor="text1"/>
                <w:sz w:val="28"/>
                <w:szCs w:val="22"/>
                <w:lang w:eastAsia="zh-CN"/>
                <w14:textFill>
                  <w14:solidFill>
                    <w14:schemeClr w14:val="tx1"/>
                  </w14:solidFill>
                </w14:textFill>
              </w:rPr>
              <w:t>核心部件；</w:t>
            </w:r>
            <w:r>
              <w:rPr>
                <w:rFonts w:hint="eastAsia" w:ascii="宋体" w:hAnsi="宋体" w:eastAsia="宋体" w:cs="宋体"/>
                <w:color w:val="000000" w:themeColor="text1"/>
                <w:sz w:val="28"/>
                <w:szCs w:val="22"/>
                <w:lang w:val="en-US" w:eastAsia="zh-CN"/>
                <w14:textFill>
                  <w14:solidFill>
                    <w14:schemeClr w14:val="tx1"/>
                  </w14:solidFill>
                </w14:textFill>
              </w:rPr>
              <w:t>布局</w:t>
            </w:r>
            <w:r>
              <w:rPr>
                <w:rFonts w:hint="eastAsia" w:ascii="宋体" w:hAnsi="宋体" w:eastAsia="宋体" w:cs="宋体"/>
                <w:color w:val="000000" w:themeColor="text1"/>
                <w:sz w:val="28"/>
                <w:szCs w:val="22"/>
                <w14:textFill>
                  <w14:solidFill>
                    <w14:schemeClr w14:val="tx1"/>
                  </w14:solidFill>
                </w14:textFill>
              </w:rPr>
              <w:t>长航时多旋翼无人机、垂直起降固定翼无人机</w:t>
            </w:r>
            <w:r>
              <w:rPr>
                <w:rFonts w:hint="eastAsia" w:ascii="宋体" w:hAnsi="宋体" w:eastAsia="宋体" w:cs="宋体"/>
                <w:color w:val="000000" w:themeColor="text1"/>
                <w:sz w:val="28"/>
                <w:szCs w:val="22"/>
                <w:lang w:eastAsia="zh-CN"/>
                <w14:textFill>
                  <w14:solidFill>
                    <w14:schemeClr w14:val="tx1"/>
                  </w14:solidFill>
                </w14:textFill>
              </w:rPr>
              <w:t>以及</w:t>
            </w:r>
            <w:r>
              <w:rPr>
                <w:rFonts w:hint="eastAsia" w:ascii="宋体" w:hAnsi="宋体" w:eastAsia="宋体" w:cs="宋体"/>
                <w:color w:val="000000" w:themeColor="text1"/>
                <w:sz w:val="28"/>
                <w:szCs w:val="22"/>
                <w14:textFill>
                  <w14:solidFill>
                    <w14:schemeClr w14:val="tx1"/>
                  </w14:solidFill>
                </w14:textFill>
              </w:rPr>
              <w:t>无人机智能飞控系统，开发海洋监测、港口物流、农业植保、电力巡检等场景专用无人机。</w:t>
            </w:r>
          </w:p>
          <w:p>
            <w:pPr>
              <w:keepNext w:val="0"/>
              <w:keepLines w:val="0"/>
              <w:pageBreakBefore w:val="0"/>
              <w:widowControl w:val="0"/>
              <w:kinsoku/>
              <w:wordWrap/>
              <w:overflowPunct/>
              <w:topLinePunct w:val="0"/>
              <w:autoSpaceDE/>
              <w:autoSpaceDN/>
              <w:bidi w:val="0"/>
              <w:adjustRightInd/>
              <w:snapToGrid w:val="0"/>
              <w:spacing w:line="240" w:lineRule="auto"/>
              <w:ind w:firstLine="562" w:firstLineChars="200"/>
              <w:textAlignment w:val="auto"/>
              <w:rPr>
                <w:color w:val="000000" w:themeColor="text1"/>
                <w14:textFill>
                  <w14:solidFill>
                    <w14:schemeClr w14:val="tx1"/>
                  </w14:solidFill>
                </w14:textFill>
              </w:rPr>
            </w:pPr>
            <w:r>
              <w:rPr>
                <w:rFonts w:hint="eastAsia" w:ascii="宋体" w:hAnsi="宋体" w:eastAsia="宋体" w:cs="宋体"/>
                <w:b/>
                <w:bCs/>
                <w:color w:val="000000" w:themeColor="text1"/>
                <w:sz w:val="28"/>
                <w:szCs w:val="22"/>
                <w:lang w:val="en-US" w:eastAsia="zh-CN"/>
                <w14:textFill>
                  <w14:solidFill>
                    <w14:schemeClr w14:val="tx1"/>
                  </w14:solidFill>
                </w14:textFill>
              </w:rPr>
              <w:t>5.高端装备核心零部件。</w:t>
            </w:r>
            <w:r>
              <w:rPr>
                <w:rFonts w:hint="eastAsia" w:ascii="宋体" w:hAnsi="宋体" w:eastAsia="宋体" w:cs="宋体"/>
                <w:color w:val="000000" w:themeColor="text1"/>
                <w:sz w:val="28"/>
                <w:szCs w:val="28"/>
                <w14:textFill>
                  <w14:solidFill>
                    <w14:schemeClr w14:val="tx1"/>
                  </w14:solidFill>
                </w14:textFill>
              </w:rPr>
              <w:t>围绕海工装备、智能装备及通航等核心产业需求，</w:t>
            </w:r>
            <w:r>
              <w:rPr>
                <w:rFonts w:hint="eastAsia" w:ascii="宋体" w:hAnsi="宋体" w:eastAsia="宋体" w:cs="宋体"/>
                <w:color w:val="000000" w:themeColor="text1"/>
                <w:sz w:val="28"/>
                <w:szCs w:val="28"/>
                <w:lang w:eastAsia="zh-CN"/>
                <w14:textFill>
                  <w14:solidFill>
                    <w14:schemeClr w14:val="tx1"/>
                  </w14:solidFill>
                </w14:textFill>
              </w:rPr>
              <w:t>夯实精密铸件、高端轴承、液压件、密封件及特种电缆等通用基础件配套能力；</w:t>
            </w:r>
            <w:r>
              <w:rPr>
                <w:rFonts w:hint="eastAsia" w:ascii="宋体" w:hAnsi="宋体" w:eastAsia="宋体" w:cs="宋体"/>
                <w:color w:val="000000" w:themeColor="text1"/>
                <w:sz w:val="28"/>
                <w:szCs w:val="28"/>
                <w:lang w:val="en-US" w:eastAsia="zh-CN"/>
                <w14:textFill>
                  <w14:solidFill>
                    <w14:schemeClr w14:val="tx1"/>
                  </w14:solidFill>
                </w14:textFill>
              </w:rPr>
              <w:t>鼓励发展深水系泊系统、水下生产系统、智能船舶控制系统及绿色动力系统等专用核心系统</w:t>
            </w:r>
            <w:r>
              <w:rPr>
                <w:rFonts w:hint="eastAsia" w:ascii="宋体" w:hAnsi="宋体" w:eastAsia="宋体" w:cs="宋体"/>
                <w:color w:val="000000" w:themeColor="text1"/>
                <w:sz w:val="28"/>
                <w:szCs w:val="28"/>
                <w:lang w:eastAsia="zh-CN"/>
                <w14:textFill>
                  <w14:solidFill>
                    <w14:schemeClr w14:val="tx1"/>
                  </w14:solidFill>
                </w14:textFill>
              </w:rPr>
              <w:t>；聚焦发动机、变流器、升降锁紧系统、靠泊系统、导航定位系统等瓶颈</w:t>
            </w:r>
            <w:r>
              <w:rPr>
                <w:rFonts w:hint="eastAsia" w:ascii="宋体" w:hAnsi="宋体" w:eastAsia="宋体" w:cs="宋体"/>
                <w:color w:val="000000" w:themeColor="text1"/>
                <w:sz w:val="28"/>
                <w:szCs w:val="28"/>
                <w:lang w:val="en-US" w:eastAsia="zh-CN"/>
                <w14:textFill>
                  <w14:solidFill>
                    <w14:schemeClr w14:val="tx1"/>
                  </w14:solidFill>
                </w14:textFill>
              </w:rPr>
              <w:t>技术</w:t>
            </w:r>
            <w:r>
              <w:rPr>
                <w:rFonts w:hint="eastAsia" w:ascii="宋体" w:hAnsi="宋体" w:eastAsia="宋体" w:cs="宋体"/>
                <w:color w:val="000000" w:themeColor="text1"/>
                <w:sz w:val="28"/>
                <w:szCs w:val="28"/>
                <w:lang w:eastAsia="zh-CN"/>
                <w14:textFill>
                  <w14:solidFill>
                    <w14:schemeClr w14:val="tx1"/>
                  </w14:solidFill>
                </w14:textFill>
              </w:rPr>
              <w:t>，加强核心技术攻关与成果转化</w:t>
            </w:r>
            <w:r>
              <w:rPr>
                <w:rFonts w:hint="eastAsia" w:ascii="宋体" w:hAnsi="宋体" w:eastAsia="宋体" w:cs="宋体"/>
                <w:color w:val="000000" w:themeColor="text1"/>
                <w:sz w:val="28"/>
                <w:szCs w:val="22"/>
                <w14:textFill>
                  <w14:solidFill>
                    <w14:schemeClr w14:val="tx1"/>
                  </w14:solidFill>
                </w14:textFill>
              </w:rPr>
              <w:t>。</w:t>
            </w:r>
          </w:p>
        </w:tc>
      </w:tr>
    </w:tbl>
    <w:p>
      <w:pPr>
        <w:pStyle w:val="5"/>
        <w:keepNext/>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color w:val="000000" w:themeColor="text1"/>
          <w14:textFill>
            <w14:solidFill>
              <w14:schemeClr w14:val="tx1"/>
            </w14:solidFill>
          </w14:textFill>
        </w:rPr>
      </w:pPr>
      <w:bookmarkStart w:id="168" w:name="_Toc7051"/>
      <w:bookmarkStart w:id="169" w:name="_Toc3563"/>
      <w:bookmarkStart w:id="170" w:name="_Toc15962"/>
      <w:bookmarkStart w:id="171" w:name="_Toc24148"/>
      <w:bookmarkStart w:id="172" w:name="_Toc28482"/>
      <w:bookmarkStart w:id="173" w:name="_Toc27126"/>
      <w:bookmarkStart w:id="174" w:name="_Toc13261"/>
      <w:bookmarkStart w:id="175" w:name="_Toc31099"/>
      <w:bookmarkStart w:id="176" w:name="_Toc20996"/>
      <w:bookmarkStart w:id="177" w:name="_Toc10647"/>
      <w:bookmarkStart w:id="178" w:name="_Toc24622"/>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安全应急与环保新材料产业</w:t>
      </w:r>
      <w:bookmarkEnd w:id="168"/>
      <w:bookmarkEnd w:id="169"/>
      <w:bookmarkEnd w:id="170"/>
      <w:bookmarkEnd w:id="171"/>
      <w:bookmarkEnd w:id="172"/>
      <w:bookmarkEnd w:id="173"/>
      <w:bookmarkEnd w:id="174"/>
      <w:bookmarkEnd w:id="175"/>
      <w:bookmarkEnd w:id="176"/>
      <w:bookmarkEnd w:id="177"/>
      <w:bookmarkEnd w:id="178"/>
    </w:p>
    <w:p>
      <w:pPr>
        <w:pStyle w:val="2"/>
        <w:rPr>
          <w:rFonts w:hint="eastAsia"/>
          <w:color w:val="000000" w:themeColor="text1"/>
          <w:lang w:eastAsia="zh-CN"/>
          <w14:textFill>
            <w14:solidFill>
              <w14:schemeClr w14:val="tx1"/>
            </w14:solidFill>
          </w14:textFill>
        </w:rPr>
      </w:pPr>
      <w:r>
        <w:rPr>
          <w:rFonts w:hint="eastAsia" w:ascii="仿宋_GB2312" w:hAnsi="仿宋_GB2312" w:eastAsia="仿宋_GB2312" w:cs="仿宋_GB2312"/>
          <w:b w:val="0"/>
          <w:bCs w:val="0"/>
          <w:color w:val="000000" w:themeColor="text1"/>
          <w:szCs w:val="32"/>
          <w:lang w:val="en-US" w:eastAsia="zh-CN"/>
          <w14:textFill>
            <w14:solidFill>
              <w14:schemeClr w14:val="tx1"/>
            </w14:solidFill>
          </w14:textFill>
        </w:rPr>
        <w:t>重点</w:t>
      </w:r>
      <w:r>
        <w:rPr>
          <w:rFonts w:hint="eastAsia" w:ascii="仿宋_GB2312" w:hAnsi="仿宋_GB2312" w:eastAsia="仿宋_GB2312" w:cs="仿宋_GB2312"/>
          <w:b w:val="0"/>
          <w:bCs w:val="0"/>
          <w:color w:val="000000" w:themeColor="text1"/>
          <w:szCs w:val="32"/>
          <w14:textFill>
            <w14:solidFill>
              <w14:schemeClr w14:val="tx1"/>
            </w14:solidFill>
          </w14:textFill>
        </w:rPr>
        <w:t>提升安</w:t>
      </w:r>
      <w:r>
        <w:rPr>
          <w:rFonts w:hint="eastAsia" w:ascii="Times New Roman" w:hAnsi="Times New Roman" w:eastAsia="仿宋_GB2312" w:cs="Times New Roman"/>
          <w:color w:val="000000" w:themeColor="text1"/>
          <w:kern w:val="2"/>
          <w:sz w:val="32"/>
          <w:szCs w:val="24"/>
          <w:lang w:val="en-US" w:eastAsia="zh-CN" w:bidi="ar-SA"/>
          <w14:textFill>
            <w14:solidFill>
              <w14:schemeClr w14:val="tx1"/>
            </w14:solidFill>
          </w14:textFill>
        </w:rPr>
        <w:t>全应急与环保产业供给能力和质量，加快发展特种防护、新能源、新一代电子信息、先进金属、玻璃等高端新材料，拓展绿色精细化工与环保新材料应用，持续夯实安全应急与环保新材料产业支撑能力。</w:t>
      </w: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到2030年，力争安全应急与环保新材料产业集群产值达到100亿元。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黑体"/>
                <w:b w:val="0"/>
                <w:bCs w:val="0"/>
                <w:color w:val="000000" w:themeColor="text1"/>
                <w:kern w:val="0"/>
                <w:sz w:val="28"/>
                <w:szCs w:val="22"/>
                <w:highlight w:val="none"/>
                <w:lang w:val="en-US" w:eastAsia="zh-CN"/>
                <w14:textFill>
                  <w14:solidFill>
                    <w14:schemeClr w14:val="tx1"/>
                  </w14:solidFill>
                </w14:textFill>
              </w:rPr>
            </w:pPr>
            <w:r>
              <w:rPr>
                <w:rFonts w:hint="eastAsia" w:eastAsia="黑体"/>
                <w:b w:val="0"/>
                <w:bCs w:val="0"/>
                <w:color w:val="000000" w:themeColor="text1"/>
                <w:kern w:val="0"/>
                <w:sz w:val="28"/>
                <w:szCs w:val="22"/>
                <w:highlight w:val="none"/>
                <w14:textFill>
                  <w14:solidFill>
                    <w14:schemeClr w14:val="tx1"/>
                  </w14:solidFill>
                </w14:textFill>
              </w:rPr>
              <w:t>专栏9 安全应急与环保新材料产业细分领域</w:t>
            </w:r>
          </w:p>
          <w:p>
            <w:pPr>
              <w:keepNext w:val="0"/>
              <w:keepLines w:val="0"/>
              <w:widowControl w:val="0"/>
              <w:suppressLineNumbers w:val="0"/>
              <w:snapToGrid w:val="0"/>
              <w:spacing w:line="240" w:lineRule="auto"/>
              <w:ind w:firstLine="643"/>
              <w:jc w:val="left"/>
              <w:rPr>
                <w:rFonts w:hint="default" w:ascii="宋体" w:hAnsi="宋体" w:eastAsia="宋体" w:cs="宋体"/>
                <w:color w:val="000000" w:themeColor="text1"/>
                <w:sz w:val="28"/>
                <w:szCs w:val="28"/>
                <w:lang w:val="en-US" w:eastAsia="zh-CN" w:bidi="ar"/>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
                <w14:textFill>
                  <w14:solidFill>
                    <w14:schemeClr w14:val="tx1"/>
                  </w14:solidFill>
                </w14:textFill>
              </w:rPr>
              <w:t>1.特种防护材料。</w:t>
            </w:r>
            <w:r>
              <w:rPr>
                <w:rFonts w:hint="eastAsia" w:ascii="宋体" w:hAnsi="宋体" w:eastAsia="宋体" w:cs="宋体"/>
                <w:b w:val="0"/>
                <w:bCs w:val="0"/>
                <w:color w:val="000000" w:themeColor="text1"/>
                <w:kern w:val="2"/>
                <w:sz w:val="28"/>
                <w:szCs w:val="28"/>
                <w:lang w:val="en-US" w:eastAsia="zh-CN" w:bidi="ar"/>
                <w14:textFill>
                  <w14:solidFill>
                    <w14:schemeClr w14:val="tx1"/>
                  </w14:solidFill>
                </w14:textFill>
              </w:rPr>
              <w:t>攻坚耐高温、抗静电、防生化功能面料制备技术；培育核应急屏蔽铅硼聚乙烯、防辐射硫酸钡复合材料，发展消防膨胀阻燃涂层、耐高温隔热材料，水域救援高强耐磨复合面料、抗老化漂浮基材，全面适配核电、消防救援、海上搜救等安全应急应用场景。</w:t>
            </w:r>
          </w:p>
          <w:p>
            <w:pPr>
              <w:keepNext w:val="0"/>
              <w:keepLines w:val="0"/>
              <w:pageBreakBefore w:val="0"/>
              <w:widowControl w:val="0"/>
              <w:kinsoku/>
              <w:wordWrap/>
              <w:overflowPunct/>
              <w:topLinePunct w:val="0"/>
              <w:autoSpaceDE/>
              <w:autoSpaceDN/>
              <w:bidi w:val="0"/>
              <w:adjustRightInd/>
              <w:snapToGrid w:val="0"/>
              <w:spacing w:line="240" w:lineRule="auto"/>
              <w:ind w:firstLine="643"/>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2.</w:t>
            </w:r>
            <w:r>
              <w:rPr>
                <w:rFonts w:hint="eastAsia" w:ascii="宋体" w:hAnsi="宋体" w:eastAsia="宋体" w:cs="宋体"/>
                <w:b/>
                <w:bCs/>
                <w:color w:val="000000" w:themeColor="text1"/>
                <w:sz w:val="28"/>
                <w:szCs w:val="28"/>
                <w14:textFill>
                  <w14:solidFill>
                    <w14:schemeClr w14:val="tx1"/>
                  </w14:solidFill>
                </w14:textFill>
              </w:rPr>
              <w:t>新能源材料</w:t>
            </w:r>
            <w:r>
              <w:rPr>
                <w:rFonts w:hint="eastAsia" w:ascii="宋体" w:hAnsi="宋体" w:eastAsia="宋体" w:cs="宋体"/>
                <w:color w:val="000000" w:themeColor="text1"/>
                <w:sz w:val="28"/>
                <w:szCs w:val="28"/>
                <w14:textFill>
                  <w14:solidFill>
                    <w14:schemeClr w14:val="tx1"/>
                  </w14:solidFill>
                </w14:textFill>
              </w:rPr>
              <w:t>。加快布局研发中心与生产基地，重点</w:t>
            </w:r>
            <w:r>
              <w:rPr>
                <w:rFonts w:hint="eastAsia" w:ascii="宋体" w:hAnsi="宋体" w:eastAsia="宋体" w:cs="宋体"/>
                <w:color w:val="000000" w:themeColor="text1"/>
                <w:sz w:val="28"/>
                <w:szCs w:val="28"/>
                <w:lang w:val="en-US" w:eastAsia="zh-CN"/>
                <w14:textFill>
                  <w14:solidFill>
                    <w14:schemeClr w14:val="tx1"/>
                  </w14:solidFill>
                </w14:textFill>
              </w:rPr>
              <w:t>发展</w:t>
            </w:r>
            <w:r>
              <w:rPr>
                <w:rFonts w:hint="eastAsia" w:ascii="宋体" w:hAnsi="宋体" w:eastAsia="宋体" w:cs="宋体"/>
                <w:color w:val="000000" w:themeColor="text1"/>
                <w:sz w:val="28"/>
                <w:szCs w:val="28"/>
                <w14:textFill>
                  <w14:solidFill>
                    <w14:schemeClr w14:val="tx1"/>
                  </w14:solidFill>
                </w14:textFill>
              </w:rPr>
              <w:t>风电叶片复合材料、光伏高效电池材料、新型电解液、燃料电池质子交换膜等产品</w:t>
            </w:r>
            <w:r>
              <w:rPr>
                <w:rFonts w:hint="eastAsia" w:ascii="宋体" w:hAnsi="宋体" w:eastAsia="宋体" w:cs="宋体"/>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推动“材料</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部件</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整机”全链条协同。</w:t>
            </w:r>
          </w:p>
          <w:p>
            <w:pPr>
              <w:keepNext w:val="0"/>
              <w:keepLines w:val="0"/>
              <w:pageBreakBefore w:val="0"/>
              <w:widowControl w:val="0"/>
              <w:kinsoku/>
              <w:wordWrap/>
              <w:overflowPunct/>
              <w:topLinePunct w:val="0"/>
              <w:autoSpaceDE/>
              <w:autoSpaceDN/>
              <w:bidi w:val="0"/>
              <w:adjustRightInd/>
              <w:snapToGrid w:val="0"/>
              <w:spacing w:line="240" w:lineRule="auto"/>
              <w:ind w:firstLine="643"/>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3.</w:t>
            </w:r>
            <w:r>
              <w:rPr>
                <w:rFonts w:hint="eastAsia" w:ascii="宋体" w:hAnsi="宋体" w:eastAsia="宋体" w:cs="宋体"/>
                <w:b/>
                <w:bCs/>
                <w:color w:val="000000" w:themeColor="text1"/>
                <w:sz w:val="28"/>
                <w:szCs w:val="28"/>
                <w14:textFill>
                  <w14:solidFill>
                    <w14:schemeClr w14:val="tx1"/>
                  </w14:solidFill>
                </w14:textFill>
              </w:rPr>
              <w:t>新一代电子信息材料</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鼓励攻关半导体BT树脂、陶瓷封装基板，</w:t>
            </w:r>
            <w:r>
              <w:rPr>
                <w:rFonts w:hint="eastAsia" w:ascii="宋体" w:hAnsi="宋体" w:eastAsia="宋体" w:cs="宋体"/>
                <w:color w:val="000000" w:themeColor="text1"/>
                <w:sz w:val="28"/>
                <w:szCs w:val="28"/>
                <w14:textFill>
                  <w14:solidFill>
                    <w14:schemeClr w14:val="tx1"/>
                  </w14:solidFill>
                </w14:textFill>
              </w:rPr>
              <w:t>柔性OLED用聚酰亚胺（PI）薄膜、高频高速LCP/MPI覆铜板等关键电子材料</w:t>
            </w:r>
            <w:r>
              <w:rPr>
                <w:rFonts w:hint="eastAsia" w:ascii="宋体" w:hAnsi="宋体" w:eastAsia="宋体" w:cs="宋体"/>
                <w:color w:val="000000" w:themeColor="text1"/>
                <w:sz w:val="28"/>
                <w:szCs w:val="28"/>
                <w:lang w:eastAsia="zh-CN"/>
                <w14:textFill>
                  <w14:solidFill>
                    <w14:schemeClr w14:val="tx1"/>
                  </w14:solidFill>
                </w14:textFill>
              </w:rPr>
              <w:t>；搭建</w:t>
            </w:r>
            <w:r>
              <w:rPr>
                <w:rFonts w:hint="eastAsia" w:ascii="宋体" w:hAnsi="宋体" w:eastAsia="宋体" w:cs="宋体"/>
                <w:color w:val="000000" w:themeColor="text1"/>
                <w:sz w:val="28"/>
                <w:szCs w:val="28"/>
                <w14:textFill>
                  <w14:solidFill>
                    <w14:schemeClr w14:val="tx1"/>
                  </w14:solidFill>
                </w14:textFill>
              </w:rPr>
              <w:t>精密涂布、微纳加工公共技术服务平台，提升材料国产化替代</w:t>
            </w:r>
            <w:r>
              <w:rPr>
                <w:rFonts w:hint="eastAsia" w:ascii="宋体" w:hAnsi="宋体" w:eastAsia="宋体" w:cs="宋体"/>
                <w:color w:val="000000" w:themeColor="text1"/>
                <w:sz w:val="28"/>
                <w:szCs w:val="28"/>
                <w:lang w:val="en-US" w:eastAsia="zh-CN"/>
                <w14:textFill>
                  <w14:solidFill>
                    <w14:schemeClr w14:val="tx1"/>
                  </w14:solidFill>
                </w14:textFill>
              </w:rPr>
              <w:t>水平</w:t>
            </w:r>
            <w:r>
              <w:rPr>
                <w:rFonts w:hint="eastAsia" w:ascii="宋体" w:hAnsi="宋体" w:eastAsia="宋体" w:cs="宋体"/>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ind w:firstLine="643"/>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4.</w:t>
            </w:r>
            <w:r>
              <w:rPr>
                <w:rFonts w:hint="eastAsia" w:ascii="宋体" w:hAnsi="宋体" w:eastAsia="宋体" w:cs="宋体"/>
                <w:b/>
                <w:bCs/>
                <w:color w:val="000000" w:themeColor="text1"/>
                <w:sz w:val="28"/>
                <w:szCs w:val="28"/>
                <w14:textFill>
                  <w14:solidFill>
                    <w14:schemeClr w14:val="tx1"/>
                  </w14:solidFill>
                </w14:textFill>
              </w:rPr>
              <w:t>先进金属与结构材料</w:t>
            </w:r>
            <w:r>
              <w:rPr>
                <w:rFonts w:hint="eastAsia" w:ascii="宋体" w:hAnsi="宋体" w:eastAsia="宋体" w:cs="宋体"/>
                <w:color w:val="000000" w:themeColor="text1"/>
                <w:sz w:val="28"/>
                <w:szCs w:val="28"/>
                <w14:textFill>
                  <w14:solidFill>
                    <w14:schemeClr w14:val="tx1"/>
                  </w14:solidFill>
                </w14:textFill>
              </w:rPr>
              <w:t>。攻关先进金属制备、深加工核心工艺，重点发展新能源汽车高强铝合金、轻量化镁合金，海工装备专用耐蚀特种不锈钢；前瞻布局高温合金、金属基复合材料、高性能稀土功能材料、高频软磁非晶合金，全方位配套新能源、海洋工程、电子信息产业发展。</w:t>
            </w:r>
          </w:p>
          <w:p>
            <w:pPr>
              <w:keepNext w:val="0"/>
              <w:keepLines w:val="0"/>
              <w:pageBreakBefore w:val="0"/>
              <w:widowControl w:val="0"/>
              <w:kinsoku/>
              <w:wordWrap/>
              <w:overflowPunct/>
              <w:topLinePunct w:val="0"/>
              <w:autoSpaceDE/>
              <w:autoSpaceDN/>
              <w:bidi w:val="0"/>
              <w:adjustRightInd/>
              <w:snapToGrid w:val="0"/>
              <w:spacing w:line="240" w:lineRule="auto"/>
              <w:ind w:firstLine="643"/>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5.</w:t>
            </w:r>
            <w:r>
              <w:rPr>
                <w:rFonts w:hint="eastAsia" w:ascii="宋体" w:hAnsi="宋体" w:eastAsia="宋体" w:cs="宋体"/>
                <w:b/>
                <w:bCs/>
                <w:color w:val="000000" w:themeColor="text1"/>
                <w:sz w:val="28"/>
                <w:szCs w:val="28"/>
                <w14:textFill>
                  <w14:solidFill>
                    <w14:schemeClr w14:val="tx1"/>
                  </w14:solidFill>
                </w14:textFill>
              </w:rPr>
              <w:t>玻璃</w:t>
            </w:r>
            <w:r>
              <w:rPr>
                <w:rFonts w:hint="eastAsia" w:ascii="宋体" w:hAnsi="宋体" w:eastAsia="宋体" w:cs="宋体"/>
                <w:b/>
                <w:bCs/>
                <w:color w:val="000000" w:themeColor="text1"/>
                <w:sz w:val="28"/>
                <w:szCs w:val="28"/>
                <w:lang w:val="en-US" w:eastAsia="zh-CN"/>
                <w14:textFill>
                  <w14:solidFill>
                    <w14:schemeClr w14:val="tx1"/>
                  </w14:solidFill>
                </w14:textFill>
              </w:rPr>
              <w:t>新材料</w:t>
            </w:r>
            <w:r>
              <w:rPr>
                <w:rFonts w:hint="eastAsia" w:ascii="宋体" w:hAnsi="宋体" w:eastAsia="宋体" w:cs="宋体"/>
                <w:b/>
                <w:bCs/>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highlight w:val="none"/>
                <w14:textFill>
                  <w14:solidFill>
                    <w14:schemeClr w14:val="tx1"/>
                  </w14:solidFill>
                </w14:textFill>
              </w:rPr>
              <w:t>做强新型显示超薄玻璃深加工，突破减薄、触控一体化等先进工艺。对接深莞建筑节能玻璃产能转移，</w:t>
            </w:r>
            <w:r>
              <w:rPr>
                <w:rFonts w:hint="eastAsia" w:ascii="宋体" w:hAnsi="宋体" w:eastAsia="宋体" w:cs="宋体"/>
                <w:color w:val="000000" w:themeColor="text1"/>
                <w:sz w:val="28"/>
                <w:szCs w:val="28"/>
                <w14:textFill>
                  <w14:solidFill>
                    <w14:schemeClr w14:val="tx1"/>
                  </w14:solidFill>
                </w14:textFill>
              </w:rPr>
              <w:t>布局</w:t>
            </w:r>
            <w:r>
              <w:rPr>
                <w:rFonts w:hint="eastAsia" w:ascii="宋体" w:hAnsi="宋体" w:eastAsia="宋体" w:cs="宋体"/>
                <w:color w:val="000000" w:themeColor="text1"/>
                <w:sz w:val="28"/>
                <w:szCs w:val="28"/>
                <w:highlight w:val="none"/>
                <w14:textFill>
                  <w14:solidFill>
                    <w14:schemeClr w14:val="tx1"/>
                  </w14:solidFill>
                </w14:textFill>
              </w:rPr>
              <w:t>LOW-E节能玻璃、光伏镀膜玻璃等深加工产品</w:t>
            </w:r>
            <w:r>
              <w:rPr>
                <w:rFonts w:hint="eastAsia" w:ascii="宋体" w:hAnsi="宋体" w:eastAsia="宋体" w:cs="宋体"/>
                <w:color w:val="000000" w:themeColor="text1"/>
                <w:sz w:val="28"/>
                <w:szCs w:val="28"/>
                <w:lang w:eastAsia="zh-CN"/>
                <w14:textFill>
                  <w14:solidFill>
                    <w14:schemeClr w14:val="tx1"/>
                  </w14:solidFill>
                </w14:textFill>
              </w:rPr>
              <w:t>；拓展废玻璃高值化循环利用，开发玻璃微珠、保温棉等再生产品，打造玻璃新材料绿色循环产业链</w:t>
            </w:r>
            <w:r>
              <w:rPr>
                <w:rFonts w:hint="eastAsia" w:ascii="宋体" w:hAnsi="宋体" w:eastAsia="宋体" w:cs="宋体"/>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ind w:firstLine="643"/>
              <w:textAlignment w:val="auto"/>
              <w:rPr>
                <w:rFonts w:hint="eastAsia" w:eastAsia="宋体"/>
                <w:color w:val="000000" w:themeColor="text1"/>
                <w:lang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6.绿色精细化工</w:t>
            </w:r>
            <w:r>
              <w:rPr>
                <w:rFonts w:hint="eastAsia" w:ascii="宋体" w:hAnsi="宋体" w:eastAsia="宋体" w:cs="宋体"/>
                <w:b/>
                <w:bCs/>
                <w:color w:val="000000" w:themeColor="text1"/>
                <w:sz w:val="28"/>
                <w:szCs w:val="28"/>
                <w14:textFill>
                  <w14:solidFill>
                    <w14:schemeClr w14:val="tx1"/>
                  </w14:solidFill>
                </w14:textFill>
              </w:rPr>
              <w:t>与环保</w:t>
            </w:r>
            <w:r>
              <w:rPr>
                <w:rFonts w:hint="eastAsia" w:ascii="宋体" w:hAnsi="宋体" w:eastAsia="宋体" w:cs="宋体"/>
                <w:b/>
                <w:bCs/>
                <w:color w:val="000000" w:themeColor="text1"/>
                <w:sz w:val="28"/>
                <w:szCs w:val="28"/>
                <w:lang w:val="en-US" w:eastAsia="zh-CN"/>
                <w14:textFill>
                  <w14:solidFill>
                    <w14:schemeClr w14:val="tx1"/>
                  </w14:solidFill>
                </w14:textFill>
              </w:rPr>
              <w:t>新</w:t>
            </w:r>
            <w:r>
              <w:rPr>
                <w:rFonts w:hint="eastAsia" w:ascii="宋体" w:hAnsi="宋体" w:eastAsia="宋体" w:cs="宋体"/>
                <w:b/>
                <w:bCs/>
                <w:color w:val="000000" w:themeColor="text1"/>
                <w:sz w:val="28"/>
                <w:szCs w:val="28"/>
                <w14:textFill>
                  <w14:solidFill>
                    <w14:schemeClr w14:val="tx1"/>
                  </w14:solidFill>
                </w14:textFill>
              </w:rPr>
              <w:t>材料</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把握红海湾临港</w:t>
            </w:r>
            <w:r>
              <w:rPr>
                <w:rFonts w:hint="eastAsia" w:ascii="宋体" w:hAnsi="宋体" w:eastAsia="宋体" w:cs="宋体"/>
                <w:color w:val="000000" w:themeColor="text1"/>
                <w:sz w:val="28"/>
                <w:szCs w:val="28"/>
                <w:highlight w:val="none"/>
                <w:lang w:val="en-US" w:eastAsia="zh-CN"/>
                <w14:textFill>
                  <w14:solidFill>
                    <w14:schemeClr w14:val="tx1"/>
                  </w14:solidFill>
                </w14:textFill>
              </w:rPr>
              <w:t>化工</w:t>
            </w:r>
            <w:r>
              <w:rPr>
                <w:rFonts w:hint="eastAsia" w:ascii="宋体" w:hAnsi="宋体" w:eastAsia="宋体" w:cs="宋体"/>
                <w:color w:val="000000" w:themeColor="text1"/>
                <w:sz w:val="28"/>
                <w:szCs w:val="28"/>
                <w:lang w:val="en-US" w:eastAsia="zh-CN"/>
                <w14:textFill>
                  <w14:solidFill>
                    <w14:schemeClr w14:val="tx1"/>
                  </w14:solidFill>
                </w14:textFill>
              </w:rPr>
              <w:t>产业园规划建设的</w:t>
            </w:r>
            <w:r>
              <w:rPr>
                <w:rFonts w:hint="eastAsia" w:ascii="宋体" w:hAnsi="宋体" w:eastAsia="宋体" w:cs="宋体"/>
                <w:color w:val="000000" w:themeColor="text1"/>
                <w:sz w:val="28"/>
                <w:szCs w:val="28"/>
                <w:highlight w:val="none"/>
                <w:lang w:val="en-US" w:eastAsia="zh-CN"/>
                <w14:textFill>
                  <w14:solidFill>
                    <w14:schemeClr w14:val="tx1"/>
                  </w14:solidFill>
                </w14:textFill>
              </w:rPr>
              <w:t>机遇</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发展生物降解聚酯（PBAT</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PBS）、环保型助剂、再生塑料改性、竹纤维复合包装材料等绿色低碳产品</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联动</w:t>
            </w:r>
            <w:r>
              <w:rPr>
                <w:rFonts w:hint="eastAsia" w:ascii="宋体" w:hAnsi="宋体" w:eastAsia="宋体" w:cs="宋体"/>
                <w:color w:val="000000" w:themeColor="text1"/>
                <w:sz w:val="28"/>
                <w:szCs w:val="28"/>
                <w:lang w:val="en-US" w:eastAsia="zh-CN"/>
                <w14:textFill>
                  <w14:solidFill>
                    <w14:schemeClr w14:val="tx1"/>
                  </w14:solidFill>
                </w14:textFill>
              </w:rPr>
              <w:t>推进</w:t>
            </w:r>
            <w:r>
              <w:rPr>
                <w:rFonts w:hint="eastAsia" w:ascii="宋体" w:hAnsi="宋体" w:eastAsia="宋体" w:cs="宋体"/>
                <w:color w:val="000000" w:themeColor="text1"/>
                <w:sz w:val="28"/>
                <w:szCs w:val="28"/>
                <w14:textFill>
                  <w14:solidFill>
                    <w14:schemeClr w14:val="tx1"/>
                  </w14:solidFill>
                </w14:textFill>
              </w:rPr>
              <w:t>甘蔗渣、秸秆</w:t>
            </w:r>
            <w:r>
              <w:rPr>
                <w:rFonts w:hint="eastAsia" w:ascii="宋体" w:hAnsi="宋体" w:eastAsia="宋体" w:cs="宋体"/>
                <w:color w:val="000000" w:themeColor="text1"/>
                <w:sz w:val="28"/>
                <w:szCs w:val="28"/>
                <w:lang w:val="en-US" w:eastAsia="zh-CN"/>
                <w14:textFill>
                  <w14:solidFill>
                    <w14:schemeClr w14:val="tx1"/>
                  </w14:solidFill>
                </w14:textFill>
              </w:rPr>
              <w:t>等</w:t>
            </w:r>
            <w:r>
              <w:rPr>
                <w:rFonts w:hint="eastAsia" w:ascii="宋体" w:hAnsi="宋体" w:eastAsia="宋体" w:cs="宋体"/>
                <w:color w:val="000000" w:themeColor="text1"/>
                <w:sz w:val="28"/>
                <w:szCs w:val="28"/>
                <w14:textFill>
                  <w14:solidFill>
                    <w14:schemeClr w14:val="tx1"/>
                  </w14:solidFill>
                </w14:textFill>
              </w:rPr>
              <w:t>农业废弃物资源化利用，谋划建设循环经济产业园，着力培育</w:t>
            </w:r>
            <w:r>
              <w:rPr>
                <w:rFonts w:hint="eastAsia" w:ascii="宋体" w:hAnsi="宋体" w:eastAsia="宋体" w:cs="宋体"/>
                <w:color w:val="000000" w:themeColor="text1"/>
                <w:sz w:val="28"/>
                <w:szCs w:val="28"/>
                <w:lang w:val="en-US" w:eastAsia="zh-CN"/>
                <w14:textFill>
                  <w14:solidFill>
                    <w14:schemeClr w14:val="tx1"/>
                  </w14:solidFill>
                </w14:textFill>
              </w:rPr>
              <w:t>汕尾</w:t>
            </w:r>
            <w:r>
              <w:rPr>
                <w:rFonts w:hint="eastAsia" w:ascii="宋体" w:hAnsi="宋体" w:eastAsia="宋体" w:cs="宋体"/>
                <w:color w:val="000000" w:themeColor="text1"/>
                <w:sz w:val="28"/>
                <w:szCs w:val="28"/>
                <w14:textFill>
                  <w14:solidFill>
                    <w14:schemeClr w14:val="tx1"/>
                  </w14:solidFill>
                </w14:textFill>
              </w:rPr>
              <w:t>绿色材料品牌</w:t>
            </w:r>
            <w:r>
              <w:rPr>
                <w:rFonts w:hint="eastAsia" w:ascii="宋体" w:hAnsi="宋体" w:eastAsia="宋体" w:cs="宋体"/>
                <w:color w:val="000000" w:themeColor="text1"/>
                <w:sz w:val="28"/>
                <w:szCs w:val="28"/>
                <w:lang w:eastAsia="zh-CN"/>
                <w14:textFill>
                  <w14:solidFill>
                    <w14:schemeClr w14:val="tx1"/>
                  </w14:solidFill>
                </w14:textFill>
              </w:rPr>
              <w:t>。</w:t>
            </w:r>
          </w:p>
        </w:tc>
      </w:tr>
    </w:tbl>
    <w:p>
      <w:pPr>
        <w:pStyle w:val="4"/>
        <w:ind w:firstLine="643"/>
        <w:rPr>
          <w:color w:val="000000" w:themeColor="text1"/>
          <w14:textFill>
            <w14:solidFill>
              <w14:schemeClr w14:val="tx1"/>
            </w14:solidFill>
          </w14:textFill>
        </w:rPr>
      </w:pPr>
      <w:bookmarkStart w:id="179" w:name="_Toc16050"/>
      <w:bookmarkStart w:id="180" w:name="_Toc32236"/>
      <w:bookmarkStart w:id="181" w:name="_Toc15987"/>
      <w:bookmarkStart w:id="182" w:name="_Toc3365"/>
      <w:bookmarkStart w:id="183" w:name="_Toc20493"/>
      <w:bookmarkStart w:id="184" w:name="_Toc3774"/>
      <w:bookmarkStart w:id="185" w:name="_Toc8876"/>
      <w:bookmarkStart w:id="186" w:name="_Toc17637"/>
      <w:bookmarkStart w:id="187" w:name="_Toc23441"/>
      <w:bookmarkStart w:id="188" w:name="_Toc24418"/>
      <w:bookmarkStart w:id="189" w:name="_Toc16315"/>
      <w:r>
        <w:rPr>
          <w:rFonts w:hint="eastAsia"/>
          <w:color w:val="000000" w:themeColor="text1"/>
          <w14:textFill>
            <w14:solidFill>
              <w14:schemeClr w14:val="tx1"/>
            </w14:solidFill>
          </w14:textFill>
        </w:rPr>
        <w:t>（三）</w:t>
      </w:r>
      <w:bookmarkEnd w:id="179"/>
      <w:r>
        <w:rPr>
          <w:rFonts w:hint="eastAsia"/>
          <w:color w:val="000000" w:themeColor="text1"/>
          <w14:textFill>
            <w14:solidFill>
              <w14:schemeClr w14:val="tx1"/>
            </w14:solidFill>
          </w14:textFill>
        </w:rPr>
        <w:t>前瞻布局未来产业</w:t>
      </w:r>
      <w:bookmarkEnd w:id="180"/>
      <w:bookmarkEnd w:id="181"/>
      <w:bookmarkEnd w:id="182"/>
      <w:bookmarkEnd w:id="183"/>
      <w:bookmarkEnd w:id="184"/>
      <w:bookmarkEnd w:id="185"/>
      <w:bookmarkEnd w:id="186"/>
      <w:bookmarkEnd w:id="187"/>
      <w:bookmarkEnd w:id="188"/>
      <w:bookmarkEnd w:id="189"/>
    </w:p>
    <w:p>
      <w:pPr>
        <w:keepNext/>
        <w:keepLines w:val="0"/>
        <w:pageBreakBefore w:val="0"/>
        <w:widowControl w:val="0"/>
        <w:kinsoku/>
        <w:wordWrap/>
        <w:overflowPunct/>
        <w:topLinePunct w:val="0"/>
        <w:autoSpaceDE/>
        <w:autoSpaceDN/>
        <w:bidi w:val="0"/>
        <w:adjustRightInd w:val="0"/>
        <w:snapToGrid w:val="0"/>
        <w:ind w:firstLine="643"/>
        <w:textAlignment w:val="auto"/>
        <w:outlineLvl w:val="9"/>
        <w:rPr>
          <w:rFonts w:hint="eastAsia" w:ascii="Times New Roman" w:hAnsi="Times New Roman" w:cs="Times New Roman"/>
          <w:b w:val="0"/>
          <w:bCs/>
          <w:color w:val="000000" w:themeColor="text1"/>
          <w:lang w:val="en-US" w:eastAsia="zh-CN"/>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顺应新一轮科技革命和产业变革趋势，瞄准重点前沿领域，探索布局通用智能、合成生物、绿色氢能、低空经济等未来产业，以场景应用牵引产业化进程，深度融入粤港澳大湾区创新网络，培育形成新质生产力重要增长极。</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8" w:type="dxa"/>
            <w:noWrap w:val="0"/>
            <w:vAlign w:val="top"/>
          </w:tcPr>
          <w:p>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b w:val="0"/>
                <w:bCs w:val="0"/>
                <w:color w:val="000000" w:themeColor="text1"/>
                <w:kern w:val="0"/>
                <w:sz w:val="28"/>
                <w:szCs w:val="22"/>
                <w:highlight w:val="none"/>
                <w14:textFill>
                  <w14:solidFill>
                    <w14:schemeClr w14:val="tx1"/>
                  </w14:solidFill>
                </w14:textFill>
              </w:rPr>
            </w:pPr>
            <w:r>
              <w:rPr>
                <w:rFonts w:hint="default" w:eastAsia="黑体"/>
                <w:b w:val="0"/>
                <w:bCs w:val="0"/>
                <w:color w:val="000000" w:themeColor="text1"/>
                <w:kern w:val="0"/>
                <w:sz w:val="28"/>
                <w:szCs w:val="22"/>
                <w:highlight w:val="none"/>
                <w14:textFill>
                  <w14:solidFill>
                    <w14:schemeClr w14:val="tx1"/>
                  </w14:solidFill>
                </w14:textFill>
              </w:rPr>
              <w:t>专栏</w:t>
            </w:r>
            <w:r>
              <w:rPr>
                <w:rFonts w:hint="eastAsia" w:eastAsia="黑体"/>
                <w:b w:val="0"/>
                <w:bCs w:val="0"/>
                <w:color w:val="000000" w:themeColor="text1"/>
                <w:kern w:val="0"/>
                <w:sz w:val="28"/>
                <w:szCs w:val="22"/>
                <w:highlight w:val="none"/>
                <w:lang w:val="en-US" w:eastAsia="zh-CN"/>
                <w14:textFill>
                  <w14:solidFill>
                    <w14:schemeClr w14:val="tx1"/>
                  </w14:solidFill>
                </w14:textFill>
              </w:rPr>
              <w:t xml:space="preserve">10 </w:t>
            </w:r>
            <w:r>
              <w:rPr>
                <w:rFonts w:hint="default" w:eastAsia="黑体"/>
                <w:b w:val="0"/>
                <w:bCs w:val="0"/>
                <w:color w:val="000000" w:themeColor="text1"/>
                <w:kern w:val="0"/>
                <w:sz w:val="28"/>
                <w:szCs w:val="22"/>
                <w:highlight w:val="none"/>
                <w14:textFill>
                  <w14:solidFill>
                    <w14:schemeClr w14:val="tx1"/>
                  </w14:solidFill>
                </w14:textFill>
              </w:rPr>
              <w:t>未来产业细分领域</w:t>
            </w:r>
          </w:p>
          <w:p>
            <w:pPr>
              <w:keepNext w:val="0"/>
              <w:keepLines w:val="0"/>
              <w:widowControl/>
              <w:numPr>
                <w:ilvl w:val="0"/>
                <w:numId w:val="0"/>
              </w:numPr>
              <w:suppressLineNumbers w:val="0"/>
              <w:snapToGrid w:val="0"/>
              <w:spacing w:before="0" w:beforeAutospacing="0" w:after="0" w:afterAutospacing="0" w:line="240" w:lineRule="auto"/>
              <w:ind w:left="0" w:right="0" w:firstLine="562"/>
              <w:jc w:val="left"/>
              <w:rPr>
                <w:rFonts w:hint="default" w:ascii="Times New Roman" w:hAnsi="Times New Roman" w:eastAsia="宋体" w:cs="Times New Roman"/>
                <w:color w:val="000000" w:themeColor="text1"/>
                <w:sz w:val="28"/>
                <w:szCs w:val="28"/>
                <w:highlight w:val="none"/>
                <w:lang w:bidi="ar"/>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bidi="ar"/>
                <w14:textFill>
                  <w14:solidFill>
                    <w14:schemeClr w14:val="tx1"/>
                  </w14:solidFill>
                </w14:textFill>
              </w:rPr>
              <w:t>1</w:t>
            </w:r>
            <w:bookmarkStart w:id="190" w:name="_Toc19722"/>
            <w:bookmarkStart w:id="191" w:name="_Toc7100"/>
            <w:bookmarkStart w:id="192" w:name="_Toc4077"/>
            <w:bookmarkStart w:id="193" w:name="_Toc12085"/>
            <w:bookmarkStart w:id="194" w:name="_Toc13159"/>
            <w:bookmarkStart w:id="195" w:name="_Toc31055"/>
            <w:bookmarkStart w:id="196" w:name="_Toc11701"/>
            <w:bookmarkStart w:id="197" w:name="_Toc4767"/>
            <w:r>
              <w:rPr>
                <w:rFonts w:hint="eastAsia" w:eastAsia="宋体" w:cs="Times New Roman"/>
                <w:b/>
                <w:bCs/>
                <w:color w:val="000000" w:themeColor="text1"/>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bCs/>
                <w:color w:val="000000" w:themeColor="text1"/>
                <w:sz w:val="28"/>
                <w:szCs w:val="28"/>
                <w:highlight w:val="none"/>
                <w:lang w:bidi="ar"/>
                <w14:textFill>
                  <w14:solidFill>
                    <w14:schemeClr w14:val="tx1"/>
                  </w14:solidFill>
                </w14:textFill>
              </w:rPr>
              <w:t>通用智能</w:t>
            </w:r>
            <w:bookmarkEnd w:id="190"/>
            <w:bookmarkEnd w:id="191"/>
            <w:bookmarkEnd w:id="192"/>
            <w:bookmarkEnd w:id="193"/>
            <w:bookmarkEnd w:id="194"/>
            <w:bookmarkEnd w:id="195"/>
            <w:bookmarkEnd w:id="196"/>
            <w:bookmarkEnd w:id="197"/>
            <w:r>
              <w:rPr>
                <w:rFonts w:hint="eastAsia" w:ascii="Times New Roman" w:hAnsi="Times New Roman" w:eastAsia="宋体" w:cs="Times New Roman"/>
                <w:b/>
                <w:bCs/>
                <w:color w:val="000000" w:themeColor="text1"/>
                <w:sz w:val="28"/>
                <w:szCs w:val="28"/>
                <w:highlight w:val="none"/>
                <w:lang w:eastAsia="zh-CN" w:bidi="ar"/>
                <w14:textFill>
                  <w14:solidFill>
                    <w14:schemeClr w14:val="tx1"/>
                  </w14:solidFill>
                </w14:textFill>
              </w:rPr>
              <w:t>。</w:t>
            </w:r>
            <w:r>
              <w:rPr>
                <w:rFonts w:hint="eastAsia" w:eastAsia="宋体" w:cs="Times New Roman"/>
                <w:b w:val="0"/>
                <w:bCs w:val="0"/>
                <w:color w:val="000000" w:themeColor="text1"/>
                <w:sz w:val="28"/>
                <w:szCs w:val="28"/>
                <w:highlight w:val="none"/>
                <w:lang w:val="en-US" w:eastAsia="zh-CN" w:bidi="ar"/>
                <w14:textFill>
                  <w14:solidFill>
                    <w14:schemeClr w14:val="tx1"/>
                  </w14:solidFill>
                </w14:textFill>
              </w:rPr>
              <w:t>提升</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算力统筹整合</w:t>
            </w:r>
            <w:r>
              <w:rPr>
                <w:rFonts w:hint="eastAsia" w:ascii="Times New Roman" w:hAnsi="Times New Roman" w:eastAsia="宋体" w:cs="Times New Roman"/>
                <w:color w:val="000000" w:themeColor="text1"/>
                <w:sz w:val="28"/>
                <w:szCs w:val="28"/>
                <w:highlight w:val="none"/>
                <w:lang w:val="en-US" w:eastAsia="zh-CN" w:bidi="ar"/>
                <w14:textFill>
                  <w14:solidFill>
                    <w14:schemeClr w14:val="tx1"/>
                  </w14:solidFill>
                </w14:textFill>
              </w:rPr>
              <w:t>能力</w:t>
            </w:r>
            <w:r>
              <w:rPr>
                <w:rFonts w:hint="eastAsia" w:ascii="Times New Roman" w:hAnsi="Times New Roman" w:eastAsia="宋体" w:cs="Times New Roman"/>
                <w:color w:val="000000" w:themeColor="text1"/>
                <w:sz w:val="28"/>
                <w:szCs w:val="28"/>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bidi="ar"/>
                <w14:textFill>
                  <w14:solidFill>
                    <w14:schemeClr w14:val="tx1"/>
                  </w14:solidFill>
                </w14:textFill>
              </w:rPr>
              <w:t>积极</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打造智算设施高效协同、智算要素自主可控、智算应用融合泛在、绿色智算效能突出、智算生态安全开放的智能算力支撑体系。加快发展智能无人系统</w:t>
            </w:r>
            <w:r>
              <w:rPr>
                <w:rFonts w:hint="eastAsia" w:eastAsia="宋体" w:cs="Times New Roman"/>
                <w:color w:val="000000" w:themeColor="text1"/>
                <w:sz w:val="28"/>
                <w:szCs w:val="28"/>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依托低空经济示范区建设，发展无人机物流、巡检及海洋测绘应用，突破高精度导航、长续航动力技术，配套建设低空通信导航网络和监管平台。探索布局类脑智能</w:t>
            </w:r>
            <w:r>
              <w:rPr>
                <w:rFonts w:hint="eastAsia" w:ascii="Times New Roman" w:hAnsi="Times New Roman" w:eastAsia="宋体" w:cs="Times New Roman"/>
                <w:color w:val="000000" w:themeColor="text1"/>
                <w:sz w:val="28"/>
                <w:szCs w:val="28"/>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依托新一代电子信息产业基础，开展类脑芯片等前沿研究，</w:t>
            </w:r>
            <w:r>
              <w:rPr>
                <w:rFonts w:hint="eastAsia" w:eastAsia="宋体" w:cs="Times New Roman"/>
                <w:color w:val="000000" w:themeColor="text1"/>
                <w:sz w:val="28"/>
                <w:szCs w:val="28"/>
                <w:highlight w:val="none"/>
                <w:lang w:val="en-US" w:eastAsia="zh-CN" w:bidi="ar"/>
                <w14:textFill>
                  <w14:solidFill>
                    <w14:schemeClr w14:val="tx1"/>
                  </w14:solidFill>
                </w14:textFill>
              </w:rPr>
              <w:t>探索</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突破类脑感知器件等技术，推动类脑计算在智能安防、医疗影像分析等领域的应用验证。</w:t>
            </w:r>
          </w:p>
          <w:p>
            <w:pPr>
              <w:keepNext w:val="0"/>
              <w:keepLines w:val="0"/>
              <w:widowControl/>
              <w:numPr>
                <w:ilvl w:val="0"/>
                <w:numId w:val="0"/>
              </w:numPr>
              <w:suppressLineNumbers w:val="0"/>
              <w:snapToGrid w:val="0"/>
              <w:spacing w:before="0" w:beforeAutospacing="0" w:after="0" w:afterAutospacing="0" w:line="240" w:lineRule="auto"/>
              <w:ind w:left="0" w:right="0" w:firstLine="562"/>
              <w:jc w:val="left"/>
              <w:rPr>
                <w:rFonts w:hint="eastAsia" w:ascii="Times New Roman" w:hAnsi="Times New Roman" w:eastAsia="宋体" w:cs="Times New Roman"/>
                <w:color w:val="000000" w:themeColor="text1"/>
                <w:sz w:val="28"/>
                <w:szCs w:val="28"/>
                <w:highlight w:val="none"/>
                <w:lang w:bidi="ar"/>
                <w14:textFill>
                  <w14:solidFill>
                    <w14:schemeClr w14:val="tx1"/>
                  </w14:solidFill>
                </w14:textFill>
              </w:rPr>
            </w:pPr>
            <w:r>
              <w:rPr>
                <w:rFonts w:hint="eastAsia" w:eastAsia="宋体" w:cs="Times New Roman"/>
                <w:b/>
                <w:bCs/>
                <w:color w:val="000000" w:themeColor="text1"/>
                <w:sz w:val="28"/>
                <w:szCs w:val="28"/>
                <w:highlight w:val="none"/>
                <w:lang w:val="en-US" w:eastAsia="zh-CN" w:bidi="ar"/>
                <w14:textFill>
                  <w14:solidFill>
                    <w14:schemeClr w14:val="tx1"/>
                  </w14:solidFill>
                </w14:textFill>
              </w:rPr>
              <w:t>2.合成生物。</w:t>
            </w:r>
            <w:r>
              <w:rPr>
                <w:rFonts w:hint="eastAsia" w:eastAsia="宋体" w:cs="Times New Roman"/>
                <w:color w:val="000000" w:themeColor="text1"/>
                <w:sz w:val="28"/>
                <w:szCs w:val="28"/>
                <w:highlight w:val="none"/>
                <w:lang w:val="en-US" w:eastAsia="zh-CN" w:bidi="ar"/>
                <w14:textFill>
                  <w14:solidFill>
                    <w14:schemeClr w14:val="tx1"/>
                  </w14:solidFill>
                </w14:textFill>
              </w:rPr>
              <w:t>聚焦</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海洋生物医药与合成生物制品开发</w:t>
            </w:r>
            <w:r>
              <w:rPr>
                <w:rFonts w:hint="eastAsia" w:eastAsia="宋体" w:cs="Times New Roman"/>
                <w:color w:val="000000" w:themeColor="text1"/>
                <w:sz w:val="28"/>
                <w:szCs w:val="28"/>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开展人工细胞设计、基因编辑、生物合成等前沿技术研究，推动合成生物技术赋能医疗健康、食品营养、绿色农业、海洋酶制剂等领域迭代升级</w:t>
            </w:r>
            <w:r>
              <w:rPr>
                <w:rFonts w:hint="eastAsia" w:eastAsia="宋体" w:cs="Times New Roman"/>
                <w:color w:val="000000" w:themeColor="text1"/>
                <w:sz w:val="28"/>
                <w:szCs w:val="28"/>
                <w:highlight w:val="none"/>
                <w:lang w:eastAsia="zh-CN" w:bidi="ar"/>
                <w14:textFill>
                  <w14:solidFill>
                    <w14:schemeClr w14:val="tx1"/>
                  </w14:solidFill>
                </w14:textFill>
              </w:rPr>
              <w:t>。深挖海洋生物资源潜力，研发抗肿瘤、抗炎、神经保护类海洋活性药物，依托合成生物工艺制备稀有氨基酸、萜类香料等高附加值产物，开发海洋功能饮品、抗氧化胶囊、护肤面膜等特色产品。</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前瞻布局生物制造与绿色生物基材料</w:t>
            </w:r>
            <w:r>
              <w:rPr>
                <w:rFonts w:hint="eastAsia" w:eastAsia="宋体" w:cs="Times New Roman"/>
                <w:color w:val="000000" w:themeColor="text1"/>
                <w:sz w:val="28"/>
                <w:szCs w:val="28"/>
                <w:highlight w:val="none"/>
                <w:lang w:eastAsia="zh-CN" w:bidi="ar"/>
                <w14:textFill>
                  <w14:solidFill>
                    <w14:schemeClr w14:val="tx1"/>
                  </w14:solidFill>
                </w14:textFill>
              </w:rPr>
              <w:t>，</w:t>
            </w:r>
            <w:r>
              <w:rPr>
                <w:rFonts w:hint="eastAsia" w:eastAsia="宋体" w:cs="Times New Roman"/>
                <w:color w:val="000000" w:themeColor="text1"/>
                <w:sz w:val="28"/>
                <w:szCs w:val="28"/>
                <w:highlight w:val="none"/>
                <w:lang w:val="en-US" w:eastAsia="zh-CN" w:bidi="ar"/>
                <w14:textFill>
                  <w14:solidFill>
                    <w14:schemeClr w14:val="tx1"/>
                  </w14:solidFill>
                </w14:textFill>
              </w:rPr>
              <w:t>有序发展</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生物乙醇、生物柴油等生物燃料</w:t>
            </w:r>
            <w:r>
              <w:rPr>
                <w:rFonts w:hint="eastAsia" w:eastAsia="宋体" w:cs="Times New Roman"/>
                <w:color w:val="000000" w:themeColor="text1"/>
                <w:sz w:val="28"/>
                <w:szCs w:val="28"/>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聚乳酸</w:t>
            </w:r>
            <w:r>
              <w:rPr>
                <w:rFonts w:hint="eastAsia" w:eastAsia="宋体" w:cs="Times New Roman"/>
                <w:color w:val="000000" w:themeColor="text1"/>
                <w:sz w:val="28"/>
                <w:szCs w:val="28"/>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bidi="ar"/>
                <w14:textFill>
                  <w14:solidFill>
                    <w14:schemeClr w14:val="tx1"/>
                  </w14:solidFill>
                </w14:textFill>
              </w:rPr>
              <w:t>PHA等可降解生物基材料及耐高温淀粉酶、脂肪酶等工业酶制剂。</w:t>
            </w:r>
          </w:p>
          <w:p>
            <w:pPr>
              <w:keepNext w:val="0"/>
              <w:keepLines w:val="0"/>
              <w:widowControl/>
              <w:numPr>
                <w:ilvl w:val="0"/>
                <w:numId w:val="0"/>
              </w:numPr>
              <w:suppressLineNumbers w:val="0"/>
              <w:snapToGrid w:val="0"/>
              <w:spacing w:before="0" w:beforeAutospacing="0" w:after="0" w:afterAutospacing="0" w:line="240" w:lineRule="auto"/>
              <w:ind w:left="0" w:right="0" w:firstLine="562"/>
              <w:jc w:val="left"/>
              <w:rPr>
                <w:rFonts w:hint="eastAsia" w:ascii="Times New Roman" w:hAnsi="Times New Roman" w:eastAsia="宋体" w:cs="Times New Roman"/>
                <w:color w:val="000000" w:themeColor="text1"/>
                <w:sz w:val="28"/>
                <w:szCs w:val="28"/>
                <w:highlight w:val="none"/>
                <w:lang w:val="en-US" w:eastAsia="zh-CN" w:bidi="ar"/>
                <w14:textFill>
                  <w14:solidFill>
                    <w14:schemeClr w14:val="tx1"/>
                  </w14:solidFill>
                </w14:textFill>
              </w:rPr>
            </w:pPr>
            <w:bookmarkStart w:id="198" w:name="_Toc19523"/>
            <w:bookmarkStart w:id="199" w:name="_Toc12608"/>
            <w:bookmarkStart w:id="200" w:name="_Toc2634"/>
            <w:bookmarkStart w:id="201" w:name="_Toc20933"/>
            <w:bookmarkStart w:id="202" w:name="_Toc26534"/>
            <w:bookmarkStart w:id="203" w:name="_Toc27160"/>
            <w:bookmarkStart w:id="204" w:name="_Toc20742"/>
            <w:bookmarkStart w:id="205" w:name="_Toc28170"/>
            <w:r>
              <w:rPr>
                <w:rFonts w:hint="eastAsia" w:eastAsia="宋体" w:cs="Times New Roman"/>
                <w:b/>
                <w:bCs/>
                <w:color w:val="000000" w:themeColor="text1"/>
                <w:kern w:val="2"/>
                <w:sz w:val="28"/>
                <w:szCs w:val="28"/>
                <w:highlight w:val="none"/>
                <w:lang w:val="en-US" w:eastAsia="zh-CN" w:bidi="ar"/>
                <w14:textFill>
                  <w14:solidFill>
                    <w14:schemeClr w14:val="tx1"/>
                  </w14:solidFill>
                </w14:textFill>
              </w:rPr>
              <w:t>3.</w:t>
            </w:r>
            <w:r>
              <w:rPr>
                <w:rFonts w:hint="eastAsia" w:ascii="Times New Roman" w:hAnsi="Times New Roman" w:eastAsia="宋体" w:cs="Times New Roman"/>
                <w:b/>
                <w:bCs/>
                <w:color w:val="000000" w:themeColor="text1"/>
                <w:kern w:val="2"/>
                <w:sz w:val="28"/>
                <w:szCs w:val="28"/>
                <w:highlight w:val="none"/>
                <w:lang w:val="en-US" w:eastAsia="zh-CN" w:bidi="ar"/>
                <w14:textFill>
                  <w14:solidFill>
                    <w14:schemeClr w14:val="tx1"/>
                  </w14:solidFill>
                </w14:textFill>
              </w:rPr>
              <w:t>绿色氢能</w:t>
            </w:r>
            <w:bookmarkEnd w:id="198"/>
            <w:bookmarkEnd w:id="199"/>
            <w:bookmarkEnd w:id="200"/>
            <w:bookmarkEnd w:id="201"/>
            <w:bookmarkEnd w:id="202"/>
            <w:bookmarkEnd w:id="203"/>
            <w:bookmarkEnd w:id="204"/>
            <w:bookmarkEnd w:id="205"/>
            <w:r>
              <w:rPr>
                <w:rFonts w:hint="eastAsia" w:ascii="Times New Roman" w:hAnsi="Times New Roman" w:eastAsia="宋体" w:cs="Times New Roman"/>
                <w:b/>
                <w:bCs/>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积极发展可再生能源制氢</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依托</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海上综合能源岛项目</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重点攻关</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海水</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淡化制氢</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风光储耦合制氢系统集成</w:t>
            </w:r>
            <w:r>
              <w:rPr>
                <w:rFonts w:ascii="宋体" w:hAnsi="宋体" w:eastAsia="宋体" w:cs="宋体"/>
                <w:color w:val="000000" w:themeColor="text1"/>
                <w:sz w:val="28"/>
                <w:szCs w:val="28"/>
                <w14:textFill>
                  <w14:solidFill>
                    <w14:schemeClr w14:val="tx1"/>
                  </w14:solidFill>
                </w14:textFill>
              </w:rPr>
              <w:t>技术</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布</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局氢燃料电池、固态储氢等核心领域，建设氢能装备中试基地。</w:t>
            </w:r>
            <w:r>
              <w:rPr>
                <w:rFonts w:ascii="宋体" w:hAnsi="宋体" w:eastAsia="宋体" w:cs="宋体"/>
                <w:color w:val="000000" w:themeColor="text1"/>
                <w:sz w:val="28"/>
                <w:szCs w:val="28"/>
                <w14:textFill>
                  <w14:solidFill>
                    <w14:schemeClr w14:val="tx1"/>
                  </w14:solidFill>
                </w14:textFill>
              </w:rPr>
              <w:t>统筹推进</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集中式和分布式可再生能源制氢并举，加快突破氢电耦合、系统集成与集群控制等关键技术</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完善高压气态与液态储运氢关键装备布局</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重点发展Ⅲ型/Ⅳ型高压储氢瓶、液氢储罐、加氢站核心设备</w:t>
            </w:r>
            <w:r>
              <w:rPr>
                <w:rFonts w:ascii="宋体" w:hAnsi="宋体" w:eastAsia="宋体" w:cs="宋体"/>
                <w:color w:val="000000" w:themeColor="text1"/>
                <w:sz w:val="28"/>
                <w:szCs w:val="28"/>
                <w14:textFill>
                  <w14:solidFill>
                    <w14:schemeClr w14:val="tx1"/>
                  </w14:solidFill>
                </w14:textFill>
              </w:rPr>
              <w:t>，构建可再生能源制氢全产业链。</w:t>
            </w:r>
          </w:p>
          <w:p>
            <w:pPr>
              <w:keepNext w:val="0"/>
              <w:keepLines w:val="0"/>
              <w:widowControl/>
              <w:numPr>
                <w:ilvl w:val="0"/>
                <w:numId w:val="0"/>
              </w:numPr>
              <w:suppressLineNumbers w:val="0"/>
              <w:snapToGrid w:val="0"/>
              <w:spacing w:before="0" w:beforeAutospacing="0" w:after="0" w:afterAutospacing="0" w:line="240" w:lineRule="auto"/>
              <w:ind w:left="0" w:right="0" w:firstLine="562"/>
              <w:jc w:val="left"/>
              <w:rPr>
                <w:rFonts w:hint="eastAsia" w:ascii="Times New Roman" w:hAnsi="Times New Roman" w:eastAsia="宋体" w:cs="Times New Roman"/>
                <w:b/>
                <w:bCs/>
                <w:color w:val="000000" w:themeColor="text1"/>
                <w:sz w:val="28"/>
                <w:szCs w:val="28"/>
                <w:highlight w:val="none"/>
                <w:lang w:val="en-US" w:eastAsia="zh-CN" w:bidi="ar"/>
                <w14:textFill>
                  <w14:solidFill>
                    <w14:schemeClr w14:val="tx1"/>
                  </w14:solidFill>
                </w14:textFill>
              </w:rPr>
            </w:pPr>
            <w:r>
              <w:rPr>
                <w:rFonts w:hint="eastAsia" w:eastAsia="宋体" w:cs="Times New Roman"/>
                <w:b/>
                <w:bCs/>
                <w:color w:val="000000" w:themeColor="text1"/>
                <w:kern w:val="2"/>
                <w:sz w:val="28"/>
                <w:szCs w:val="28"/>
                <w:highlight w:val="none"/>
                <w:lang w:val="en-US" w:eastAsia="zh-CN" w:bidi="ar"/>
                <w14:textFill>
                  <w14:solidFill>
                    <w14:schemeClr w14:val="tx1"/>
                  </w14:solidFill>
                </w14:textFill>
              </w:rPr>
              <w:t>4</w:t>
            </w:r>
            <w:r>
              <w:rPr>
                <w:rFonts w:hint="eastAsia" w:ascii="Times New Roman" w:hAnsi="Times New Roman" w:eastAsia="宋体" w:cs="Times New Roman"/>
                <w:b/>
                <w:bCs/>
                <w:color w:val="000000" w:themeColor="text1"/>
                <w:kern w:val="2"/>
                <w:sz w:val="28"/>
                <w:szCs w:val="28"/>
                <w:highlight w:val="none"/>
                <w:lang w:val="en-US" w:eastAsia="zh-CN" w:bidi="ar"/>
                <w14:textFill>
                  <w14:solidFill>
                    <w14:schemeClr w14:val="tx1"/>
                  </w14:solidFill>
                </w14:textFill>
              </w:rPr>
              <w:t>.低空经济。</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围绕低空航空器相关的电池系统、飞行控制系统、航电系统、动力系统、燃油系统、智能避障、航空监管、反制以及抗干扰等核心技术开展技术攻关，推进与大数据、人工智能等新技术融合创新，促进关键共性技术研发、系统集成和工程化应用</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；完善甚高频基站、ADS-B地面站</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、无人机试飞测试、从业培训、科普研学等</w:t>
            </w:r>
            <w:r>
              <w:rPr>
                <w:rFonts w:hint="eastAsia" w:eastAsia="宋体" w:cs="Times New Roman"/>
                <w:b w:val="0"/>
                <w:color w:val="000000" w:themeColor="text1"/>
                <w:kern w:val="2"/>
                <w:sz w:val="28"/>
                <w:szCs w:val="28"/>
                <w:highlight w:val="none"/>
                <w:lang w:val="en-US" w:eastAsia="zh-CN" w:bidi="ar"/>
                <w14:textFill>
                  <w14:solidFill>
                    <w14:schemeClr w14:val="tx1"/>
                  </w14:solidFill>
                </w14:textFill>
              </w:rPr>
              <w:t>低空经济</w:t>
            </w:r>
            <w:r>
              <w:rPr>
                <w:rFonts w:hint="eastAsia" w:ascii="Times New Roman" w:hAnsi="Times New Roman" w:eastAsia="宋体" w:cs="Times New Roman"/>
                <w:b w:val="0"/>
                <w:color w:val="000000" w:themeColor="text1"/>
                <w:kern w:val="2"/>
                <w:sz w:val="28"/>
                <w:szCs w:val="28"/>
                <w:highlight w:val="none"/>
                <w:lang w:val="en-US" w:eastAsia="zh-CN" w:bidi="ar"/>
                <w14:textFill>
                  <w14:solidFill>
                    <w14:schemeClr w14:val="tx1"/>
                  </w14:solidFill>
                </w14:textFill>
              </w:rPr>
              <w:t>基础设施建设。立足汕尾海洋资源优势，布局海洋牧场低空应用场景，开展海域无人机试验示范，推广无人机定点投饵、生态监测、污染源追踪等智能化作业。</w:t>
            </w:r>
          </w:p>
        </w:tc>
      </w:tr>
    </w:tbl>
    <w:p>
      <w:pPr>
        <w:pStyle w:val="3"/>
        <w:numPr>
          <w:ilvl w:val="-1"/>
          <w:numId w:val="0"/>
        </w:numPr>
        <w:ind w:firstLine="643"/>
        <w:rPr>
          <w:rFonts w:hint="eastAsia"/>
          <w:color w:val="000000" w:themeColor="text1"/>
          <w14:textFill>
            <w14:solidFill>
              <w14:schemeClr w14:val="tx1"/>
            </w14:solidFill>
          </w14:textFill>
        </w:rPr>
      </w:pPr>
      <w:bookmarkStart w:id="206" w:name="_Toc31049"/>
      <w:bookmarkStart w:id="207" w:name="_Toc6144"/>
      <w:bookmarkStart w:id="208" w:name="_Toc31067"/>
      <w:bookmarkStart w:id="209" w:name="_Toc31880"/>
      <w:bookmarkStart w:id="210" w:name="_Toc7227"/>
      <w:bookmarkStart w:id="211" w:name="_Toc23225"/>
      <w:bookmarkStart w:id="212" w:name="_Toc5359"/>
      <w:bookmarkStart w:id="213" w:name="_Toc27996"/>
      <w:bookmarkStart w:id="214" w:name="_Toc9237"/>
      <w:bookmarkStart w:id="215" w:name="_Toc10780"/>
      <w:bookmarkStart w:id="216" w:name="_Toc15745"/>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空间布局</w:t>
      </w:r>
      <w:bookmarkEnd w:id="206"/>
      <w:bookmarkEnd w:id="207"/>
      <w:bookmarkEnd w:id="208"/>
      <w:bookmarkEnd w:id="209"/>
      <w:bookmarkEnd w:id="210"/>
      <w:bookmarkEnd w:id="211"/>
      <w:bookmarkEnd w:id="212"/>
      <w:bookmarkEnd w:id="213"/>
      <w:bookmarkEnd w:id="214"/>
      <w:bookmarkEnd w:id="215"/>
      <w:bookmarkEnd w:id="216"/>
    </w:p>
    <w:p>
      <w:pPr>
        <w:pStyle w:val="4"/>
        <w:ind w:firstLine="643"/>
        <w:rPr>
          <w:color w:val="000000" w:themeColor="text1"/>
          <w14:textFill>
            <w14:solidFill>
              <w14:schemeClr w14:val="tx1"/>
            </w14:solidFill>
          </w14:textFill>
        </w:rPr>
      </w:pPr>
      <w:bookmarkStart w:id="217" w:name="_Toc10405"/>
      <w:bookmarkStart w:id="218" w:name="_Toc6757"/>
      <w:bookmarkStart w:id="219" w:name="_Toc306"/>
      <w:bookmarkStart w:id="220" w:name="_Toc11514"/>
      <w:bookmarkStart w:id="221" w:name="_Toc26612"/>
      <w:bookmarkStart w:id="222" w:name="_Toc22449"/>
      <w:bookmarkStart w:id="223" w:name="_Toc13430"/>
      <w:bookmarkStart w:id="224" w:name="_Toc17537"/>
      <w:bookmarkStart w:id="225" w:name="_Toc17324"/>
      <w:bookmarkStart w:id="226" w:name="_Toc29466"/>
      <w:bookmarkStart w:id="227" w:name="_Toc24544"/>
      <w:r>
        <w:rPr>
          <w:rFonts w:hint="eastAsia"/>
          <w:color w:val="000000" w:themeColor="text1"/>
          <w14:textFill>
            <w14:solidFill>
              <w14:schemeClr w14:val="tx1"/>
            </w14:solidFill>
          </w14:textFill>
        </w:rPr>
        <w:t>（一）打造“一核</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带</w:t>
      </w:r>
      <w:r>
        <w:rPr>
          <w:rFonts w:hint="eastAsia"/>
          <w:color w:val="000000" w:themeColor="text1"/>
          <w:lang w:val="en-US" w:eastAsia="zh-CN"/>
          <w14:textFill>
            <w14:solidFill>
              <w14:schemeClr w14:val="tx1"/>
            </w14:solidFill>
          </w14:textFill>
        </w:rPr>
        <w:t>两湾四组团</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产业</w:t>
      </w:r>
      <w:r>
        <w:rPr>
          <w:rFonts w:hint="eastAsia"/>
          <w:color w:val="000000" w:themeColor="text1"/>
          <w14:textFill>
            <w14:solidFill>
              <w14:schemeClr w14:val="tx1"/>
            </w14:solidFill>
          </w14:textFill>
        </w:rPr>
        <w:t>空间布局</w:t>
      </w:r>
      <w:bookmarkEnd w:id="217"/>
      <w:bookmarkEnd w:id="218"/>
      <w:bookmarkEnd w:id="219"/>
      <w:bookmarkEnd w:id="220"/>
      <w:bookmarkEnd w:id="221"/>
      <w:bookmarkEnd w:id="222"/>
      <w:bookmarkEnd w:id="223"/>
      <w:bookmarkEnd w:id="224"/>
      <w:bookmarkEnd w:id="225"/>
      <w:bookmarkEnd w:id="226"/>
      <w:bookmarkEnd w:id="227"/>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加快推进产业“聚链成群”，着力构建全市“一核一带</w:t>
      </w:r>
      <w:r>
        <w:rPr>
          <w:rFonts w:hint="eastAsia"/>
          <w:color w:val="000000" w:themeColor="text1"/>
          <w:lang w:val="en-US" w:eastAsia="zh-CN"/>
          <w14:textFill>
            <w14:solidFill>
              <w14:schemeClr w14:val="tx1"/>
            </w14:solidFill>
          </w14:textFill>
        </w:rPr>
        <w:t>两</w:t>
      </w:r>
      <w:r>
        <w:rPr>
          <w:rFonts w:hint="eastAsia"/>
          <w:color w:val="000000" w:themeColor="text1"/>
          <w14:textFill>
            <w14:solidFill>
              <w14:schemeClr w14:val="tx1"/>
            </w14:solidFill>
          </w14:textFill>
        </w:rPr>
        <w:t>湾四组团”产业空间布局，打造具有强大竞争力的产业集聚平台。</w:t>
      </w:r>
    </w:p>
    <w:p>
      <w:pPr>
        <w:rPr>
          <w:rFonts w:hint="eastAsia"/>
          <w:color w:val="000000" w:themeColor="text1"/>
          <w:sz w:val="32"/>
          <w:szCs w:val="32"/>
          <w:lang w:val="en-US" w:eastAsia="zh-CN"/>
          <w14:textFill>
            <w14:solidFill>
              <w14:schemeClr w14:val="tx1"/>
            </w14:solidFill>
          </w14:textFill>
        </w:rPr>
      </w:pPr>
      <w:r>
        <w:rPr>
          <w:rFonts w:hint="eastAsia"/>
          <w:b/>
          <w:bCs/>
          <w:color w:val="000000" w:themeColor="text1"/>
          <w:sz w:val="32"/>
          <w:szCs w:val="32"/>
          <w:lang w:eastAsia="zh-CN"/>
          <w14:textFill>
            <w14:solidFill>
              <w14:schemeClr w14:val="tx1"/>
            </w14:solidFill>
          </w14:textFill>
        </w:rPr>
        <w:t>一核：</w:t>
      </w:r>
      <w:r>
        <w:rPr>
          <w:rFonts w:hint="eastAsia"/>
          <w:b/>
          <w:bCs/>
          <w:color w:val="000000" w:themeColor="text1"/>
          <w:sz w:val="32"/>
          <w:szCs w:val="32"/>
          <w:lang w:val="en-US" w:eastAsia="zh-CN"/>
          <w14:textFill>
            <w14:solidFill>
              <w14:schemeClr w14:val="tx1"/>
            </w14:solidFill>
          </w14:textFill>
        </w:rPr>
        <w:t>高新技术创智核。</w:t>
      </w:r>
      <w:r>
        <w:rPr>
          <w:rFonts w:hint="eastAsia"/>
          <w:color w:val="000000" w:themeColor="text1"/>
          <w:sz w:val="32"/>
          <w:szCs w:val="32"/>
          <w:lang w:val="en-US" w:eastAsia="zh-CN"/>
          <w14:textFill>
            <w14:solidFill>
              <w14:schemeClr w14:val="tx1"/>
            </w14:solidFill>
          </w14:textFill>
        </w:rPr>
        <w:t>以汕尾高新区红草片区为核心载体，聚力打造现代产业集聚高地与科技创新策源地，强化高端要素资源集聚与配置功能，构筑全市制造业高质量发展的核心引擎。</w:t>
      </w:r>
    </w:p>
    <w:p>
      <w:pPr>
        <w:pStyle w:val="20"/>
        <w:keepNext w:val="0"/>
        <w:keepLines w:val="0"/>
        <w:widowControl/>
        <w:suppressLineNumbers w:val="0"/>
        <w:kinsoku/>
        <w:wordWrap/>
        <w:overflowPunct/>
        <w:bidi w:val="0"/>
        <w:spacing w:before="0" w:beforeAutospacing="0" w:after="0" w:afterAutospacing="0"/>
        <w:ind w:left="0" w:right="0" w:firstLine="634"/>
        <w:jc w:val="both"/>
        <w:rPr>
          <w:rFonts w:hint="eastAsia" w:eastAsia="仿宋_GB2312"/>
          <w:color w:val="000000" w:themeColor="text1"/>
          <w:lang w:eastAsia="zh-CN"/>
          <w14:textFill>
            <w14:solidFill>
              <w14:schemeClr w14:val="tx1"/>
            </w14:solidFill>
          </w14:textFill>
        </w:rPr>
      </w:pPr>
      <w:r>
        <w:rPr>
          <w:rFonts w:hint="eastAsia" w:ascii="仿宋_GB2312" w:cs="Times New Roman"/>
          <w:b/>
          <w:bCs/>
          <w:color w:val="000000" w:themeColor="text1"/>
          <w:kern w:val="2"/>
          <w:sz w:val="32"/>
          <w:szCs w:val="32"/>
          <w:lang w:val="en-US" w:eastAsia="zh-CN"/>
          <w14:textFill>
            <w14:solidFill>
              <w14:schemeClr w14:val="tx1"/>
            </w14:solidFill>
          </w14:textFill>
        </w:rPr>
        <w:t>一带：先进制造业发展带。</w:t>
      </w:r>
      <w:r>
        <w:rPr>
          <w:rFonts w:hint="eastAsia" w:ascii="仿宋_GB2312" w:hAnsi="Times New Roman" w:eastAsia="仿宋_GB2312" w:cs="Times New Roman"/>
          <w:color w:val="000000" w:themeColor="text1"/>
          <w:kern w:val="2"/>
          <w:sz w:val="32"/>
          <w:szCs w:val="32"/>
          <w14:textFill>
            <w14:solidFill>
              <w14:schemeClr w14:val="tx1"/>
            </w14:solidFill>
          </w14:textFill>
        </w:rPr>
        <w:t>立足汕尾西承东联的区位，依托</w:t>
      </w:r>
      <w:r>
        <w:rPr>
          <w:rFonts w:hint="eastAsia" w:ascii="Times New Roman" w:hAnsi="Times New Roman" w:eastAsia="仿宋_GB2312" w:cs="Times New Roman"/>
          <w:color w:val="000000" w:themeColor="text1"/>
          <w:kern w:val="2"/>
          <w:sz w:val="32"/>
          <w:szCs w:val="32"/>
          <w14:textFill>
            <w14:solidFill>
              <w14:schemeClr w14:val="tx1"/>
            </w14:solidFill>
          </w14:textFill>
        </w:rPr>
        <w:t>G324、G228</w:t>
      </w:r>
      <w:r>
        <w:rPr>
          <w:rFonts w:hint="eastAsia" w:ascii="仿宋_GB2312" w:hAnsi="Times New Roman" w:eastAsia="仿宋_GB2312" w:cs="Times New Roman"/>
          <w:color w:val="000000" w:themeColor="text1"/>
          <w:kern w:val="2"/>
          <w:sz w:val="32"/>
          <w:szCs w:val="32"/>
          <w14:textFill>
            <w14:solidFill>
              <w14:schemeClr w14:val="tx1"/>
            </w14:solidFill>
          </w14:textFill>
        </w:rPr>
        <w:t>国道、深汕高铁立体化交通廊道，叠加新能源汽车、新一代电子信息等成熟产业</w:t>
      </w:r>
      <w:r>
        <w:rPr>
          <w:rFonts w:hint="eastAsia" w:ascii="仿宋_GB2312" w:hAnsi="Times New Roman" w:cs="Times New Roman"/>
          <w:color w:val="000000" w:themeColor="text1"/>
          <w:kern w:val="2"/>
          <w:sz w:val="32"/>
          <w:szCs w:val="32"/>
          <w:lang w:val="en-US" w:eastAsia="zh-CN"/>
          <w14:textFill>
            <w14:solidFill>
              <w14:schemeClr w14:val="tx1"/>
            </w14:solidFill>
          </w14:textFill>
        </w:rPr>
        <w:t>基础</w:t>
      </w:r>
      <w:r>
        <w:rPr>
          <w:rFonts w:hint="eastAsia" w:ascii="仿宋_GB2312" w:hAnsi="Times New Roman" w:eastAsia="仿宋_GB2312" w:cs="Times New Roman"/>
          <w:color w:val="000000" w:themeColor="text1"/>
          <w:kern w:val="2"/>
          <w:sz w:val="32"/>
          <w:szCs w:val="32"/>
          <w14:textFill>
            <w14:solidFill>
              <w14:schemeClr w14:val="tx1"/>
            </w14:solidFill>
          </w14:textFill>
        </w:rPr>
        <w:t>，聚力打造横贯市域东西的先进制造业发展带，构筑全市产业高质量发展活力主廊道。</w:t>
      </w:r>
    </w:p>
    <w:p>
      <w:pPr>
        <w:pStyle w:val="20"/>
        <w:keepNext w:val="0"/>
        <w:keepLines w:val="0"/>
        <w:widowControl/>
        <w:suppressLineNumbers w:val="0"/>
        <w:kinsoku/>
        <w:wordWrap/>
        <w:overflowPunct/>
        <w:bidi w:val="0"/>
        <w:spacing w:before="0" w:beforeAutospacing="0" w:after="0" w:afterAutospacing="0"/>
        <w:ind w:left="0" w:right="0" w:firstLine="634"/>
        <w:jc w:val="both"/>
        <w:rPr>
          <w:rFonts w:hint="eastAsia" w:eastAsia="仿宋_GB2312"/>
          <w:color w:val="000000" w:themeColor="text1"/>
          <w:lang w:eastAsia="zh-CN"/>
          <w14:textFill>
            <w14:solidFill>
              <w14:schemeClr w14:val="tx1"/>
            </w14:solidFill>
          </w14:textFill>
        </w:rPr>
      </w:pPr>
      <w:r>
        <w:rPr>
          <w:rFonts w:hint="eastAsia" w:ascii="仿宋_GB2312" w:eastAsia="仿宋_GB2312" w:cs="Times New Roman"/>
          <w:b/>
          <w:bCs/>
          <w:color w:val="000000" w:themeColor="text1"/>
          <w:kern w:val="2"/>
          <w:sz w:val="32"/>
          <w:szCs w:val="32"/>
          <w:lang w:eastAsia="zh-CN"/>
          <w14:textFill>
            <w14:solidFill>
              <w14:schemeClr w14:val="tx1"/>
            </w14:solidFill>
          </w14:textFill>
        </w:rPr>
        <w:t>两湾：</w:t>
      </w:r>
      <w:r>
        <w:rPr>
          <w:rFonts w:hint="eastAsia" w:cs="Times New Roman"/>
          <w:b/>
          <w:bCs/>
          <w:color w:val="000000" w:themeColor="text1"/>
          <w:kern w:val="2"/>
          <w:sz w:val="32"/>
          <w:szCs w:val="32"/>
          <w:lang w:val="en-US" w:eastAsia="zh-CN" w:bidi="ar-SA"/>
          <w14:textFill>
            <w14:solidFill>
              <w14:schemeClr w14:val="tx1"/>
            </w14:solidFill>
          </w14:textFill>
        </w:rPr>
        <w:t>红海绿能智造湾和揭石临港产业湾</w:t>
      </w:r>
      <w:r>
        <w:rPr>
          <w:rFonts w:hint="eastAsia" w:cs="Times New Roman"/>
          <w:color w:val="000000" w:themeColor="text1"/>
          <w:kern w:val="2"/>
          <w:sz w:val="32"/>
          <w:szCs w:val="32"/>
          <w:lang w:val="en-US" w:eastAsia="zh-CN" w:bidi="ar-SA"/>
          <w14:textFill>
            <w14:solidFill>
              <w14:schemeClr w14:val="tx1"/>
            </w14:solidFill>
          </w14:textFill>
        </w:rPr>
        <w:t>。</w:t>
      </w:r>
      <w:r>
        <w:rPr>
          <w:rFonts w:hint="eastAsia" w:ascii="仿宋_GB2312" w:cs="Times New Roman"/>
          <w:color w:val="000000" w:themeColor="text1"/>
          <w:kern w:val="2"/>
          <w:sz w:val="32"/>
          <w:szCs w:val="32"/>
          <w:lang w:val="en-US" w:eastAsia="zh-CN"/>
          <w14:textFill>
            <w14:solidFill>
              <w14:schemeClr w14:val="tx1"/>
            </w14:solidFill>
          </w14:textFill>
        </w:rPr>
        <w:t>充分发挥红海湾、碣石湾的地理与产业优势，重点发展新能源汽车、新一代电子信息、港口物流、低碳新能源发电及配套、食品加工、海洋生物科技、海洋能源、海洋牧场、海工装备等产业，加快发展红海绿能智造湾与碣石临港产业湾。</w:t>
      </w:r>
    </w:p>
    <w:p>
      <w:pPr>
        <w:pStyle w:val="20"/>
        <w:keepNext w:val="0"/>
        <w:keepLines w:val="0"/>
        <w:widowControl/>
        <w:suppressLineNumbers w:val="0"/>
        <w:kinsoku/>
        <w:wordWrap/>
        <w:overflowPunct/>
        <w:bidi w:val="0"/>
        <w:spacing w:before="0" w:beforeAutospacing="0" w:after="0" w:afterAutospacing="0"/>
        <w:ind w:left="0" w:right="0" w:firstLine="634"/>
        <w:jc w:val="both"/>
        <w:rPr>
          <w:rFonts w:hint="eastAsia" w:cs="Times New Roman"/>
          <w:color w:val="000000" w:themeColor="text1"/>
          <w:kern w:val="2"/>
          <w:sz w:val="32"/>
          <w:szCs w:val="32"/>
          <w:lang w:val="en-US" w:eastAsia="zh-CN" w:bidi="ar-SA"/>
          <w14:textFill>
            <w14:solidFill>
              <w14:schemeClr w14:val="tx1"/>
            </w14:solidFill>
          </w14:textFill>
        </w:rPr>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ascii="仿宋_GB2312" w:eastAsia="仿宋_GB2312" w:cs="Times New Roman"/>
          <w:b/>
          <w:bCs/>
          <w:color w:val="000000" w:themeColor="text1"/>
          <w:kern w:val="2"/>
          <w:sz w:val="32"/>
          <w:szCs w:val="32"/>
          <w:lang w:val="en-US" w:eastAsia="zh-CN"/>
          <w14:textFill>
            <w14:solidFill>
              <w14:schemeClr w14:val="tx1"/>
            </w14:solidFill>
          </w14:textFill>
        </w:rPr>
        <w:t>四</w:t>
      </w:r>
      <w:r>
        <w:rPr>
          <w:rFonts w:hint="eastAsia" w:ascii="仿宋_GB2312" w:cs="Times New Roman"/>
          <w:b/>
          <w:bCs/>
          <w:color w:val="000000" w:themeColor="text1"/>
          <w:kern w:val="2"/>
          <w:sz w:val="32"/>
          <w:szCs w:val="32"/>
          <w:lang w:val="en-US" w:eastAsia="zh-CN"/>
          <w14:textFill>
            <w14:solidFill>
              <w14:schemeClr w14:val="tx1"/>
            </w14:solidFill>
          </w14:textFill>
        </w:rPr>
        <w:t>组团</w:t>
      </w:r>
      <w:r>
        <w:rPr>
          <w:rFonts w:hint="eastAsia" w:ascii="仿宋_GB2312" w:eastAsia="仿宋_GB2312" w:cs="Times New Roman"/>
          <w:b/>
          <w:bCs/>
          <w:color w:val="000000" w:themeColor="text1"/>
          <w:kern w:val="2"/>
          <w:sz w:val="32"/>
          <w:szCs w:val="32"/>
          <w:lang w:val="en-US" w:eastAsia="zh-CN"/>
          <w14:textFill>
            <w14:solidFill>
              <w14:schemeClr w14:val="tx1"/>
            </w14:solidFill>
          </w14:textFill>
        </w:rPr>
        <w:t>：</w:t>
      </w:r>
      <w:r>
        <w:rPr>
          <w:rFonts w:hint="eastAsia" w:ascii="仿宋_GB2312" w:cs="Times New Roman"/>
          <w:b/>
          <w:bCs/>
          <w:color w:val="000000" w:themeColor="text1"/>
          <w:kern w:val="2"/>
          <w:sz w:val="32"/>
          <w:szCs w:val="32"/>
          <w:lang w:val="en-US" w:eastAsia="zh-CN"/>
          <w14:textFill>
            <w14:solidFill>
              <w14:schemeClr w14:val="tx1"/>
            </w14:solidFill>
          </w14:textFill>
        </w:rPr>
        <w:t>东部海工装备组团、南部科创服务组团、西部珠宝时尚组团、北部绿色制造组团。</w:t>
      </w:r>
      <w:r>
        <w:rPr>
          <w:rFonts w:hint="eastAsia" w:cs="Times New Roman"/>
          <w:color w:val="000000" w:themeColor="text1"/>
          <w:kern w:val="2"/>
          <w:sz w:val="32"/>
          <w:szCs w:val="32"/>
          <w:lang w:val="en-US" w:eastAsia="zh-CN" w:bidi="ar-SA"/>
          <w14:textFill>
            <w14:solidFill>
              <w14:schemeClr w14:val="tx1"/>
            </w14:solidFill>
          </w14:textFill>
        </w:rPr>
        <w:t>依托陆丰县海工装备、低碳新能源等产业基础，加快发展东部海工装备组团；</w:t>
      </w:r>
      <w:r>
        <w:rPr>
          <w:rFonts w:hint="eastAsia" w:ascii="仿宋_GB2312" w:cs="Times New Roman"/>
          <w:b w:val="0"/>
          <w:bCs w:val="0"/>
          <w:color w:val="000000" w:themeColor="text1"/>
          <w:kern w:val="2"/>
          <w:sz w:val="32"/>
          <w:szCs w:val="32"/>
          <w:lang w:val="en-US" w:eastAsia="zh-CN"/>
          <w14:textFill>
            <w14:solidFill>
              <w14:schemeClr w14:val="tx1"/>
            </w14:solidFill>
          </w14:textFill>
        </w:rPr>
        <w:t>依托城区在金融、科创与商贸等方面的核心功能，系统提升</w:t>
      </w:r>
      <w:r>
        <w:rPr>
          <w:rFonts w:hint="eastAsia"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南部科创服务</w:t>
      </w:r>
      <w:r>
        <w:rPr>
          <w:rFonts w:hint="eastAsia" w:cs="Times New Roman"/>
          <w:b w:val="0"/>
          <w:bCs w:val="0"/>
          <w:color w:val="000000" w:themeColor="text1"/>
          <w:kern w:val="2"/>
          <w:sz w:val="32"/>
          <w:szCs w:val="32"/>
          <w:lang w:val="en-US" w:eastAsia="zh-CN" w:bidi="ar-SA"/>
          <w14:textFill>
            <w14:solidFill>
              <w14:schemeClr w14:val="tx1"/>
            </w14:solidFill>
          </w14:textFill>
        </w:rPr>
        <w:t>组团的综合服务能力；依托海丰县</w:t>
      </w:r>
      <w:r>
        <w:rPr>
          <w:rFonts w:hint="eastAsia"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可塘</w:t>
      </w:r>
      <w:r>
        <w:rPr>
          <w:rFonts w:hint="eastAsia" w:cs="Times New Roman"/>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梅陇</w:t>
      </w:r>
      <w:r>
        <w:rPr>
          <w:rFonts w:hint="eastAsia" w:cs="Times New Roman"/>
          <w:b w:val="0"/>
          <w:bCs w:val="0"/>
          <w:color w:val="000000" w:themeColor="text1"/>
          <w:kern w:val="2"/>
          <w:sz w:val="32"/>
          <w:szCs w:val="32"/>
          <w:lang w:val="en-US" w:eastAsia="zh-CN" w:bidi="ar-SA"/>
          <w14:textFill>
            <w14:solidFill>
              <w14:schemeClr w14:val="tx1"/>
            </w14:solidFill>
          </w14:textFill>
        </w:rPr>
        <w:t>、公平三镇在</w:t>
      </w:r>
      <w:r>
        <w:rPr>
          <w:rFonts w:hint="eastAsia"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金银</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珠宝首饰、</w:t>
      </w:r>
      <w:r>
        <w:rPr>
          <w:rFonts w:hint="eastAsia" w:cs="Times New Roman"/>
          <w:color w:val="000000" w:themeColor="text1"/>
          <w:kern w:val="2"/>
          <w:sz w:val="32"/>
          <w:szCs w:val="32"/>
          <w:lang w:val="en-US" w:eastAsia="zh-CN" w:bidi="ar-SA"/>
          <w14:textFill>
            <w14:solidFill>
              <w14:schemeClr w14:val="tx1"/>
            </w14:solidFill>
          </w14:textFill>
        </w:rPr>
        <w:t>纺织服装等领域的产业基础与优势，重点壮大西部珠宝时尚组团；依托陆河县在新一代电子信息产业与新能源汽车产业等重点项目的集聚优势，培育发展北部绿色制造组团。</w:t>
      </w:r>
    </w:p>
    <w:p>
      <w:pPr>
        <w:keepNext w:val="0"/>
        <w:keepLines w:val="0"/>
        <w:widowControl w:val="0"/>
        <w:suppressLineNumbers w:val="0"/>
        <w:kinsoku/>
        <w:wordWrap/>
        <w:overflowPunct/>
        <w:bidi w:val="0"/>
        <w:spacing w:before="0" w:beforeAutospacing="0" w:after="0" w:afterAutospacing="0" w:line="240" w:lineRule="auto"/>
        <w:ind w:left="0" w:right="0" w:firstLine="0" w:firstLineChars="0"/>
        <w:jc w:val="center"/>
        <w:rPr>
          <w:rFonts w:hint="eastAsia" w:eastAsia="仿宋_GB2312"/>
          <w:color w:val="000000" w:themeColor="text1"/>
          <w:lang w:eastAsia="zh-CN"/>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7062470" cy="4824730"/>
            <wp:effectExtent l="9525" t="9525" r="14605" b="13970"/>
            <wp:docPr id="4" name="图片 4" descr="汕尾园区_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汕尾园区_01"/>
                    <pic:cNvPicPr>
                      <a:picLocks noChangeAspect="true"/>
                    </pic:cNvPicPr>
                  </pic:nvPicPr>
                  <pic:blipFill>
                    <a:blip r:embed="rId14"/>
                    <a:stretch>
                      <a:fillRect/>
                    </a:stretch>
                  </pic:blipFill>
                  <pic:spPr>
                    <a:xfrm>
                      <a:off x="0" y="0"/>
                      <a:ext cx="7062470" cy="4824730"/>
                    </a:xfrm>
                    <a:prstGeom prst="rect">
                      <a:avLst/>
                    </a:prstGeom>
                    <a:ln>
                      <a:solidFill>
                        <a:schemeClr val="tx1"/>
                      </a:solidFill>
                    </a:ln>
                  </pic:spPr>
                </pic:pic>
              </a:graphicData>
            </a:graphic>
          </wp:inline>
        </w:drawing>
      </w:r>
    </w:p>
    <w:p>
      <w:pPr>
        <w:keepNext w:val="0"/>
        <w:keepLines w:val="0"/>
        <w:widowControl w:val="0"/>
        <w:suppressLineNumbers w:val="0"/>
        <w:kinsoku/>
        <w:wordWrap/>
        <w:overflowPunct/>
        <w:bidi w:val="0"/>
        <w:spacing w:before="0" w:beforeAutospacing="0" w:after="0" w:afterAutospacing="0" w:line="240" w:lineRule="auto"/>
        <w:ind w:left="0" w:right="0" w:firstLine="0" w:firstLineChars="0"/>
        <w:jc w:val="center"/>
        <w:rPr>
          <w:color w:val="000000" w:themeColor="text1"/>
          <w14:textFill>
            <w14:solidFill>
              <w14:schemeClr w14:val="tx1"/>
            </w14:solidFill>
          </w14:textFill>
        </w:rPr>
      </w:pPr>
      <w:r>
        <w:rPr>
          <w:rFonts w:hint="eastAsia" w:ascii="黑体" w:hAnsi="黑体" w:eastAsia="黑体" w:cs="黑体"/>
          <w:color w:val="000000" w:themeColor="text1"/>
          <w:sz w:val="28"/>
          <w:szCs w:val="22"/>
          <w14:textFill>
            <w14:solidFill>
              <w14:schemeClr w14:val="tx1"/>
            </w14:solidFill>
          </w14:textFill>
        </w:rPr>
        <w:t>图1 汕尾制造业发展总体空间布局</w:t>
      </w:r>
    </w:p>
    <w:p>
      <w:pPr>
        <w:keepNext w:val="0"/>
        <w:keepLines w:val="0"/>
        <w:widowControl w:val="0"/>
        <w:suppressLineNumbers w:val="0"/>
        <w:kinsoku/>
        <w:wordWrap/>
        <w:overflowPunct/>
        <w:bidi w:val="0"/>
        <w:spacing w:before="0" w:beforeAutospacing="0" w:after="0" w:afterAutospacing="0" w:line="240" w:lineRule="auto"/>
        <w:ind w:left="0" w:right="0" w:firstLine="0" w:firstLineChars="0"/>
        <w:jc w:val="both"/>
        <w:rPr>
          <w:rFonts w:hint="eastAsia"/>
          <w:color w:val="000000" w:themeColor="text1"/>
          <w:lang w:val="en-US" w:eastAsia="zh-CN"/>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pStyle w:val="4"/>
        <w:ind w:firstLine="643"/>
        <w:rPr>
          <w:rFonts w:hint="eastAsia"/>
          <w:color w:val="000000" w:themeColor="text1"/>
          <w14:textFill>
            <w14:solidFill>
              <w14:schemeClr w14:val="tx1"/>
            </w14:solidFill>
          </w14:textFill>
        </w:rPr>
      </w:pPr>
      <w:bookmarkStart w:id="228" w:name="_Toc8081"/>
      <w:bookmarkStart w:id="229" w:name="_Toc23343"/>
      <w:bookmarkStart w:id="230" w:name="_Toc4682"/>
      <w:bookmarkStart w:id="231" w:name="_Toc10047"/>
      <w:bookmarkStart w:id="232" w:name="_Toc12691"/>
      <w:bookmarkStart w:id="233" w:name="_Toc30664"/>
      <w:bookmarkStart w:id="234" w:name="_Toc17095"/>
      <w:r>
        <w:rPr>
          <w:rFonts w:hint="eastAsia"/>
          <w:color w:val="000000" w:themeColor="text1"/>
          <w14:textFill>
            <w14:solidFill>
              <w14:schemeClr w14:val="tx1"/>
            </w14:solidFill>
          </w14:textFill>
        </w:rPr>
        <w:t>（二）统筹各区（县、市）产业分工布局</w:t>
      </w:r>
      <w:bookmarkEnd w:id="228"/>
      <w:bookmarkEnd w:id="229"/>
      <w:bookmarkEnd w:id="230"/>
      <w:bookmarkEnd w:id="231"/>
      <w:bookmarkEnd w:id="232"/>
      <w:bookmarkEnd w:id="233"/>
      <w:bookmarkEnd w:id="234"/>
    </w:p>
    <w:p>
      <w:pPr>
        <w:ind w:firstLine="643"/>
        <w:rPr>
          <w:rFonts w:hint="eastAsia"/>
          <w:color w:val="000000" w:themeColor="text1"/>
          <w:lang w:eastAsia="zh-CN"/>
          <w14:textFill>
            <w14:solidFill>
              <w14:schemeClr w14:val="tx1"/>
            </w14:solidFill>
          </w14:textFill>
        </w:rPr>
      </w:pPr>
      <w:r>
        <w:rPr>
          <w:rFonts w:hint="eastAsia"/>
          <w:b/>
          <w:bCs/>
          <w:color w:val="000000" w:themeColor="text1"/>
          <w14:textFill>
            <w14:solidFill>
              <w14:schemeClr w14:val="tx1"/>
            </w14:solidFill>
          </w14:textFill>
        </w:rPr>
        <w:t>城区：</w:t>
      </w:r>
      <w:r>
        <w:rPr>
          <w:rFonts w:hint="eastAsia"/>
          <w:color w:val="000000" w:themeColor="text1"/>
          <w14:textFill>
            <w14:solidFill>
              <w14:schemeClr w14:val="tx1"/>
            </w14:solidFill>
          </w14:textFill>
        </w:rPr>
        <w:t>依托红海湾产业园区、汕尾高新区、光明</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城区结对共建产业园等重点产业园区，完善“芯—屏—端”全链条产业布局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深耕新型显示超薄玻璃、半导体封装基板等新一代电子信息细分赛道；</w:t>
      </w:r>
      <w:r>
        <w:rPr>
          <w:rFonts w:hint="eastAsia"/>
          <w:color w:val="000000" w:themeColor="text1"/>
          <w:lang w:val="en-US" w:eastAsia="zh-CN"/>
          <w14:textFill>
            <w14:solidFill>
              <w14:schemeClr w14:val="tx1"/>
            </w14:solidFill>
          </w14:textFill>
        </w:rPr>
        <w:t>重点</w:t>
      </w:r>
      <w:r>
        <w:rPr>
          <w:rFonts w:hint="eastAsia"/>
          <w:color w:val="000000" w:themeColor="text1"/>
          <w14:textFill>
            <w14:solidFill>
              <w14:schemeClr w14:val="tx1"/>
            </w14:solidFill>
          </w14:textFill>
        </w:rPr>
        <w:t>发展新能源汽车KD散件出口、新能源汽车核心零部件垂直配套</w:t>
      </w:r>
      <w:r>
        <w:rPr>
          <w:rFonts w:hint="eastAsia"/>
          <w:color w:val="000000" w:themeColor="text1"/>
          <w:lang w:eastAsia="zh-CN"/>
          <w14:textFill>
            <w14:solidFill>
              <w14:schemeClr w14:val="tx1"/>
            </w14:solidFill>
          </w14:textFill>
        </w:rPr>
        <w:t>。</w:t>
      </w:r>
    </w:p>
    <w:p>
      <w:pPr>
        <w:pStyle w:val="2"/>
        <w:rPr>
          <w:rFonts w:hint="eastAsia" w:ascii="Times New Roman" w:hAnsi="Times New Roman" w:eastAsia="仿宋_GB2312" w:cs="Times New Roman"/>
          <w:color w:val="000000" w:themeColor="text1"/>
          <w:sz w:val="32"/>
          <w:szCs w:val="24"/>
          <w14:textFill>
            <w14:solidFill>
              <w14:schemeClr w14:val="tx1"/>
            </w14:solidFill>
          </w14:textFill>
        </w:rPr>
      </w:pPr>
      <w:r>
        <w:rPr>
          <w:rFonts w:hint="eastAsia"/>
          <w:b/>
          <w:bCs/>
          <w:color w:val="000000" w:themeColor="text1"/>
          <w14:textFill>
            <w14:solidFill>
              <w14:schemeClr w14:val="tx1"/>
            </w14:solidFill>
          </w14:textFill>
        </w:rPr>
        <w:t>海丰县：</w:t>
      </w:r>
      <w:r>
        <w:rPr>
          <w:rFonts w:hint="eastAsia"/>
          <w:color w:val="000000" w:themeColor="text1"/>
          <w14:textFill>
            <w14:solidFill>
              <w14:schemeClr w14:val="tx1"/>
            </w14:solidFill>
          </w14:textFill>
        </w:rPr>
        <w:t>依托深汕合作拓展区、海丰产业园区、星都</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可塘合作共建产业园等重点产业园区，</w:t>
      </w:r>
      <w:r>
        <w:rPr>
          <w:rFonts w:hint="eastAsia" w:ascii="Times New Roman" w:hAnsi="Times New Roman" w:eastAsia="仿宋_GB2312" w:cs="Times New Roman"/>
          <w:color w:val="000000" w:themeColor="text1"/>
          <w:sz w:val="32"/>
          <w:szCs w:val="24"/>
          <w14:textFill>
            <w14:solidFill>
              <w14:schemeClr w14:val="tx1"/>
            </w14:solidFill>
          </w14:textFill>
        </w:rPr>
        <w:t>做强珠宝首饰特色产业，推动纺织服装数字化转型升级；</w:t>
      </w:r>
      <w:r>
        <w:rPr>
          <w:rFonts w:hint="eastAsia"/>
          <w:color w:val="000000" w:themeColor="text1"/>
          <w:lang w:val="en-US" w:eastAsia="zh-CN"/>
          <w14:textFill>
            <w14:solidFill>
              <w14:schemeClr w14:val="tx1"/>
            </w14:solidFill>
          </w14:textFill>
        </w:rPr>
        <w:t>聚焦</w:t>
      </w:r>
      <w:r>
        <w:rPr>
          <w:rFonts w:hint="eastAsia" w:ascii="Times New Roman" w:hAnsi="Times New Roman" w:eastAsia="仿宋_GB2312" w:cs="Times New Roman"/>
          <w:color w:val="000000" w:themeColor="text1"/>
          <w:sz w:val="32"/>
          <w:szCs w:val="24"/>
          <w14:textFill>
            <w14:solidFill>
              <w14:schemeClr w14:val="tx1"/>
            </w14:solidFill>
          </w14:textFill>
        </w:rPr>
        <w:t>汽车电镀构件、动力电池配套等新能源汽车细分领域；</w:t>
      </w:r>
      <w:r>
        <w:rPr>
          <w:rFonts w:hint="eastAsia" w:ascii="Times New Roman" w:hAnsi="Times New Roman" w:cs="Times New Roman"/>
          <w:color w:val="000000" w:themeColor="text1"/>
          <w:sz w:val="32"/>
          <w:szCs w:val="24"/>
          <w14:textFill>
            <w14:solidFill>
              <w14:schemeClr w14:val="tx1"/>
            </w14:solidFill>
          </w14:textFill>
        </w:rPr>
        <w:t>依托深圳对口帮扶，前瞻布局通用航空、无人机等低空</w:t>
      </w:r>
      <w:r>
        <w:rPr>
          <w:rFonts w:hint="eastAsia" w:ascii="Times New Roman" w:hAnsi="Times New Roman" w:cs="Times New Roman"/>
          <w:color w:val="000000" w:themeColor="text1"/>
          <w:sz w:val="32"/>
          <w:szCs w:val="24"/>
          <w:lang w:val="en-US" w:eastAsia="zh-CN"/>
          <w14:textFill>
            <w14:solidFill>
              <w14:schemeClr w14:val="tx1"/>
            </w14:solidFill>
          </w14:textFill>
        </w:rPr>
        <w:t>经济</w:t>
      </w:r>
      <w:r>
        <w:rPr>
          <w:rFonts w:hint="eastAsia" w:ascii="Times New Roman" w:hAnsi="Times New Roman" w:cs="Times New Roman"/>
          <w:color w:val="000000" w:themeColor="text1"/>
          <w:sz w:val="32"/>
          <w:szCs w:val="24"/>
          <w14:textFill>
            <w14:solidFill>
              <w14:schemeClr w14:val="tx1"/>
            </w14:solidFill>
          </w14:textFill>
        </w:rPr>
        <w:t>产业</w:t>
      </w:r>
      <w:r>
        <w:rPr>
          <w:rFonts w:hint="eastAsia" w:ascii="Times New Roman" w:hAnsi="Times New Roman" w:eastAsia="仿宋_GB2312" w:cs="Times New Roman"/>
          <w:color w:val="000000" w:themeColor="text1"/>
          <w:sz w:val="32"/>
          <w:szCs w:val="24"/>
          <w14:textFill>
            <w14:solidFill>
              <w14:schemeClr w14:val="tx1"/>
            </w14:solidFill>
          </w14:textFill>
        </w:rPr>
        <w:t>。</w:t>
      </w:r>
    </w:p>
    <w:p>
      <w:pPr>
        <w:pStyle w:val="2"/>
        <w:rPr>
          <w:rFonts w:hint="eastAsia" w:ascii="Times New Roman" w:hAnsi="Times New Roman" w:eastAsia="仿宋_GB2312" w:cs="Times New Roman"/>
          <w:b w:val="0"/>
          <w:bCs w:val="0"/>
          <w:color w:val="000000" w:themeColor="text1"/>
          <w:sz w:val="32"/>
          <w:szCs w:val="24"/>
          <w:lang w:eastAsia="zh-CN"/>
          <w14:textFill>
            <w14:solidFill>
              <w14:schemeClr w14:val="tx1"/>
            </w14:solidFill>
          </w14:textFill>
        </w:rPr>
      </w:pPr>
      <w:r>
        <w:rPr>
          <w:rFonts w:hint="eastAsia"/>
          <w:b/>
          <w:bCs/>
          <w:color w:val="000000" w:themeColor="text1"/>
          <w14:textFill>
            <w14:solidFill>
              <w14:schemeClr w14:val="tx1"/>
            </w14:solidFill>
          </w14:textFill>
        </w:rPr>
        <w:t>陆丰市：</w:t>
      </w:r>
      <w:r>
        <w:rPr>
          <w:rFonts w:hint="eastAsia"/>
          <w:color w:val="000000" w:themeColor="text1"/>
          <w14:textFill>
            <w14:solidFill>
              <w14:schemeClr w14:val="tx1"/>
            </w14:solidFill>
          </w14:textFill>
        </w:rPr>
        <w:t>依托陆丰产业园区、陆丰三甲五金配件产业园等重点产业园区，</w:t>
      </w:r>
      <w:r>
        <w:rPr>
          <w:rFonts w:hint="eastAsia" w:ascii="Times New Roman" w:hAnsi="Times New Roman" w:eastAsia="仿宋_GB2312" w:cs="Times New Roman"/>
          <w:color w:val="000000" w:themeColor="text1"/>
          <w:sz w:val="32"/>
          <w:szCs w:val="24"/>
          <w14:textFill>
            <w14:solidFill>
              <w14:schemeClr w14:val="tx1"/>
            </w14:solidFill>
          </w14:textFill>
        </w:rPr>
        <w:t>立足滨海临港资源禀赋，重点发展海上风电、海上绿氢</w:t>
      </w:r>
      <w:r>
        <w:rPr>
          <w:rFonts w:hint="eastAsia" w:ascii="Times New Roman" w:hAnsi="Times New Roman" w:cs="Times New Roman"/>
          <w:color w:val="000000" w:themeColor="text1"/>
          <w:sz w:val="32"/>
          <w:szCs w:val="24"/>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4"/>
          <w14:textFill>
            <w14:solidFill>
              <w14:schemeClr w14:val="tx1"/>
            </w14:solidFill>
          </w14:textFill>
        </w:rPr>
        <w:t>核电等低碳新能源赛道</w:t>
      </w:r>
      <w:r>
        <w:rPr>
          <w:rFonts w:hint="eastAsia" w:ascii="Times New Roman" w:hAnsi="Times New Roman" w:cs="Times New Roman"/>
          <w:b w:val="0"/>
          <w:bCs w:val="0"/>
          <w:color w:val="000000" w:themeColor="text1"/>
          <w:sz w:val="32"/>
          <w:szCs w:val="24"/>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4"/>
          <w14:textFill>
            <w14:solidFill>
              <w14:schemeClr w14:val="tx1"/>
            </w14:solidFill>
          </w14:textFill>
        </w:rPr>
        <w:t>攻坚海上风电装备、现代化养殖船舶等海洋工程装备；培育五金精密铸件、电镀、线路板配套产业，同步布局新一代电子信息、安全应急与环保新材料、海洋特色食品产业</w:t>
      </w:r>
      <w:r>
        <w:rPr>
          <w:rFonts w:hint="eastAsia" w:ascii="Times New Roman" w:hAnsi="Times New Roman" w:cs="Times New Roman"/>
          <w:b w:val="0"/>
          <w:bCs w:val="0"/>
          <w:color w:val="000000" w:themeColor="text1"/>
          <w:sz w:val="32"/>
          <w:szCs w:val="24"/>
          <w:lang w:eastAsia="zh-CN"/>
          <w14:textFill>
            <w14:solidFill>
              <w14:schemeClr w14:val="tx1"/>
            </w14:solidFill>
          </w14:textFill>
        </w:rPr>
        <w:t>。</w:t>
      </w:r>
    </w:p>
    <w:p>
      <w:pPr>
        <w:pStyle w:val="2"/>
        <w:rPr>
          <w:color w:val="000000" w:themeColor="text1"/>
          <w14:textFill>
            <w14:solidFill>
              <w14:schemeClr w14:val="tx1"/>
            </w14:solidFill>
          </w14:textFill>
        </w:rPr>
      </w:pPr>
      <w:r>
        <w:rPr>
          <w:rFonts w:hint="eastAsia"/>
          <w:b/>
          <w:bCs/>
          <w:color w:val="000000" w:themeColor="text1"/>
          <w14:textFill>
            <w14:solidFill>
              <w14:schemeClr w14:val="tx1"/>
            </w14:solidFill>
          </w14:textFill>
        </w:rPr>
        <w:t>陆河县</w:t>
      </w:r>
      <w:r>
        <w:rPr>
          <w:rFonts w:hint="eastAsia"/>
          <w:b/>
          <w:bCs/>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依托陆河产业园区、富民兴村产业园等重点产业园区</w:t>
      </w:r>
      <w:r>
        <w:rPr>
          <w:rFonts w:hint="eastAsia"/>
          <w:color w:val="000000" w:themeColor="text1"/>
          <w:lang w:val="en-US" w:eastAsia="zh-CN"/>
          <w14:textFill>
            <w14:solidFill>
              <w14:schemeClr w14:val="tx1"/>
            </w14:solidFill>
          </w14:textFill>
        </w:rPr>
        <w:t>及项目</w:t>
      </w:r>
      <w:r>
        <w:rPr>
          <w:rFonts w:hint="eastAsia"/>
          <w:color w:val="000000" w:themeColor="text1"/>
          <w14:textFill>
            <w14:solidFill>
              <w14:schemeClr w14:val="tx1"/>
            </w14:solidFill>
          </w14:textFill>
        </w:rPr>
        <w:t>，</w:t>
      </w:r>
      <w:r>
        <w:rPr>
          <w:rFonts w:hint="eastAsia" w:ascii="Times New Roman" w:hAnsi="Times New Roman" w:eastAsia="仿宋_GB2312" w:cs="Times New Roman"/>
          <w:b w:val="0"/>
          <w:bCs w:val="0"/>
          <w:color w:val="000000" w:themeColor="text1"/>
          <w:sz w:val="32"/>
          <w:szCs w:val="24"/>
          <w:lang w:val="en-US" w:eastAsia="zh-CN"/>
          <w14:textFill>
            <w14:solidFill>
              <w14:schemeClr w14:val="tx1"/>
            </w14:solidFill>
          </w14:textFill>
        </w:rPr>
        <w:t>聚焦新能源电池全产业链建设</w:t>
      </w:r>
      <w:r>
        <w:rPr>
          <w:rFonts w:hint="eastAsia" w:ascii="Times New Roman" w:hAnsi="Times New Roman" w:eastAsia="仿宋_GB2312" w:cs="Times New Roman"/>
          <w:color w:val="000000" w:themeColor="text1"/>
          <w:sz w:val="32"/>
          <w:szCs w:val="24"/>
          <w14:textFill>
            <w14:solidFill>
              <w14:schemeClr w14:val="tx1"/>
            </w14:solidFill>
          </w14:textFill>
        </w:rPr>
        <w:t>，布局新能源汽车轻量化金属结构件；培育电声元器件、智能音响组件等新一代电子信息配套产品</w:t>
      </w:r>
      <w:r>
        <w:rPr>
          <w:rFonts w:hint="eastAsia" w:ascii="Times New Roman" w:hAnsi="Times New Roman" w:eastAsia="仿宋_GB2312" w:cs="Times New Roman"/>
          <w:color w:val="000000" w:themeColor="text1"/>
          <w:kern w:val="2"/>
          <w:sz w:val="32"/>
          <w:szCs w:val="24"/>
          <w:lang w:val="en-US"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4"/>
          <w14:textFill>
            <w14:solidFill>
              <w14:schemeClr w14:val="tx1"/>
            </w14:solidFill>
          </w14:textFill>
        </w:rPr>
        <w:t>提质升级纺织服装、食品加工产业，推动</w:t>
      </w:r>
      <w:r>
        <w:rPr>
          <w:rFonts w:hint="eastAsia" w:ascii="Times New Roman" w:hAnsi="Times New Roman" w:cs="Times New Roman"/>
          <w:color w:val="000000" w:themeColor="text1"/>
          <w:sz w:val="32"/>
          <w:szCs w:val="24"/>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4"/>
          <w14:textFill>
            <w14:solidFill>
              <w14:schemeClr w14:val="tx1"/>
            </w14:solidFill>
          </w14:textFill>
        </w:rPr>
        <w:t>陆河青梅</w:t>
      </w:r>
      <w:r>
        <w:rPr>
          <w:rFonts w:hint="eastAsia" w:ascii="Times New Roman" w:hAnsi="Times New Roman" w:cs="Times New Roman"/>
          <w:color w:val="000000" w:themeColor="text1"/>
          <w:sz w:val="32"/>
          <w:szCs w:val="24"/>
          <w:lang w:eastAsia="zh-CN"/>
          <w14:textFill>
            <w14:solidFill>
              <w14:schemeClr w14:val="tx1"/>
            </w14:solidFill>
          </w14:textFill>
        </w:rPr>
        <w:t>”</w:t>
      </w:r>
      <w:r>
        <w:rPr>
          <w:rFonts w:hint="eastAsia" w:ascii="Times New Roman" w:hAnsi="Times New Roman" w:cs="Times New Roman"/>
          <w:color w:val="000000" w:themeColor="text1"/>
          <w:sz w:val="32"/>
          <w:szCs w:val="24"/>
          <w:lang w:val="en-US" w:eastAsia="zh-CN"/>
          <w14:textFill>
            <w14:solidFill>
              <w14:schemeClr w14:val="tx1"/>
            </w14:solidFill>
          </w14:textFill>
        </w:rPr>
        <w:t>等</w:t>
      </w:r>
      <w:r>
        <w:rPr>
          <w:rFonts w:hint="eastAsia" w:ascii="Times New Roman" w:hAnsi="Times New Roman" w:eastAsia="仿宋_GB2312" w:cs="Times New Roman"/>
          <w:color w:val="000000" w:themeColor="text1"/>
          <w:sz w:val="32"/>
          <w:szCs w:val="24"/>
          <w14:textFill>
            <w14:solidFill>
              <w14:schemeClr w14:val="tx1"/>
            </w14:solidFill>
          </w14:textFill>
        </w:rPr>
        <w:t>本土食品品牌化发展。</w:t>
      </w:r>
    </w:p>
    <w:p>
      <w:pPr>
        <w:pStyle w:val="4"/>
        <w:ind w:firstLine="643"/>
        <w:rPr>
          <w:color w:val="000000" w:themeColor="text1"/>
          <w14:textFill>
            <w14:solidFill>
              <w14:schemeClr w14:val="tx1"/>
            </w14:solidFill>
          </w14:textFill>
        </w:rPr>
      </w:pPr>
      <w:bookmarkStart w:id="235" w:name="_Toc27686"/>
      <w:bookmarkStart w:id="236" w:name="_Toc24280"/>
      <w:bookmarkStart w:id="237" w:name="_Toc29131"/>
      <w:bookmarkStart w:id="238" w:name="_Toc9236"/>
      <w:bookmarkStart w:id="239" w:name="_Toc6308"/>
      <w:bookmarkStart w:id="240" w:name="_Toc6867"/>
      <w:bookmarkStart w:id="241" w:name="_Toc8782"/>
      <w:bookmarkStart w:id="242" w:name="_Toc31500"/>
      <w:bookmarkStart w:id="243" w:name="_Toc15755"/>
      <w:bookmarkStart w:id="244" w:name="_Toc5483"/>
      <w:bookmarkStart w:id="245" w:name="_Toc10004"/>
      <w:r>
        <w:rPr>
          <w:rFonts w:hint="eastAsia"/>
          <w:color w:val="000000" w:themeColor="text1"/>
          <w14:textFill>
            <w14:solidFill>
              <w14:schemeClr w14:val="tx1"/>
            </w14:solidFill>
          </w14:textFill>
        </w:rPr>
        <w:t>（三）构建“1+4+N”</w:t>
      </w:r>
      <w:r>
        <w:rPr>
          <w:rFonts w:hint="eastAsia"/>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园区体系</w:t>
      </w:r>
      <w:bookmarkEnd w:id="235"/>
      <w:bookmarkEnd w:id="236"/>
      <w:bookmarkEnd w:id="237"/>
      <w:bookmarkEnd w:id="238"/>
      <w:bookmarkEnd w:id="239"/>
      <w:bookmarkEnd w:id="240"/>
      <w:bookmarkEnd w:id="241"/>
      <w:bookmarkEnd w:id="242"/>
      <w:bookmarkEnd w:id="243"/>
      <w:bookmarkEnd w:id="244"/>
      <w:bookmarkEnd w:id="245"/>
    </w:p>
    <w:p>
      <w:pPr>
        <w:ind w:firstLine="640"/>
        <w:rPr>
          <w:rFonts w:hint="eastAsia" w:ascii="仿宋_GB2312" w:hAnsi="仿宋_GB2312" w:cs="仿宋_GB2312"/>
          <w:color w:val="000000" w:themeColor="text1"/>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以“万亩千亿”级产业平台建设为核心抓手，拓展园区经济新空间和国土空间开发格局，着力构建</w:t>
      </w:r>
      <w:r>
        <w:rPr>
          <w:rFonts w:hint="eastAsia"/>
          <w:b/>
          <w:bCs/>
          <w:color w:val="000000" w:themeColor="text1"/>
          <w14:textFill>
            <w14:solidFill>
              <w14:schemeClr w14:val="tx1"/>
            </w14:solidFill>
          </w14:textFill>
        </w:rPr>
        <w:t>“1+4+N”</w:t>
      </w:r>
      <w:r>
        <w:rPr>
          <w:rFonts w:hint="eastAsia"/>
          <w:b w:val="0"/>
          <w:bCs w:val="0"/>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园区体系，</w:t>
      </w:r>
      <w:r>
        <w:rPr>
          <w:rFonts w:hint="eastAsia"/>
          <w:color w:val="000000" w:themeColor="text1"/>
          <w:szCs w:val="32"/>
          <w14:textFill>
            <w14:solidFill>
              <w14:schemeClr w14:val="tx1"/>
            </w14:solidFill>
          </w14:textFill>
        </w:rPr>
        <w:t>即“</w:t>
      </w:r>
      <w:r>
        <w:rPr>
          <w:rFonts w:hint="eastAsia"/>
          <w:b/>
          <w:bCs/>
          <w:color w:val="000000" w:themeColor="text1"/>
          <w:szCs w:val="32"/>
          <w14:textFill>
            <w14:solidFill>
              <w14:schemeClr w14:val="tx1"/>
            </w14:solidFill>
          </w14:textFill>
        </w:rPr>
        <w:t>汕尾市承接产业有序转移主平台</w:t>
      </w:r>
      <w:r>
        <w:rPr>
          <w:rFonts w:hint="eastAsia"/>
          <w:color w:val="000000" w:themeColor="text1"/>
          <w:szCs w:val="32"/>
          <w14:textFill>
            <w14:solidFill>
              <w14:schemeClr w14:val="tx1"/>
            </w14:solidFill>
          </w14:textFill>
        </w:rPr>
        <w:t>+</w:t>
      </w:r>
      <w:r>
        <w:rPr>
          <w:rFonts w:hint="eastAsia"/>
          <w:b/>
          <w:bCs/>
          <w:color w:val="000000" w:themeColor="text1"/>
          <w:szCs w:val="32"/>
          <w14:textFill>
            <w14:solidFill>
              <w14:schemeClr w14:val="tx1"/>
            </w14:solidFill>
          </w14:textFill>
        </w:rPr>
        <w:t>四个省级产业园区</w:t>
      </w:r>
      <w:r>
        <w:rPr>
          <w:rFonts w:hint="eastAsia"/>
          <w:color w:val="000000" w:themeColor="text1"/>
          <w:szCs w:val="32"/>
          <w14:textFill>
            <w14:solidFill>
              <w14:schemeClr w14:val="tx1"/>
            </w14:solidFill>
          </w14:textFill>
        </w:rPr>
        <w:t>+</w:t>
      </w:r>
      <w:r>
        <w:rPr>
          <w:rFonts w:hint="eastAsia"/>
          <w:b/>
          <w:bCs/>
          <w:color w:val="000000" w:themeColor="text1"/>
          <w:szCs w:val="32"/>
          <w14:textFill>
            <w14:solidFill>
              <w14:schemeClr w14:val="tx1"/>
            </w14:solidFill>
          </w14:textFill>
        </w:rPr>
        <w:t>N个其他重点园区</w:t>
      </w:r>
      <w:r>
        <w:rPr>
          <w:rFonts w:hint="eastAsia"/>
          <w:color w:val="000000" w:themeColor="text1"/>
          <w:szCs w:val="32"/>
          <w14:textFill>
            <w14:solidFill>
              <w14:schemeClr w14:val="tx1"/>
            </w14:solidFill>
          </w14:textFill>
        </w:rPr>
        <w:t>”。统筹完善交通物流、生产服务</w:t>
      </w:r>
      <w:r>
        <w:rPr>
          <w:rFonts w:hint="eastAsia"/>
          <w:color w:val="000000" w:themeColor="text1"/>
          <w:szCs w:val="32"/>
          <w:lang w:val="en-US" w:eastAsia="zh-CN"/>
          <w14:textFill>
            <w14:solidFill>
              <w14:schemeClr w14:val="tx1"/>
            </w14:solidFill>
          </w14:textFill>
        </w:rPr>
        <w:t>及</w:t>
      </w:r>
      <w:r>
        <w:rPr>
          <w:rFonts w:hint="eastAsia"/>
          <w:color w:val="000000" w:themeColor="text1"/>
          <w:szCs w:val="32"/>
          <w14:textFill>
            <w14:solidFill>
              <w14:schemeClr w14:val="tx1"/>
            </w14:solidFill>
          </w14:textFill>
        </w:rPr>
        <w:t>产业联动等协同机制，</w:t>
      </w:r>
      <w:r>
        <w:rPr>
          <w:rFonts w:hint="eastAsia" w:ascii="仿宋_GB2312" w:hAnsi="仿宋_GB2312" w:cs="仿宋_GB2312"/>
          <w:color w:val="000000" w:themeColor="text1"/>
          <w:szCs w:val="32"/>
          <w:highlight w:val="none"/>
          <w14:textFill>
            <w14:solidFill>
              <w14:schemeClr w14:val="tx1"/>
            </w14:solidFill>
          </w14:textFill>
        </w:rPr>
        <w:t>推动各园区优势互补</w:t>
      </w:r>
      <w:r>
        <w:rPr>
          <w:rFonts w:hint="eastAsia" w:ascii="仿宋_GB2312" w:hAnsi="仿宋_GB2312" w:cs="仿宋_GB2312"/>
          <w:color w:val="000000" w:themeColor="text1"/>
          <w:szCs w:val="32"/>
          <w:highlight w:val="none"/>
          <w:lang w:eastAsia="zh-CN"/>
          <w14:textFill>
            <w14:solidFill>
              <w14:schemeClr w14:val="tx1"/>
            </w14:solidFill>
          </w14:textFill>
        </w:rPr>
        <w:t>、</w:t>
      </w:r>
      <w:r>
        <w:rPr>
          <w:rFonts w:hint="eastAsia" w:ascii="仿宋_GB2312" w:hAnsi="仿宋_GB2312" w:cs="仿宋_GB2312"/>
          <w:color w:val="000000" w:themeColor="text1"/>
          <w:szCs w:val="32"/>
          <w:highlight w:val="none"/>
          <w14:textFill>
            <w14:solidFill>
              <w14:schemeClr w14:val="tx1"/>
            </w14:solidFill>
          </w14:textFill>
        </w:rPr>
        <w:t>协同发展</w:t>
      </w:r>
      <w:r>
        <w:rPr>
          <w:rFonts w:hint="eastAsia" w:ascii="仿宋_GB2312" w:hAnsi="仿宋_GB2312" w:cs="仿宋_GB2312"/>
          <w:color w:val="000000" w:themeColor="text1"/>
          <w:szCs w:val="32"/>
          <w:highlight w:val="none"/>
          <w:lang w:eastAsia="zh-CN"/>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主动承接深圳先行示范区</w:t>
      </w:r>
      <w:r>
        <w:rPr>
          <w:rFonts w:hint="eastAsia" w:ascii="仿宋_GB2312" w:hAnsi="仿宋_GB2312" w:cs="仿宋_GB2312"/>
          <w:color w:val="000000" w:themeColor="text1"/>
          <w:szCs w:val="32"/>
          <w:lang w:val="en-US" w:eastAsia="zh-CN"/>
          <w14:textFill>
            <w14:solidFill>
              <w14:schemeClr w14:val="tx1"/>
            </w14:solidFill>
          </w14:textFill>
        </w:rPr>
        <w:t>等</w:t>
      </w:r>
      <w:r>
        <w:rPr>
          <w:rFonts w:hint="eastAsia" w:ascii="仿宋_GB2312" w:hAnsi="仿宋_GB2312" w:cs="仿宋_GB2312"/>
          <w:color w:val="000000" w:themeColor="text1"/>
          <w:szCs w:val="32"/>
          <w14:textFill>
            <w14:solidFill>
              <w14:schemeClr w14:val="tx1"/>
            </w14:solidFill>
          </w14:textFill>
        </w:rPr>
        <w:t>粤港澳大湾区产业外溢与功能延伸，</w:t>
      </w:r>
      <w:r>
        <w:rPr>
          <w:rFonts w:hint="eastAsia" w:ascii="仿宋_GB2312" w:hAnsi="仿宋_GB2312" w:cs="仿宋_GB2312"/>
          <w:color w:val="000000" w:themeColor="text1"/>
          <w:szCs w:val="32"/>
          <w:lang w:val="en-US" w:eastAsia="zh-CN"/>
          <w14:textFill>
            <w14:solidFill>
              <w14:schemeClr w14:val="tx1"/>
            </w14:solidFill>
          </w14:textFill>
        </w:rPr>
        <w:t>培育</w:t>
      </w:r>
      <w:r>
        <w:rPr>
          <w:rFonts w:hint="eastAsia" w:ascii="仿宋_GB2312" w:hAnsi="仿宋_GB2312" w:cs="仿宋_GB2312"/>
          <w:b/>
          <w:bCs/>
          <w:color w:val="000000" w:themeColor="text1"/>
          <w:szCs w:val="32"/>
          <w14:textFill>
            <w14:solidFill>
              <w14:schemeClr w14:val="tx1"/>
            </w14:solidFill>
          </w14:textFill>
        </w:rPr>
        <w:t>新能源汽车、新一代电子信息、低碳新能源、高端装备制造、安全应急与环保新材料</w:t>
      </w:r>
      <w:r>
        <w:rPr>
          <w:rFonts w:hint="eastAsia" w:ascii="仿宋_GB2312" w:hAnsi="仿宋_GB2312" w:cs="仿宋_GB2312"/>
          <w:color w:val="000000" w:themeColor="text1"/>
          <w:szCs w:val="32"/>
          <w14:textFill>
            <w14:solidFill>
              <w14:schemeClr w14:val="tx1"/>
            </w14:solidFill>
          </w14:textFill>
        </w:rPr>
        <w:t>五大战略性主导产业集群，推动食品工业、金银首饰珠宝、纺织</w:t>
      </w:r>
      <w:r>
        <w:rPr>
          <w:rFonts w:hint="eastAsia" w:ascii="仿宋_GB2312" w:hAnsi="仿宋_GB2312" w:cs="仿宋_GB2312"/>
          <w:color w:val="000000" w:themeColor="text1"/>
          <w:szCs w:val="32"/>
          <w:lang w:eastAsia="zh-CN"/>
          <w14:textFill>
            <w14:solidFill>
              <w14:schemeClr w14:val="tx1"/>
            </w14:solidFill>
          </w14:textFill>
        </w:rPr>
        <w:t>服装、</w:t>
      </w:r>
      <w:r>
        <w:rPr>
          <w:rFonts w:hint="eastAsia" w:ascii="仿宋_GB2312" w:hAnsi="仿宋_GB2312" w:cs="仿宋_GB2312"/>
          <w:color w:val="000000" w:themeColor="text1"/>
          <w:szCs w:val="32"/>
          <w14:textFill>
            <w14:solidFill>
              <w14:schemeClr w14:val="tx1"/>
            </w14:solidFill>
          </w14:textFill>
        </w:rPr>
        <w:t>五金等传统优势产业转型升级，前瞻布局通用智能、合成生物、绿色氢能、低空经济等未来产业。</w:t>
      </w:r>
    </w:p>
    <w:p>
      <w:pPr>
        <w:spacing w:line="240" w:lineRule="auto"/>
        <w:ind w:firstLine="0" w:firstLineChars="0"/>
        <w:jc w:val="center"/>
        <w:rPr>
          <w:rFonts w:hint="eastAsia"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 w:val="32"/>
          <w:szCs w:val="32"/>
          <w:lang w:val="en-US" w:eastAsia="zh-CN"/>
          <w14:textFill>
            <w14:solidFill>
              <w14:schemeClr w14:val="tx1"/>
            </w14:solidFill>
          </w14:textFill>
        </w:rPr>
        <w:drawing>
          <wp:inline distT="0" distB="0" distL="114300" distR="114300">
            <wp:extent cx="7355840" cy="4732655"/>
            <wp:effectExtent l="0" t="0" r="6985" b="1270"/>
            <wp:docPr id="9" name="图片 9" descr="汕尾产业规划_0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汕尾产业规划_05(1)"/>
                    <pic:cNvPicPr>
                      <a:picLocks noChangeAspect="true"/>
                    </pic:cNvPicPr>
                  </pic:nvPicPr>
                  <pic:blipFill>
                    <a:blip r:embed="rId15"/>
                    <a:srcRect l="8030" t="4334" r="8324"/>
                    <a:stretch>
                      <a:fillRect/>
                    </a:stretch>
                  </pic:blipFill>
                  <pic:spPr>
                    <a:xfrm>
                      <a:off x="0" y="0"/>
                      <a:ext cx="7355840" cy="4732655"/>
                    </a:xfrm>
                    <a:prstGeom prst="rect">
                      <a:avLst/>
                    </a:prstGeom>
                  </pic:spPr>
                </pic:pic>
              </a:graphicData>
            </a:graphic>
          </wp:inline>
        </w:drawing>
      </w:r>
    </w:p>
    <w:p>
      <w:pPr>
        <w:spacing w:line="240" w:lineRule="auto"/>
        <w:ind w:firstLine="0" w:firstLineChars="0"/>
        <w:jc w:val="center"/>
        <w:rPr>
          <w:rFonts w:hint="eastAsia" w:ascii="仿宋_GB2312" w:hAnsi="仿宋_GB2312" w:cs="仿宋_GB2312"/>
          <w:color w:val="000000" w:themeColor="text1"/>
          <w:szCs w:val="32"/>
          <w14:textFill>
            <w14:solidFill>
              <w14:schemeClr w14:val="tx1"/>
            </w14:solidFill>
          </w14:textFill>
        </w:rPr>
      </w:pPr>
      <w:r>
        <w:rPr>
          <w:rFonts w:hint="eastAsia" w:ascii="黑体" w:hAnsi="黑体" w:eastAsia="黑体" w:cs="黑体"/>
          <w:color w:val="000000" w:themeColor="text1"/>
          <w:sz w:val="28"/>
          <w:szCs w:val="22"/>
          <w14:textFill>
            <w14:solidFill>
              <w14:schemeClr w14:val="tx1"/>
            </w14:solidFill>
          </w14:textFill>
        </w:rPr>
        <w:t>图</w:t>
      </w:r>
      <w:r>
        <w:rPr>
          <w:rFonts w:hint="eastAsia" w:ascii="黑体" w:hAnsi="黑体" w:eastAsia="黑体" w:cs="黑体"/>
          <w:color w:val="000000" w:themeColor="text1"/>
          <w:sz w:val="28"/>
          <w:szCs w:val="22"/>
          <w:lang w:val="en-US" w:eastAsia="zh-CN"/>
          <w14:textFill>
            <w14:solidFill>
              <w14:schemeClr w14:val="tx1"/>
            </w14:solidFill>
          </w14:textFill>
        </w:rPr>
        <w:t>2</w:t>
      </w:r>
      <w:r>
        <w:rPr>
          <w:rFonts w:hint="eastAsia" w:ascii="黑体" w:hAnsi="黑体" w:eastAsia="黑体" w:cs="黑体"/>
          <w:color w:val="000000" w:themeColor="text1"/>
          <w:sz w:val="28"/>
          <w:szCs w:val="22"/>
          <w14:textFill>
            <w14:solidFill>
              <w14:schemeClr w14:val="tx1"/>
            </w14:solidFill>
          </w14:textFill>
        </w:rPr>
        <w:t xml:space="preserve"> </w:t>
      </w:r>
      <w:r>
        <w:rPr>
          <w:rFonts w:hint="eastAsia" w:ascii="黑体" w:hAnsi="黑体" w:eastAsia="黑体" w:cs="黑体"/>
          <w:color w:val="000000" w:themeColor="text1"/>
          <w:sz w:val="28"/>
          <w:szCs w:val="22"/>
          <w:lang w:eastAsia="zh-CN"/>
          <w14:textFill>
            <w14:solidFill>
              <w14:schemeClr w14:val="tx1"/>
            </w14:solidFill>
          </w14:textFill>
        </w:rPr>
        <w:t>汕尾市产业园区1+4+N空间载体示意图</w:t>
      </w:r>
    </w:p>
    <w:p>
      <w:pPr>
        <w:ind w:firstLine="0" w:firstLineChars="0"/>
        <w:rPr>
          <w:rFonts w:hint="eastAsia" w:ascii="仿宋_GB2312" w:hAnsi="仿宋_GB2312" w:cs="仿宋_GB2312"/>
          <w:color w:val="000000" w:themeColor="text1"/>
          <w:szCs w:val="32"/>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pStyle w:val="5"/>
        <w:ind w:firstLine="643"/>
        <w:rPr>
          <w:color w:val="000000" w:themeColor="text1"/>
          <w14:textFill>
            <w14:solidFill>
              <w14:schemeClr w14:val="tx1"/>
            </w14:solidFill>
          </w14:textFill>
        </w:rPr>
      </w:pPr>
      <w:bookmarkStart w:id="246" w:name="_Toc4506"/>
      <w:bookmarkStart w:id="247" w:name="_Toc31207"/>
      <w:bookmarkStart w:id="248" w:name="_Toc20046"/>
      <w:bookmarkStart w:id="249" w:name="_Toc25902"/>
      <w:bookmarkStart w:id="250" w:name="_Toc7523"/>
      <w:bookmarkStart w:id="251" w:name="_Toc28867"/>
      <w:bookmarkStart w:id="252" w:name="_Toc16681"/>
      <w:bookmarkStart w:id="253" w:name="_Toc4987"/>
      <w:bookmarkStart w:id="254" w:name="_Toc18510"/>
      <w:bookmarkStart w:id="255" w:name="_Toc18009"/>
      <w:bookmarkStart w:id="256" w:name="_Toc19929"/>
      <w:r>
        <w:rPr>
          <w:rFonts w:hint="eastAsia"/>
          <w:color w:val="000000" w:themeColor="text1"/>
          <w14:textFill>
            <w14:solidFill>
              <w14:schemeClr w14:val="tx1"/>
            </w14:solidFill>
          </w14:textFill>
        </w:rPr>
        <w:t>1.汕尾市承接产业有序转移主平台</w:t>
      </w:r>
      <w:bookmarkEnd w:id="246"/>
      <w:bookmarkEnd w:id="247"/>
      <w:bookmarkEnd w:id="248"/>
      <w:bookmarkEnd w:id="249"/>
      <w:bookmarkEnd w:id="250"/>
      <w:bookmarkEnd w:id="251"/>
      <w:bookmarkEnd w:id="252"/>
      <w:bookmarkEnd w:id="253"/>
      <w:bookmarkEnd w:id="254"/>
      <w:bookmarkEnd w:id="255"/>
      <w:bookmarkEnd w:id="256"/>
    </w:p>
    <w:p>
      <w:pPr>
        <w:ind w:firstLine="640"/>
        <w:rPr>
          <w:color w:val="000000" w:themeColor="text1"/>
          <w:szCs w:val="32"/>
          <w14:textFill>
            <w14:solidFill>
              <w14:schemeClr w14:val="tx1"/>
            </w14:solidFill>
          </w14:textFill>
        </w:rPr>
      </w:pPr>
      <w:r>
        <w:rPr>
          <w:color w:val="000000" w:themeColor="text1"/>
          <w14:textFill>
            <w14:solidFill>
              <w14:schemeClr w14:val="tx1"/>
            </w14:solidFill>
          </w14:textFill>
        </w:rPr>
        <w:t>立足汕尾市资源禀赋和产业基础，主动承接粤港澳大湾区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深圳先行示范区产业</w:t>
      </w:r>
      <w:r>
        <w:rPr>
          <w:rFonts w:hint="eastAsia"/>
          <w:color w:val="000000" w:themeColor="text1"/>
          <w:lang w:val="en-US" w:eastAsia="zh-CN"/>
          <w14:textFill>
            <w14:solidFill>
              <w14:schemeClr w14:val="tx1"/>
            </w14:solidFill>
          </w14:textFill>
        </w:rPr>
        <w:t>外溢与</w:t>
      </w:r>
      <w:r>
        <w:rPr>
          <w:color w:val="000000" w:themeColor="text1"/>
          <w14:textFill>
            <w14:solidFill>
              <w14:schemeClr w14:val="tx1"/>
            </w14:solidFill>
          </w14:textFill>
        </w:rPr>
        <w:t>功能</w:t>
      </w:r>
      <w:r>
        <w:rPr>
          <w:rFonts w:hint="eastAsia"/>
          <w:color w:val="000000" w:themeColor="text1"/>
          <w14:textFill>
            <w14:solidFill>
              <w14:schemeClr w14:val="tx1"/>
            </w14:solidFill>
          </w14:textFill>
        </w:rPr>
        <w:t>疏解</w:t>
      </w:r>
      <w:r>
        <w:rPr>
          <w:color w:val="000000" w:themeColor="text1"/>
          <w14:textFill>
            <w14:solidFill>
              <w14:schemeClr w14:val="tx1"/>
            </w14:solidFill>
          </w14:textFill>
        </w:rPr>
        <w:t>，重点</w:t>
      </w:r>
      <w:r>
        <w:rPr>
          <w:rFonts w:hint="eastAsia"/>
          <w:color w:val="000000" w:themeColor="text1"/>
          <w:lang w:val="en-US" w:eastAsia="zh-CN"/>
          <w14:textFill>
            <w14:solidFill>
              <w14:schemeClr w14:val="tx1"/>
            </w14:solidFill>
          </w14:textFill>
        </w:rPr>
        <w:t>培育</w:t>
      </w:r>
      <w:r>
        <w:rPr>
          <w:rFonts w:hint="eastAsia"/>
          <w:b/>
          <w:bCs/>
          <w:color w:val="000000" w:themeColor="text1"/>
          <w14:textFill>
            <w14:solidFill>
              <w14:schemeClr w14:val="tx1"/>
            </w14:solidFill>
          </w14:textFill>
        </w:rPr>
        <w:t>新能源汽车、</w:t>
      </w:r>
      <w:r>
        <w:rPr>
          <w:b/>
          <w:bCs/>
          <w:color w:val="000000" w:themeColor="text1"/>
          <w14:textFill>
            <w14:solidFill>
              <w14:schemeClr w14:val="tx1"/>
            </w14:solidFill>
          </w14:textFill>
        </w:rPr>
        <w:t>新一代电子信息、高端装备制造</w:t>
      </w:r>
      <w:r>
        <w:rPr>
          <w:color w:val="000000" w:themeColor="text1"/>
          <w14:textFill>
            <w14:solidFill>
              <w14:schemeClr w14:val="tx1"/>
            </w14:solidFill>
          </w14:textFill>
        </w:rPr>
        <w:t>等战略性主导产业，着力构建特色鲜明、竞争力</w:t>
      </w:r>
      <w:r>
        <w:rPr>
          <w:rFonts w:hint="eastAsia"/>
          <w:color w:val="000000" w:themeColor="text1"/>
          <w:lang w:val="en-US" w:eastAsia="zh-CN"/>
          <w14:textFill>
            <w14:solidFill>
              <w14:schemeClr w14:val="tx1"/>
            </w14:solidFill>
          </w14:textFill>
        </w:rPr>
        <w:t>突出</w:t>
      </w:r>
      <w:r>
        <w:rPr>
          <w:color w:val="000000" w:themeColor="text1"/>
          <w14:textFill>
            <w14:solidFill>
              <w14:schemeClr w14:val="tx1"/>
            </w14:solidFill>
          </w14:textFill>
        </w:rPr>
        <w:t>的现代化产业体系。</w:t>
      </w:r>
      <w:r>
        <w:rPr>
          <w:rFonts w:hint="eastAsia"/>
          <w:color w:val="000000" w:themeColor="text1"/>
          <w14:textFill>
            <w14:solidFill>
              <w14:schemeClr w14:val="tx1"/>
            </w14:solidFill>
          </w14:textFill>
        </w:rPr>
        <w:t>其中，</w:t>
      </w:r>
      <w:r>
        <w:rPr>
          <w:rFonts w:hint="eastAsia"/>
          <w:b/>
          <w:bCs/>
          <w:color w:val="000000" w:themeColor="text1"/>
          <w:szCs w:val="32"/>
          <w14:textFill>
            <w14:solidFill>
              <w14:schemeClr w14:val="tx1"/>
            </w14:solidFill>
          </w14:textFill>
        </w:rPr>
        <w:t>红海湾产业园区</w:t>
      </w:r>
      <w:r>
        <w:rPr>
          <w:rFonts w:hint="eastAsia"/>
          <w:color w:val="000000" w:themeColor="text1"/>
          <w:szCs w:val="32"/>
          <w:lang w:val="en-US" w:eastAsia="zh-CN"/>
          <w14:textFill>
            <w14:solidFill>
              <w14:schemeClr w14:val="tx1"/>
            </w14:solidFill>
          </w14:textFill>
        </w:rPr>
        <w:t>聚焦</w:t>
      </w:r>
      <w:r>
        <w:rPr>
          <w:rFonts w:hint="eastAsia"/>
          <w:color w:val="000000" w:themeColor="text1"/>
          <w:szCs w:val="32"/>
          <w14:textFill>
            <w14:solidFill>
              <w14:schemeClr w14:val="tx1"/>
            </w14:solidFill>
          </w14:textFill>
        </w:rPr>
        <w:t>新能源汽车KD件</w:t>
      </w:r>
      <w:r>
        <w:rPr>
          <w:rFonts w:hint="eastAsia"/>
          <w:color w:val="000000" w:themeColor="text1"/>
          <w14:textFill>
            <w14:solidFill>
              <w14:schemeClr w14:val="tx1"/>
            </w14:solidFill>
          </w14:textFill>
        </w:rPr>
        <w:t>（全散件组装）出口优势</w:t>
      </w:r>
      <w:r>
        <w:rPr>
          <w:rFonts w:hint="eastAsia"/>
          <w:color w:val="000000" w:themeColor="text1"/>
          <w:szCs w:val="32"/>
          <w14:textFill>
            <w14:solidFill>
              <w14:schemeClr w14:val="tx1"/>
            </w14:solidFill>
          </w14:textFill>
        </w:rPr>
        <w:t>，延伸布局新能源汽车核心零部件垂直整合生产体系；</w:t>
      </w:r>
      <w:r>
        <w:rPr>
          <w:rFonts w:hint="eastAsia"/>
          <w:b/>
          <w:bCs/>
          <w:color w:val="000000" w:themeColor="text1"/>
          <w:szCs w:val="32"/>
          <w14:textFill>
            <w14:solidFill>
              <w14:schemeClr w14:val="tx1"/>
            </w14:solidFill>
          </w14:textFill>
        </w:rPr>
        <w:t>汕尾高新区</w:t>
      </w:r>
      <w:r>
        <w:rPr>
          <w:rFonts w:hint="eastAsia" w:ascii="Times New Roman" w:hAnsi="Times New Roman" w:eastAsia="仿宋_GB2312" w:cs="Times New Roman"/>
          <w:color w:val="000000" w:themeColor="text1"/>
          <w:sz w:val="32"/>
          <w:szCs w:val="24"/>
          <w14:textFill>
            <w14:solidFill>
              <w14:schemeClr w14:val="tx1"/>
            </w14:solidFill>
          </w14:textFill>
        </w:rPr>
        <w:t>做大做强</w:t>
      </w:r>
      <w:r>
        <w:rPr>
          <w:rFonts w:hint="eastAsia"/>
          <w:color w:val="000000" w:themeColor="text1"/>
          <w14:textFill>
            <w14:solidFill>
              <w14:schemeClr w14:val="tx1"/>
            </w14:solidFill>
          </w14:textFill>
        </w:rPr>
        <w:t>新一代电子信息、新能源汽车、高端装备制造三大主导产业，</w:t>
      </w:r>
      <w:r>
        <w:rPr>
          <w:rFonts w:hint="eastAsia"/>
          <w:color w:val="000000" w:themeColor="text1"/>
          <w:highlight w:val="none"/>
          <w:lang w:val="en-US" w:eastAsia="zh-CN"/>
          <w14:textFill>
            <w14:solidFill>
              <w14:schemeClr w14:val="tx1"/>
            </w14:solidFill>
          </w14:textFill>
        </w:rPr>
        <w:t>推动企业</w:t>
      </w:r>
      <w:r>
        <w:rPr>
          <w:rFonts w:hint="eastAsia"/>
          <w:color w:val="000000" w:themeColor="text1"/>
          <w14:textFill>
            <w14:solidFill>
              <w14:schemeClr w14:val="tx1"/>
            </w14:solidFill>
          </w14:textFill>
        </w:rPr>
        <w:t>向价值链</w:t>
      </w:r>
      <w:r>
        <w:rPr>
          <w:rFonts w:hint="eastAsia"/>
          <w:color w:val="000000" w:themeColor="text1"/>
          <w:highlight w:val="none"/>
          <w:lang w:val="en-US" w:eastAsia="zh-CN"/>
          <w14:textFill>
            <w14:solidFill>
              <w14:schemeClr w14:val="tx1"/>
            </w14:solidFill>
          </w14:textFill>
        </w:rPr>
        <w:t>高端迈进</w:t>
      </w:r>
      <w:r>
        <w:rPr>
          <w:rFonts w:hint="eastAsia"/>
          <w:color w:val="000000" w:themeColor="text1"/>
          <w14:textFill>
            <w14:solidFill>
              <w14:schemeClr w14:val="tx1"/>
            </w14:solidFill>
          </w14:textFill>
        </w:rPr>
        <w:t>，</w:t>
      </w:r>
      <w:r>
        <w:rPr>
          <w:rFonts w:hint="eastAsia"/>
          <w:color w:val="000000" w:themeColor="text1"/>
          <w:highlight w:val="none"/>
          <w14:textFill>
            <w14:solidFill>
              <w14:schemeClr w14:val="tx1"/>
            </w14:solidFill>
          </w14:textFill>
        </w:rPr>
        <w:t>打造上下游紧密协同的产业集聚集群</w:t>
      </w:r>
      <w:r>
        <w:rPr>
          <w:rFonts w:hint="eastAsia"/>
          <w:color w:val="000000" w:themeColor="text1"/>
          <w14:textFill>
            <w14:solidFill>
              <w14:schemeClr w14:val="tx1"/>
            </w14:solidFill>
          </w14:textFill>
        </w:rPr>
        <w:t>；</w:t>
      </w:r>
      <w:r>
        <w:rPr>
          <w:rFonts w:hint="eastAsia"/>
          <w:b/>
          <w:bCs/>
          <w:color w:val="000000" w:themeColor="text1"/>
          <w:szCs w:val="32"/>
          <w14:textFill>
            <w14:solidFill>
              <w14:schemeClr w14:val="tx1"/>
            </w14:solidFill>
          </w14:textFill>
        </w:rPr>
        <w:t>海丰产业园区</w:t>
      </w:r>
      <w:r>
        <w:rPr>
          <w:rFonts w:hint="eastAsia"/>
          <w:color w:val="000000" w:themeColor="text1"/>
          <w:szCs w:val="32"/>
          <w14:textFill>
            <w14:solidFill>
              <w14:schemeClr w14:val="tx1"/>
            </w14:solidFill>
          </w14:textFill>
        </w:rPr>
        <w:t>以新能源汽车、高端装备制造、纺织服装、金银首饰珠宝产业</w:t>
      </w:r>
      <w:r>
        <w:rPr>
          <w:rFonts w:hint="eastAsia"/>
          <w:color w:val="000000" w:themeColor="text1"/>
          <w:szCs w:val="32"/>
          <w:lang w:val="en-US" w:eastAsia="zh-CN"/>
          <w14:textFill>
            <w14:solidFill>
              <w14:schemeClr w14:val="tx1"/>
            </w14:solidFill>
          </w14:textFill>
        </w:rPr>
        <w:t>为支撑，构建多元产业融合发展的产业集群</w:t>
      </w:r>
      <w:r>
        <w:rPr>
          <w:rFonts w:hint="eastAsia"/>
          <w:color w:val="000000" w:themeColor="text1"/>
          <w:szCs w:val="32"/>
          <w14:textFill>
            <w14:solidFill>
              <w14:schemeClr w14:val="tx1"/>
            </w14:solidFill>
          </w14:textFill>
        </w:rPr>
        <w:t>；</w:t>
      </w:r>
      <w:r>
        <w:rPr>
          <w:rFonts w:hint="eastAsia"/>
          <w:b/>
          <w:bCs/>
          <w:color w:val="000000" w:themeColor="text1"/>
          <w:szCs w:val="32"/>
          <w14:textFill>
            <w14:solidFill>
              <w14:schemeClr w14:val="tx1"/>
            </w14:solidFill>
          </w14:textFill>
        </w:rPr>
        <w:t>陆丰产业园区聚焦</w:t>
      </w:r>
      <w:r>
        <w:rPr>
          <w:rFonts w:hint="eastAsia"/>
          <w:color w:val="000000" w:themeColor="text1"/>
          <w:szCs w:val="32"/>
          <w14:textFill>
            <w14:solidFill>
              <w14:schemeClr w14:val="tx1"/>
            </w14:solidFill>
          </w14:textFill>
        </w:rPr>
        <w:t>临港海洋工程装备制造，建设高端装备制造集聚基地。</w:t>
      </w:r>
    </w:p>
    <w:p>
      <w:pPr>
        <w:ind w:firstLine="642" w:firstLineChars="200"/>
        <w:outlineLvl w:val="2"/>
        <w:rPr>
          <w:b/>
          <w:bCs/>
          <w:color w:val="000000" w:themeColor="text1"/>
          <w14:textFill>
            <w14:solidFill>
              <w14:schemeClr w14:val="tx1"/>
            </w14:solidFill>
          </w14:textFill>
        </w:rPr>
      </w:pPr>
      <w:bookmarkStart w:id="257" w:name="_Toc12009"/>
      <w:bookmarkStart w:id="258" w:name="_Toc7915"/>
      <w:bookmarkStart w:id="259" w:name="_Toc17412"/>
      <w:bookmarkStart w:id="260" w:name="_Toc13147"/>
      <w:bookmarkStart w:id="261" w:name="_Toc9973"/>
      <w:bookmarkStart w:id="262" w:name="_Toc10936"/>
      <w:bookmarkStart w:id="263" w:name="_Toc13520"/>
      <w:bookmarkStart w:id="264" w:name="_Toc28998"/>
      <w:bookmarkStart w:id="265" w:name="_Toc25122"/>
      <w:bookmarkStart w:id="266" w:name="_Toc25460"/>
      <w:bookmarkStart w:id="267" w:name="_Toc11232"/>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.四个省级产业园区：</w:t>
      </w:r>
      <w:r>
        <w:rPr>
          <w:rFonts w:hint="eastAsia"/>
          <w:b/>
          <w:bCs/>
          <w:color w:val="000000" w:themeColor="text1"/>
          <w:szCs w:val="32"/>
          <w14:textFill>
            <w14:solidFill>
              <w14:schemeClr w14:val="tx1"/>
            </w14:solidFill>
          </w14:textFill>
        </w:rPr>
        <w:t>红海湾产业园区、陆丰产业园区、海丰产业园区和陆河产业园区</w:t>
      </w:r>
      <w:bookmarkEnd w:id="257"/>
      <w:bookmarkEnd w:id="258"/>
      <w:bookmarkEnd w:id="259"/>
      <w:bookmarkEnd w:id="260"/>
      <w:bookmarkEnd w:id="261"/>
      <w:bookmarkEnd w:id="262"/>
      <w:bookmarkEnd w:id="263"/>
      <w:bookmarkEnd w:id="264"/>
      <w:bookmarkEnd w:id="265"/>
      <w:bookmarkEnd w:id="266"/>
      <w:bookmarkEnd w:id="267"/>
    </w:p>
    <w:p>
      <w:pPr>
        <w:rPr>
          <w:rFonts w:hint="eastAsia"/>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红海湾产业园区</w:t>
      </w:r>
      <w:r>
        <w:rPr>
          <w:rFonts w:hint="eastAsia"/>
          <w:color w:val="000000" w:themeColor="text1"/>
          <w14:textFill>
            <w14:solidFill>
              <w14:schemeClr w14:val="tx1"/>
            </w14:solidFill>
          </w14:textFill>
        </w:rPr>
        <w:t>着力建设全球新能源汽车产业KD件（全散件/半散件）供给中心，加快建设完善配套</w:t>
      </w:r>
      <w:r>
        <w:rPr>
          <w:rFonts w:hint="eastAsia"/>
          <w:color w:val="000000" w:themeColor="text1"/>
          <w:szCs w:val="32"/>
          <w14:textFill>
            <w14:solidFill>
              <w14:schemeClr w14:val="tx1"/>
            </w14:solidFill>
          </w14:textFill>
        </w:rPr>
        <w:t>仓储物流、国际航运协调、关务服务和售后支持体系</w:t>
      </w:r>
      <w:r>
        <w:rPr>
          <w:rFonts w:hint="eastAsia"/>
          <w:color w:val="000000" w:themeColor="text1"/>
          <w:szCs w:val="32"/>
          <w:lang w:eastAsia="zh-CN"/>
          <w14:textFill>
            <w14:solidFill>
              <w14:schemeClr w14:val="tx1"/>
            </w14:solidFill>
          </w14:textFill>
        </w:rPr>
        <w:t>。</w:t>
      </w:r>
      <w:r>
        <w:rPr>
          <w:color w:val="000000" w:themeColor="text1"/>
          <w14:textFill>
            <w14:solidFill>
              <w14:schemeClr w14:val="tx1"/>
            </w14:solidFill>
          </w14:textFill>
        </w:rPr>
        <w:t>发挥比亚迪在车型开发、系统开发、总部协同等方面的优势，带动产业链上下游企业落地红海湾产业园区，布局研发中心与规模化生产基地</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引育动力电池及其管理系统、电动化附件、车用操作系统等具有国际竞争力的核心零部件供应商。</w:t>
      </w:r>
      <w:r>
        <w:rPr>
          <w:rFonts w:hint="eastAsia"/>
          <w:b/>
          <w:bCs/>
          <w:color w:val="000000" w:themeColor="text1"/>
          <w14:textFill>
            <w14:solidFill>
              <w14:schemeClr w14:val="tx1"/>
            </w14:solidFill>
          </w14:textFill>
        </w:rPr>
        <w:t>陆丰产业园区</w:t>
      </w:r>
      <w:r>
        <w:rPr>
          <w:rFonts w:hint="eastAsia"/>
          <w:color w:val="000000" w:themeColor="text1"/>
          <w14:textFill>
            <w14:solidFill>
              <w14:schemeClr w14:val="tx1"/>
            </w14:solidFill>
          </w14:textFill>
        </w:rPr>
        <w:t>加速发展以海上风电、光伏为代表的低碳新能源产业，同时巩固发展以新型平板显示器件、锂离子电池为代表的新一代电子信息、安全应急与环保新材料产业。</w:t>
      </w:r>
      <w:r>
        <w:rPr>
          <w:rFonts w:hint="eastAsia"/>
          <w:b/>
          <w:bCs/>
          <w:color w:val="000000" w:themeColor="text1"/>
          <w14:textFill>
            <w14:solidFill>
              <w14:schemeClr w14:val="tx1"/>
            </w14:solidFill>
          </w14:textFill>
        </w:rPr>
        <w:t>海丰产业园区</w:t>
      </w:r>
      <w:r>
        <w:rPr>
          <w:rFonts w:hint="eastAsia"/>
          <w:color w:val="000000" w:themeColor="text1"/>
          <w:szCs w:val="32"/>
          <w14:textFill>
            <w14:solidFill>
              <w14:schemeClr w14:val="tx1"/>
            </w14:solidFill>
          </w14:textFill>
        </w:rPr>
        <w:t>重点发展新能源汽车、新一代电子信息、高端装备制造等战略性主导产业，加快推动金银首饰珠宝、纺织服装、食品工业等传统优势产业提质增效。</w:t>
      </w:r>
      <w:r>
        <w:rPr>
          <w:rFonts w:hint="eastAsia"/>
          <w:b/>
          <w:bCs/>
          <w:color w:val="000000" w:themeColor="text1"/>
          <w14:textFill>
            <w14:solidFill>
              <w14:schemeClr w14:val="tx1"/>
            </w14:solidFill>
          </w14:textFill>
        </w:rPr>
        <w:t>陆河产业园区</w:t>
      </w:r>
      <w:r>
        <w:rPr>
          <w:rFonts w:hint="eastAsia"/>
          <w:color w:val="000000" w:themeColor="text1"/>
          <w14:textFill>
            <w14:solidFill>
              <w14:schemeClr w14:val="tx1"/>
            </w14:solidFill>
          </w14:textFill>
        </w:rPr>
        <w:t>重点发展新能源汽车、高端装备制造业、安全应急与环保新材料产业，巩固做大低碳新能源（</w:t>
      </w:r>
      <w:r>
        <w:rPr>
          <w:rFonts w:hint="eastAsia" w:ascii="仿宋_GB2312" w:hAnsi="仿宋_GB2312" w:cs="仿宋_GB2312"/>
          <w:color w:val="000000" w:themeColor="text1"/>
          <w:szCs w:val="32"/>
          <w14:textFill>
            <w14:solidFill>
              <w14:schemeClr w14:val="tx1"/>
            </w14:solidFill>
          </w14:textFill>
        </w:rPr>
        <w:t>分布式光伏、抽水蓄能等</w:t>
      </w:r>
      <w:r>
        <w:rPr>
          <w:rFonts w:hint="eastAsia"/>
          <w:color w:val="000000" w:themeColor="text1"/>
          <w14:textFill>
            <w14:solidFill>
              <w14:schemeClr w14:val="tx1"/>
            </w14:solidFill>
          </w14:textFill>
        </w:rPr>
        <w:t>）与食品工业。</w:t>
      </w:r>
      <w:bookmarkStart w:id="268" w:name="_Toc6028"/>
      <w:bookmarkStart w:id="269" w:name="_Toc9300"/>
      <w:bookmarkStart w:id="270" w:name="_Toc7785"/>
      <w:bookmarkStart w:id="271" w:name="_Toc19781"/>
      <w:bookmarkStart w:id="272" w:name="_Toc22367"/>
      <w:bookmarkStart w:id="273" w:name="_Toc18789"/>
      <w:bookmarkStart w:id="274" w:name="_Toc9591"/>
      <w:bookmarkStart w:id="275" w:name="_Toc14993"/>
      <w:bookmarkStart w:id="276" w:name="_Toc29503"/>
    </w:p>
    <w:p>
      <w:pPr>
        <w:outlineLvl w:val="2"/>
        <w:rPr>
          <w:rFonts w:hint="eastAsia" w:ascii="Times New Roman" w:hAnsi="Times New Roman" w:cs="Times New Roman"/>
          <w:b/>
          <w:bCs/>
          <w:color w:val="000000" w:themeColor="text1"/>
          <w:szCs w:val="32"/>
          <w14:textFill>
            <w14:solidFill>
              <w14:schemeClr w14:val="tx1"/>
            </w14:solidFill>
          </w14:textFill>
        </w:rPr>
      </w:pPr>
      <w:bookmarkStart w:id="277" w:name="_Toc20886"/>
      <w:bookmarkStart w:id="278" w:name="_Toc16808"/>
      <w:r>
        <w:rPr>
          <w:rFonts w:hint="eastAsia" w:ascii="Times New Roman" w:hAnsi="Times New Roman" w:cs="Times New Roman"/>
          <w:b/>
          <w:bCs/>
          <w:color w:val="000000" w:themeColor="text1"/>
          <w:szCs w:val="32"/>
          <w:lang w:val="en-US" w:eastAsia="zh-CN"/>
          <w14:textFill>
            <w14:solidFill>
              <w14:schemeClr w14:val="tx1"/>
            </w14:solidFill>
          </w14:textFill>
        </w:rPr>
        <w:t>3</w:t>
      </w:r>
      <w:r>
        <w:rPr>
          <w:rFonts w:hint="eastAsia" w:ascii="Times New Roman" w:hAnsi="Times New Roman" w:cs="Times New Roman"/>
          <w:b/>
          <w:bCs/>
          <w:color w:val="000000" w:themeColor="text1"/>
          <w:szCs w:val="32"/>
          <w14:textFill>
            <w14:solidFill>
              <w14:schemeClr w14:val="tx1"/>
            </w14:solidFill>
          </w14:textFill>
        </w:rPr>
        <w:t>.其他重点园区：</w:t>
      </w:r>
      <w:r>
        <w:rPr>
          <w:rFonts w:hint="eastAsia" w:ascii="Times New Roman" w:hAnsi="Times New Roman" w:eastAsia="仿宋_GB2312" w:cs="Times New Roman"/>
          <w:b/>
          <w:bCs/>
          <w:color w:val="000000" w:themeColor="text1"/>
          <w:kern w:val="2"/>
          <w:sz w:val="32"/>
          <w:szCs w:val="32"/>
          <w:lang w:val="en-US" w:eastAsia="zh-CN" w:bidi="ar"/>
          <w14:textFill>
            <w14:solidFill>
              <w14:schemeClr w14:val="tx1"/>
            </w14:solidFill>
          </w14:textFill>
        </w:rPr>
        <w:t>深汕合作拓展区、</w:t>
      </w:r>
      <w:r>
        <w:rPr>
          <w:rFonts w:hint="eastAsia" w:ascii="Times New Roman" w:hAnsi="Times New Roman" w:cs="Times New Roman"/>
          <w:b/>
          <w:bCs/>
          <w:color w:val="000000" w:themeColor="text1"/>
          <w:szCs w:val="32"/>
          <w14:textFill>
            <w14:solidFill>
              <w14:schemeClr w14:val="tx1"/>
            </w14:solidFill>
          </w14:textFill>
        </w:rPr>
        <w:t>星都</w:t>
      </w:r>
      <w:r>
        <w:rPr>
          <w:rFonts w:hint="eastAsia" w:ascii="Times New Roman" w:hAnsi="Times New Roman" w:cs="Times New Roman"/>
          <w:b/>
          <w:bCs/>
          <w:color w:val="000000" w:themeColor="text1"/>
          <w:szCs w:val="32"/>
          <w:lang w:eastAsia="zh-CN"/>
          <w14:textFill>
            <w14:solidFill>
              <w14:schemeClr w14:val="tx1"/>
            </w14:solidFill>
          </w14:textFill>
        </w:rPr>
        <w:t>—</w:t>
      </w:r>
      <w:r>
        <w:rPr>
          <w:rFonts w:hint="eastAsia" w:ascii="Times New Roman" w:hAnsi="Times New Roman" w:cs="Times New Roman"/>
          <w:b/>
          <w:bCs/>
          <w:color w:val="000000" w:themeColor="text1"/>
          <w:szCs w:val="32"/>
          <w14:textFill>
            <w14:solidFill>
              <w14:schemeClr w14:val="tx1"/>
            </w14:solidFill>
          </w14:textFill>
        </w:rPr>
        <w:t>可塘合作共建产业园、光明</w:t>
      </w:r>
      <w:r>
        <w:rPr>
          <w:rFonts w:hint="eastAsia" w:ascii="Times New Roman" w:hAnsi="Times New Roman" w:cs="Times New Roman"/>
          <w:b/>
          <w:bCs/>
          <w:color w:val="000000" w:themeColor="text1"/>
          <w:szCs w:val="32"/>
          <w:lang w:eastAsia="zh-CN"/>
          <w14:textFill>
            <w14:solidFill>
              <w14:schemeClr w14:val="tx1"/>
            </w14:solidFill>
          </w14:textFill>
        </w:rPr>
        <w:t>—</w:t>
      </w:r>
      <w:r>
        <w:rPr>
          <w:rFonts w:hint="eastAsia" w:ascii="Times New Roman" w:hAnsi="Times New Roman" w:cs="Times New Roman"/>
          <w:b/>
          <w:bCs/>
          <w:color w:val="000000" w:themeColor="text1"/>
          <w:szCs w:val="32"/>
          <w14:textFill>
            <w14:solidFill>
              <w14:schemeClr w14:val="tx1"/>
            </w14:solidFill>
          </w14:textFill>
        </w:rPr>
        <w:t>城区结对共建产业园、陆丰三甲五金配件产业园、陆河富民兴村产业园</w:t>
      </w:r>
      <w:bookmarkEnd w:id="268"/>
      <w:bookmarkEnd w:id="269"/>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snapToGrid/>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深汕合作拓展区</w:t>
      </w:r>
      <w:r>
        <w:rPr>
          <w:rFonts w:hint="eastAsia"/>
          <w:b w:val="0"/>
          <w:bCs/>
          <w:color w:val="000000" w:themeColor="text1"/>
          <w14:textFill>
            <w14:solidFill>
              <w14:schemeClr w14:val="tx1"/>
            </w14:solidFill>
          </w14:textFill>
        </w:rPr>
        <w:t>聚焦</w:t>
      </w:r>
      <w:r>
        <w:rPr>
          <w:b w:val="0"/>
          <w:bCs/>
          <w:color w:val="000000" w:themeColor="text1"/>
          <w14:textFill>
            <w14:solidFill>
              <w14:schemeClr w14:val="tx1"/>
            </w14:solidFill>
          </w14:textFill>
        </w:rPr>
        <w:t>新能源汽车</w:t>
      </w:r>
      <w:r>
        <w:rPr>
          <w:rFonts w:hint="eastAsia"/>
          <w:b w:val="0"/>
          <w:bCs/>
          <w:color w:val="000000" w:themeColor="text1"/>
          <w14:textFill>
            <w14:solidFill>
              <w14:schemeClr w14:val="tx1"/>
            </w14:solidFill>
          </w14:textFill>
        </w:rPr>
        <w:t>产</w:t>
      </w:r>
      <w:r>
        <w:rPr>
          <w:rFonts w:hint="eastAsia"/>
          <w:b w:val="0"/>
          <w:bCs/>
          <w:color w:val="000000" w:themeColor="text1"/>
          <w:szCs w:val="32"/>
          <w14:textFill>
            <w14:solidFill>
              <w14:schemeClr w14:val="tx1"/>
            </w14:solidFill>
          </w14:textFill>
        </w:rPr>
        <w:t>业，</w:t>
      </w:r>
      <w:r>
        <w:rPr>
          <w:rFonts w:hint="eastAsia" w:ascii="Times New Roman" w:hAnsi="Times New Roman" w:eastAsia="仿宋_GB2312" w:cs="Times New Roman"/>
          <w:b w:val="0"/>
          <w:bCs/>
          <w:color w:val="000000" w:themeColor="text1"/>
          <w:sz w:val="32"/>
          <w:szCs w:val="32"/>
          <w14:textFill>
            <w14:solidFill>
              <w14:schemeClr w14:val="tx1"/>
            </w14:solidFill>
          </w14:textFill>
        </w:rPr>
        <w:t>立足</w:t>
      </w:r>
      <w:r>
        <w:rPr>
          <w:rFonts w:hint="eastAsia"/>
          <w:b w:val="0"/>
          <w:bCs/>
          <w:color w:val="000000" w:themeColor="text1"/>
          <w:szCs w:val="32"/>
          <w14:textFill>
            <w14:solidFill>
              <w14:schemeClr w14:val="tx1"/>
            </w14:solidFill>
          </w14:textFill>
        </w:rPr>
        <w:t>深汕特别合作区打造“新一代世界汽车城”</w:t>
      </w:r>
      <w:r>
        <w:rPr>
          <w:rFonts w:hint="eastAsia"/>
          <w:b w:val="0"/>
          <w:bCs/>
          <w:color w:val="000000" w:themeColor="text1"/>
          <w:szCs w:val="32"/>
          <w:lang w:val="en-US" w:eastAsia="zh-CN"/>
          <w14:textFill>
            <w14:solidFill>
              <w14:schemeClr w14:val="tx1"/>
            </w14:solidFill>
          </w14:textFill>
        </w:rPr>
        <w:t>建设基础</w:t>
      </w:r>
      <w:r>
        <w:rPr>
          <w:rFonts w:hint="eastAsia"/>
          <w:b w:val="0"/>
          <w:bCs/>
          <w:color w:val="000000" w:themeColor="text1"/>
          <w:szCs w:val="32"/>
          <w14:textFill>
            <w14:solidFill>
              <w14:schemeClr w14:val="tx1"/>
            </w14:solidFill>
          </w14:textFill>
        </w:rPr>
        <w:t>及配套</w:t>
      </w:r>
      <w:r>
        <w:rPr>
          <w:rFonts w:hint="eastAsia"/>
          <w:b w:val="0"/>
          <w:bCs/>
          <w:color w:val="000000" w:themeColor="text1"/>
          <w:szCs w:val="32"/>
          <w:lang w:val="en-US" w:eastAsia="zh-CN"/>
          <w14:textFill>
            <w14:solidFill>
              <w14:schemeClr w14:val="tx1"/>
            </w14:solidFill>
          </w14:textFill>
        </w:rPr>
        <w:t>外溢</w:t>
      </w:r>
      <w:r>
        <w:rPr>
          <w:rFonts w:hint="eastAsia"/>
          <w:b w:val="0"/>
          <w:bCs/>
          <w:color w:val="000000" w:themeColor="text1"/>
          <w:szCs w:val="32"/>
          <w14:textFill>
            <w14:solidFill>
              <w14:schemeClr w14:val="tx1"/>
            </w14:solidFill>
          </w14:textFill>
        </w:rPr>
        <w:t>需求，</w:t>
      </w:r>
      <w:r>
        <w:rPr>
          <w:rFonts w:hint="eastAsia"/>
          <w:b w:val="0"/>
          <w:bCs/>
          <w:color w:val="000000" w:themeColor="text1"/>
          <w:szCs w:val="32"/>
          <w:lang w:val="en-US" w:eastAsia="zh-CN"/>
          <w14:textFill>
            <w14:solidFill>
              <w14:schemeClr w14:val="tx1"/>
            </w14:solidFill>
          </w14:textFill>
        </w:rPr>
        <w:t>主动</w:t>
      </w:r>
      <w:r>
        <w:rPr>
          <w:rFonts w:hint="eastAsia" w:ascii="Times New Roman" w:hAnsi="Times New Roman" w:cs="Times New Roman"/>
          <w:b w:val="0"/>
          <w:bCs/>
          <w:color w:val="000000" w:themeColor="text1"/>
          <w:szCs w:val="32"/>
          <w14:textFill>
            <w14:solidFill>
              <w14:schemeClr w14:val="tx1"/>
            </w14:solidFill>
          </w14:textFill>
        </w:rPr>
        <w:t>承接新能源汽车</w:t>
      </w:r>
      <w:r>
        <w:rPr>
          <w:rFonts w:hint="eastAsia" w:cs="Times New Roman"/>
          <w:b w:val="0"/>
          <w:bCs w:val="0"/>
          <w:color w:val="000000" w:themeColor="text1"/>
          <w:szCs w:val="24"/>
          <w:lang w:eastAsia="zh-CN"/>
          <w14:textFill>
            <w14:solidFill>
              <w14:schemeClr w14:val="tx1"/>
            </w14:solidFill>
          </w14:textFill>
        </w:rPr>
        <w:t>原材料</w:t>
      </w:r>
      <w:r>
        <w:rPr>
          <w:rFonts w:hint="eastAsia" w:ascii="Times New Roman" w:hAnsi="Times New Roman" w:cs="Times New Roman"/>
          <w:b w:val="0"/>
          <w:bCs w:val="0"/>
          <w:color w:val="000000" w:themeColor="text1"/>
          <w:szCs w:val="24"/>
          <w:lang w:eastAsia="zh-CN"/>
          <w14:textFill>
            <w14:solidFill>
              <w14:schemeClr w14:val="tx1"/>
            </w14:solidFill>
          </w14:textFill>
        </w:rPr>
        <w:t>、</w:t>
      </w:r>
      <w:r>
        <w:rPr>
          <w:rFonts w:hint="eastAsia" w:ascii="Times New Roman" w:hAnsi="Times New Roman" w:cs="Times New Roman"/>
          <w:b w:val="0"/>
          <w:bCs/>
          <w:color w:val="000000" w:themeColor="text1"/>
          <w:szCs w:val="32"/>
          <w14:textFill>
            <w14:solidFill>
              <w14:schemeClr w14:val="tx1"/>
            </w14:solidFill>
          </w14:textFill>
        </w:rPr>
        <w:t>零部件</w:t>
      </w:r>
      <w:r>
        <w:rPr>
          <w:rFonts w:hint="eastAsia" w:cs="Times New Roman"/>
          <w:b w:val="0"/>
          <w:bCs w:val="0"/>
          <w:color w:val="000000" w:themeColor="text1"/>
          <w:szCs w:val="24"/>
          <w:lang w:eastAsia="zh-CN"/>
          <w14:textFill>
            <w14:solidFill>
              <w14:schemeClr w14:val="tx1"/>
            </w14:solidFill>
          </w14:textFill>
        </w:rPr>
        <w:t>产业转移</w:t>
      </w:r>
      <w:r>
        <w:rPr>
          <w:rFonts w:hint="eastAsia" w:ascii="Times New Roman" w:hAnsi="Times New Roman" w:eastAsia="仿宋_GB2312" w:cs="Times New Roman"/>
          <w:b w:val="0"/>
          <w:bCs w:val="0"/>
          <w:color w:val="000000" w:themeColor="text1"/>
          <w:sz w:val="32"/>
          <w:szCs w:val="24"/>
          <w:lang w:eastAsia="zh-CN"/>
          <w14:textFill>
            <w14:solidFill>
              <w14:schemeClr w14:val="tx1"/>
            </w14:solidFill>
          </w14:textFill>
        </w:rPr>
        <w:t>，</w:t>
      </w:r>
      <w:r>
        <w:rPr>
          <w:rFonts w:hint="eastAsia" w:ascii="Times New Roman" w:hAnsi="Times New Roman" w:cs="Times New Roman"/>
          <w:b w:val="0"/>
          <w:bCs w:val="0"/>
          <w:color w:val="000000" w:themeColor="text1"/>
          <w:sz w:val="32"/>
          <w:szCs w:val="24"/>
          <w:lang w:val="en-US" w:eastAsia="zh-CN"/>
          <w14:textFill>
            <w14:solidFill>
              <w14:schemeClr w14:val="tx1"/>
            </w14:solidFill>
          </w14:textFill>
        </w:rPr>
        <w:t>重点</w:t>
      </w:r>
      <w:r>
        <w:rPr>
          <w:rFonts w:hint="eastAsia" w:ascii="Times New Roman" w:hAnsi="Times New Roman" w:eastAsia="仿宋_GB2312" w:cs="Times New Roman"/>
          <w:b w:val="0"/>
          <w:bCs w:val="0"/>
          <w:color w:val="000000" w:themeColor="text1"/>
          <w:sz w:val="32"/>
          <w:szCs w:val="24"/>
          <w14:textFill>
            <w14:solidFill>
              <w14:schemeClr w14:val="tx1"/>
            </w14:solidFill>
          </w14:textFill>
        </w:rPr>
        <w:t>发展轮毂、电装、动力构件电镀加工与动力电池核心部件，延伸电镀配套产业链</w:t>
      </w:r>
      <w:r>
        <w:rPr>
          <w:rFonts w:hint="eastAsia" w:ascii="Times New Roman" w:hAnsi="Times New Roman" w:cs="Times New Roman"/>
          <w:b w:val="0"/>
          <w:bCs/>
          <w:color w:val="000000" w:themeColor="text1"/>
          <w:szCs w:val="24"/>
          <w14:textFill>
            <w14:solidFill>
              <w14:schemeClr w14:val="tx1"/>
            </w14:solidFill>
          </w14:textFill>
        </w:rPr>
        <w:t>，</w:t>
      </w:r>
      <w:r>
        <w:rPr>
          <w:rFonts w:hint="eastAsia" w:ascii="Times New Roman" w:hAnsi="Times New Roman" w:eastAsia="仿宋_GB2312" w:cs="Times New Roman"/>
          <w:b w:val="0"/>
          <w:bCs/>
          <w:color w:val="000000" w:themeColor="text1"/>
          <w:sz w:val="32"/>
          <w:szCs w:val="24"/>
          <w14:textFill>
            <w14:solidFill>
              <w14:schemeClr w14:val="tx1"/>
            </w14:solidFill>
          </w14:textFill>
        </w:rPr>
        <w:t>构建</w:t>
      </w:r>
      <w:r>
        <w:rPr>
          <w:rFonts w:hint="eastAsia" w:ascii="Times New Roman" w:hAnsi="Times New Roman" w:cs="Times New Roman"/>
          <w:b w:val="0"/>
          <w:bCs/>
          <w:color w:val="000000" w:themeColor="text1"/>
          <w:szCs w:val="24"/>
          <w14:textFill>
            <w14:solidFill>
              <w14:schemeClr w14:val="tx1"/>
            </w14:solidFill>
          </w14:textFill>
        </w:rPr>
        <w:t>“深汕制造+拓展区供应”</w:t>
      </w:r>
      <w:r>
        <w:rPr>
          <w:rFonts w:hint="eastAsia" w:ascii="Times New Roman" w:hAnsi="Times New Roman" w:cs="Times New Roman"/>
          <w:b w:val="0"/>
          <w:bCs/>
          <w:color w:val="000000" w:themeColor="text1"/>
          <w:szCs w:val="24"/>
          <w:lang w:val="en-US" w:eastAsia="zh-CN"/>
          <w14:textFill>
            <w14:solidFill>
              <w14:schemeClr w14:val="tx1"/>
            </w14:solidFill>
          </w14:textFill>
        </w:rPr>
        <w:t>的协同发展</w:t>
      </w:r>
      <w:r>
        <w:rPr>
          <w:rFonts w:hint="eastAsia" w:ascii="Times New Roman" w:hAnsi="Times New Roman" w:cs="Times New Roman"/>
          <w:b w:val="0"/>
          <w:bCs/>
          <w:color w:val="000000" w:themeColor="text1"/>
          <w:szCs w:val="24"/>
          <w14:textFill>
            <w14:solidFill>
              <w14:schemeClr w14:val="tx1"/>
            </w14:solidFill>
          </w14:textFill>
        </w:rPr>
        <w:t>生态</w:t>
      </w:r>
      <w:r>
        <w:rPr>
          <w:rFonts w:hint="eastAsia"/>
          <w:b w:val="0"/>
          <w:bCs/>
          <w:color w:val="000000" w:themeColor="text1"/>
          <w14:textFill>
            <w14:solidFill>
              <w14:schemeClr w14:val="tx1"/>
            </w14:solidFill>
          </w14:textFill>
        </w:rPr>
        <w:t>。星都</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可塘合作共建产业园</w:t>
      </w:r>
      <w:r>
        <w:rPr>
          <w:rFonts w:hint="eastAsia"/>
          <w:bCs/>
          <w:color w:val="000000" w:themeColor="text1"/>
          <w14:textFill>
            <w14:solidFill>
              <w14:schemeClr w14:val="tx1"/>
            </w14:solidFill>
          </w14:textFill>
        </w:rPr>
        <w:t>聚力做大做强</w:t>
      </w:r>
      <w:r>
        <w:rPr>
          <w:rFonts w:hint="eastAsia"/>
          <w:b w:val="0"/>
          <w:bCs/>
          <w:color w:val="000000" w:themeColor="text1"/>
          <w:szCs w:val="24"/>
          <w14:textFill>
            <w14:solidFill>
              <w14:schemeClr w14:val="tx1"/>
            </w14:solidFill>
          </w14:textFill>
        </w:rPr>
        <w:t>金银首饰珠宝产业，</w:t>
      </w:r>
      <w:r>
        <w:rPr>
          <w:rFonts w:hint="eastAsia"/>
          <w:b w:val="0"/>
          <w:bCs/>
          <w:color w:val="000000" w:themeColor="text1"/>
          <w:szCs w:val="24"/>
          <w:lang w:val="en-US" w:eastAsia="zh-CN"/>
          <w14:textFill>
            <w14:solidFill>
              <w14:schemeClr w14:val="tx1"/>
            </w14:solidFill>
          </w14:textFill>
        </w:rPr>
        <w:t>同步培育</w:t>
      </w:r>
      <w:r>
        <w:rPr>
          <w:rFonts w:hint="eastAsia"/>
          <w:b w:val="0"/>
          <w:bCs/>
          <w:color w:val="000000" w:themeColor="text1"/>
          <w:szCs w:val="24"/>
          <w14:textFill>
            <w14:solidFill>
              <w14:schemeClr w14:val="tx1"/>
            </w14:solidFill>
          </w14:textFill>
        </w:rPr>
        <w:t>新一代电子信息、</w:t>
      </w:r>
      <w:r>
        <w:rPr>
          <w:rFonts w:hint="eastAsia"/>
          <w:b w:val="0"/>
          <w:bCs/>
          <w:color w:val="000000" w:themeColor="text1"/>
          <w14:textFill>
            <w14:solidFill>
              <w14:schemeClr w14:val="tx1"/>
            </w14:solidFill>
          </w14:textFill>
        </w:rPr>
        <w:t>安全应急与环保新材料、食品工业等产业。光明</w:t>
      </w:r>
      <w:r>
        <w:rPr>
          <w:rFonts w:hint="eastAsia"/>
          <w:b w:val="0"/>
          <w:bCs/>
          <w:color w:val="000000" w:themeColor="text1"/>
          <w:lang w:eastAsia="zh-CN"/>
          <w14:textFill>
            <w14:solidFill>
              <w14:schemeClr w14:val="tx1"/>
            </w14:solidFill>
          </w14:textFill>
        </w:rPr>
        <w:t>—</w:t>
      </w:r>
      <w:r>
        <w:rPr>
          <w:rFonts w:hint="eastAsia"/>
          <w:b w:val="0"/>
          <w:bCs/>
          <w:color w:val="000000" w:themeColor="text1"/>
          <w14:textFill>
            <w14:solidFill>
              <w14:schemeClr w14:val="tx1"/>
            </w14:solidFill>
          </w14:textFill>
        </w:rPr>
        <w:t>城区结对共建产业园重点发展新一代电子信息、合成生物与生物医药，</w:t>
      </w:r>
      <w:r>
        <w:rPr>
          <w:rFonts w:hint="eastAsia"/>
          <w:b w:val="0"/>
          <w:bCs/>
          <w:color w:val="000000" w:themeColor="text1"/>
          <w:lang w:val="en-US" w:eastAsia="zh-CN"/>
          <w14:textFill>
            <w14:solidFill>
              <w14:schemeClr w14:val="tx1"/>
            </w14:solidFill>
          </w14:textFill>
        </w:rPr>
        <w:t>配套</w:t>
      </w:r>
      <w:r>
        <w:rPr>
          <w:rFonts w:hint="eastAsia"/>
          <w:b w:val="0"/>
          <w:bCs/>
          <w:color w:val="000000" w:themeColor="text1"/>
          <w14:textFill>
            <w14:solidFill>
              <w14:schemeClr w14:val="tx1"/>
            </w14:solidFill>
          </w14:textFill>
        </w:rPr>
        <w:t>发展包装印刷、跨境电商等</w:t>
      </w:r>
      <w:r>
        <w:rPr>
          <w:rFonts w:hint="eastAsia" w:ascii="Times New Roman" w:hAnsi="Times New Roman" w:cs="Times New Roman"/>
          <w:b w:val="0"/>
          <w:bCs/>
          <w:color w:val="000000" w:themeColor="text1"/>
          <w:lang w:val="en-US" w:eastAsia="zh-CN"/>
          <w14:textFill>
            <w14:solidFill>
              <w14:schemeClr w14:val="tx1"/>
            </w14:solidFill>
          </w14:textFill>
        </w:rPr>
        <w:t>业态</w:t>
      </w:r>
      <w:r>
        <w:rPr>
          <w:rFonts w:hint="eastAsia"/>
          <w:b w:val="0"/>
          <w:bCs/>
          <w:color w:val="000000" w:themeColor="text1"/>
          <w14:textFill>
            <w14:solidFill>
              <w14:schemeClr w14:val="tx1"/>
            </w14:solidFill>
          </w14:textFill>
        </w:rPr>
        <w:t>。陆丰三甲五金配件产业园</w:t>
      </w:r>
      <w:r>
        <w:rPr>
          <w:rFonts w:hint="eastAsia" w:ascii="Times New Roman" w:hAnsi="Times New Roman" w:eastAsia="仿宋_GB2312" w:cs="Times New Roman"/>
          <w:bCs/>
          <w:color w:val="000000" w:themeColor="text1"/>
          <w:sz w:val="32"/>
          <w:szCs w:val="24"/>
          <w14:textFill>
            <w14:solidFill>
              <w14:schemeClr w14:val="tx1"/>
            </w14:solidFill>
          </w14:textFill>
        </w:rPr>
        <w:t>聚焦五金加工、表面电镀等主业，布局电子线路板配套产品，打造区域五金特色产业集聚基地</w:t>
      </w:r>
      <w:r>
        <w:rPr>
          <w:rFonts w:hint="eastAsia"/>
          <w:b w:val="0"/>
          <w:bCs/>
          <w:color w:val="000000" w:themeColor="text1"/>
          <w14:textFill>
            <w14:solidFill>
              <w14:schemeClr w14:val="tx1"/>
            </w14:solidFill>
          </w14:textFill>
        </w:rPr>
        <w:t>。陆河富民兴村产业园</w:t>
      </w:r>
      <w:r>
        <w:rPr>
          <w:rFonts w:hint="eastAsia"/>
          <w:bCs/>
          <w:color w:val="000000" w:themeColor="text1"/>
          <w14:textFill>
            <w14:solidFill>
              <w14:schemeClr w14:val="tx1"/>
            </w14:solidFill>
          </w14:textFill>
        </w:rPr>
        <w:t>重</w:t>
      </w:r>
      <w:r>
        <w:rPr>
          <w:rFonts w:hint="eastAsia"/>
          <w:b w:val="0"/>
          <w:bCs/>
          <w:color w:val="000000" w:themeColor="text1"/>
          <w14:textFill>
            <w14:solidFill>
              <w14:schemeClr w14:val="tx1"/>
            </w14:solidFill>
          </w14:textFill>
        </w:rPr>
        <w:t>点发展纺织服装产业，</w:t>
      </w:r>
      <w:r>
        <w:rPr>
          <w:rFonts w:hint="eastAsia" w:ascii="Times New Roman" w:hAnsi="Times New Roman" w:eastAsia="仿宋_GB2312" w:cs="Times New Roman"/>
          <w:bCs/>
          <w:color w:val="000000" w:themeColor="text1"/>
          <w:sz w:val="32"/>
          <w:szCs w:val="24"/>
          <w14:textFill>
            <w14:solidFill>
              <w14:schemeClr w14:val="tx1"/>
            </w14:solidFill>
          </w14:textFill>
        </w:rPr>
        <w:t>推动本地纺织业态由分散零散生产向规模化集群发展转型</w:t>
      </w:r>
      <w:r>
        <w:rPr>
          <w:rFonts w:hint="eastAsia"/>
          <w:b w:val="0"/>
          <w:bCs/>
          <w:color w:val="000000" w:themeColor="text1"/>
          <w:szCs w:val="24"/>
          <w14:textFill>
            <w14:solidFill>
              <w14:schemeClr w14:val="tx1"/>
            </w14:solidFill>
          </w14:textFill>
        </w:rPr>
        <w:t>。</w:t>
      </w:r>
    </w:p>
    <w:p>
      <w:pPr>
        <w:pStyle w:val="3"/>
        <w:ind w:firstLine="643"/>
        <w:rPr>
          <w:color w:val="000000" w:themeColor="text1"/>
          <w14:textFill>
            <w14:solidFill>
              <w14:schemeClr w14:val="tx1"/>
            </w14:solidFill>
          </w14:textFill>
        </w:rPr>
      </w:pPr>
      <w:bookmarkStart w:id="279" w:name="_Toc26251"/>
      <w:bookmarkStart w:id="280" w:name="_Toc29126"/>
      <w:bookmarkStart w:id="281" w:name="_Toc29781"/>
      <w:bookmarkStart w:id="282" w:name="_Toc8499"/>
      <w:bookmarkStart w:id="283" w:name="_Toc5839"/>
      <w:bookmarkStart w:id="284" w:name="_Toc16563"/>
      <w:bookmarkStart w:id="285" w:name="_Toc9481"/>
      <w:bookmarkStart w:id="286" w:name="_Toc27281"/>
      <w:bookmarkStart w:id="287" w:name="_Toc20843"/>
      <w:bookmarkStart w:id="288" w:name="_Toc9262"/>
      <w:bookmarkStart w:id="289" w:name="_Toc29478"/>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、主要任务</w:t>
      </w:r>
      <w:bookmarkEnd w:id="279"/>
      <w:bookmarkEnd w:id="280"/>
      <w:bookmarkEnd w:id="281"/>
      <w:bookmarkEnd w:id="282"/>
      <w:bookmarkEnd w:id="283"/>
      <w:bookmarkEnd w:id="284"/>
      <w:bookmarkEnd w:id="285"/>
      <w:bookmarkEnd w:id="286"/>
      <w:bookmarkEnd w:id="287"/>
      <w:bookmarkEnd w:id="288"/>
      <w:bookmarkEnd w:id="289"/>
    </w:p>
    <w:p>
      <w:pPr>
        <w:pStyle w:val="4"/>
        <w:keepNext/>
        <w:keepLines/>
        <w:pageBreakBefore w:val="0"/>
        <w:widowControl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cs="Times New Roman"/>
          <w:b w:val="0"/>
          <w:bCs/>
          <w:color w:val="000000" w:themeColor="text1"/>
          <w:lang w:val="en-US" w:eastAsia="zh-CN"/>
          <w14:textFill>
            <w14:solidFill>
              <w14:schemeClr w14:val="tx1"/>
            </w14:solidFill>
          </w14:textFill>
        </w:rPr>
      </w:pPr>
      <w:bookmarkStart w:id="290" w:name="_Toc1950"/>
      <w:bookmarkStart w:id="291" w:name="_Toc4054"/>
      <w:bookmarkStart w:id="292" w:name="_Toc18537"/>
      <w:bookmarkStart w:id="293" w:name="_Toc27766"/>
      <w:bookmarkStart w:id="294" w:name="_Toc5226"/>
      <w:bookmarkStart w:id="295" w:name="_Toc527"/>
      <w:bookmarkStart w:id="296" w:name="_Toc6604"/>
      <w:bookmarkStart w:id="297" w:name="_Toc4604"/>
      <w:bookmarkStart w:id="298" w:name="_Toc5029"/>
      <w:bookmarkStart w:id="299" w:name="_Toc28915"/>
      <w:bookmarkStart w:id="300" w:name="_Toc8918"/>
      <w:bookmarkStart w:id="301" w:name="_Toc30518"/>
      <w:r>
        <w:rPr>
          <w:rFonts w:hint="eastAsia" w:ascii="Times New Roman" w:hAnsi="Times New Roman" w:eastAsia="楷体_GB2312" w:cs="Times New Roman"/>
          <w:b w:val="0"/>
          <w:bCs/>
          <w:color w:val="000000" w:themeColor="text1"/>
          <w:kern w:val="2"/>
          <w:sz w:val="32"/>
          <w:szCs w:val="24"/>
          <w:lang w:val="en-US" w:eastAsia="zh-CN" w:bidi="ar-SA"/>
          <w14:textFill>
            <w14:solidFill>
              <w14:schemeClr w14:val="tx1"/>
            </w14:solidFill>
          </w14:textFill>
        </w:rPr>
        <w:t>（</w:t>
      </w:r>
      <w:r>
        <w:rPr>
          <w:rFonts w:hint="eastAsia" w:cs="Times New Roman"/>
          <w:b w:val="0"/>
          <w:bCs/>
          <w:color w:val="000000" w:themeColor="text1"/>
          <w:kern w:val="2"/>
          <w:sz w:val="32"/>
          <w:szCs w:val="24"/>
          <w:lang w:val="en-US" w:eastAsia="zh-CN" w:bidi="ar-SA"/>
          <w14:textFill>
            <w14:solidFill>
              <w14:schemeClr w14:val="tx1"/>
            </w14:solidFill>
          </w14:textFill>
        </w:rPr>
        <w:t>一</w:t>
      </w:r>
      <w:r>
        <w:rPr>
          <w:rFonts w:hint="eastAsia" w:ascii="Times New Roman" w:hAnsi="Times New Roman" w:eastAsia="楷体_GB2312" w:cs="Times New Roman"/>
          <w:b w:val="0"/>
          <w:bCs/>
          <w:color w:val="000000" w:themeColor="text1"/>
          <w:kern w:val="2"/>
          <w:sz w:val="32"/>
          <w:szCs w:val="24"/>
          <w:lang w:val="en-US" w:eastAsia="zh-CN" w:bidi="ar-SA"/>
          <w14:textFill>
            <w14:solidFill>
              <w14:schemeClr w14:val="tx1"/>
            </w14:solidFill>
          </w14:textFill>
        </w:rPr>
        <w:t>）</w:t>
      </w:r>
      <w:r>
        <w:rPr>
          <w:rFonts w:hint="eastAsia" w:ascii="Times New Roman" w:hAnsi="Times New Roman" w:cs="Times New Roman"/>
          <w:b w:val="0"/>
          <w:bCs/>
          <w:color w:val="000000" w:themeColor="text1"/>
          <w:lang w:val="en-US" w:eastAsia="zh-CN"/>
          <w14:textFill>
            <w14:solidFill>
              <w14:schemeClr w14:val="tx1"/>
            </w14:solidFill>
          </w14:textFill>
        </w:rPr>
        <w:t>注重创新铸魂，促进产研双向融合</w:t>
      </w:r>
      <w:bookmarkEnd w:id="290"/>
      <w:bookmarkEnd w:id="291"/>
    </w:p>
    <w:p>
      <w:pPr>
        <w:pStyle w:val="5"/>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eastAsia="仿宋_GB2312"/>
          <w:b/>
          <w:bCs w:val="0"/>
          <w:color w:val="000000" w:themeColor="text1"/>
          <w:lang w:eastAsia="zh-CN"/>
          <w14:textFill>
            <w14:solidFill>
              <w14:schemeClr w14:val="tx1"/>
            </w14:solidFill>
          </w14:textFill>
        </w:rPr>
      </w:pPr>
      <w:bookmarkStart w:id="302" w:name="_Toc11703"/>
      <w:bookmarkStart w:id="303" w:name="_Toc24328"/>
      <w:r>
        <w:rPr>
          <w:rFonts w:hint="eastAsia"/>
          <w:b/>
          <w:bCs w:val="0"/>
          <w:color w:val="000000" w:themeColor="text1"/>
          <w:lang w:val="en-US" w:eastAsia="zh-CN"/>
          <w14:textFill>
            <w14:solidFill>
              <w14:schemeClr w14:val="tx1"/>
            </w14:solidFill>
          </w14:textFill>
        </w:rPr>
        <w:t>1</w:t>
      </w:r>
      <w:r>
        <w:rPr>
          <w:rFonts w:hint="eastAsia"/>
          <w:b/>
          <w:bCs w:val="0"/>
          <w:color w:val="000000" w:themeColor="text1"/>
          <w14:textFill>
            <w14:solidFill>
              <w14:schemeClr w14:val="tx1"/>
            </w14:solidFill>
          </w14:textFill>
        </w:rPr>
        <w:t>.强化企业创新主体地位，激发</w:t>
      </w:r>
      <w:r>
        <w:rPr>
          <w:rFonts w:hint="eastAsia"/>
          <w:b/>
          <w:bCs w:val="0"/>
          <w:color w:val="000000" w:themeColor="text1"/>
          <w:lang w:val="en-US" w:eastAsia="zh-CN"/>
          <w14:textFill>
            <w14:solidFill>
              <w14:schemeClr w14:val="tx1"/>
            </w14:solidFill>
          </w14:textFill>
        </w:rPr>
        <w:t>企业</w:t>
      </w:r>
      <w:r>
        <w:rPr>
          <w:rFonts w:hint="eastAsia"/>
          <w:b/>
          <w:bCs w:val="0"/>
          <w:color w:val="000000" w:themeColor="text1"/>
          <w14:textFill>
            <w14:solidFill>
              <w14:schemeClr w14:val="tx1"/>
            </w14:solidFill>
          </w14:textFill>
        </w:rPr>
        <w:t>创新</w:t>
      </w:r>
      <w:r>
        <w:rPr>
          <w:rFonts w:hint="eastAsia"/>
          <w:b/>
          <w:bCs w:val="0"/>
          <w:color w:val="000000" w:themeColor="text1"/>
          <w:lang w:val="en-US" w:eastAsia="zh-CN"/>
          <w14:textFill>
            <w14:solidFill>
              <w14:schemeClr w14:val="tx1"/>
            </w14:solidFill>
          </w14:textFill>
        </w:rPr>
        <w:t>动能</w:t>
      </w:r>
      <w:bookmarkEnd w:id="302"/>
      <w:bookmarkEnd w:id="303"/>
    </w:p>
    <w:p>
      <w:pPr>
        <w:bidi w:val="0"/>
        <w:rPr>
          <w:rFonts w:hint="eastAsia"/>
          <w:lang w:val="en-US" w:eastAsia="zh-CN"/>
        </w:rPr>
      </w:pPr>
      <w:r>
        <w:rPr>
          <w:rFonts w:hint="eastAsia"/>
          <w:lang w:val="en-US" w:eastAsia="zh-CN"/>
        </w:rPr>
        <w:t>培优做强科技型创新主体。建立科技型企业常态化入库评价机制，遴选研发投入达标、掌握核心技术、拥有高价值成果企业入库储备，充实高新技术企业后备资源。开展企业“一对一”精准培育，围绕知识产权布局、研发费用归集等内容提供专项辅导，构建“</w:t>
      </w:r>
      <w:r>
        <w:rPr>
          <w:rFonts w:hint="eastAsia"/>
        </w:rPr>
        <w:t>培育辅导—申报帮扶—评审跟踪—认定奖补</w:t>
      </w:r>
      <w:r>
        <w:rPr>
          <w:rFonts w:hint="eastAsia"/>
          <w:lang w:val="en-US" w:eastAsia="zh-CN"/>
        </w:rPr>
        <w:t>”全流程跟踪服务体系，配套落实研发费用加计扣除等扶持政策。搭建企业创新诉求快速响应渠道，动态梳理产业创新需求清单，联动科创平台、科研院所精准匹配创新资源。</w:t>
      </w:r>
    </w:p>
    <w:p>
      <w:pPr>
        <w:bidi w:val="0"/>
        <w:rPr>
          <w:rFonts w:hint="eastAsia"/>
          <w:lang w:val="en-US" w:eastAsia="zh-CN"/>
        </w:rPr>
      </w:pPr>
      <w:r>
        <w:rPr>
          <w:rFonts w:hint="default"/>
          <w:lang w:val="en-US" w:eastAsia="zh-CN"/>
        </w:rPr>
        <w:t>提升企业自主创新能力</w:t>
      </w:r>
      <w:r>
        <w:rPr>
          <w:rFonts w:hint="eastAsia"/>
          <w:lang w:val="en-US" w:eastAsia="zh-CN"/>
        </w:rPr>
        <w:t>。</w:t>
      </w:r>
      <w:r>
        <w:rPr>
          <w:rFonts w:hint="default"/>
          <w:lang w:val="en-US" w:eastAsia="zh-CN"/>
        </w:rPr>
        <w:t>支持龙头企业</w:t>
      </w:r>
      <w:r>
        <w:rPr>
          <w:rFonts w:hint="eastAsia"/>
          <w:lang w:val="en-US" w:eastAsia="zh-CN"/>
        </w:rPr>
        <w:t>与</w:t>
      </w:r>
      <w:r>
        <w:rPr>
          <w:rFonts w:hint="default"/>
          <w:lang w:val="en-US" w:eastAsia="zh-CN"/>
        </w:rPr>
        <w:t>骨干企业</w:t>
      </w:r>
      <w:r>
        <w:rPr>
          <w:rFonts w:hint="eastAsia"/>
          <w:lang w:val="en-US" w:eastAsia="zh-CN"/>
        </w:rPr>
        <w:t>牵头承担</w:t>
      </w:r>
      <w:r>
        <w:rPr>
          <w:rFonts w:hint="default"/>
          <w:lang w:val="en-US" w:eastAsia="zh-CN"/>
        </w:rPr>
        <w:t>重大</w:t>
      </w:r>
      <w:r>
        <w:rPr>
          <w:rFonts w:hint="eastAsia"/>
          <w:lang w:val="en-US" w:eastAsia="zh-CN"/>
        </w:rPr>
        <w:t>研发项目和</w:t>
      </w:r>
      <w:r>
        <w:rPr>
          <w:rFonts w:hint="default"/>
          <w:lang w:val="en-US" w:eastAsia="zh-CN"/>
        </w:rPr>
        <w:t>科技任务，争创省级、国家级科</w:t>
      </w:r>
      <w:r>
        <w:rPr>
          <w:rFonts w:hint="eastAsia"/>
        </w:rPr>
        <w:t>学技术</w:t>
      </w:r>
      <w:r>
        <w:rPr>
          <w:rFonts w:hint="default"/>
          <w:lang w:val="en-US" w:eastAsia="zh-CN"/>
        </w:rPr>
        <w:t>奖励。完善研发机构</w:t>
      </w:r>
      <w:r>
        <w:rPr>
          <w:rFonts w:hint="eastAsia"/>
          <w:lang w:val="en-US" w:eastAsia="zh-CN"/>
        </w:rPr>
        <w:t>体系</w:t>
      </w:r>
      <w:r>
        <w:rPr>
          <w:rFonts w:hint="default"/>
          <w:lang w:val="en-US" w:eastAsia="zh-CN"/>
        </w:rPr>
        <w:t>建设，引导</w:t>
      </w:r>
      <w:r>
        <w:rPr>
          <w:rFonts w:hint="eastAsia"/>
          <w:lang w:val="en-US" w:eastAsia="zh-CN"/>
        </w:rPr>
        <w:t>行业领军</w:t>
      </w:r>
      <w:r>
        <w:rPr>
          <w:rFonts w:hint="default"/>
          <w:lang w:val="en-US" w:eastAsia="zh-CN"/>
        </w:rPr>
        <w:t>企业</w:t>
      </w:r>
      <w:r>
        <w:rPr>
          <w:rFonts w:hint="eastAsia"/>
          <w:lang w:val="en-US" w:eastAsia="zh-CN"/>
        </w:rPr>
        <w:t>自主</w:t>
      </w:r>
      <w:r>
        <w:rPr>
          <w:rFonts w:hint="default"/>
          <w:lang w:val="en-US" w:eastAsia="zh-CN"/>
        </w:rPr>
        <w:t>建设企业重点实验室、技术创新中心、工程研究中心等省级及以上研发平台</w:t>
      </w:r>
      <w:r>
        <w:rPr>
          <w:rFonts w:hint="eastAsia"/>
          <w:lang w:val="en-US" w:eastAsia="zh-CN"/>
        </w:rPr>
        <w:t>。引导</w:t>
      </w:r>
      <w:r>
        <w:rPr>
          <w:rFonts w:hint="default"/>
          <w:lang w:val="en-US" w:eastAsia="zh-CN"/>
        </w:rPr>
        <w:t>企业持续</w:t>
      </w:r>
      <w:r>
        <w:rPr>
          <w:rFonts w:hint="eastAsia"/>
          <w:lang w:val="en-US" w:eastAsia="zh-CN"/>
        </w:rPr>
        <w:t>研发</w:t>
      </w:r>
      <w:r>
        <w:rPr>
          <w:rFonts w:hint="default"/>
          <w:lang w:val="en-US" w:eastAsia="zh-CN"/>
        </w:rPr>
        <w:t>具有自主知识产权</w:t>
      </w:r>
      <w:r>
        <w:rPr>
          <w:rFonts w:hint="eastAsia"/>
          <w:lang w:val="en-US" w:eastAsia="zh-CN"/>
        </w:rPr>
        <w:t>的核心</w:t>
      </w:r>
      <w:r>
        <w:rPr>
          <w:rFonts w:hint="default"/>
          <w:lang w:val="en-US" w:eastAsia="zh-CN"/>
        </w:rPr>
        <w:t>产品</w:t>
      </w:r>
      <w:r>
        <w:rPr>
          <w:rFonts w:hint="eastAsia"/>
          <w:lang w:eastAsia="zh-CN"/>
        </w:rPr>
        <w:t>、</w:t>
      </w:r>
      <w:r>
        <w:rPr>
          <w:rFonts w:hint="default"/>
          <w:lang w:val="en-US" w:eastAsia="zh-CN"/>
        </w:rPr>
        <w:t>关键技术</w:t>
      </w:r>
      <w:r>
        <w:rPr>
          <w:rFonts w:hint="eastAsia"/>
          <w:lang w:val="en-US" w:eastAsia="zh-CN"/>
        </w:rPr>
        <w:t>，</w:t>
      </w:r>
      <w:r>
        <w:rPr>
          <w:rFonts w:hint="default"/>
          <w:lang w:val="en-US" w:eastAsia="zh-CN"/>
        </w:rPr>
        <w:t>主导或参与制定国际、国家及行业技术标准，培育一批市场认可度高、具备全球竞争力的制造业自主品牌，支持企业参与国内外知名行业展会、品牌推广项目</w:t>
      </w:r>
      <w:r>
        <w:rPr>
          <w:rFonts w:hint="eastAsia"/>
          <w:lang w:val="en-US" w:eastAsia="zh-CN"/>
        </w:rPr>
        <w:t>。</w:t>
      </w:r>
    </w:p>
    <w:p>
      <w:pPr>
        <w:pStyle w:val="5"/>
        <w:keepNext/>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eastAsia="仿宋_GB2312" w:cs="Times New Roman"/>
          <w:b/>
          <w:color w:val="000000" w:themeColor="text1"/>
          <w:kern w:val="2"/>
          <w:sz w:val="32"/>
          <w:szCs w:val="24"/>
          <w:lang w:val="en-US" w:eastAsia="zh-CN" w:bidi="ar-SA"/>
          <w14:textFill>
            <w14:solidFill>
              <w14:schemeClr w14:val="tx1"/>
            </w14:solidFill>
          </w14:textFill>
        </w:rPr>
      </w:pPr>
      <w:bookmarkStart w:id="304" w:name="_Toc22909"/>
      <w:bookmarkStart w:id="305" w:name="_Toc8690"/>
      <w:r>
        <w:rPr>
          <w:rFonts w:hint="eastAsia"/>
          <w:b/>
          <w:bCs w:val="0"/>
          <w:color w:val="000000" w:themeColor="text1"/>
          <w:lang w:val="en-US" w:eastAsia="zh-CN"/>
          <w14:textFill>
            <w14:solidFill>
              <w14:schemeClr w14:val="tx1"/>
            </w14:solidFill>
          </w14:textFill>
        </w:rPr>
        <w:t>2.</w:t>
      </w:r>
      <w:r>
        <w:rPr>
          <w:rFonts w:hint="eastAsia"/>
          <w:b/>
          <w:bCs w:val="0"/>
          <w:color w:val="000000" w:themeColor="text1"/>
          <w14:textFill>
            <w14:solidFill>
              <w14:schemeClr w14:val="tx1"/>
            </w14:solidFill>
          </w14:textFill>
        </w:rPr>
        <w:t>构建高效创新平台体系，加快完</w:t>
      </w:r>
      <w:r>
        <w:rPr>
          <w:rFonts w:hint="eastAsia" w:ascii="Times New Roman" w:hAnsi="Times New Roman" w:eastAsia="仿宋_GB2312" w:cs="Times New Roman"/>
          <w:b/>
          <w:color w:val="000000" w:themeColor="text1"/>
          <w:kern w:val="2"/>
          <w:sz w:val="32"/>
          <w:szCs w:val="24"/>
          <w:lang w:val="en-US" w:eastAsia="zh-CN" w:bidi="ar-SA"/>
          <w14:textFill>
            <w14:solidFill>
              <w14:schemeClr w14:val="tx1"/>
            </w14:solidFill>
          </w14:textFill>
        </w:rPr>
        <w:t>善创新生态</w:t>
      </w:r>
      <w:bookmarkEnd w:id="304"/>
      <w:bookmarkEnd w:id="305"/>
    </w:p>
    <w:p>
      <w:pPr>
        <w:bidi w:val="0"/>
        <w:rPr>
          <w:rFonts w:hint="eastAsia"/>
          <w:lang w:val="en-US" w:eastAsia="zh-CN"/>
        </w:rPr>
      </w:pPr>
      <w:r>
        <w:rPr>
          <w:rFonts w:hint="eastAsia"/>
          <w:lang w:val="en-US" w:eastAsia="zh-CN"/>
        </w:rPr>
        <w:t>提质升级重大科创平台。做强红海湾实验室、南海海缆省重点实验室、信利省重点实验室、汕尾中大海洋科学院等重点创新平台，聚焦深海装备制造、海洋生物资源、半导体开发等前沿领域，围绕核能制氢、高性能纤维复合材料、先进储能等领域实施核心技术攻关专项，谋划深海装备测试与应用示范基地建设，强化原始创新策源能力。前瞻布局创新载体，深化校地合作，联合东北电力大学共建海洋综合能源实验室；紧盯龙头企业创新需求，加快落地比亚迪汽车研发试验基地，提升技术中试验证与成果产业化</w:t>
      </w:r>
      <w:r>
        <w:rPr>
          <w:rFonts w:hint="eastAsia"/>
        </w:rPr>
        <w:t>落地效能</w:t>
      </w:r>
      <w:r>
        <w:rPr>
          <w:rFonts w:hint="eastAsia"/>
          <w:lang w:val="en-US" w:eastAsia="zh-CN"/>
        </w:rPr>
        <w:t>，打造一批产业技术示范应用场景。</w:t>
      </w:r>
    </w:p>
    <w:p>
      <w:pPr>
        <w:bidi w:val="0"/>
        <w:rPr>
          <w:rFonts w:hint="eastAsia" w:ascii="Times New Roman" w:hAnsi="Times New Roman" w:cs="Times New Roman"/>
          <w:color w:val="000000" w:themeColor="text1"/>
          <w:lang w:val="en-US" w:eastAsia="zh-CN"/>
          <w14:textFill>
            <w14:solidFill>
              <w14:schemeClr w14:val="tx1"/>
            </w14:solidFill>
          </w14:textFill>
        </w:rPr>
      </w:pPr>
      <w:r>
        <w:rPr>
          <w:rFonts w:hint="eastAsia"/>
          <w:lang w:val="en-US" w:eastAsia="zh-CN"/>
        </w:rPr>
        <w:t>组建产业创新联合体。</w:t>
      </w:r>
      <w:r>
        <w:rPr>
          <w:rFonts w:hint="default"/>
          <w:lang w:val="en-US" w:eastAsia="zh-CN"/>
        </w:rPr>
        <w:t>以产业链龙头企业、领军企业为牵引，围绕产业链、创新链堵点难点，系统梳理核心技术需求，统筹整合高校院所、上下游配套企业</w:t>
      </w:r>
      <w:r>
        <w:rPr>
          <w:rFonts w:hint="eastAsia"/>
          <w:lang w:val="en-US" w:eastAsia="zh-CN"/>
        </w:rPr>
        <w:t>、行业创新资源</w:t>
      </w:r>
      <w:r>
        <w:rPr>
          <w:rFonts w:hint="default"/>
          <w:lang w:val="en-US" w:eastAsia="zh-CN"/>
        </w:rPr>
        <w:t>，牵头组建专业化、市</w:t>
      </w:r>
      <w:r>
        <w:rPr>
          <w:rFonts w:hint="default" w:ascii="Times New Roman" w:hAnsi="Times New Roman" w:cs="Times New Roman"/>
          <w:color w:val="000000" w:themeColor="text1"/>
          <w:lang w:val="en-US" w:eastAsia="zh-CN"/>
          <w14:textFill>
            <w14:solidFill>
              <w14:schemeClr w14:val="tx1"/>
            </w14:solidFill>
          </w14:textFill>
        </w:rPr>
        <w:t>场化产业创新联合体</w:t>
      </w:r>
      <w:r>
        <w:rPr>
          <w:rFonts w:hint="eastAsia" w:ascii="Times New Roman" w:hAnsi="Times New Roman" w:cs="Times New Roman"/>
          <w:color w:val="000000" w:themeColor="text1"/>
          <w:lang w:val="en-US" w:eastAsia="zh-CN"/>
          <w14:textFill>
            <w14:solidFill>
              <w14:schemeClr w14:val="tx1"/>
            </w14:solidFill>
          </w14:textFill>
        </w:rPr>
        <w:t>。依托联合体资源优势，联合共建省级及以上工程技术研究中心、新型研发机构等创新载体，建立产学研用协同攻关机制，常态化开展共性、核心技术联合攻</w:t>
      </w:r>
      <w:r>
        <w:rPr>
          <w:rFonts w:hint="eastAsia" w:cs="Times New Roman"/>
          <w:color w:val="000000" w:themeColor="text1"/>
          <w:lang w:val="en-US" w:eastAsia="zh-CN"/>
          <w14:textFill>
            <w14:solidFill>
              <w14:schemeClr w14:val="tx1"/>
            </w14:solidFill>
          </w14:textFill>
        </w:rPr>
        <w:t>关</w:t>
      </w:r>
      <w:r>
        <w:rPr>
          <w:rFonts w:hint="eastAsia" w:ascii="Times New Roman" w:hAnsi="Times New Roman" w:cs="Times New Roman"/>
          <w:color w:val="000000" w:themeColor="text1"/>
          <w:lang w:val="en-US" w:eastAsia="zh-CN"/>
          <w14:textFill>
            <w14:solidFill>
              <w14:schemeClr w14:val="tx1"/>
            </w14:solidFill>
          </w14:textFill>
        </w:rPr>
        <w:t>，加速科技成果示范应用与产业化落地，推动创新链、产业链、资金链、人才链深度融合，全面提升产业整体创新能力和核心竞争力。</w:t>
      </w:r>
    </w:p>
    <w:p>
      <w:pPr>
        <w:pStyle w:val="21"/>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outlineLvl w:val="2"/>
        <w:rPr>
          <w:rFonts w:hint="eastAsia" w:ascii="Times New Roman" w:hAnsi="Times New Roman" w:cs="Times New Roman"/>
          <w:b/>
          <w:bCs w:val="0"/>
          <w:color w:val="000000" w:themeColor="text1"/>
          <w:lang w:val="en-US" w:eastAsia="zh-CN"/>
          <w14:textFill>
            <w14:solidFill>
              <w14:schemeClr w14:val="tx1"/>
            </w14:solidFill>
          </w14:textFill>
        </w:rPr>
      </w:pPr>
      <w:bookmarkStart w:id="306" w:name="_Toc11638"/>
      <w:bookmarkStart w:id="307" w:name="_Toc14043"/>
      <w:r>
        <w:rPr>
          <w:rFonts w:hint="eastAsia" w:cs="Times New Roman"/>
          <w:b/>
          <w:bCs w:val="0"/>
          <w:color w:val="000000" w:themeColor="text1"/>
          <w:lang w:val="en-US" w:eastAsia="zh-CN"/>
          <w14:textFill>
            <w14:solidFill>
              <w14:schemeClr w14:val="tx1"/>
            </w14:solidFill>
          </w14:textFill>
        </w:rPr>
        <w:t>3.</w:t>
      </w:r>
      <w:r>
        <w:rPr>
          <w:rFonts w:hint="eastAsia" w:ascii="Times New Roman" w:hAnsi="Times New Roman" w:cs="Times New Roman"/>
          <w:b/>
          <w:bCs w:val="0"/>
          <w:color w:val="000000" w:themeColor="text1"/>
          <w:lang w:val="en-US" w:eastAsia="zh-CN"/>
          <w14:textFill>
            <w14:solidFill>
              <w14:schemeClr w14:val="tx1"/>
            </w14:solidFill>
          </w14:textFill>
        </w:rPr>
        <w:t>完善创新服务体系，激发</w:t>
      </w:r>
      <w:r>
        <w:rPr>
          <w:rFonts w:hint="eastAsia" w:cs="Times New Roman"/>
          <w:b/>
          <w:bCs w:val="0"/>
          <w:color w:val="000000" w:themeColor="text1"/>
          <w:lang w:val="en-US" w:eastAsia="zh-CN"/>
          <w14:textFill>
            <w14:solidFill>
              <w14:schemeClr w14:val="tx1"/>
            </w14:solidFill>
          </w14:textFill>
        </w:rPr>
        <w:t>社会</w:t>
      </w:r>
      <w:r>
        <w:rPr>
          <w:rFonts w:hint="eastAsia" w:ascii="Times New Roman" w:hAnsi="Times New Roman" w:cs="Times New Roman"/>
          <w:b/>
          <w:bCs w:val="0"/>
          <w:color w:val="000000" w:themeColor="text1"/>
          <w:lang w:val="en-US" w:eastAsia="zh-CN"/>
          <w14:textFill>
            <w14:solidFill>
              <w14:schemeClr w14:val="tx1"/>
            </w14:solidFill>
          </w14:textFill>
        </w:rPr>
        <w:t>创新活力</w:t>
      </w:r>
      <w:bookmarkEnd w:id="306"/>
      <w:bookmarkEnd w:id="307"/>
    </w:p>
    <w:p>
      <w:pPr>
        <w:bidi w:val="0"/>
        <w:rPr>
          <w:rFonts w:hint="eastAsia"/>
          <w:lang w:val="en-US" w:eastAsia="zh-CN"/>
        </w:rPr>
      </w:pPr>
      <w:r>
        <w:rPr>
          <w:rFonts w:hint="eastAsia" w:ascii="Times New Roman" w:hAnsi="Times New Roman" w:cs="Times New Roman"/>
          <w:color w:val="000000" w:themeColor="text1"/>
          <w:lang w:val="en-US" w:eastAsia="zh-CN"/>
          <w14:textFill>
            <w14:solidFill>
              <w14:schemeClr w14:val="tx1"/>
            </w14:solidFill>
          </w14:textFill>
        </w:rPr>
        <w:t>提升公共技术服务能力。</w:t>
      </w:r>
      <w:r>
        <w:rPr>
          <w:rFonts w:hint="default"/>
          <w:color w:val="000000" w:themeColor="text1"/>
          <w:lang w:val="en-US" w:eastAsia="zh-CN"/>
          <w14:textFill>
            <w14:solidFill>
              <w14:schemeClr w14:val="tx1"/>
            </w14:solidFill>
          </w14:textFill>
        </w:rPr>
        <w:t>加快建设汕尾市质量基础设施</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一</w:t>
      </w:r>
      <w:r>
        <w:rPr>
          <w:rFonts w:hint="default"/>
          <w:lang w:val="en-US" w:eastAsia="zh-CN"/>
        </w:rPr>
        <w:t>站式</w:t>
      </w:r>
      <w:r>
        <w:rPr>
          <w:rFonts w:hint="eastAsia"/>
          <w:lang w:val="en-US" w:eastAsia="zh-CN"/>
        </w:rPr>
        <w:t>”</w:t>
      </w:r>
      <w:r>
        <w:rPr>
          <w:rFonts w:hint="default"/>
          <w:lang w:val="en-US" w:eastAsia="zh-CN"/>
        </w:rPr>
        <w:t>服务平台</w:t>
      </w:r>
      <w:r>
        <w:rPr>
          <w:rFonts w:hint="eastAsia"/>
          <w:lang w:val="en-US" w:eastAsia="zh-CN"/>
        </w:rPr>
        <w:t>，推进</w:t>
      </w:r>
      <w:r>
        <w:rPr>
          <w:rFonts w:hint="default"/>
          <w:lang w:val="en-US" w:eastAsia="zh-CN"/>
        </w:rPr>
        <w:t>广东省质量监督海洋食品检验站</w:t>
      </w:r>
      <w:r>
        <w:rPr>
          <w:rFonts w:hint="eastAsia"/>
          <w:lang w:val="en-US" w:eastAsia="zh-CN"/>
        </w:rPr>
        <w:t>（</w:t>
      </w:r>
      <w:r>
        <w:rPr>
          <w:rFonts w:hint="default"/>
          <w:lang w:val="en-US" w:eastAsia="zh-CN"/>
        </w:rPr>
        <w:t>汕尾</w:t>
      </w:r>
      <w:r>
        <w:rPr>
          <w:rFonts w:hint="eastAsia"/>
          <w:lang w:val="en-US" w:eastAsia="zh-CN"/>
        </w:rPr>
        <w:t>）</w:t>
      </w:r>
      <w:r>
        <w:rPr>
          <w:rFonts w:hint="default"/>
          <w:lang w:val="en-US" w:eastAsia="zh-CN"/>
        </w:rPr>
        <w:t>、广东省医疗器械产业计量测试中心建设，</w:t>
      </w:r>
      <w:r>
        <w:rPr>
          <w:rFonts w:hint="eastAsia"/>
          <w:lang w:val="en-US" w:eastAsia="zh-CN"/>
        </w:rPr>
        <w:t>统筹</w:t>
      </w:r>
      <w:r>
        <w:rPr>
          <w:rFonts w:hint="default"/>
          <w:lang w:val="en-US" w:eastAsia="zh-CN"/>
        </w:rPr>
        <w:t>整合计量、标准、检验检测、认证认可等资源，夯实汕尾制造业质量发展基础。</w:t>
      </w:r>
      <w:r>
        <w:rPr>
          <w:rFonts w:hint="eastAsia"/>
          <w:lang w:val="en-US" w:eastAsia="zh-CN"/>
        </w:rPr>
        <w:t>开展质量技术帮扶“巡回问诊”，组织技术专家入企提供全链条服务，推行“首席质量官”制度，引导企业健全计量管理体系，切实降低企业质量提升成本。</w:t>
      </w:r>
    </w:p>
    <w:p>
      <w:pPr>
        <w:bidi w:val="0"/>
        <w:rPr>
          <w:rFonts w:hint="eastAsia"/>
          <w:lang w:val="en-US" w:eastAsia="zh-CN"/>
        </w:rPr>
      </w:pPr>
      <w:r>
        <w:rPr>
          <w:rFonts w:hint="eastAsia"/>
          <w:lang w:val="en-US" w:eastAsia="zh-CN"/>
        </w:rPr>
        <w:t>深化创新人才引育。探索建立</w:t>
      </w:r>
      <w:r>
        <w:rPr>
          <w:rFonts w:hint="eastAsia"/>
        </w:rPr>
        <w:t>柔性合作机制</w:t>
      </w:r>
      <w:r>
        <w:rPr>
          <w:rFonts w:hint="eastAsia"/>
          <w:lang w:eastAsia="zh-CN"/>
        </w:rPr>
        <w:t>，</w:t>
      </w:r>
      <w:r>
        <w:rPr>
          <w:rFonts w:hint="eastAsia"/>
          <w:lang w:val="en-US" w:eastAsia="zh-CN"/>
        </w:rPr>
        <w:t>拓宽创新人才招引渠道，鼓励市外专家、</w:t>
      </w:r>
      <w:r>
        <w:rPr>
          <w:rFonts w:hint="eastAsia"/>
        </w:rPr>
        <w:t>技术骨干以顾问</w:t>
      </w:r>
      <w:r>
        <w:rPr>
          <w:rFonts w:hint="eastAsia"/>
          <w:lang w:val="en-US" w:eastAsia="zh-CN"/>
        </w:rPr>
        <w:t>指导</w:t>
      </w:r>
      <w:r>
        <w:rPr>
          <w:rFonts w:hint="eastAsia"/>
        </w:rPr>
        <w:t>、项目合作等</w:t>
      </w:r>
      <w:r>
        <w:rPr>
          <w:rFonts w:hint="eastAsia"/>
          <w:lang w:val="en-US" w:eastAsia="zh-CN"/>
        </w:rPr>
        <w:t>方</w:t>
      </w:r>
      <w:r>
        <w:rPr>
          <w:rFonts w:hint="eastAsia"/>
        </w:rPr>
        <w:t>式服务本地企业，</w:t>
      </w:r>
      <w:r>
        <w:rPr>
          <w:rFonts w:hint="eastAsia"/>
          <w:lang w:val="en-US" w:eastAsia="zh-CN"/>
        </w:rPr>
        <w:t>推动</w:t>
      </w:r>
      <w:r>
        <w:rPr>
          <w:rFonts w:hint="eastAsia"/>
        </w:rPr>
        <w:t>人才与产业双向赋能</w:t>
      </w:r>
      <w:r>
        <w:rPr>
          <w:rFonts w:hint="eastAsia"/>
          <w:lang w:eastAsia="zh-CN"/>
        </w:rPr>
        <w:t>。</w:t>
      </w:r>
      <w:r>
        <w:rPr>
          <w:rFonts w:hint="eastAsia"/>
          <w:lang w:val="en-US" w:eastAsia="zh-CN"/>
        </w:rPr>
        <w:t>推进产教融合，系统培养应用型人才，依托华南师范大学汕尾校区、</w:t>
      </w:r>
      <w:r>
        <w:rPr>
          <w:rFonts w:hint="eastAsia"/>
        </w:rPr>
        <w:t>汕尾职业技术学院、汕尾技师学院，围绕</w:t>
      </w:r>
      <w:r>
        <w:rPr>
          <w:rFonts w:hint="eastAsia"/>
          <w:lang w:val="en-US" w:eastAsia="zh-CN"/>
        </w:rPr>
        <w:t>汕尾</w:t>
      </w:r>
      <w:r>
        <w:rPr>
          <w:rFonts w:hint="eastAsia"/>
        </w:rPr>
        <w:t>产业</w:t>
      </w:r>
      <w:r>
        <w:rPr>
          <w:rFonts w:hint="eastAsia"/>
          <w:lang w:val="en-US" w:eastAsia="zh-CN"/>
        </w:rPr>
        <w:t>发展趋势</w:t>
      </w:r>
      <w:r>
        <w:rPr>
          <w:rFonts w:hint="eastAsia"/>
        </w:rPr>
        <w:t>优化专业设置，</w:t>
      </w:r>
      <w:r>
        <w:rPr>
          <w:rFonts w:hint="eastAsia"/>
          <w:lang w:val="en-US" w:eastAsia="zh-CN"/>
        </w:rPr>
        <w:t>联合企业</w:t>
      </w:r>
      <w:r>
        <w:rPr>
          <w:rFonts w:hint="eastAsia"/>
        </w:rPr>
        <w:t>共建实训基地，打造高技能人才培养与现代技工教育示范点，规模化培育输送本土高素质</w:t>
      </w:r>
      <w:r>
        <w:rPr>
          <w:rFonts w:hint="eastAsia"/>
          <w:lang w:val="en-US" w:eastAsia="zh-CN"/>
        </w:rPr>
        <w:t>产业</w:t>
      </w:r>
      <w:r>
        <w:rPr>
          <w:rFonts w:hint="eastAsia"/>
        </w:rPr>
        <w:t>应用型人才</w:t>
      </w:r>
      <w:r>
        <w:rPr>
          <w:rFonts w:hint="eastAsia"/>
          <w:lang w:val="en-US" w:eastAsia="zh-CN"/>
        </w:rPr>
        <w:t>。</w:t>
      </w:r>
    </w:p>
    <w:p>
      <w:pPr>
        <w:bidi w:val="0"/>
        <w:rPr>
          <w:rFonts w:hint="eastAsia" w:ascii="Times New Roman" w:hAnsi="Times New Roman" w:eastAsia="仿宋_GB2312" w:cs="Times New Roman"/>
          <w:color w:val="000000" w:themeColor="text1"/>
          <w:szCs w:val="32"/>
          <w:highlight w:val="none"/>
          <w:lang w:val="en-US" w:eastAsia="zh-CN"/>
          <w14:textFill>
            <w14:solidFill>
              <w14:schemeClr w14:val="tx1"/>
            </w14:solidFill>
          </w14:textFill>
        </w:rPr>
      </w:pPr>
      <w:r>
        <w:rPr>
          <w:rFonts w:hint="eastAsia"/>
          <w:lang w:val="en-US" w:eastAsia="zh-CN"/>
        </w:rPr>
        <w:t>优化科技金融服务</w:t>
      </w:r>
      <w:r>
        <w:rPr>
          <w:rFonts w:hint="eastAsia"/>
        </w:rPr>
        <w:t>。引导银行机构加大对科技企业信贷支持力度，依托“创新积分制”</w:t>
      </w:r>
      <w:r>
        <w:rPr>
          <w:rFonts w:hint="eastAsia"/>
          <w:lang w:val="en-US" w:eastAsia="zh-CN"/>
        </w:rPr>
        <w:t>等</w:t>
      </w:r>
      <w:r>
        <w:rPr>
          <w:rFonts w:hint="eastAsia"/>
        </w:rPr>
        <w:t>创新工具精准量化企业创新能力，开发</w:t>
      </w:r>
      <w:r>
        <w:rPr>
          <w:rFonts w:hint="eastAsia"/>
          <w:lang w:eastAsia="zh-CN"/>
        </w:rPr>
        <w:t>“创新积分贷”</w:t>
      </w:r>
      <w:r>
        <w:rPr>
          <w:rFonts w:hint="eastAsia"/>
        </w:rPr>
        <w:t>等</w:t>
      </w:r>
      <w:r>
        <w:rPr>
          <w:rFonts w:hint="eastAsia"/>
          <w:lang w:val="en-US" w:eastAsia="zh-CN"/>
        </w:rPr>
        <w:t>专属</w:t>
      </w:r>
      <w:r>
        <w:rPr>
          <w:rFonts w:hint="eastAsia"/>
        </w:rPr>
        <w:t>金融产品</w:t>
      </w:r>
      <w:r>
        <w:rPr>
          <w:rFonts w:hint="eastAsia"/>
          <w:lang w:eastAsia="zh-CN"/>
        </w:rPr>
        <w:t>，</w:t>
      </w:r>
      <w:r>
        <w:rPr>
          <w:rFonts w:hint="eastAsia"/>
          <w:lang w:val="en-US" w:eastAsia="zh-CN"/>
        </w:rPr>
        <w:t>为企业投放无抵押信用贷款</w:t>
      </w:r>
      <w:r>
        <w:rPr>
          <w:rFonts w:hint="eastAsia"/>
          <w:lang w:eastAsia="zh-CN"/>
        </w:rPr>
        <w:t>，</w:t>
      </w:r>
      <w:r>
        <w:rPr>
          <w:rFonts w:hint="eastAsia"/>
          <w:lang w:val="en-US" w:eastAsia="zh-CN"/>
        </w:rPr>
        <w:t>拓展</w:t>
      </w:r>
      <w:r>
        <w:rPr>
          <w:rFonts w:hint="eastAsia"/>
        </w:rPr>
        <w:t>供应链融资、应收账款融资等信贷模式，扩大知识产权质押融资业务规模</w:t>
      </w:r>
      <w:r>
        <w:rPr>
          <w:rFonts w:hint="eastAsia"/>
          <w:lang w:eastAsia="zh-CN"/>
        </w:rPr>
        <w:t>，有效破解科技企业融资难题。丰富科技保险产品供给，</w:t>
      </w:r>
      <w:r>
        <w:rPr>
          <w:rFonts w:hint="eastAsia"/>
          <w:lang w:val="en-US" w:eastAsia="zh-CN"/>
        </w:rPr>
        <w:t>推广产品研发责任、研发设备、专利执行、</w:t>
      </w:r>
      <w:r>
        <w:rPr>
          <w:rFonts w:hint="eastAsia"/>
          <w:lang w:eastAsia="zh-CN"/>
        </w:rPr>
        <w:t>成果转化、高新技术企业认定申请费用等品类科技保险产品，为企</w:t>
      </w:r>
      <w:r>
        <w:rPr>
          <w:rFonts w:hint="eastAsia"/>
          <w:color w:val="000000" w:themeColor="text1"/>
          <w:lang w:eastAsia="zh-CN"/>
          <w14:textFill>
            <w14:solidFill>
              <w14:schemeClr w14:val="tx1"/>
            </w14:solidFill>
          </w14:textFill>
        </w:rPr>
        <w:t>业关键核心技术攻关提供风险保障。</w:t>
      </w:r>
    </w:p>
    <w:p>
      <w:pPr>
        <w:pStyle w:val="4"/>
        <w:keepNext/>
        <w:keepLines/>
        <w:pageBreakBefore w:val="0"/>
        <w:widowControl w:val="0"/>
        <w:numPr>
          <w:ilvl w:val="0"/>
          <w:numId w:val="2"/>
        </w:numPr>
        <w:kinsoku/>
        <w:wordWrap/>
        <w:overflowPunct/>
        <w:topLinePunct w:val="0"/>
        <w:autoSpaceDE/>
        <w:autoSpaceDN/>
        <w:bidi w:val="0"/>
        <w:adjustRightInd w:val="0"/>
        <w:snapToGrid w:val="0"/>
        <w:spacing w:line="560" w:lineRule="exact"/>
        <w:ind w:firstLine="642" w:firstLineChars="200"/>
        <w:textAlignment w:val="auto"/>
        <w:rPr>
          <w:rFonts w:hint="eastAsia" w:ascii="Times New Roman" w:hAnsi="Times New Roman" w:cs="Times New Roman"/>
          <w:b w:val="0"/>
          <w:bCs/>
          <w:color w:val="000000" w:themeColor="text1"/>
          <w:lang w:val="en-US" w:eastAsia="zh-CN"/>
          <w14:textFill>
            <w14:solidFill>
              <w14:schemeClr w14:val="tx1"/>
            </w14:solidFill>
          </w14:textFill>
        </w:rPr>
      </w:pPr>
      <w:bookmarkStart w:id="308" w:name="_Toc20932"/>
      <w:bookmarkStart w:id="309" w:name="_Toc22320"/>
      <w:r>
        <w:rPr>
          <w:rFonts w:hint="eastAsia" w:cs="Times New Roman"/>
          <w:b/>
          <w:bCs w:val="0"/>
          <w:color w:val="000000" w:themeColor="text1"/>
          <w:lang w:val="en-US" w:eastAsia="zh-CN"/>
          <w14:textFill>
            <w14:solidFill>
              <w14:schemeClr w14:val="tx1"/>
            </w14:solidFill>
          </w14:textFill>
        </w:rPr>
        <w:t>聚焦人工智能，驱动工业提质升级</w:t>
      </w:r>
      <w:bookmarkEnd w:id="308"/>
      <w:bookmarkEnd w:id="309"/>
    </w:p>
    <w:p>
      <w:pPr>
        <w:keepNext/>
        <w:keepLines w:val="0"/>
        <w:pageBreakBefore w:val="0"/>
        <w:widowControl w:val="0"/>
        <w:kinsoku/>
        <w:wordWrap/>
        <w:overflowPunct/>
        <w:topLinePunct w:val="0"/>
        <w:autoSpaceDE/>
        <w:autoSpaceDN/>
        <w:bidi w:val="0"/>
        <w:adjustRightInd/>
        <w:snapToGrid/>
        <w:spacing w:line="560" w:lineRule="exact"/>
        <w:ind w:firstLine="643"/>
        <w:textAlignment w:val="auto"/>
        <w:outlineLvl w:val="2"/>
        <w:rPr>
          <w:rFonts w:hint="default" w:ascii="Times New Roman" w:hAnsi="Times New Roman" w:eastAsia="仿宋_GB2312" w:cs="Times New Roman"/>
          <w:b/>
          <w:bCs/>
          <w:color w:val="000000" w:themeColor="text1"/>
          <w:lang w:val="en-US" w:eastAsia="zh-CN"/>
          <w14:textFill>
            <w14:solidFill>
              <w14:schemeClr w14:val="tx1"/>
            </w14:solidFill>
          </w14:textFill>
        </w:rPr>
      </w:pPr>
      <w:bookmarkStart w:id="310" w:name="_Toc10441"/>
      <w:bookmarkStart w:id="311" w:name="_Toc23037"/>
      <w:r>
        <w:rPr>
          <w:rFonts w:hint="eastAsia" w:cs="Times New Roman"/>
          <w:b/>
          <w:bCs/>
          <w:color w:val="000000" w:themeColor="text1"/>
          <w:lang w:val="en-US" w:eastAsia="zh-CN"/>
          <w14:textFill>
            <w14:solidFill>
              <w14:schemeClr w14:val="tx1"/>
            </w14:solidFill>
          </w14:textFill>
        </w:rPr>
        <w:t>4</w:t>
      </w:r>
      <w:r>
        <w:rPr>
          <w:rFonts w:hint="eastAsia" w:ascii="Times New Roman" w:hAnsi="Times New Roman" w:cs="Times New Roman"/>
          <w:b/>
          <w:bCs/>
          <w:color w:val="000000" w:themeColor="text1"/>
          <w:lang w:val="en-US" w:eastAsia="zh-CN"/>
          <w14:textFill>
            <w14:solidFill>
              <w14:schemeClr w14:val="tx1"/>
            </w14:solidFill>
          </w14:textFill>
        </w:rPr>
        <w:t>.</w:t>
      </w:r>
      <w:r>
        <w:rPr>
          <w:rFonts w:ascii="Times New Roman" w:hAnsi="Times New Roman" w:cs="Times New Roman"/>
          <w:b/>
          <w:bCs/>
          <w:color w:val="000000" w:themeColor="text1"/>
          <w14:textFill>
            <w14:solidFill>
              <w14:schemeClr w14:val="tx1"/>
            </w14:solidFill>
          </w14:textFill>
        </w:rPr>
        <w:t>推进人工智能赋能</w:t>
      </w:r>
      <w:r>
        <w:rPr>
          <w:rFonts w:hint="eastAsia" w:ascii="Times New Roman" w:hAnsi="Times New Roman" w:cs="Times New Roman"/>
          <w:b/>
          <w:bCs/>
          <w:color w:val="000000" w:themeColor="text1"/>
          <w:lang w:val="en-US" w:eastAsia="zh-CN"/>
          <w14:textFill>
            <w14:solidFill>
              <w14:schemeClr w14:val="tx1"/>
            </w14:solidFill>
          </w14:textFill>
        </w:rPr>
        <w:t>产业发展</w:t>
      </w:r>
      <w:bookmarkEnd w:id="310"/>
      <w:bookmarkEnd w:id="311"/>
    </w:p>
    <w:p>
      <w:pPr>
        <w:bidi w:val="0"/>
        <w:rPr>
          <w:rFonts w:hint="eastAsia"/>
          <w:lang w:val="en-US" w:eastAsia="zh-CN"/>
        </w:rPr>
      </w:pPr>
      <w:r>
        <w:rPr>
          <w:rFonts w:hint="eastAsia" w:ascii="Times New Roman" w:hAnsi="Times New Roman" w:eastAsia="仿宋_GB2312" w:cs="Times New Roman"/>
          <w:b w:val="0"/>
          <w:bCs w:val="0"/>
          <w:color w:val="000000" w:themeColor="text1"/>
          <w:szCs w:val="24"/>
          <w:highlight w:val="none"/>
          <w:lang w:bidi="ar-SA"/>
          <w14:textFill>
            <w14:solidFill>
              <w14:schemeClr w14:val="tx1"/>
            </w14:solidFill>
          </w14:textFill>
        </w:rPr>
        <w:t>推进</w:t>
      </w:r>
      <w:r>
        <w:rPr>
          <w:rFonts w:hint="eastAsia" w:cs="Times New Roman"/>
          <w:b w:val="0"/>
          <w:bCs w:val="0"/>
          <w:i w:val="0"/>
          <w:caps w:val="0"/>
          <w:color w:val="000000" w:themeColor="text1"/>
          <w:spacing w:val="0"/>
          <w:szCs w:val="24"/>
          <w:highlight w:val="none"/>
          <w:shd w:val="clear" w:color="auto" w:fill="auto"/>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szCs w:val="24"/>
          <w:highlight w:val="none"/>
          <w:lang w:bidi="ar-SA"/>
          <w14:textFill>
            <w14:solidFill>
              <w14:schemeClr w14:val="tx1"/>
            </w14:solidFill>
          </w14:textFill>
        </w:rPr>
        <w:t>人工智能＋</w:t>
      </w:r>
      <w:r>
        <w:rPr>
          <w:rFonts w:hint="eastAsia" w:cs="Times New Roman"/>
          <w:b w:val="0"/>
          <w:bCs w:val="0"/>
          <w:i w:val="0"/>
          <w:caps w:val="0"/>
          <w:color w:val="000000" w:themeColor="text1"/>
          <w:spacing w:val="0"/>
          <w:szCs w:val="24"/>
          <w:highlight w:val="none"/>
          <w:shd w:val="clear" w:color="auto" w:fill="auto"/>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szCs w:val="24"/>
          <w:highlight w:val="none"/>
          <w:lang w:eastAsia="zh-CN" w:bidi="ar-SA"/>
          <w14:textFill>
            <w14:solidFill>
              <w14:schemeClr w14:val="tx1"/>
            </w14:solidFill>
          </w14:textFill>
        </w:rPr>
        <w:t>制造业</w:t>
      </w:r>
      <w:r>
        <w:rPr>
          <w:rFonts w:hint="eastAsia" w:cs="Times New Roman"/>
          <w:b w:val="0"/>
          <w:bCs w:val="0"/>
          <w:color w:val="000000" w:themeColor="text1"/>
          <w:szCs w:val="24"/>
          <w:lang w:val="en-US" w:eastAsia="zh-CN"/>
          <w14:textFill>
            <w14:solidFill>
              <w14:schemeClr w14:val="tx1"/>
            </w14:solidFill>
          </w14:textFill>
        </w:rPr>
        <w:t>。</w:t>
      </w:r>
      <w:r>
        <w:rPr>
          <w:rFonts w:hint="eastAsia" w:ascii="Times New Roman" w:hAnsi="Times New Roman" w:eastAsia="仿宋_GB2312" w:cs="Times New Roman"/>
          <w:color w:val="000000" w:themeColor="text1"/>
          <w:szCs w:val="24"/>
          <w14:textFill>
            <w14:solidFill>
              <w14:schemeClr w14:val="tx1"/>
            </w14:solidFill>
          </w14:textFill>
        </w:rPr>
        <w:t>立足</w:t>
      </w:r>
      <w:r>
        <w:rPr>
          <w:rFonts w:hint="default"/>
          <w:b w:val="0"/>
          <w:bCs w:val="0"/>
          <w:color w:val="000000" w:themeColor="text1"/>
          <w:lang w:val="en-US" w:eastAsia="zh-CN"/>
          <w14:textFill>
            <w14:solidFill>
              <w14:schemeClr w14:val="tx1"/>
            </w14:solidFill>
          </w14:textFill>
        </w:rPr>
        <w:t>新一</w:t>
      </w:r>
      <w:r>
        <w:rPr>
          <w:rFonts w:hint="eastAsia"/>
          <w:b w:val="0"/>
          <w:bCs w:val="0"/>
          <w:color w:val="000000" w:themeColor="text1"/>
          <w:lang w:val="en-US" w:eastAsia="zh-CN"/>
          <w14:textFill>
            <w14:solidFill>
              <w14:schemeClr w14:val="tx1"/>
            </w14:solidFill>
          </w14:textFill>
        </w:rPr>
        <w:t>代电子信息、新能源</w:t>
      </w:r>
      <w:r>
        <w:rPr>
          <w:rFonts w:hint="eastAsia"/>
          <w:lang w:val="en-US" w:eastAsia="zh-CN"/>
        </w:rPr>
        <w:t>汽车、高端装备等优势产业</w:t>
      </w:r>
      <w:r>
        <w:rPr>
          <w:rFonts w:hint="default"/>
          <w:lang w:val="en-US" w:eastAsia="zh-CN"/>
        </w:rPr>
        <w:t>，</w:t>
      </w:r>
      <w:r>
        <w:rPr>
          <w:rFonts w:hint="eastAsia"/>
        </w:rPr>
        <w:t>推动人工智能</w:t>
      </w:r>
      <w:r>
        <w:rPr>
          <w:rFonts w:hint="eastAsia"/>
          <w:lang w:val="en-US" w:eastAsia="zh-CN"/>
        </w:rPr>
        <w:t>赋能机器视觉检测、精密测量、智能智造等环节。支持金银珠宝、纺织服装、食品加工等特色传统产业，加快工业大模型与3D扫描、</w:t>
      </w:r>
      <w:r>
        <w:rPr>
          <w:rFonts w:hint="eastAsia"/>
        </w:rPr>
        <w:t>智能缝制</w:t>
      </w:r>
      <w:r>
        <w:rPr>
          <w:rFonts w:hint="eastAsia"/>
          <w:lang w:val="en-US" w:eastAsia="zh-CN"/>
        </w:rPr>
        <w:t>、AI</w:t>
      </w:r>
      <w:r>
        <w:rPr>
          <w:rFonts w:hint="eastAsia"/>
        </w:rPr>
        <w:t>质检</w:t>
      </w:r>
      <w:r>
        <w:rPr>
          <w:rFonts w:hint="eastAsia"/>
          <w:lang w:val="en-US" w:eastAsia="zh-CN"/>
        </w:rPr>
        <w:t>、智能仓储系统、传感检测装备深度融合。鼓励</w:t>
      </w:r>
      <w:r>
        <w:rPr>
          <w:rFonts w:hint="eastAsia"/>
          <w:lang w:eastAsia="zh-CN"/>
        </w:rPr>
        <w:t>链主企业或行业协会牵头，构建涵盖生产工艺、设备运行、质量检测等关键环节的行业专识数据集和知识语料库，支撑行业工业大模型本地化训练迭代，配套建设本地行业数据集公共存储算力节点。</w:t>
      </w:r>
    </w:p>
    <w:p>
      <w:pPr>
        <w:bidi w:val="0"/>
        <w:rPr>
          <w:rFonts w:hint="eastAsia" w:ascii="Times New Roman" w:hAnsi="Times New Roman" w:cs="Times New Roman"/>
          <w:color w:val="000000" w:themeColor="text1"/>
          <w:kern w:val="2"/>
          <w:szCs w:val="24"/>
          <w:u w:val="none"/>
          <w:lang w:val="en-US" w:eastAsia="zh-CN" w:bidi="ar"/>
          <w14:textFill>
            <w14:solidFill>
              <w14:schemeClr w14:val="tx1"/>
            </w14:solidFill>
          </w14:textFill>
        </w:rPr>
      </w:pPr>
      <w:r>
        <w:rPr>
          <w:rFonts w:hint="eastAsia"/>
        </w:rPr>
        <w:t>推进</w:t>
      </w:r>
      <w:r>
        <w:rPr>
          <w:rFonts w:hint="eastAsia"/>
          <w:lang w:val="en-US" w:eastAsia="zh-CN"/>
        </w:rPr>
        <w:t>“人工智能＋”软件信息。依托广州数据交易所（汕尾）服务基地、深圳数据交易所汕尾数据要素服务工作站，数据服务商、第三方</w:t>
      </w:r>
      <w:r>
        <w:rPr>
          <w:rFonts w:hint="eastAsia" w:ascii="Times New Roman" w:hAnsi="Times New Roman" w:eastAsia="仿宋_GB2312" w:cs="Times New Roman"/>
          <w:color w:val="000000" w:themeColor="text1"/>
          <w:kern w:val="2"/>
          <w:szCs w:val="24"/>
          <w:lang w:val="en-US" w:eastAsia="zh-CN" w:bidi="ar"/>
          <w14:textFill>
            <w14:solidFill>
              <w14:schemeClr w14:val="tx1"/>
            </w14:solidFill>
          </w14:textFill>
        </w:rPr>
        <w:t>专业机构</w:t>
      </w:r>
      <w:r>
        <w:rPr>
          <w:rFonts w:hint="eastAsia" w:ascii="Times New Roman" w:hAnsi="Times New Roman" w:cs="Times New Roman"/>
          <w:color w:val="000000" w:themeColor="text1"/>
          <w:kern w:val="2"/>
          <w:szCs w:val="24"/>
          <w:lang w:val="en-US" w:eastAsia="zh-CN" w:bidi="ar"/>
          <w14:textFill>
            <w14:solidFill>
              <w14:schemeClr w14:val="tx1"/>
            </w14:solidFill>
          </w14:textFill>
        </w:rPr>
        <w:t>集聚落地</w:t>
      </w:r>
      <w:r>
        <w:rPr>
          <w:rFonts w:hint="eastAsia" w:ascii="Times New Roman" w:hAnsi="Times New Roman" w:eastAsia="仿宋_GB2312" w:cs="Times New Roman"/>
          <w:color w:val="000000" w:themeColor="text1"/>
          <w:kern w:val="2"/>
          <w:szCs w:val="24"/>
          <w:lang w:val="en-US" w:eastAsia="zh-CN" w:bidi="ar"/>
          <w14:textFill>
            <w14:solidFill>
              <w14:schemeClr w14:val="tx1"/>
            </w14:solidFill>
          </w14:textFill>
        </w:rPr>
        <w:t>，构建一体化数据要素流通交易生态</w:t>
      </w:r>
      <w:r>
        <w:rPr>
          <w:rFonts w:hint="eastAsia" w:ascii="Times New Roman" w:hAnsi="Times New Roman"/>
          <w:color w:val="000000" w:themeColor="text1"/>
          <w:szCs w:val="24"/>
          <w:highlight w:val="none"/>
          <w:u w:val="none" w:color="auto"/>
          <w:lang w:eastAsia="zh-CN"/>
          <w14:textFill>
            <w14:solidFill>
              <w14:schemeClr w14:val="tx1"/>
            </w14:solidFill>
          </w14:textFill>
        </w:rPr>
        <w:t>。</w:t>
      </w:r>
      <w:r>
        <w:rPr>
          <w:rFonts w:hint="eastAsia" w:ascii="Times New Roman" w:hAnsi="Times New Roman" w:cs="Times New Roman"/>
          <w:color w:val="000000" w:themeColor="text1"/>
          <w:szCs w:val="24"/>
          <w:u w:val="none"/>
          <w:lang w:eastAsia="zh-CN"/>
          <w14:textFill>
            <w14:solidFill>
              <w14:schemeClr w14:val="tx1"/>
            </w14:solidFill>
          </w14:textFill>
        </w:rPr>
        <w:t>依托</w:t>
      </w:r>
      <w:r>
        <w:rPr>
          <w:rFonts w:hint="eastAsia" w:ascii="Times New Roman" w:hAnsi="Times New Roman" w:cs="Times New Roman"/>
          <w:color w:val="000000" w:themeColor="text1"/>
          <w:szCs w:val="24"/>
          <w:u w:val="none"/>
          <w:lang w:val="en-US" w:eastAsia="zh-CN"/>
          <w14:textFill>
            <w14:solidFill>
              <w14:schemeClr w14:val="tx1"/>
            </w14:solidFill>
          </w14:textFill>
        </w:rPr>
        <w:t>人工智能</w:t>
      </w:r>
      <w:r>
        <w:rPr>
          <w:rFonts w:hint="eastAsia" w:ascii="Times New Roman" w:hAnsi="Times New Roman" w:cs="Times New Roman"/>
          <w:color w:val="000000" w:themeColor="text1"/>
          <w:szCs w:val="24"/>
          <w:u w:val="none"/>
          <w:lang w:eastAsia="zh-CN"/>
          <w14:textFill>
            <w14:solidFill>
              <w14:schemeClr w14:val="tx1"/>
            </w14:solidFill>
          </w14:textFill>
        </w:rPr>
        <w:t>赋能实体经济，</w:t>
      </w:r>
      <w:r>
        <w:rPr>
          <w:rFonts w:hint="eastAsia" w:ascii="Times New Roman" w:hAnsi="Times New Roman" w:cs="Times New Roman"/>
          <w:color w:val="000000" w:themeColor="text1"/>
          <w:szCs w:val="24"/>
          <w:u w:val="none"/>
          <w:lang w:val="en-US" w:eastAsia="zh-CN"/>
          <w14:textFill>
            <w14:solidFill>
              <w14:schemeClr w14:val="tx1"/>
            </w14:solidFill>
          </w14:textFill>
        </w:rPr>
        <w:t>鼓励</w:t>
      </w:r>
      <w:r>
        <w:rPr>
          <w:rFonts w:hint="eastAsia" w:ascii="Times New Roman" w:hAnsi="Times New Roman" w:cs="Times New Roman"/>
          <w:color w:val="000000" w:themeColor="text1"/>
          <w:szCs w:val="24"/>
          <w:u w:val="none"/>
          <w:lang w:eastAsia="zh-CN"/>
          <w14:textFill>
            <w14:solidFill>
              <w14:schemeClr w14:val="tx1"/>
            </w14:solidFill>
          </w14:textFill>
        </w:rPr>
        <w:t>发展“跨境电商</w:t>
      </w:r>
      <w:r>
        <w:rPr>
          <w:rFonts w:hint="eastAsia" w:ascii="Times New Roman" w:hAnsi="Times New Roman" w:eastAsia="仿宋_GB2312" w:cs="Times New Roman"/>
          <w:color w:val="000000" w:themeColor="text1"/>
          <w:szCs w:val="24"/>
          <w:lang w:bidi="ar"/>
          <w14:textFill>
            <w14:solidFill>
              <w14:schemeClr w14:val="tx1"/>
            </w14:solidFill>
          </w14:textFill>
        </w:rPr>
        <w:t>+</w:t>
      </w:r>
      <w:r>
        <w:rPr>
          <w:rFonts w:hint="eastAsia" w:ascii="Times New Roman" w:hAnsi="Times New Roman" w:cs="Times New Roman"/>
          <w:color w:val="000000" w:themeColor="text1"/>
          <w:szCs w:val="24"/>
          <w:u w:val="none"/>
          <w:lang w:val="en-US" w:eastAsia="zh-CN" w:bidi="ar"/>
          <w14:textFill>
            <w14:solidFill>
              <w14:schemeClr w14:val="tx1"/>
            </w14:solidFill>
          </w14:textFill>
        </w:rPr>
        <w:t>产业带</w:t>
      </w:r>
      <w:r>
        <w:rPr>
          <w:rFonts w:hint="eastAsia" w:ascii="Times New Roman" w:hAnsi="Times New Roman" w:cs="Times New Roman"/>
          <w:color w:val="000000" w:themeColor="text1"/>
          <w:szCs w:val="24"/>
          <w:u w:val="none"/>
          <w:lang w:eastAsia="zh-CN" w:bidi="ar"/>
          <w14:textFill>
            <w14:solidFill>
              <w14:schemeClr w14:val="tx1"/>
            </w14:solidFill>
          </w14:textFill>
        </w:rPr>
        <w:t>”等</w:t>
      </w:r>
      <w:r>
        <w:rPr>
          <w:rFonts w:hint="eastAsia" w:ascii="Times New Roman" w:hAnsi="Times New Roman" w:cs="Times New Roman"/>
          <w:color w:val="000000" w:themeColor="text1"/>
          <w:szCs w:val="24"/>
          <w:u w:val="none"/>
          <w:lang w:val="en-US" w:eastAsia="zh-CN" w:bidi="ar"/>
          <w14:textFill>
            <w14:solidFill>
              <w14:schemeClr w14:val="tx1"/>
            </w14:solidFill>
          </w14:textFill>
        </w:rPr>
        <w:t>新业态</w:t>
      </w:r>
      <w:r>
        <w:rPr>
          <w:rFonts w:hint="eastAsia" w:ascii="Times New Roman" w:hAnsi="Times New Roman" w:cs="Times New Roman"/>
          <w:color w:val="000000" w:themeColor="text1"/>
          <w:szCs w:val="24"/>
          <w:u w:val="none"/>
          <w:lang w:eastAsia="zh-CN" w:bidi="ar"/>
          <w14:textFill>
            <w14:solidFill>
              <w14:schemeClr w14:val="tx1"/>
            </w14:solidFill>
          </w14:textFill>
        </w:rPr>
        <w:t>新模式，</w:t>
      </w:r>
      <w:r>
        <w:rPr>
          <w:rFonts w:hint="eastAsia" w:ascii="Times New Roman" w:hAnsi="Times New Roman" w:eastAsia="仿宋_GB2312" w:cs="Times New Roman"/>
          <w:color w:val="000000" w:themeColor="text1"/>
          <w:szCs w:val="24"/>
          <w:lang w:bidi="ar"/>
          <w14:textFill>
            <w14:solidFill>
              <w14:schemeClr w14:val="tx1"/>
            </w14:solidFill>
          </w14:textFill>
        </w:rPr>
        <w:t>推动电商平台与制造企业供需精准对接，普及跨境电商数字化申报系统，持续优化企业跨境通关数字化申报流程</w:t>
      </w:r>
      <w:r>
        <w:rPr>
          <w:rFonts w:hint="eastAsia" w:ascii="Times New Roman" w:hAnsi="Times New Roman" w:cs="Times New Roman"/>
          <w:color w:val="000000" w:themeColor="text1"/>
          <w:kern w:val="2"/>
          <w:szCs w:val="24"/>
          <w:u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szCs w:val="24"/>
          <w:lang w:bidi="ar"/>
          <w14:textFill>
            <w14:solidFill>
              <w14:schemeClr w14:val="tx1"/>
            </w14:solidFill>
          </w14:textFill>
        </w:rPr>
        <w:t>引导本地软件企业运用人工智能技术，布局数据标注、合规核验、测试运维等AI外包服务，持续提升软件信息配套承载能力</w:t>
      </w:r>
      <w:r>
        <w:rPr>
          <w:rFonts w:hint="eastAsia" w:ascii="Times New Roman" w:hAnsi="Times New Roman" w:cs="Times New Roman"/>
          <w:color w:val="000000" w:themeColor="text1"/>
          <w:szCs w:val="24"/>
          <w:lang w:eastAsia="zh-CN" w:bidi="ar"/>
          <w14:textFill>
            <w14:solidFill>
              <w14:schemeClr w14:val="tx1"/>
            </w14:solidFill>
          </w14:textFill>
        </w:rPr>
        <w:t>。</w:t>
      </w:r>
    </w:p>
    <w:p>
      <w:pPr>
        <w:keepNext w:val="0"/>
        <w:keepLines w:val="0"/>
        <w:pageBreakBefore w:val="0"/>
        <w:widowControl/>
        <w:numPr>
          <w:ilvl w:val="-1"/>
          <w:numId w:val="0"/>
        </w:numPr>
        <w:kinsoku/>
        <w:wordWrap/>
        <w:overflowPunct/>
        <w:topLinePunct w:val="0"/>
        <w:autoSpaceDE/>
        <w:autoSpaceDN/>
        <w:bidi w:val="0"/>
        <w:adjustRightInd/>
        <w:snapToGrid/>
        <w:spacing w:line="560" w:lineRule="exact"/>
        <w:ind w:firstLine="643"/>
        <w:textAlignment w:val="auto"/>
        <w:outlineLvl w:val="2"/>
        <w:rPr>
          <w:rFonts w:hint="eastAsia" w:ascii="Times New Roman" w:hAnsi="Times New Roman" w:cs="Times New Roman"/>
          <w:b/>
          <w:bCs/>
          <w:color w:val="000000" w:themeColor="text1"/>
          <w:lang w:val="en-US" w:eastAsia="zh-CN"/>
          <w14:textFill>
            <w14:solidFill>
              <w14:schemeClr w14:val="tx1"/>
            </w14:solidFill>
          </w14:textFill>
        </w:rPr>
      </w:pPr>
      <w:bookmarkStart w:id="312" w:name="_Toc20076"/>
      <w:bookmarkStart w:id="313" w:name="_Toc16091"/>
      <w:r>
        <w:rPr>
          <w:rFonts w:hint="eastAsia" w:ascii="Times New Roman" w:hAnsi="Times New Roman" w:cs="Times New Roman"/>
          <w:b/>
          <w:bCs/>
          <w:color w:val="000000" w:themeColor="text1"/>
          <w:lang w:val="en-US" w:eastAsia="zh-CN"/>
          <w14:textFill>
            <w14:solidFill>
              <w14:schemeClr w14:val="tx1"/>
            </w14:solidFill>
          </w14:textFill>
        </w:rPr>
        <w:t>5.加速制造业数字化转型</w:t>
      </w:r>
      <w:bookmarkEnd w:id="312"/>
      <w:bookmarkEnd w:id="313"/>
    </w:p>
    <w:p>
      <w:pPr>
        <w:bidi w:val="0"/>
        <w:rPr>
          <w:rFonts w:hint="default"/>
          <w:lang w:val="en-US" w:eastAsia="zh-CN"/>
        </w:rPr>
      </w:pPr>
      <w:r>
        <w:rPr>
          <w:rFonts w:hint="eastAsia" w:ascii="Times New Roman" w:hAnsi="Times New Roman" w:cs="Times New Roman"/>
          <w:b w:val="0"/>
          <w:bCs w:val="0"/>
          <w:color w:val="000000" w:themeColor="text1"/>
          <w:u w:val="none"/>
          <w:lang w:val="en-US" w:eastAsia="zh-CN"/>
          <w14:textFill>
            <w14:solidFill>
              <w14:schemeClr w14:val="tx1"/>
            </w14:solidFill>
          </w14:textFill>
        </w:rPr>
        <w:t>实施分行业梯次数字化改造。围绕纺织服装、食品加工、金银珠宝等本地特色产业，推广低成本、模块化、易落地的轻量化数字化改造方案；依托新一代电子信息、新能源汽车、高端装备、</w:t>
      </w:r>
      <w:r>
        <w:rPr>
          <w:rFonts w:hint="eastAsia" w:ascii="仿宋_GB2312" w:hAnsi="仿宋_GB2312" w:eastAsia="仿宋_GB2312" w:cs="仿宋_GB2312"/>
          <w:color w:val="000000" w:themeColor="text1"/>
          <w:kern w:val="0"/>
          <w:szCs w:val="32"/>
          <w:lang w:val="en-US" w:eastAsia="zh-CN" w:bidi="ar"/>
          <w14:textFill>
            <w14:solidFill>
              <w14:schemeClr w14:val="tx1"/>
            </w14:solidFill>
          </w14:textFill>
        </w:rPr>
        <w:t>低</w:t>
      </w:r>
      <w:r>
        <w:rPr>
          <w:rFonts w:hint="eastAsia"/>
          <w:lang w:val="en-US" w:eastAsia="zh-CN"/>
        </w:rPr>
        <w:t>碳新能源等主导产业，推动人工智能赋能生产全流程升级，提升研发设计、生产控制、品质保障、能耗管理等关键环节智能化水平。大力培育个性化定制、协同生产、集中集采分销、研发众包等新型生产经营模式，分行业打造数字化改造示范项目，提炼可复制可推广的改造路径，分类施策推动企业数字化迭代升级。</w:t>
      </w:r>
    </w:p>
    <w:p>
      <w:pPr>
        <w:bidi w:val="0"/>
        <w:rPr>
          <w:rFonts w:hint="eastAsia" w:ascii="Times New Roman" w:hAnsi="Times New Roman" w:cs="Times New Roman"/>
          <w:b w:val="0"/>
          <w:bCs w:val="0"/>
          <w:color w:val="000000" w:themeColor="text1"/>
          <w:u w:val="none"/>
          <w:lang w:val="en-US" w:eastAsia="zh-CN"/>
          <w14:textFill>
            <w14:solidFill>
              <w14:schemeClr w14:val="tx1"/>
            </w14:solidFill>
          </w14:textFill>
        </w:rPr>
      </w:pPr>
      <w:r>
        <w:rPr>
          <w:rFonts w:hint="eastAsia"/>
          <w:lang w:val="en-US" w:eastAsia="zh-CN"/>
        </w:rPr>
        <w:t>夯实制造业数字</w:t>
      </w:r>
      <w:r>
        <w:rPr>
          <w:rFonts w:hint="eastAsia" w:ascii="Times New Roman" w:hAnsi="Times New Roman" w:cs="Times New Roman"/>
          <w:b w:val="0"/>
          <w:bCs w:val="0"/>
          <w:color w:val="000000" w:themeColor="text1"/>
          <w:u w:val="none"/>
          <w:lang w:val="en-US" w:eastAsia="zh-CN"/>
          <w14:textFill>
            <w14:solidFill>
              <w14:schemeClr w14:val="tx1"/>
            </w14:solidFill>
          </w14:textFill>
        </w:rPr>
        <w:t>底座。</w:t>
      </w:r>
      <w:r>
        <w:rPr>
          <w:rFonts w:hint="eastAsia" w:ascii="仿宋_GB2312" w:hAnsi="仿宋_GB2312" w:eastAsia="仿宋_GB2312" w:cs="仿宋_GB2312"/>
          <w:b w:val="0"/>
          <w:bCs w:val="0"/>
          <w:i w:val="0"/>
          <w:iCs w:val="0"/>
          <w:caps w:val="0"/>
          <w:color w:val="000000" w:themeColor="text1"/>
          <w:spacing w:val="0"/>
          <w:szCs w:val="32"/>
          <w:shd w:val="clear" w:fill="FFFFFF"/>
          <w:lang w:eastAsia="zh-CN"/>
          <w14:textFill>
            <w14:solidFill>
              <w14:schemeClr w14:val="tx1"/>
            </w14:solidFill>
          </w14:textFill>
        </w:rPr>
        <w:t>依托电信运营商等人工智能应用服务商的数智优势，加强</w:t>
      </w:r>
      <w:r>
        <w:rPr>
          <w:rFonts w:hint="eastAsia" w:ascii="仿宋_GB2312" w:hAnsi="仿宋_GB2312" w:eastAsia="仿宋_GB2312" w:cs="仿宋_GB2312"/>
          <w:color w:val="000000" w:themeColor="text1"/>
          <w:kern w:val="0"/>
          <w:szCs w:val="32"/>
          <w:lang w:val="en-US" w:eastAsia="zh-CN" w:bidi="ar"/>
          <w14:textFill>
            <w14:solidFill>
              <w14:schemeClr w14:val="tx1"/>
            </w14:solidFill>
          </w14:textFill>
        </w:rPr>
        <w:t>边缘数据中心等</w:t>
      </w:r>
      <w:r>
        <w:rPr>
          <w:rFonts w:hint="eastAsia" w:ascii="仿宋_GB2312" w:hAnsi="仿宋_GB2312" w:eastAsia="仿宋_GB2312" w:cs="仿宋_GB2312"/>
          <w:b w:val="0"/>
          <w:bCs w:val="0"/>
          <w:i w:val="0"/>
          <w:iCs w:val="0"/>
          <w:caps w:val="0"/>
          <w:color w:val="000000" w:themeColor="text1"/>
          <w:spacing w:val="0"/>
          <w:szCs w:val="32"/>
          <w:shd w:val="clear" w:fill="FFFFFF"/>
          <w:lang w:eastAsia="zh-CN"/>
          <w14:textFill>
            <w14:solidFill>
              <w14:schemeClr w14:val="tx1"/>
            </w14:solidFill>
          </w14:textFill>
        </w:rPr>
        <w:t>设施建设</w:t>
      </w:r>
      <w:r>
        <w:rPr>
          <w:rFonts w:hint="eastAsia" w:ascii="仿宋_GB2312" w:hAnsi="仿宋_GB2312" w:cs="仿宋_GB2312"/>
          <w:b w:val="0"/>
          <w:bCs w:val="0"/>
          <w:i w:val="0"/>
          <w:iCs w:val="0"/>
          <w:caps w:val="0"/>
          <w:color w:val="000000" w:themeColor="text1"/>
          <w:spacing w:val="0"/>
          <w:szCs w:val="32"/>
          <w:shd w:val="clear" w:fill="FFFFFF"/>
          <w:lang w:eastAsia="zh-CN"/>
          <w14:textFill>
            <w14:solidFill>
              <w14:schemeClr w14:val="tx1"/>
            </w14:solidFill>
          </w14:textFill>
        </w:rPr>
        <w:t>。</w:t>
      </w:r>
      <w:r>
        <w:rPr>
          <w:rFonts w:hint="eastAsia" w:ascii="Times New Roman" w:hAnsi="Times New Roman" w:cs="Times New Roman"/>
          <w:b w:val="0"/>
          <w:bCs w:val="0"/>
          <w:color w:val="000000" w:themeColor="text1"/>
          <w:u w:val="none"/>
          <w:lang w:val="en-US" w:eastAsia="zh-CN"/>
          <w14:textFill>
            <w14:solidFill>
              <w14:schemeClr w14:val="tx1"/>
            </w14:solidFill>
          </w14:textFill>
        </w:rPr>
        <w:t>完善</w:t>
      </w:r>
      <w:r>
        <w:rPr>
          <w:rFonts w:hint="eastAsia"/>
          <w:b w:val="0"/>
          <w:bCs w:val="0"/>
          <w:color w:val="000000" w:themeColor="text1"/>
          <w:u w:val="none"/>
          <w:lang w:val="en-US" w:eastAsia="zh-CN"/>
          <w14:textFill>
            <w14:solidFill>
              <w14:schemeClr w14:val="tx1"/>
            </w14:solidFill>
          </w14:textFill>
        </w:rPr>
        <w:t>5G、万千兆光网、移动物联网等网络基础设施，深入实施工业互联网企业倍增工程，全面推动企业“上云用数赋智”，激发企业转型内生动力。支持龙头骨干企业建设数字车间、智能工厂，深化数字化研发设计、智能制造管控、精益供应链管理等核心场景应用</w:t>
      </w:r>
      <w:r>
        <w:rPr>
          <w:rFonts w:hint="eastAsia" w:ascii="Times New Roman" w:hAnsi="Times New Roman" w:cs="Times New Roman"/>
          <w:b w:val="0"/>
          <w:bCs w:val="0"/>
          <w:color w:val="000000" w:themeColor="text1"/>
          <w:u w:val="none"/>
          <w:lang w:val="en-US"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Cs w:val="24"/>
          <w:u w:val="none"/>
          <w:shd w:val="clear" w:fill="auto"/>
          <w14:textFill>
            <w14:solidFill>
              <w14:schemeClr w14:val="tx1"/>
            </w14:solidFill>
          </w14:textFill>
        </w:rPr>
        <w:t>带动产业链上下游中小企业开展生产、管理、销售等全环节数字化改造，筑牢全市制造业数字化转型的应用基础</w:t>
      </w:r>
      <w:r>
        <w:rPr>
          <w:rFonts w:hint="eastAsia" w:ascii="Times New Roman" w:hAnsi="Times New Roman" w:cs="Times New Roman"/>
          <w:i w:val="0"/>
          <w:iCs w:val="0"/>
          <w:caps w:val="0"/>
          <w:color w:val="000000" w:themeColor="text1"/>
          <w:spacing w:val="0"/>
          <w:szCs w:val="24"/>
          <w:u w:val="none"/>
          <w:shd w:val="clear" w:fill="auto"/>
          <w:lang w:val="en-US" w:eastAsia="zh-CN"/>
          <w14:textFill>
            <w14:solidFill>
              <w14:schemeClr w14:val="tx1"/>
            </w14:solidFill>
          </w14:textFill>
        </w:rPr>
        <w:t>和</w:t>
      </w:r>
      <w:r>
        <w:rPr>
          <w:rFonts w:hint="eastAsia" w:ascii="Times New Roman" w:hAnsi="Times New Roman" w:eastAsia="仿宋_GB2312" w:cs="Times New Roman"/>
          <w:i w:val="0"/>
          <w:iCs w:val="0"/>
          <w:caps w:val="0"/>
          <w:color w:val="000000" w:themeColor="text1"/>
          <w:spacing w:val="0"/>
          <w:szCs w:val="24"/>
          <w:u w:val="none"/>
          <w:shd w:val="clear" w:fill="auto"/>
          <w14:textFill>
            <w14:solidFill>
              <w14:schemeClr w14:val="tx1"/>
            </w14:solidFill>
          </w14:textFill>
        </w:rPr>
        <w:t>硬件支撑</w:t>
      </w:r>
      <w:r>
        <w:rPr>
          <w:rFonts w:hint="eastAsia" w:ascii="Times New Roman" w:hAnsi="Times New Roman" w:cs="Times New Roman"/>
          <w:i w:val="0"/>
          <w:iCs w:val="0"/>
          <w:caps w:val="0"/>
          <w:color w:val="000000" w:themeColor="text1"/>
          <w:spacing w:val="0"/>
          <w:szCs w:val="24"/>
          <w:u w:val="none"/>
          <w:shd w:val="clear"/>
          <w:lang w:eastAsia="zh-CN"/>
          <w14:textFill>
            <w14:solidFill>
              <w14:schemeClr w14:val="tx1"/>
            </w14:solidFill>
          </w14:textFill>
        </w:rPr>
        <w:t>。</w:t>
      </w:r>
    </w:p>
    <w:p>
      <w:pPr>
        <w:pStyle w:val="4"/>
        <w:keepNext/>
        <w:keepLines/>
        <w:pageBreakBefore w:val="0"/>
        <w:widowControl w:val="0"/>
        <w:numPr>
          <w:ilvl w:val="0"/>
          <w:numId w:val="2"/>
        </w:numPr>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Times New Roman" w:hAnsi="Times New Roman" w:cs="Times New Roman"/>
          <w:b/>
          <w:bCs w:val="0"/>
          <w:color w:val="000000" w:themeColor="text1"/>
          <w:highlight w:val="none"/>
          <w:lang w:val="en-US" w:eastAsia="zh-CN"/>
          <w14:textFill>
            <w14:solidFill>
              <w14:schemeClr w14:val="tx1"/>
            </w14:solidFill>
          </w14:textFill>
        </w:rPr>
      </w:pPr>
      <w:bookmarkStart w:id="314" w:name="_Toc16614"/>
      <w:bookmarkStart w:id="315" w:name="_Toc14240"/>
      <w:r>
        <w:rPr>
          <w:rFonts w:hint="eastAsia" w:ascii="Times New Roman" w:hAnsi="Times New Roman" w:eastAsia="楷体_GB2312" w:cs="Times New Roman"/>
          <w:color w:val="000000" w:themeColor="text1"/>
          <w:sz w:val="32"/>
          <w:szCs w:val="24"/>
          <w:highlight w:val="none"/>
          <w14:textFill>
            <w14:solidFill>
              <w14:schemeClr w14:val="tx1"/>
            </w14:solidFill>
          </w14:textFill>
        </w:rPr>
        <w:t>完善产业体系，</w:t>
      </w:r>
      <w:r>
        <w:rPr>
          <w:rFonts w:hint="eastAsia" w:ascii="Times New Roman" w:hAnsi="Times New Roman" w:eastAsia="楷体_GB2312" w:cs="Times New Roman"/>
          <w:b/>
          <w:bCs w:val="0"/>
          <w:color w:val="000000" w:themeColor="text1"/>
          <w:sz w:val="32"/>
          <w:szCs w:val="24"/>
          <w:highlight w:val="none"/>
          <w:lang w:val="en-US" w:eastAsia="zh-CN"/>
          <w14:textFill>
            <w14:solidFill>
              <w14:schemeClr w14:val="tx1"/>
            </w14:solidFill>
          </w14:textFill>
        </w:rPr>
        <w:t>筑牢产业现代根基</w:t>
      </w:r>
      <w:bookmarkEnd w:id="314"/>
      <w:bookmarkEnd w:id="315"/>
    </w:p>
    <w:p>
      <w:pPr>
        <w:widowControl/>
        <w:numPr>
          <w:ilvl w:val="-1"/>
          <w:numId w:val="0"/>
        </w:numPr>
        <w:snapToGrid/>
        <w:ind w:firstLine="641" w:firstLineChars="0"/>
        <w:outlineLvl w:val="2"/>
        <w:rPr>
          <w:rFonts w:hint="eastAsia" w:ascii="Times New Roman" w:hAnsi="Times New Roman" w:cs="Times New Roman"/>
          <w:b/>
          <w:bCs/>
          <w:color w:val="000000" w:themeColor="text1"/>
          <w:lang w:val="en-US" w:eastAsia="zh-CN"/>
          <w14:textFill>
            <w14:solidFill>
              <w14:schemeClr w14:val="tx1"/>
            </w14:solidFill>
          </w14:textFill>
        </w:rPr>
      </w:pPr>
      <w:bookmarkStart w:id="316" w:name="_Toc7964"/>
      <w:bookmarkStart w:id="317" w:name="_Toc32642"/>
      <w:r>
        <w:rPr>
          <w:rFonts w:hint="eastAsia" w:ascii="Times New Roman" w:hAnsi="Times New Roman" w:cs="Times New Roman"/>
          <w:b/>
          <w:bCs/>
          <w:color w:val="000000" w:themeColor="text1"/>
          <w:lang w:val="en-US" w:eastAsia="zh-CN"/>
          <w14:textFill>
            <w14:solidFill>
              <w14:schemeClr w14:val="tx1"/>
            </w14:solidFill>
          </w14:textFill>
        </w:rPr>
        <w:t>6.加强产业链强链补链延链。</w:t>
      </w:r>
      <w:bookmarkEnd w:id="316"/>
      <w:bookmarkEnd w:id="317"/>
    </w:p>
    <w:p>
      <w:pPr>
        <w:bidi w:val="0"/>
        <w:rPr>
          <w:rFonts w:hint="default"/>
          <w:lang w:val="en-US" w:eastAsia="zh-CN"/>
        </w:rPr>
      </w:pPr>
      <w:r>
        <w:rPr>
          <w:rFonts w:hint="eastAsia" w:ascii="Times New Roman" w:hAnsi="Times New Roman" w:cs="Times New Roman"/>
          <w:b w:val="0"/>
          <w:bCs w:val="0"/>
          <w:color w:val="000000" w:themeColor="text1"/>
          <w:lang w:val="en-US" w:eastAsia="zh-CN"/>
          <w14:textFill>
            <w14:solidFill>
              <w14:schemeClr w14:val="tx1"/>
            </w14:solidFill>
          </w14:textFill>
        </w:rPr>
        <w:t>做强优势产业链。聚焦</w:t>
      </w:r>
      <w:r>
        <w:rPr>
          <w:rFonts w:hint="default" w:ascii="Times New Roman" w:hAnsi="Times New Roman" w:cs="Times New Roman"/>
          <w:b w:val="0"/>
          <w:bCs w:val="0"/>
          <w:color w:val="000000" w:themeColor="text1"/>
          <w:lang w:val="en-US" w:eastAsia="zh-CN"/>
          <w14:textFill>
            <w14:solidFill>
              <w14:schemeClr w14:val="tx1"/>
            </w14:solidFill>
          </w14:textFill>
        </w:rPr>
        <w:t>新一代电子信息、高端装备制造、新能源汽车、</w:t>
      </w:r>
      <w:r>
        <w:rPr>
          <w:rFonts w:hint="default"/>
          <w:lang w:val="en-US" w:eastAsia="zh-CN"/>
        </w:rPr>
        <w:t>海工装备等具有较强竞争力的产业链，打造一批引领高质量发展的特色产业链。</w:t>
      </w:r>
      <w:r>
        <w:rPr>
          <w:rFonts w:hint="eastAsia"/>
          <w:lang w:val="en-US" w:eastAsia="zh-CN"/>
        </w:rPr>
        <w:t>以新能源汽车链主企业为牵引，依托海丰比亚迪电芯项目、红海湾绿色制造产业园，</w:t>
      </w:r>
      <w:r>
        <w:rPr>
          <w:rFonts w:hint="default"/>
          <w:lang w:val="en-US" w:eastAsia="zh-CN"/>
        </w:rPr>
        <w:t>推动新能源汽车向</w:t>
      </w:r>
      <w:r>
        <w:rPr>
          <w:rFonts w:hint="eastAsia"/>
          <w:lang w:val="en-US" w:eastAsia="zh-CN"/>
        </w:rPr>
        <w:t>“</w:t>
      </w:r>
      <w:r>
        <w:rPr>
          <w:rFonts w:hint="default"/>
          <w:lang w:val="en-US" w:eastAsia="zh-CN"/>
        </w:rPr>
        <w:t>动力电池—整车制造—储能应用—充换电服务</w:t>
      </w:r>
      <w:r>
        <w:rPr>
          <w:rFonts w:hint="eastAsia"/>
          <w:lang w:val="en-US" w:eastAsia="zh-CN"/>
        </w:rPr>
        <w:t>”</w:t>
      </w:r>
      <w:r>
        <w:rPr>
          <w:rFonts w:hint="default"/>
          <w:lang w:val="en-US" w:eastAsia="zh-CN"/>
        </w:rPr>
        <w:t>全链条跃升；新一代电子信息聚焦</w:t>
      </w:r>
      <w:r>
        <w:rPr>
          <w:rFonts w:hint="eastAsia"/>
          <w:lang w:val="en-US" w:eastAsia="zh-CN"/>
        </w:rPr>
        <w:t>“</w:t>
      </w:r>
      <w:r>
        <w:rPr>
          <w:rFonts w:hint="default"/>
          <w:lang w:val="en-US" w:eastAsia="zh-CN"/>
        </w:rPr>
        <w:t>芯—屏—端</w:t>
      </w:r>
      <w:r>
        <w:rPr>
          <w:rFonts w:hint="eastAsia"/>
          <w:lang w:val="en-US" w:eastAsia="zh-CN"/>
        </w:rPr>
        <w:t>”</w:t>
      </w:r>
      <w:r>
        <w:rPr>
          <w:rFonts w:hint="default"/>
          <w:lang w:val="en-US" w:eastAsia="zh-CN"/>
        </w:rPr>
        <w:t>方向，承接深</w:t>
      </w:r>
      <w:r>
        <w:rPr>
          <w:rFonts w:hint="eastAsia"/>
          <w:lang w:val="en-US" w:eastAsia="zh-CN"/>
        </w:rPr>
        <w:t>圳研</w:t>
      </w:r>
      <w:r>
        <w:rPr>
          <w:rFonts w:hint="default"/>
          <w:lang w:val="en-US" w:eastAsia="zh-CN"/>
        </w:rPr>
        <w:t>发创新资源与技术成果外溢；高端装备与海工装备联动海洋牧场、海上风电，形成</w:t>
      </w:r>
      <w:r>
        <w:rPr>
          <w:rFonts w:hint="eastAsia"/>
          <w:lang w:val="en-US" w:eastAsia="zh-CN"/>
        </w:rPr>
        <w:t>“</w:t>
      </w:r>
      <w:r>
        <w:rPr>
          <w:rFonts w:hint="default"/>
          <w:lang w:val="en-US" w:eastAsia="zh-CN"/>
        </w:rPr>
        <w:t>装备+服务</w:t>
      </w:r>
      <w:r>
        <w:rPr>
          <w:rFonts w:hint="eastAsia"/>
          <w:lang w:val="en-US" w:eastAsia="zh-CN"/>
        </w:rPr>
        <w:t>”</w:t>
      </w:r>
      <w:r>
        <w:rPr>
          <w:rFonts w:hint="default"/>
          <w:lang w:val="en-US" w:eastAsia="zh-CN"/>
        </w:rPr>
        <w:t>双</w:t>
      </w:r>
      <w:r>
        <w:rPr>
          <w:rFonts w:hint="eastAsia"/>
          <w:lang w:val="en-US" w:eastAsia="zh-CN"/>
        </w:rPr>
        <w:t>驱动</w:t>
      </w:r>
      <w:r>
        <w:rPr>
          <w:rFonts w:hint="default"/>
          <w:lang w:val="en-US" w:eastAsia="zh-CN"/>
        </w:rPr>
        <w:t>。</w:t>
      </w:r>
    </w:p>
    <w:p>
      <w:pPr>
        <w:bidi w:val="0"/>
        <w:rPr>
          <w:rFonts w:hint="default"/>
          <w:lang w:val="en-US"/>
        </w:rPr>
      </w:pPr>
      <w:r>
        <w:rPr>
          <w:rFonts w:hint="eastAsia"/>
          <w:lang w:val="en-US" w:eastAsia="zh-CN"/>
        </w:rPr>
        <w:t>补齐关键配套环节。围绕产业需求，持续补齐关键材料、核心零部件、基础元器件、精密模具、</w:t>
      </w:r>
      <w:r>
        <w:rPr>
          <w:rFonts w:hint="eastAsia"/>
        </w:rPr>
        <w:t>高端轴承、</w:t>
      </w:r>
      <w:r>
        <w:rPr>
          <w:rFonts w:hint="eastAsia"/>
          <w:lang w:val="en-US" w:eastAsia="zh-CN"/>
        </w:rPr>
        <w:t>电子化学品、电镀、检测认证等配套项目。依托深汕特别合作拓展区，导入深圳集成电路设计、新型储能控制系统等上游缺失环节，提升产业链韧性，降低对外依存度。</w:t>
      </w:r>
    </w:p>
    <w:p>
      <w:pPr>
        <w:bidi w:val="0"/>
        <w:rPr>
          <w:rFonts w:hint="eastAsia"/>
          <w:color w:val="000000" w:themeColor="text1"/>
          <w:lang w:val="en-US" w:eastAsia="zh-CN"/>
          <w14:textFill>
            <w14:solidFill>
              <w14:schemeClr w14:val="tx1"/>
            </w14:solidFill>
          </w14:textFill>
        </w:rPr>
      </w:pPr>
      <w:r>
        <w:rPr>
          <w:rFonts w:hint="eastAsia"/>
          <w:lang w:val="en-US" w:eastAsia="zh-CN"/>
        </w:rPr>
        <w:t>延伸价值增值链。推动纺织服装、金银首饰珠宝等传统产业向研发设计、精深加工、品牌运营、终端服务等高价值环节跃升。依托海丰公平纺织服装产业园、海丰首饰产业环保集聚区，以省首批“跨境电商+产业带”试点为抓手，巩固提升“中国首饰</w:t>
      </w:r>
      <w:r>
        <w:rPr>
          <w:rFonts w:hint="eastAsia" w:cs="Times New Roman"/>
          <w:color w:val="000000" w:themeColor="text1"/>
          <w:kern w:val="2"/>
          <w:szCs w:val="24"/>
          <w:lang w:val="en-US" w:eastAsia="zh-CN" w:bidi="ar-SA"/>
          <w14:textFill>
            <w14:solidFill>
              <w14:schemeClr w14:val="tx1"/>
            </w14:solidFill>
          </w14:textFill>
        </w:rPr>
        <w:t>之都”“中国彩色宝石之都”区域品牌影响力，</w:t>
      </w:r>
      <w:r>
        <w:rPr>
          <w:rFonts w:hint="eastAsia" w:ascii="仿宋_GB2312" w:hAnsi="仿宋_GB2312" w:eastAsia="仿宋_GB2312" w:cs="仿宋_GB2312"/>
          <w:color w:val="000000" w:themeColor="text1"/>
          <w:spacing w:val="0"/>
          <w:szCs w:val="32"/>
          <w:lang w:val="en-US" w:eastAsia="zh-CN"/>
          <w14:textFill>
            <w14:solidFill>
              <w14:schemeClr w14:val="tx1"/>
            </w14:solidFill>
          </w14:textFill>
        </w:rPr>
        <w:t>打造具有国际影响力的大美丽产业集聚地</w:t>
      </w:r>
      <w:r>
        <w:rPr>
          <w:rFonts w:hint="eastAsia"/>
          <w:color w:val="000000" w:themeColor="text1"/>
          <w:lang w:val="en-US" w:eastAsia="zh-CN"/>
          <w14:textFill>
            <w14:solidFill>
              <w14:schemeClr w14:val="tx1"/>
            </w14:solidFill>
          </w14:textFill>
        </w:rPr>
        <w:t>。围绕新能源汽车、电子信息、高端装备、新材料等重点产业链，推动链主企业与本地上下游企业在研发设计、智能制造、品牌营销与服务化延伸等环节紧密协作，提升本地配套率，形成“龙头引领、配套集聚、全链发展”格局。</w:t>
      </w:r>
    </w:p>
    <w:p>
      <w:pPr>
        <w:widowControl/>
        <w:numPr>
          <w:ilvl w:val="-1"/>
          <w:numId w:val="0"/>
        </w:numPr>
        <w:snapToGrid/>
        <w:ind w:firstLine="641" w:firstLineChars="0"/>
        <w:outlineLvl w:val="2"/>
        <w:rPr>
          <w:rFonts w:hint="eastAsia" w:ascii="Times New Roman" w:hAnsi="Times New Roman" w:cs="Times New Roman"/>
          <w:b/>
          <w:bCs/>
          <w:color w:val="000000" w:themeColor="text1"/>
          <w:lang w:val="en-US" w:eastAsia="zh-CN"/>
          <w14:textFill>
            <w14:solidFill>
              <w14:schemeClr w14:val="tx1"/>
            </w14:solidFill>
          </w14:textFill>
        </w:rPr>
      </w:pPr>
      <w:bookmarkStart w:id="318" w:name="_Toc11026"/>
      <w:bookmarkStart w:id="319" w:name="_Toc12642"/>
      <w:r>
        <w:rPr>
          <w:rFonts w:hint="eastAsia" w:ascii="Times New Roman" w:hAnsi="Times New Roman" w:cs="Times New Roman"/>
          <w:b/>
          <w:bCs/>
          <w:color w:val="000000" w:themeColor="text1"/>
          <w:lang w:val="en-US" w:eastAsia="zh-CN"/>
          <w14:textFill>
            <w14:solidFill>
              <w14:schemeClr w14:val="tx1"/>
            </w14:solidFill>
          </w14:textFill>
        </w:rPr>
        <w:t>7.强化产业基础支撑能力</w:t>
      </w:r>
      <w:bookmarkEnd w:id="318"/>
      <w:bookmarkEnd w:id="319"/>
    </w:p>
    <w:p>
      <w:pPr>
        <w:bidi w:val="0"/>
        <w:rPr>
          <w:rFonts w:hint="default"/>
          <w:lang w:val="en-US" w:eastAsia="zh-CN"/>
        </w:rPr>
      </w:pPr>
      <w:r>
        <w:rPr>
          <w:rFonts w:hint="eastAsia"/>
          <w:color w:val="000000" w:themeColor="text1"/>
          <w:lang w:val="en-US" w:eastAsia="zh-CN"/>
          <w14:textFill>
            <w14:solidFill>
              <w14:schemeClr w14:val="tx1"/>
            </w14:solidFill>
          </w14:textFill>
        </w:rPr>
        <w:t>持续</w:t>
      </w:r>
      <w:r>
        <w:rPr>
          <w:rFonts w:hint="eastAsia" w:ascii="Times New Roman" w:hAnsi="Times New Roman"/>
          <w:color w:val="000000" w:themeColor="text1"/>
          <w:lang w:val="en-US" w:eastAsia="zh-CN"/>
          <w14:textFill>
            <w14:solidFill>
              <w14:schemeClr w14:val="tx1"/>
            </w14:solidFill>
          </w14:textFill>
        </w:rPr>
        <w:t>壮大产业规模。</w:t>
      </w:r>
      <w:r>
        <w:rPr>
          <w:rFonts w:hint="eastAsia" w:ascii="Times New Roman" w:hAnsi="Times New Roman" w:cs="Times New Roman"/>
          <w:color w:val="000000" w:themeColor="text1"/>
          <w:szCs w:val="24"/>
          <w:lang w:val="en-US" w:eastAsia="zh-CN"/>
          <w14:textFill>
            <w14:solidFill>
              <w14:schemeClr w14:val="tx1"/>
            </w14:solidFill>
          </w14:textFill>
        </w:rPr>
        <w:t>以红海湾绿色制造产业园为核心，</w:t>
      </w:r>
      <w:r>
        <w:rPr>
          <w:rFonts w:hint="eastAsia" w:ascii="Times New Roman" w:hAnsi="Times New Roman" w:cs="Times New Roman"/>
          <w:color w:val="000000" w:themeColor="text1"/>
          <w:lang w:val="en-US" w:eastAsia="zh-CN"/>
          <w14:textFill>
            <w14:solidFill>
              <w14:schemeClr w14:val="tx1"/>
            </w14:solidFill>
          </w14:textFill>
        </w:rPr>
        <w:t>加快新能源汽车KD件生产线</w:t>
      </w:r>
      <w:r>
        <w:rPr>
          <w:rFonts w:hint="eastAsia" w:ascii="Times New Roman" w:hAnsi="Times New Roman"/>
          <w:color w:val="000000" w:themeColor="text1"/>
          <w:lang w:val="en-US" w:eastAsia="zh-CN"/>
          <w14:textFill>
            <w14:solidFill>
              <w14:schemeClr w14:val="tx1"/>
            </w14:solidFill>
          </w14:textFill>
        </w:rPr>
        <w:t>扩产升级，确保上海和达汽车配件南方中心等重大项目按期投产</w:t>
      </w:r>
      <w:r>
        <w:rPr>
          <w:rFonts w:hint="eastAsia"/>
          <w:color w:val="000000" w:themeColor="text1"/>
          <w:lang w:val="en-US" w:eastAsia="zh-CN"/>
          <w14:textFill>
            <w14:solidFill>
              <w14:schemeClr w14:val="tx1"/>
            </w14:solidFill>
          </w14:textFill>
        </w:rPr>
        <w:t>，支撑新能源汽车产值提升，预计2</w:t>
      </w:r>
      <w:r>
        <w:rPr>
          <w:rFonts w:hint="eastAsia"/>
          <w:lang w:val="en-US" w:eastAsia="zh-CN"/>
        </w:rPr>
        <w:t>030年建成覆盖关键零部件到整车制造的完整区域产业链，产值达到1000亿元；推动新一代电子信息实现生产线升级、扩充产能，落地信利汕尾电子纸显示器件生产线项目、科辉半导体封装测试等项目；以建设粤东首个千万千瓦级海上风电基地为牵引，</w:t>
      </w:r>
      <w:r>
        <w:rPr>
          <w:rFonts w:hint="eastAsia"/>
          <w:lang w:val="zh-CN" w:eastAsia="zh-CN"/>
        </w:rPr>
        <w:t>率先开发国管海域粤东海上风电基地项目，</w:t>
      </w:r>
      <w:r>
        <w:rPr>
          <w:rFonts w:hint="eastAsia"/>
          <w:lang w:val="en-US" w:eastAsia="zh-CN"/>
        </w:rPr>
        <w:t>推动省管海域440万千瓦、国管海域600万千瓦项目加速建设，预计到2030年汕尾电力总装机容量超过3000万千瓦，达产后每年可提供约1500亿千瓦时绿电；积极打造全省产业链配套完备的风电装备制造基地，持续做大高端装备产业规模，预计到</w:t>
      </w:r>
      <w:r>
        <w:rPr>
          <w:rFonts w:hint="default"/>
          <w:lang w:val="en-US" w:eastAsia="zh-CN"/>
        </w:rPr>
        <w:t>2030</w:t>
      </w:r>
      <w:r>
        <w:rPr>
          <w:rFonts w:hint="eastAsia"/>
          <w:lang w:val="en-US" w:eastAsia="zh-CN"/>
        </w:rPr>
        <w:t>年，海工装备、海上风电及配套产业集群产值达到500亿元。</w:t>
      </w:r>
    </w:p>
    <w:p>
      <w:pPr>
        <w:bidi w:val="0"/>
        <w:rPr>
          <w:rFonts w:hint="eastAsia" w:ascii="Times New Roman" w:hAnsi="Times New Roman" w:eastAsia="仿宋_GB2312" w:cs="Times New Roman"/>
          <w:b w:val="0"/>
          <w:bCs w:val="0"/>
          <w:color w:val="000000" w:themeColor="text1"/>
          <w:szCs w:val="24"/>
          <w:lang w:val="en-US" w:eastAsia="zh-CN"/>
          <w14:textFill>
            <w14:solidFill>
              <w14:schemeClr w14:val="tx1"/>
            </w14:solidFill>
          </w14:textFill>
        </w:rPr>
      </w:pPr>
      <w:r>
        <w:rPr>
          <w:rFonts w:hint="eastAsia"/>
          <w:lang w:val="en-US" w:eastAsia="zh-CN"/>
        </w:rPr>
        <w:t>持续强化工业基础能力。</w:t>
      </w:r>
      <w:r>
        <w:rPr>
          <w:rFonts w:hint="default"/>
        </w:rPr>
        <w:t>聚焦海工装备、电子信息、新能源汽车等重点产业，系统推进产业基础再造，着力补齐核心基础零部件、关键</w:t>
      </w:r>
      <w:r>
        <w:rPr>
          <w:rFonts w:hint="default" w:ascii="Times New Roman" w:hAnsi="Times New Roman" w:eastAsia="仿宋_GB2312" w:cs="Times New Roman"/>
          <w:bCs/>
          <w:color w:val="000000" w:themeColor="text1"/>
          <w:szCs w:val="32"/>
          <w14:textFill>
            <w14:solidFill>
              <w14:schemeClr w14:val="tx1"/>
            </w14:solidFill>
          </w14:textFill>
        </w:rPr>
        <w:t>基础材料、先进基础工艺和产业技术基础短板。</w:t>
      </w:r>
      <w:r>
        <w:rPr>
          <w:rFonts w:hint="eastAsia"/>
          <w:color w:val="000000" w:themeColor="text1"/>
          <w:lang w:val="en-US" w:eastAsia="zh-CN"/>
          <w14:textFill>
            <w14:solidFill>
              <w14:schemeClr w14:val="tx1"/>
            </w14:solidFill>
          </w14:textFill>
        </w:rPr>
        <w:t>依托陆丰海工基地、汕尾高新区等载体，布局建设共性技术研发、中试验证、计量标准、检验检测等质量基础设施，提升“四基”本地化供给能力；引导五金等传统产业的模具、热处理、表面处理等基础工序集中入园、集约生产。</w:t>
      </w:r>
    </w:p>
    <w:p>
      <w:pPr>
        <w:pStyle w:val="4"/>
        <w:keepNext/>
        <w:keepLines/>
        <w:pageBreakBefore w:val="0"/>
        <w:widowControl w:val="0"/>
        <w:numPr>
          <w:ilvl w:val="0"/>
          <w:numId w:val="2"/>
        </w:numPr>
        <w:kinsoku/>
        <w:wordWrap/>
        <w:overflowPunct/>
        <w:topLinePunct w:val="0"/>
        <w:autoSpaceDE/>
        <w:autoSpaceDN/>
        <w:bidi w:val="0"/>
        <w:adjustRightInd w:val="0"/>
        <w:snapToGrid w:val="0"/>
        <w:spacing w:line="560" w:lineRule="exact"/>
        <w:ind w:left="0" w:leftChars="0" w:firstLine="642" w:firstLineChars="200"/>
        <w:textAlignment w:val="auto"/>
        <w:rPr>
          <w:rFonts w:hint="default" w:cs="Times New Roman"/>
          <w:b/>
          <w:bCs w:val="0"/>
          <w:color w:val="000000" w:themeColor="text1"/>
          <w:lang w:val="en-US" w:eastAsia="zh-CN"/>
          <w14:textFill>
            <w14:solidFill>
              <w14:schemeClr w14:val="tx1"/>
            </w14:solidFill>
          </w14:textFill>
        </w:rPr>
      </w:pPr>
      <w:bookmarkStart w:id="320" w:name="_Toc31969"/>
      <w:bookmarkStart w:id="321" w:name="_Toc24275"/>
      <w:r>
        <w:rPr>
          <w:rFonts w:hint="eastAsia" w:cs="Times New Roman"/>
          <w:b/>
          <w:bCs w:val="0"/>
          <w:color w:val="000000" w:themeColor="text1"/>
          <w:lang w:val="en-US" w:eastAsia="zh-CN"/>
          <w14:textFill>
            <w14:solidFill>
              <w14:schemeClr w14:val="tx1"/>
            </w14:solidFill>
          </w14:textFill>
        </w:rPr>
        <w:t>聚焦精准招商，提高招商引资实效</w:t>
      </w:r>
      <w:bookmarkEnd w:id="320"/>
      <w:bookmarkEnd w:id="321"/>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cs="Times New Roman"/>
          <w:b/>
          <w:bCs/>
          <w:color w:val="000000" w:themeColor="text1"/>
          <w:lang w:val="en-US" w:eastAsia="zh-CN"/>
          <w14:textFill>
            <w14:solidFill>
              <w14:schemeClr w14:val="tx1"/>
            </w14:solidFill>
          </w14:textFill>
        </w:rPr>
      </w:pPr>
      <w:bookmarkStart w:id="322" w:name="_Toc12177"/>
      <w:bookmarkStart w:id="323" w:name="_Toc10433"/>
      <w:r>
        <w:rPr>
          <w:rFonts w:hint="eastAsia"/>
          <w:b w:val="0"/>
          <w:bCs w:val="0"/>
          <w:color w:val="000000" w:themeColor="text1"/>
          <w:lang w:val="en-US" w:eastAsia="zh-CN"/>
          <w14:textFill>
            <w14:solidFill>
              <w14:schemeClr w14:val="tx1"/>
            </w14:solidFill>
          </w14:textFill>
        </w:rPr>
        <w:t>8</w:t>
      </w:r>
      <w:r>
        <w:rPr>
          <w:rFonts w:hint="eastAsia"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开展以</w:t>
      </w:r>
      <w:r>
        <w:rPr>
          <w:rFonts w:hint="eastAsia" w:cs="Times New Roman"/>
          <w:b/>
          <w:bCs/>
          <w:color w:val="000000" w:themeColor="text1"/>
          <w:lang w:val="en-US" w:eastAsia="zh-CN"/>
          <w14:textFill>
            <w14:solidFill>
              <w14:schemeClr w14:val="tx1"/>
            </w14:solidFill>
          </w14:textFill>
        </w:rPr>
        <w:t>延链补链强链</w:t>
      </w:r>
      <w:r>
        <w:rPr>
          <w:rFonts w:hint="default" w:ascii="Times New Roman" w:hAnsi="Times New Roman" w:cs="Times New Roman"/>
          <w:b/>
          <w:bCs/>
          <w:color w:val="000000" w:themeColor="text1"/>
          <w:lang w:val="en-US" w:eastAsia="zh-CN"/>
          <w14:textFill>
            <w14:solidFill>
              <w14:schemeClr w14:val="tx1"/>
            </w14:solidFill>
          </w14:textFill>
        </w:rPr>
        <w:t>为导向的精准招商</w:t>
      </w:r>
      <w:bookmarkEnd w:id="322"/>
      <w:bookmarkEnd w:id="323"/>
    </w:p>
    <w:p>
      <w:pPr>
        <w:bidi w:val="0"/>
      </w:pPr>
      <w:r>
        <w:rPr>
          <w:rFonts w:hint="default"/>
          <w:b w:val="0"/>
          <w:bCs w:val="0"/>
          <w:color w:val="000000" w:themeColor="text1"/>
          <w:lang w:val="en-US" w:eastAsia="zh-CN"/>
          <w14:textFill>
            <w14:solidFill>
              <w14:schemeClr w14:val="tx1"/>
            </w14:solidFill>
          </w14:textFill>
        </w:rPr>
        <w:t>强化产业链精准招商。紧扣</w:t>
      </w:r>
      <w:r>
        <w:rPr>
          <w:rFonts w:hint="eastAsia"/>
          <w:b w:val="0"/>
          <w:bCs w:val="0"/>
          <w:color w:val="000000" w:themeColor="text1"/>
          <w:lang w:val="en-US" w:eastAsia="zh-CN"/>
          <w14:textFill>
            <w14:solidFill>
              <w14:schemeClr w14:val="tx1"/>
            </w14:solidFill>
          </w14:textFill>
        </w:rPr>
        <w:t>汕尾市“1+3+5”现代化产业体系</w:t>
      </w:r>
      <w:r>
        <w:rPr>
          <w:rFonts w:hint="default"/>
          <w:b w:val="0"/>
          <w:bCs w:val="0"/>
          <w:color w:val="000000" w:themeColor="text1"/>
          <w:lang w:val="en-US" w:eastAsia="zh-CN"/>
          <w14:textFill>
            <w14:solidFill>
              <w14:schemeClr w14:val="tx1"/>
            </w14:solidFill>
          </w14:textFill>
        </w:rPr>
        <w:t>，聚焦重点产业链断点堵点与关键缺失环节，系统梳理产业</w:t>
      </w:r>
      <w:r>
        <w:rPr>
          <w:rFonts w:hint="default"/>
          <w:lang w:val="en-US" w:eastAsia="zh-CN"/>
        </w:rPr>
        <w:t>链结构、配套短板与招商需求，明确靶向招商重点与实施路径。精准对接链主企业生产配套、原料供给等核心诉求，分类建立上下游目标企业名录与资源储备库，</w:t>
      </w:r>
      <w:r>
        <w:rPr>
          <w:rFonts w:hint="eastAsia"/>
          <w:lang w:val="en-US" w:eastAsia="zh-CN"/>
        </w:rPr>
        <w:t>针对</w:t>
      </w:r>
      <w:r>
        <w:rPr>
          <w:rFonts w:hint="default"/>
          <w:lang w:val="en-US" w:eastAsia="zh-CN"/>
        </w:rPr>
        <w:t>核心零部件、关键原材料等产业薄弱环节，常态化开展配套企业定向招引。</w:t>
      </w:r>
      <w:r>
        <w:rPr>
          <w:rFonts w:hint="eastAsia"/>
          <w:lang w:val="en-US" w:eastAsia="zh-CN"/>
        </w:rPr>
        <w:t>鼓励</w:t>
      </w:r>
      <w:r>
        <w:t>建立融湾产业延链补链强链机制，</w:t>
      </w:r>
      <w:r>
        <w:rPr>
          <w:rFonts w:hint="eastAsia"/>
        </w:rPr>
        <w:t>分级分类精准遴选落地项目，推动项目精准落地、投产见效，</w:t>
      </w:r>
      <w:r>
        <w:rPr>
          <w:rFonts w:hint="eastAsia"/>
          <w:lang w:val="en-US" w:eastAsia="zh-CN"/>
        </w:rPr>
        <w:t>推动</w:t>
      </w:r>
      <w:r>
        <w:rPr>
          <w:rFonts w:hint="eastAsia"/>
        </w:rPr>
        <w:t>汕尾从地理通道升级为要素高效配置的战略支点，</w:t>
      </w:r>
      <w:r>
        <w:rPr>
          <w:rFonts w:hint="eastAsia"/>
          <w:lang w:val="en-US" w:eastAsia="zh-CN"/>
        </w:rPr>
        <w:t>全力</w:t>
      </w:r>
      <w:r>
        <w:rPr>
          <w:rFonts w:hint="eastAsia"/>
        </w:rPr>
        <w:t>打造东海岸产业链延伸首选区</w:t>
      </w:r>
      <w:r>
        <w:t>。</w:t>
      </w:r>
    </w:p>
    <w:p>
      <w:pPr>
        <w:bidi w:val="0"/>
        <w:rPr>
          <w:rFonts w:hint="eastAsia" w:eastAsia="仿宋_GB2312"/>
          <w:color w:val="000000" w:themeColor="text1"/>
          <w:lang w:eastAsia="zh-CN"/>
          <w14:textFill>
            <w14:solidFill>
              <w14:schemeClr w14:val="tx1"/>
            </w14:solidFill>
          </w14:textFill>
        </w:rPr>
      </w:pPr>
      <w:r>
        <w:rPr>
          <w:rFonts w:hint="default"/>
          <w:lang w:val="en-US" w:eastAsia="zh-CN"/>
        </w:rPr>
        <w:t>分业施策精准招商。</w:t>
      </w:r>
      <w:r>
        <w:rPr>
          <w:rFonts w:hint="eastAsia"/>
          <w:lang w:val="en-US" w:eastAsia="zh-CN"/>
        </w:rPr>
        <w:t>巩固提升</w:t>
      </w:r>
      <w:r>
        <w:rPr>
          <w:rFonts w:hint="default"/>
          <w:lang w:val="en-US" w:eastAsia="zh-CN"/>
        </w:rPr>
        <w:t>传统产业，重点引进与本土产业适配度高、带动能力强的产业链主企业及核心配套制造项目；招引落地数字化改造、节能降碳、绿色循环类优质项目，</w:t>
      </w:r>
      <w:r>
        <w:rPr>
          <w:rFonts w:hint="eastAsia"/>
          <w:lang w:val="en-US" w:eastAsia="zh-CN"/>
        </w:rPr>
        <w:t>助推</w:t>
      </w:r>
      <w:r>
        <w:rPr>
          <w:rFonts w:hint="default"/>
          <w:lang w:val="en-US" w:eastAsia="zh-CN"/>
        </w:rPr>
        <w:t>传统产业升级。</w:t>
      </w:r>
      <w:r>
        <w:rPr>
          <w:rFonts w:hint="eastAsia"/>
          <w:lang w:val="en-US" w:eastAsia="zh-CN"/>
        </w:rPr>
        <w:t>培育壮大</w:t>
      </w:r>
      <w:r>
        <w:rPr>
          <w:rFonts w:hint="default"/>
          <w:lang w:val="en-US" w:eastAsia="zh-CN"/>
        </w:rPr>
        <w:t>新兴产业，集中资源招引投资规模大、科技含量高、牵引作用突出、辐射带动广泛的标杆性产业项目，加快补齐产业发展短板，不断壮大先进制造业产业集群。前</w:t>
      </w:r>
      <w:r>
        <w:rPr>
          <w:rFonts w:hint="default"/>
          <w:b w:val="0"/>
          <w:bCs w:val="0"/>
          <w:color w:val="000000" w:themeColor="text1"/>
          <w:lang w:val="en-US" w:eastAsia="zh-CN"/>
          <w14:textFill>
            <w14:solidFill>
              <w14:schemeClr w14:val="tx1"/>
            </w14:solidFill>
          </w14:textFill>
        </w:rPr>
        <w:t>瞻布局通用智能、合成生物、绿色氢能、低空经济等未来赛道，研判产业发展趋势定向招引科创成长型项目，依托校地产学研合作基础，定向招引一批科技型、创新型、成长型前沿产业项目，逐步构建体系完整的未来产业链条</w:t>
      </w:r>
      <w:r>
        <w:rPr>
          <w:rFonts w:hint="eastAsia" w:ascii="Times New Roman" w:hAnsi="Times New Roman" w:cs="Times New Roman"/>
          <w:color w:val="000000" w:themeColor="text1"/>
          <w:szCs w:val="32"/>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60" w:lineRule="exact"/>
        <w:ind w:firstLine="642" w:firstLineChars="200"/>
        <w:jc w:val="left"/>
        <w:textAlignment w:val="auto"/>
        <w:outlineLvl w:val="2"/>
        <w:rPr>
          <w:rFonts w:hint="eastAsia" w:ascii="Times New Roman" w:hAnsi="Times New Roman" w:cs="Times New Roman"/>
          <w:b/>
          <w:bCs/>
          <w:color w:val="000000" w:themeColor="text1"/>
          <w:lang w:val="en-US" w:eastAsia="zh-CN"/>
          <w14:textFill>
            <w14:solidFill>
              <w14:schemeClr w14:val="tx1"/>
            </w14:solidFill>
          </w14:textFill>
        </w:rPr>
      </w:pPr>
      <w:bookmarkStart w:id="324" w:name="_Toc17301"/>
      <w:bookmarkStart w:id="325" w:name="_Toc16870"/>
      <w:r>
        <w:rPr>
          <w:rFonts w:hint="eastAsia" w:cs="Times New Roman"/>
          <w:b/>
          <w:bCs/>
          <w:color w:val="000000" w:themeColor="text1"/>
          <w:lang w:val="en-US" w:eastAsia="zh-CN"/>
          <w14:textFill>
            <w14:solidFill>
              <w14:schemeClr w14:val="tx1"/>
            </w14:solidFill>
          </w14:textFill>
        </w:rPr>
        <w:t>9</w:t>
      </w:r>
      <w:r>
        <w:rPr>
          <w:rFonts w:hint="eastAsia" w:ascii="Times New Roman" w:hAnsi="Times New Roman" w:cs="Times New Roman"/>
          <w:b/>
          <w:bCs/>
          <w:color w:val="000000" w:themeColor="text1"/>
          <w:lang w:val="en-US" w:eastAsia="zh-CN"/>
          <w14:textFill>
            <w14:solidFill>
              <w14:schemeClr w14:val="tx1"/>
            </w14:solidFill>
          </w14:textFill>
        </w:rPr>
        <w:t>.完善全流程招商工作体系，提升引资质效</w:t>
      </w:r>
      <w:bookmarkEnd w:id="324"/>
      <w:bookmarkEnd w:id="325"/>
    </w:p>
    <w:p>
      <w:pPr>
        <w:bidi w:val="0"/>
        <w:rPr>
          <w:rFonts w:hint="default"/>
          <w:lang w:val="en-US" w:eastAsia="zh-CN"/>
        </w:rPr>
      </w:pPr>
      <w:r>
        <w:rPr>
          <w:rFonts w:hint="eastAsia" w:ascii="仿宋_GB2312" w:hAnsi="仿宋_GB2312" w:eastAsia="仿宋_GB2312" w:cs="仿宋_GB2312"/>
          <w:b w:val="0"/>
          <w:bCs/>
          <w:color w:val="000000" w:themeColor="text1"/>
          <w:szCs w:val="32"/>
          <w:lang w:val="en-US" w:eastAsia="zh-CN"/>
          <w14:textFill>
            <w14:solidFill>
              <w14:schemeClr w14:val="tx1"/>
            </w14:solidFill>
          </w14:textFill>
        </w:rPr>
        <w:t>强化招</w:t>
      </w:r>
      <w:r>
        <w:rPr>
          <w:rFonts w:hint="eastAsia"/>
          <w:lang w:val="en-US" w:eastAsia="zh-CN"/>
        </w:rPr>
        <w:t>商专业能力。建立招商队伍常态化培训机制，围绕产业政策、金融法务、项目谈判开展专项实训</w:t>
      </w:r>
      <w:r>
        <w:rPr>
          <w:rFonts w:hint="default"/>
          <w:lang w:val="en-US" w:eastAsia="zh-CN"/>
        </w:rPr>
        <w:t>；同步完善以项目落地成效为核心的考核评价与激励约束机制，充分调动招商工作积极性与主动性。</w:t>
      </w:r>
      <w:r>
        <w:rPr>
          <w:rFonts w:hint="eastAsia"/>
          <w:lang w:val="en-US" w:eastAsia="zh-CN"/>
        </w:rPr>
        <w:t>完善</w:t>
      </w:r>
      <w:r>
        <w:rPr>
          <w:rFonts w:hint="default"/>
          <w:lang w:val="en-US" w:eastAsia="zh-CN"/>
        </w:rPr>
        <w:t>重大招商项目服务机制，不断完善重大产业项目库，实施重大招商项目联合预审制度，对项目进展进行全流程跟踪。探索组建实体化运作市投资促进中心，统筹全市产业链招商、项目服务工作</w:t>
      </w:r>
      <w:r>
        <w:rPr>
          <w:rFonts w:hint="eastAsia"/>
          <w:lang w:val="en-US" w:eastAsia="zh-CN"/>
        </w:rPr>
        <w:t>，</w:t>
      </w:r>
      <w:r>
        <w:rPr>
          <w:rFonts w:hint="default"/>
          <w:lang w:val="en-US" w:eastAsia="zh-CN"/>
        </w:rPr>
        <w:t>打造熟知产业政策、通晓国际规则、精通项目谈判的专业化招商团队。</w:t>
      </w:r>
    </w:p>
    <w:p>
      <w:pPr>
        <w:bidi w:val="0"/>
        <w:rPr>
          <w:rFonts w:hint="eastAsia"/>
          <w:lang w:val="en-US" w:eastAsia="zh-CN"/>
        </w:rPr>
      </w:pPr>
      <w:r>
        <w:rPr>
          <w:rFonts w:hint="eastAsia"/>
          <w:lang w:val="en-US" w:eastAsia="zh-CN"/>
        </w:rPr>
        <w:t>推进多元招商模式。推行“</w:t>
      </w:r>
      <w:r>
        <w:rPr>
          <w:rFonts w:hint="default"/>
          <w:lang w:val="en-US" w:eastAsia="zh-CN"/>
        </w:rPr>
        <w:t>政府+园区+运营商</w:t>
      </w:r>
      <w:r>
        <w:rPr>
          <w:rFonts w:hint="eastAsia"/>
          <w:lang w:val="en-US" w:eastAsia="zh-CN"/>
        </w:rPr>
        <w:t>”联合招商模式，联动行业协会、产业咨询机构拓宽项目渠道</w:t>
      </w:r>
      <w:r>
        <w:rPr>
          <w:rFonts w:hint="default"/>
          <w:lang w:val="en-US" w:eastAsia="zh-CN"/>
        </w:rPr>
        <w:t>，提升招商精准度与实效性。大力推行场景招商，立足汕尾产业基础，围绕新能源汽车</w:t>
      </w:r>
      <w:r>
        <w:rPr>
          <w:rFonts w:hint="eastAsia"/>
          <w:lang w:val="en-US" w:eastAsia="zh-CN"/>
        </w:rPr>
        <w:t>、新一代电子信息</w:t>
      </w:r>
      <w:r>
        <w:rPr>
          <w:rFonts w:hint="default"/>
          <w:lang w:val="en-US" w:eastAsia="zh-CN"/>
        </w:rPr>
        <w:t>等领域梳理场景清单，以场景牵引项目落地。加快探索数字招商</w:t>
      </w:r>
      <w:r>
        <w:rPr>
          <w:rFonts w:hint="eastAsia"/>
          <w:lang w:val="en-US" w:eastAsia="zh-CN"/>
        </w:rPr>
        <w:t>模式</w:t>
      </w:r>
      <w:r>
        <w:rPr>
          <w:rFonts w:hint="default"/>
          <w:lang w:val="en-US" w:eastAsia="zh-CN"/>
        </w:rPr>
        <w:t>，整合产业数据、企业信息</w:t>
      </w:r>
      <w:r>
        <w:rPr>
          <w:rFonts w:hint="eastAsia"/>
          <w:lang w:val="en-US" w:eastAsia="zh-CN"/>
        </w:rPr>
        <w:t>与</w:t>
      </w:r>
      <w:r>
        <w:rPr>
          <w:rFonts w:hint="default"/>
          <w:lang w:val="en-US" w:eastAsia="zh-CN"/>
        </w:rPr>
        <w:t>招商线索，依托信息化方式打破壁垒，赋能精准匹配与线上对接，</w:t>
      </w:r>
      <w:r>
        <w:rPr>
          <w:lang w:val="en-US" w:eastAsia="zh-CN"/>
        </w:rPr>
        <w:t>推动全市招商工作向数字化、精细化、专业化转型</w:t>
      </w:r>
      <w:r>
        <w:rPr>
          <w:rFonts w:hint="eastAsia"/>
          <w:lang w:val="en-US" w:eastAsia="zh-CN"/>
        </w:rPr>
        <w:t>。</w:t>
      </w:r>
    </w:p>
    <w:p>
      <w:pPr>
        <w:bidi w:val="0"/>
        <w:rPr>
          <w:rFonts w:hint="default"/>
          <w:lang w:val="en-US" w:eastAsia="zh-CN"/>
        </w:rPr>
      </w:pPr>
      <w:r>
        <w:rPr>
          <w:rFonts w:hint="eastAsia"/>
          <w:lang w:val="en-US" w:eastAsia="zh-CN"/>
        </w:rPr>
        <w:t>优化招商引资全服务。构建项目对接、签约落地、投产运营的全生命周期服务机制，对重点项目实行“一事一议”支持，提供个性化、精准化政策支持配套。健全以落地为导向的工作机制，建立“线索—在谈—签约—落地—投产”全周期跟踪台账，落实“1+5+X”工作协调机制，推动签约项目快落地、快建设、快投产。</w:t>
      </w:r>
    </w:p>
    <w:p>
      <w:pPr>
        <w:bidi w:val="0"/>
        <w:rPr>
          <w:rFonts w:hint="eastAsia" w:cs="Times New Roman"/>
          <w:b w:val="0"/>
          <w:bCs/>
          <w:color w:val="000000" w:themeColor="text1"/>
          <w:szCs w:val="24"/>
          <w:lang w:val="en-US" w:eastAsia="zh-CN"/>
          <w14:textFill>
            <w14:solidFill>
              <w14:schemeClr w14:val="tx1"/>
            </w14:solidFill>
          </w14:textFill>
        </w:rPr>
      </w:pPr>
      <w:r>
        <w:rPr>
          <w:rFonts w:hint="eastAsia"/>
          <w:lang w:val="en-US" w:eastAsia="zh-CN"/>
        </w:rPr>
        <w:t>拓展区域协作招商。</w:t>
      </w:r>
      <w:r>
        <w:rPr>
          <w:rFonts w:hint="default"/>
          <w:lang w:val="en-US" w:eastAsia="zh-CN"/>
        </w:rPr>
        <w:t>加强与省国资委、珠三角城市国资委对接，建立产业转移投资长期合作纽带，积极吸引省属国企、珠三角市属国企到汕尾投资布局。推动市属国有企业</w:t>
      </w:r>
      <w:r>
        <w:rPr>
          <w:rFonts w:hint="eastAsia"/>
          <w:lang w:val="en-US" w:eastAsia="zh-CN"/>
        </w:rPr>
        <w:t>与</w:t>
      </w:r>
      <w:r>
        <w:rPr>
          <w:rFonts w:hint="default"/>
          <w:lang w:val="en-US" w:eastAsia="zh-CN"/>
        </w:rPr>
        <w:t>省属国企、珠三角地市国企开展常态化对接交流，组织参加各类产业转移对接会、招商推介会，建立长效投资合作机制，</w:t>
      </w:r>
      <w:r>
        <w:rPr>
          <w:rFonts w:hint="eastAsia"/>
          <w:lang w:val="en-US" w:eastAsia="zh-CN"/>
        </w:rPr>
        <w:t>促进</w:t>
      </w:r>
      <w:r>
        <w:rPr>
          <w:rFonts w:hint="default"/>
          <w:lang w:val="en-US" w:eastAsia="zh-CN"/>
        </w:rPr>
        <w:t>产业投资信息互通共享。</w:t>
      </w:r>
      <w:r>
        <w:rPr>
          <w:rFonts w:hint="eastAsia"/>
          <w:lang w:val="en-US" w:eastAsia="zh-CN"/>
        </w:rPr>
        <w:t>推动搭建</w:t>
      </w:r>
      <w:r>
        <w:rPr>
          <w:rFonts w:hint="default"/>
          <w:lang w:val="en-US" w:eastAsia="zh-CN"/>
        </w:rPr>
        <w:t>全产业、可视化、智慧化的专门招商引资信息</w:t>
      </w:r>
      <w:r>
        <w:rPr>
          <w:rFonts w:hint="default"/>
          <w:b w:val="0"/>
          <w:bCs w:val="0"/>
          <w:color w:val="000000" w:themeColor="text1"/>
          <w:lang w:val="en-US" w:eastAsia="zh-CN"/>
          <w14:textFill>
            <w14:solidFill>
              <w14:schemeClr w14:val="tx1"/>
            </w14:solidFill>
          </w14:textFill>
        </w:rPr>
        <w:t>平台，</w:t>
      </w:r>
      <w:r>
        <w:rPr>
          <w:rFonts w:hint="eastAsia"/>
          <w:b w:val="0"/>
          <w:bCs w:val="0"/>
          <w:color w:val="000000" w:themeColor="text1"/>
          <w:lang w:val="en-US" w:eastAsia="zh-CN"/>
          <w14:textFill>
            <w14:solidFill>
              <w14:schemeClr w14:val="tx1"/>
            </w14:solidFill>
          </w14:textFill>
        </w:rPr>
        <w:t>动态</w:t>
      </w:r>
      <w:r>
        <w:rPr>
          <w:rFonts w:hint="default"/>
          <w:b w:val="0"/>
          <w:bCs w:val="0"/>
          <w:color w:val="000000" w:themeColor="text1"/>
          <w:lang w:val="en-US" w:eastAsia="zh-CN"/>
          <w14:textFill>
            <w14:solidFill>
              <w14:schemeClr w14:val="tx1"/>
            </w14:solidFill>
          </w14:textFill>
        </w:rPr>
        <w:t>发布主平台需求清单，及时梳理珠三角产业转移信息，紧密对接投资项目。</w:t>
      </w:r>
    </w:p>
    <w:p>
      <w:pPr>
        <w:pStyle w:val="4"/>
        <w:keepNext/>
        <w:keepLines/>
        <w:pageBreakBefore w:val="0"/>
        <w:widowControl w:val="0"/>
        <w:numPr>
          <w:ilvl w:val="0"/>
          <w:numId w:val="2"/>
        </w:numPr>
        <w:kinsoku/>
        <w:wordWrap/>
        <w:overflowPunct/>
        <w:topLinePunct w:val="0"/>
        <w:autoSpaceDE/>
        <w:autoSpaceDN/>
        <w:bidi w:val="0"/>
        <w:adjustRightInd w:val="0"/>
        <w:snapToGrid w:val="0"/>
        <w:spacing w:line="560" w:lineRule="exact"/>
        <w:ind w:left="0" w:leftChars="0" w:firstLine="642" w:firstLineChars="200"/>
        <w:textAlignment w:val="auto"/>
        <w:rPr>
          <w:rFonts w:hint="default" w:cs="Times New Roman"/>
          <w:b/>
          <w:bCs w:val="0"/>
          <w:color w:val="000000" w:themeColor="text1"/>
          <w:lang w:val="en-US" w:eastAsia="zh-CN"/>
          <w14:textFill>
            <w14:solidFill>
              <w14:schemeClr w14:val="tx1"/>
            </w14:solidFill>
          </w14:textFill>
        </w:rPr>
      </w:pPr>
      <w:bookmarkStart w:id="326" w:name="_Toc2197"/>
      <w:r>
        <w:rPr>
          <w:rFonts w:hint="eastAsia" w:cs="Times New Roman"/>
          <w:b/>
          <w:bCs w:val="0"/>
          <w:color w:val="000000" w:themeColor="text1"/>
          <w:lang w:val="en-US" w:eastAsia="zh-CN"/>
          <w14:textFill>
            <w14:solidFill>
              <w14:schemeClr w14:val="tx1"/>
            </w14:solidFill>
          </w14:textFill>
        </w:rPr>
        <w:t>聚焦企业培优，做强市场经营主体</w:t>
      </w:r>
      <w:bookmarkEnd w:id="326"/>
    </w:p>
    <w:p>
      <w:pPr>
        <w:widowControl/>
        <w:spacing w:line="560" w:lineRule="exact"/>
        <w:jc w:val="left"/>
        <w:outlineLvl w:val="2"/>
        <w:rPr>
          <w:rFonts w:hint="default" w:ascii="Times New Roman" w:hAnsi="Times New Roman" w:cs="Times New Roman"/>
          <w:b/>
          <w:bCs/>
          <w:color w:val="000000" w:themeColor="text1"/>
          <w:lang w:val="en-US" w:eastAsia="zh-CN"/>
          <w14:textFill>
            <w14:solidFill>
              <w14:schemeClr w14:val="tx1"/>
            </w14:solidFill>
          </w14:textFill>
        </w:rPr>
      </w:pPr>
      <w:bookmarkStart w:id="327" w:name="_Toc22010"/>
      <w:bookmarkStart w:id="328" w:name="_Toc22883"/>
      <w:r>
        <w:rPr>
          <w:rFonts w:hint="eastAsia" w:ascii="Times New Roman" w:hAnsi="Times New Roman" w:cs="Times New Roman"/>
          <w:b/>
          <w:bCs/>
          <w:color w:val="000000" w:themeColor="text1"/>
          <w:lang w:val="en-US" w:eastAsia="zh-CN"/>
          <w14:textFill>
            <w14:solidFill>
              <w14:schemeClr w14:val="tx1"/>
            </w14:solidFill>
          </w14:textFill>
        </w:rPr>
        <w:t>10.实施梯队化企业培育，</w:t>
      </w:r>
      <w:r>
        <w:rPr>
          <w:rFonts w:hint="default" w:ascii="Times New Roman" w:hAnsi="Times New Roman" w:eastAsia="仿宋_GB2312" w:cs="Times New Roman"/>
          <w:b/>
          <w:bCs/>
          <w:color w:val="000000" w:themeColor="text1"/>
          <w:sz w:val="32"/>
          <w:szCs w:val="24"/>
          <w14:textFill>
            <w14:solidFill>
              <w14:schemeClr w14:val="tx1"/>
            </w14:solidFill>
          </w14:textFill>
        </w:rPr>
        <w:t>做强市场经营主体</w:t>
      </w:r>
      <w:bookmarkEnd w:id="327"/>
      <w:bookmarkEnd w:id="328"/>
    </w:p>
    <w:p>
      <w:pPr>
        <w:bidi w:val="0"/>
        <w:rPr>
          <w:rFonts w:hint="default"/>
          <w:lang w:val="en-US" w:eastAsia="zh-CN"/>
        </w:rPr>
      </w:pPr>
      <w:r>
        <w:rPr>
          <w:rFonts w:hint="default"/>
          <w:lang w:val="en-US" w:eastAsia="zh-CN"/>
        </w:rPr>
        <w:t>培优扶强龙头企业。引导龙头企业结合产业规划、市场需求实施增资扩产、技术改造项目，同步推进技术改造、产能提质升级，助力企业优化生产布局、拓宽内外市场、扩大经营规模，持续实施龙头企业梯度培优工作。鼓励龙头企业推进全球化布局，搭建面向全球的资源统筹、市场开拓、人才引育及生产服务一体化体系，持续拓展海外市场。引导企业通过并购重组、股权合作、战略合作、组建产业联盟等市场化方式整合优质资源，持续优化业务布局，扩大规模效应。</w:t>
      </w:r>
    </w:p>
    <w:p>
      <w:pPr>
        <w:bidi w:val="0"/>
        <w:rPr>
          <w:rFonts w:hint="default"/>
          <w:lang w:val="en-US" w:eastAsia="zh-CN"/>
        </w:rPr>
      </w:pPr>
      <w:r>
        <w:rPr>
          <w:rFonts w:hint="default"/>
          <w:lang w:val="en-US" w:eastAsia="zh-CN"/>
        </w:rPr>
        <w:t>筑牢中小企业培育基础。</w:t>
      </w:r>
      <w:r>
        <w:t>完善</w:t>
      </w:r>
      <w:r>
        <w:rPr>
          <w:rFonts w:hint="eastAsia"/>
          <w:lang w:eastAsia="zh-CN"/>
        </w:rPr>
        <w:t>“</w:t>
      </w:r>
      <w:r>
        <w:t>小升规、专精特新、</w:t>
      </w:r>
      <w:r>
        <w:rPr>
          <w:rFonts w:hint="eastAsia"/>
          <w:lang w:eastAsia="zh-CN"/>
        </w:rPr>
        <w:t>专精特新‘小巨人’”</w:t>
      </w:r>
      <w:r>
        <w:t>全梯度企业培育库</w:t>
      </w:r>
      <w:r>
        <w:rPr>
          <w:rFonts w:hint="default"/>
          <w:lang w:val="en-US" w:eastAsia="zh-CN"/>
        </w:rPr>
        <w:t>，对入库企业实施“一企一策”精准辅导，畅通中小企业梯度成长体系，持续充实产业后备力量，厚植产业配套根基。深入挖掘市域中小企业发展潜力，规范企业培育准入标准，重点遴选主营业务收入占比高、细分市场占有率高、研发投入强度达标的优质市场主体。</w:t>
      </w:r>
    </w:p>
    <w:p>
      <w:pPr>
        <w:keepNext w:val="0"/>
        <w:keepLines w:val="0"/>
        <w:widowControl/>
        <w:snapToGrid/>
        <w:spacing w:before="0" w:after="0" w:line="560" w:lineRule="exact"/>
        <w:jc w:val="left"/>
        <w:outlineLvl w:val="2"/>
        <w:rPr>
          <w:rFonts w:hint="default" w:ascii="仿宋_GB2312" w:hAnsi="仿宋_GB2312" w:eastAsia="仿宋_GB2312" w:cs="仿宋_GB2312"/>
          <w:b w:val="0"/>
          <w:bCs/>
          <w:color w:val="000000" w:themeColor="text1"/>
          <w:sz w:val="32"/>
          <w:szCs w:val="32"/>
          <w:lang w:val="en-US" w:eastAsia="zh-CN"/>
          <w14:textFill>
            <w14:solidFill>
              <w14:schemeClr w14:val="tx1"/>
            </w14:solidFill>
          </w14:textFill>
        </w:rPr>
      </w:pPr>
      <w:bookmarkStart w:id="329" w:name="_Toc9950"/>
      <w:bookmarkStart w:id="330" w:name="_Toc31592"/>
      <w:r>
        <w:rPr>
          <w:rFonts w:hint="eastAsia" w:cs="Times New Roman"/>
          <w:b/>
          <w:bCs/>
          <w:color w:val="000000" w:themeColor="text1"/>
          <w:sz w:val="32"/>
          <w:szCs w:val="32"/>
          <w:lang w:val="en-US" w:eastAsia="zh-CN"/>
          <w14:textFill>
            <w14:solidFill>
              <w14:schemeClr w14:val="tx1"/>
            </w14:solidFill>
          </w14:textFill>
        </w:rPr>
        <w:t>11</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促进大中小企业融通，凝聚产业发展合力</w:t>
      </w:r>
      <w:bookmarkEnd w:id="329"/>
      <w:bookmarkEnd w:id="330"/>
    </w:p>
    <w:p>
      <w:pPr>
        <w:bidi w:val="0"/>
        <w:rPr>
          <w:rFonts w:hint="eastAsia"/>
          <w:lang w:val="en-US" w:eastAsia="zh-CN"/>
        </w:rPr>
      </w:pPr>
      <w:r>
        <w:rPr>
          <w:rFonts w:hint="default" w:ascii="仿宋_GB2312" w:hAnsi="仿宋_GB2312" w:eastAsia="仿宋_GB2312" w:cs="仿宋_GB2312"/>
          <w:b w:val="0"/>
          <w:bCs/>
          <w:color w:val="000000" w:themeColor="text1"/>
          <w:szCs w:val="32"/>
          <w:lang w:val="en-US" w:eastAsia="zh-CN"/>
          <w14:textFill>
            <w14:solidFill>
              <w14:schemeClr w14:val="tx1"/>
            </w14:solidFill>
          </w14:textFill>
        </w:rPr>
        <w:t>深化</w:t>
      </w:r>
      <w:r>
        <w:rPr>
          <w:rFonts w:hint="eastAsia" w:ascii="仿宋_GB2312" w:hAnsi="仿宋_GB2312" w:eastAsia="仿宋_GB2312" w:cs="仿宋_GB2312"/>
          <w:b w:val="0"/>
          <w:bCs/>
          <w:color w:val="000000" w:themeColor="text1"/>
          <w:szCs w:val="32"/>
          <w:lang w:val="en-US" w:eastAsia="zh-CN"/>
          <w14:textFill>
            <w14:solidFill>
              <w14:schemeClr w14:val="tx1"/>
            </w14:solidFill>
          </w14:textFill>
        </w:rPr>
        <w:t>“</w:t>
      </w:r>
      <w:r>
        <w:rPr>
          <w:rFonts w:hint="default" w:ascii="仿宋_GB2312" w:hAnsi="仿宋_GB2312" w:eastAsia="仿宋_GB2312" w:cs="仿宋_GB2312"/>
          <w:b w:val="0"/>
          <w:bCs/>
          <w:color w:val="000000" w:themeColor="text1"/>
          <w:szCs w:val="32"/>
          <w:lang w:val="en-US" w:eastAsia="zh-CN"/>
          <w14:textFill>
            <w14:solidFill>
              <w14:schemeClr w14:val="tx1"/>
            </w14:solidFill>
          </w14:textFill>
        </w:rPr>
        <w:t>以大带小</w:t>
      </w:r>
      <w:r>
        <w:rPr>
          <w:rFonts w:hint="eastAsia" w:ascii="仿宋_GB2312" w:hAnsi="仿宋_GB2312" w:eastAsia="仿宋_GB2312" w:cs="仿宋_GB2312"/>
          <w:b w:val="0"/>
          <w:bCs/>
          <w:color w:val="000000" w:themeColor="text1"/>
          <w:szCs w:val="32"/>
          <w:lang w:val="en-US" w:eastAsia="zh-CN"/>
          <w14:textFill>
            <w14:solidFill>
              <w14:schemeClr w14:val="tx1"/>
            </w14:solidFill>
          </w14:textFill>
        </w:rPr>
        <w:t>”联动融通。依托本土龙头企业定期发布</w:t>
      </w:r>
      <w:r>
        <w:rPr>
          <w:rFonts w:hint="eastAsia"/>
          <w:lang w:val="en-US" w:eastAsia="zh-CN"/>
        </w:rPr>
        <w:t>配套采购清单、行业技术标准及产能配套需求，充分发挥龙头企业技术、标准、资金、项目、平台资源优势，以定向采购、订单牵引、技术赋能、设备共享为抓手，打通龙头、骨干企业与本地中小配套企业在产品配套、技术研发、市场开拓领域的协同对接渠道，引导中小微企业深度嵌入龙头产业链，打造分工清晰、衔接顺畅的产业链配套体系</w:t>
      </w:r>
      <w:r>
        <w:rPr>
          <w:rFonts w:hint="eastAsia"/>
        </w:rPr>
        <w:t>。</w:t>
      </w:r>
    </w:p>
    <w:p>
      <w:pPr>
        <w:bidi w:val="0"/>
        <w:rPr>
          <w:rFonts w:hint="default"/>
          <w:color w:val="000000" w:themeColor="text1"/>
          <w:lang w:val="en-US" w:eastAsia="zh-CN"/>
          <w14:textFill>
            <w14:solidFill>
              <w14:schemeClr w14:val="tx1"/>
            </w14:solidFill>
          </w14:textFill>
        </w:rPr>
      </w:pPr>
      <w:r>
        <w:rPr>
          <w:rFonts w:hint="default"/>
          <w:lang w:val="en-US" w:eastAsia="zh-CN"/>
        </w:rPr>
        <w:t>强化</w:t>
      </w:r>
      <w:r>
        <w:rPr>
          <w:rFonts w:hint="eastAsia"/>
          <w:lang w:val="en-US" w:eastAsia="zh-CN"/>
        </w:rPr>
        <w:t>“</w:t>
      </w:r>
      <w:r>
        <w:rPr>
          <w:rFonts w:hint="default"/>
          <w:lang w:val="en-US" w:eastAsia="zh-CN"/>
        </w:rPr>
        <w:t>以小托大</w:t>
      </w:r>
      <w:r>
        <w:rPr>
          <w:rFonts w:hint="eastAsia"/>
          <w:lang w:val="en-US" w:eastAsia="zh-CN"/>
        </w:rPr>
        <w:t>”</w:t>
      </w:r>
      <w:r>
        <w:rPr>
          <w:rFonts w:hint="default"/>
          <w:lang w:val="en-US" w:eastAsia="zh-CN"/>
        </w:rPr>
        <w:t>支撑能力。持续提升本地产业配套整体水平，以优质本地化配套反哺龙头企业，切实</w:t>
      </w:r>
      <w:r>
        <w:rPr>
          <w:rFonts w:hint="eastAsia"/>
          <w:lang w:val="en-US" w:eastAsia="zh-CN"/>
        </w:rPr>
        <w:t>降低</w:t>
      </w:r>
      <w:r>
        <w:rPr>
          <w:rFonts w:hint="default"/>
          <w:lang w:val="en-US" w:eastAsia="zh-CN"/>
        </w:rPr>
        <w:t>企业生产经营</w:t>
      </w:r>
      <w:r>
        <w:rPr>
          <w:rFonts w:hint="eastAsia"/>
          <w:lang w:val="en-US" w:eastAsia="zh-CN"/>
        </w:rPr>
        <w:t>、</w:t>
      </w:r>
      <w:r>
        <w:rPr>
          <w:rFonts w:hint="default"/>
          <w:lang w:val="en-US" w:eastAsia="zh-CN"/>
        </w:rPr>
        <w:t>产业链协作综合成本</w:t>
      </w:r>
      <w:r>
        <w:rPr>
          <w:rFonts w:hint="eastAsia"/>
          <w:lang w:val="en-US" w:eastAsia="zh-CN"/>
        </w:rPr>
        <w:t>，</w:t>
      </w:r>
      <w:r>
        <w:rPr>
          <w:rFonts w:hint="default"/>
          <w:lang w:val="en-US" w:eastAsia="zh-CN"/>
        </w:rPr>
        <w:t>提升供需协作效率，构建龙头牵引、配套集聚、双向协同的产业融通生态。引导中小企业聚焦新能源汽车零部件、海工装备配套件、电子元器件、精密模具细分领域，运用新工艺、新设备、新技术开展生产线适应性技改，深耕细分配套赛道</w:t>
      </w:r>
      <w:r>
        <w:rPr>
          <w:rFonts w:hint="eastAsia"/>
          <w:lang w:val="en-US" w:eastAsia="zh-CN"/>
        </w:rPr>
        <w:t>，</w:t>
      </w:r>
      <w:r>
        <w:t>攻关配套领域核心实用技术</w:t>
      </w:r>
      <w:r>
        <w:rPr>
          <w:rFonts w:hint="default"/>
          <w:lang w:val="en-US" w:eastAsia="zh-CN"/>
        </w:rPr>
        <w:t>，走</w:t>
      </w:r>
      <w:r>
        <w:rPr>
          <w:rFonts w:hint="default" w:ascii="仿宋_GB2312" w:hAnsi="仿宋_GB2312" w:eastAsia="仿宋_GB2312" w:cs="仿宋_GB2312"/>
          <w:b w:val="0"/>
          <w:bCs/>
          <w:color w:val="000000" w:themeColor="text1"/>
          <w:szCs w:val="32"/>
          <w:lang w:val="en-US" w:eastAsia="zh-CN"/>
          <w14:textFill>
            <w14:solidFill>
              <w14:schemeClr w14:val="tx1"/>
            </w14:solidFill>
          </w14:textFill>
        </w:rPr>
        <w:t>专业化、精细化、特色化发展路径，筑牢服务龙头企业的配套供给根基</w:t>
      </w:r>
      <w:r>
        <w:rPr>
          <w:rFonts w:hint="default"/>
          <w:b w:val="0"/>
          <w:color w:val="000000" w:themeColor="text1"/>
          <w:lang w:val="en-US" w:eastAsia="zh-CN"/>
          <w14:textFill>
            <w14:solidFill>
              <w14:schemeClr w14:val="tx1"/>
            </w14:solidFill>
          </w14:textFill>
        </w:rPr>
        <w:t>。</w:t>
      </w:r>
    </w:p>
    <w:p>
      <w:pPr>
        <w:pStyle w:val="4"/>
        <w:keepNext/>
        <w:keepLines w:val="0"/>
        <w:pageBreakBefore w:val="0"/>
        <w:widowControl w:val="0"/>
        <w:numPr>
          <w:ilvl w:val="0"/>
          <w:numId w:val="0"/>
        </w:numPr>
        <w:suppressLineNumbers w:val="0"/>
        <w:kinsoku/>
        <w:wordWrap/>
        <w:overflowPunct/>
        <w:topLinePunct w:val="0"/>
        <w:autoSpaceDE/>
        <w:autoSpaceDN/>
        <w:bidi w:val="0"/>
        <w:adjustRightInd w:val="0"/>
        <w:snapToGrid w:val="0"/>
        <w:spacing w:line="560" w:lineRule="exact"/>
        <w:ind w:firstLine="640"/>
        <w:jc w:val="left"/>
        <w:textAlignment w:val="auto"/>
        <w:outlineLvl w:val="1"/>
        <w:rPr>
          <w:rFonts w:hint="eastAsia" w:ascii="Times New Roman" w:hAnsi="Times New Roman" w:eastAsia="楷体_GB2312" w:cs="Times New Roman"/>
          <w:b w:val="0"/>
          <w:bCs/>
          <w:color w:val="000000" w:themeColor="text1"/>
          <w:sz w:val="32"/>
          <w:szCs w:val="24"/>
          <w:lang w:val="en-US" w:eastAsia="zh-CN"/>
          <w14:textFill>
            <w14:solidFill>
              <w14:schemeClr w14:val="tx1"/>
            </w14:solidFill>
          </w14:textFill>
        </w:rPr>
      </w:pPr>
      <w:bookmarkStart w:id="331" w:name="_Toc23931"/>
      <w:bookmarkStart w:id="332" w:name="_Toc13164"/>
      <w:r>
        <w:rPr>
          <w:rFonts w:hint="eastAsia" w:ascii="Times New Roman" w:hAnsi="Times New Roman" w:eastAsia="楷体_GB2312" w:cs="Times New Roman"/>
          <w:b w:val="0"/>
          <w:bCs/>
          <w:color w:val="000000" w:themeColor="text1"/>
          <w:sz w:val="32"/>
          <w:szCs w:val="24"/>
          <w:lang w:val="en-US" w:eastAsia="zh-CN"/>
          <w14:textFill>
            <w14:solidFill>
              <w14:schemeClr w14:val="tx1"/>
            </w14:solidFill>
          </w14:textFill>
        </w:rPr>
        <w:t>（</w:t>
      </w:r>
      <w:r>
        <w:rPr>
          <w:rFonts w:hint="eastAsia" w:cs="Times New Roman"/>
          <w:b w:val="0"/>
          <w:bCs/>
          <w:color w:val="000000" w:themeColor="text1"/>
          <w:sz w:val="32"/>
          <w:szCs w:val="24"/>
          <w:lang w:val="en-US" w:eastAsia="zh-CN"/>
          <w14:textFill>
            <w14:solidFill>
              <w14:schemeClr w14:val="tx1"/>
            </w14:solidFill>
          </w14:textFill>
        </w:rPr>
        <w:t>六</w:t>
      </w:r>
      <w:r>
        <w:rPr>
          <w:rFonts w:hint="eastAsia" w:ascii="Times New Roman" w:hAnsi="Times New Roman" w:eastAsia="楷体_GB2312" w:cs="Times New Roman"/>
          <w:b w:val="0"/>
          <w:bCs/>
          <w:color w:val="000000" w:themeColor="text1"/>
          <w:sz w:val="32"/>
          <w:szCs w:val="24"/>
          <w:lang w:val="en-US" w:eastAsia="zh-CN"/>
          <w14:textFill>
            <w14:solidFill>
              <w14:schemeClr w14:val="tx1"/>
            </w14:solidFill>
          </w14:textFill>
        </w:rPr>
        <w:t>）推动园区跃升，打造集约发展</w:t>
      </w:r>
      <w:r>
        <w:rPr>
          <w:rFonts w:hint="eastAsia" w:cs="Times New Roman"/>
          <w:b w:val="0"/>
          <w:bCs/>
          <w:color w:val="000000" w:themeColor="text1"/>
          <w:sz w:val="32"/>
          <w:szCs w:val="24"/>
          <w:lang w:val="en-US" w:eastAsia="zh-CN"/>
          <w14:textFill>
            <w14:solidFill>
              <w14:schemeClr w14:val="tx1"/>
            </w14:solidFill>
          </w14:textFill>
        </w:rPr>
        <w:t>平台</w:t>
      </w:r>
      <w:bookmarkEnd w:id="331"/>
      <w:bookmarkEnd w:id="332"/>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bookmarkStart w:id="333" w:name="_Toc18336"/>
      <w:bookmarkStart w:id="334" w:name="_Toc20660"/>
      <w:r>
        <w:rPr>
          <w:rFonts w:hint="eastAsia" w:cs="Times New Roman"/>
          <w:b/>
          <w:bCs/>
          <w:color w:val="000000" w:themeColor="text1"/>
          <w:sz w:val="32"/>
          <w:szCs w:val="32"/>
          <w:lang w:val="en-US" w:eastAsia="zh-CN"/>
          <w14:textFill>
            <w14:solidFill>
              <w14:schemeClr w14:val="tx1"/>
            </w14:solidFill>
          </w14:textFill>
        </w:rPr>
        <w:t>12</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.强化园区要素保障能力，支撑园区高质量发展</w:t>
      </w:r>
      <w:bookmarkEnd w:id="333"/>
      <w:bookmarkEnd w:id="334"/>
    </w:p>
    <w:p>
      <w:pPr>
        <w:bidi w:val="0"/>
        <w:rPr>
          <w:rFonts w:hint="default"/>
          <w:lang w:val="en-US" w:eastAsia="zh-CN"/>
        </w:rPr>
      </w:pPr>
      <w:r>
        <w:rPr>
          <w:rFonts w:hint="default"/>
          <w:b w:val="0"/>
          <w:bCs w:val="0"/>
          <w:color w:val="000000" w:themeColor="text1"/>
          <w:lang w:val="en-US" w:eastAsia="zh-CN"/>
          <w14:textFill>
            <w14:solidFill>
              <w14:schemeClr w14:val="tx1"/>
            </w14:solidFill>
          </w14:textFill>
        </w:rPr>
        <w:t>推进土地要素保障</w:t>
      </w:r>
      <w:r>
        <w:rPr>
          <w:rFonts w:hint="eastAsia"/>
          <w:b w:val="0"/>
          <w:bCs w:val="0"/>
          <w:color w:val="000000" w:themeColor="text1"/>
          <w:lang w:val="en-US" w:eastAsia="zh-CN"/>
          <w14:textFill>
            <w14:solidFill>
              <w14:schemeClr w14:val="tx1"/>
            </w14:solidFill>
          </w14:textFill>
        </w:rPr>
        <w:t>。</w:t>
      </w:r>
      <w:r>
        <w:rPr>
          <w:rFonts w:hint="default"/>
          <w:b w:val="0"/>
          <w:bCs w:val="0"/>
          <w:color w:val="000000" w:themeColor="text1"/>
          <w:lang w:val="en-US" w:eastAsia="zh-CN"/>
          <w14:textFill>
            <w14:solidFill>
              <w14:schemeClr w14:val="tx1"/>
            </w14:solidFill>
          </w14:textFill>
        </w:rPr>
        <w:t>支持工业园区加快高标准厂房建设，</w:t>
      </w:r>
      <w:r>
        <w:rPr>
          <w:rFonts w:hint="default"/>
          <w:lang w:val="en-US" w:eastAsia="zh-CN"/>
        </w:rPr>
        <w:t>严控用地准入门槛，提升土地集约利用水平</w:t>
      </w:r>
      <w:r>
        <w:rPr>
          <w:rFonts w:hint="eastAsia"/>
          <w:lang w:val="en-US" w:eastAsia="zh-CN"/>
        </w:rPr>
        <w:t>；</w:t>
      </w:r>
      <w:r>
        <w:rPr>
          <w:rFonts w:hint="default"/>
          <w:lang w:val="en-US" w:eastAsia="zh-CN"/>
        </w:rPr>
        <w:t>鼓励利用存量工业房产发展生产性服务业、众创空间，改造载体在规定</w:t>
      </w:r>
      <w:r>
        <w:t>过渡期内</w:t>
      </w:r>
      <w:r>
        <w:rPr>
          <w:rFonts w:hint="default"/>
          <w:lang w:val="en-US" w:eastAsia="zh-CN"/>
        </w:rPr>
        <w:t>可按原有土地用途、权属类型管理，用地期满或发生权属转让、需变更用地性质的，可依据新用途、新权利类型及市场评估价格，通过协议方式办理用地变更手续。</w:t>
      </w:r>
    </w:p>
    <w:p>
      <w:pPr>
        <w:bidi w:val="0"/>
        <w:rPr>
          <w:rFonts w:hint="default"/>
          <w:lang w:val="en-US" w:eastAsia="zh-CN"/>
        </w:rPr>
      </w:pPr>
      <w:r>
        <w:rPr>
          <w:rFonts w:hint="default"/>
          <w:lang w:val="en-US" w:eastAsia="zh-CN"/>
        </w:rPr>
        <w:t>强化资金要素保障。</w:t>
      </w:r>
      <w:r>
        <w:rPr>
          <w:rFonts w:hint="eastAsia"/>
          <w:lang w:val="en-US" w:eastAsia="zh-CN"/>
        </w:rPr>
        <w:t>用足</w:t>
      </w:r>
      <w:r>
        <w:rPr>
          <w:rFonts w:hint="default"/>
          <w:lang w:val="en-US" w:eastAsia="zh-CN"/>
        </w:rPr>
        <w:t>用好老区苏区扶持政策，积极争取中央预算内投资、地方政府专项债</w:t>
      </w:r>
      <w:r>
        <w:rPr>
          <w:rFonts w:hint="eastAsia"/>
          <w:lang w:val="en-US" w:eastAsia="zh-CN"/>
        </w:rPr>
        <w:t>及</w:t>
      </w:r>
      <w:r>
        <w:rPr>
          <w:rFonts w:hint="default"/>
          <w:lang w:val="en-US" w:eastAsia="zh-CN"/>
        </w:rPr>
        <w:t>老区苏区发展专项奖补等</w:t>
      </w:r>
      <w:r>
        <w:rPr>
          <w:rFonts w:hint="eastAsia"/>
          <w:lang w:val="en-US" w:eastAsia="zh-CN"/>
        </w:rPr>
        <w:t>各类资金支持</w:t>
      </w:r>
      <w:r>
        <w:rPr>
          <w:rFonts w:hint="default"/>
          <w:lang w:val="en-US" w:eastAsia="zh-CN"/>
        </w:rPr>
        <w:t>，为园区基础设施</w:t>
      </w:r>
      <w:r>
        <w:rPr>
          <w:rFonts w:hint="eastAsia"/>
          <w:lang w:val="en-US" w:eastAsia="zh-CN"/>
        </w:rPr>
        <w:t>建设</w:t>
      </w:r>
      <w:r>
        <w:rPr>
          <w:rFonts w:hint="default"/>
          <w:lang w:val="en-US" w:eastAsia="zh-CN"/>
        </w:rPr>
        <w:t>、产业转型升级提供稳定资金</w:t>
      </w:r>
      <w:r>
        <w:rPr>
          <w:rFonts w:hint="eastAsia"/>
          <w:lang w:val="en-US" w:eastAsia="zh-CN"/>
        </w:rPr>
        <w:t>保障</w:t>
      </w:r>
      <w:r>
        <w:rPr>
          <w:rFonts w:hint="default"/>
          <w:lang w:val="en-US" w:eastAsia="zh-CN"/>
        </w:rPr>
        <w:t>。加强与各类金融机构对接，引导</w:t>
      </w:r>
      <w:r>
        <w:rPr>
          <w:rFonts w:hint="eastAsia"/>
          <w:lang w:val="en-US" w:eastAsia="zh-CN"/>
        </w:rPr>
        <w:t>园区依法依规拓宽信贷融资渠道，</w:t>
      </w:r>
      <w:r>
        <w:rPr>
          <w:rFonts w:hint="default"/>
          <w:lang w:val="en-US" w:eastAsia="zh-CN"/>
        </w:rPr>
        <w:t>多元化解园区</w:t>
      </w:r>
      <w:r>
        <w:rPr>
          <w:rFonts w:hint="eastAsia"/>
          <w:lang w:val="en-US" w:eastAsia="zh-CN"/>
        </w:rPr>
        <w:t>开发</w:t>
      </w:r>
      <w:r>
        <w:rPr>
          <w:rFonts w:hint="default"/>
          <w:lang w:val="en-US" w:eastAsia="zh-CN"/>
        </w:rPr>
        <w:t>建设</w:t>
      </w:r>
      <w:r>
        <w:rPr>
          <w:rFonts w:hint="eastAsia"/>
          <w:lang w:val="en-US" w:eastAsia="zh-CN"/>
        </w:rPr>
        <w:t>的资金</w:t>
      </w:r>
      <w:r>
        <w:rPr>
          <w:rFonts w:hint="default"/>
          <w:lang w:val="en-US" w:eastAsia="zh-CN"/>
        </w:rPr>
        <w:t>难题，持续筑牢产业</w:t>
      </w:r>
      <w:r>
        <w:rPr>
          <w:rFonts w:hint="eastAsia"/>
          <w:lang w:val="en-US" w:eastAsia="zh-CN"/>
        </w:rPr>
        <w:t>平台</w:t>
      </w:r>
      <w:r>
        <w:rPr>
          <w:rFonts w:hint="default"/>
          <w:lang w:val="en-US" w:eastAsia="zh-CN"/>
        </w:rPr>
        <w:t>发展</w:t>
      </w:r>
      <w:r>
        <w:rPr>
          <w:rFonts w:hint="eastAsia"/>
          <w:lang w:val="en-US" w:eastAsia="zh-CN"/>
        </w:rPr>
        <w:t>的</w:t>
      </w:r>
      <w:r>
        <w:rPr>
          <w:rFonts w:hint="default"/>
          <w:lang w:val="en-US" w:eastAsia="zh-CN"/>
        </w:rPr>
        <w:t>资金支撑。</w:t>
      </w:r>
    </w:p>
    <w:p>
      <w:pPr>
        <w:bidi w:val="0"/>
        <w:rPr>
          <w:rFonts w:hint="default"/>
          <w:lang w:val="en-US" w:eastAsia="zh-CN"/>
        </w:rPr>
      </w:pPr>
      <w:r>
        <w:rPr>
          <w:rFonts w:hint="default"/>
          <w:lang w:val="en-US" w:eastAsia="zh-CN"/>
        </w:rPr>
        <w:t>加强基础设施保障。按照现代化产业园区标准，全域</w:t>
      </w:r>
      <w:r>
        <w:rPr>
          <w:rFonts w:hint="eastAsia"/>
          <w:lang w:val="en-US" w:eastAsia="zh-CN"/>
        </w:rPr>
        <w:t>推进</w:t>
      </w:r>
      <w:r>
        <w:rPr>
          <w:rFonts w:hint="default"/>
          <w:lang w:val="en-US" w:eastAsia="zh-CN"/>
        </w:rPr>
        <w:t>园区</w:t>
      </w:r>
      <w:r>
        <w:rPr>
          <w:rFonts w:hint="eastAsia"/>
          <w:lang w:val="en-US" w:eastAsia="zh-CN"/>
        </w:rPr>
        <w:t>“</w:t>
      </w:r>
      <w:r>
        <w:rPr>
          <w:rFonts w:hint="default"/>
          <w:lang w:val="en-US" w:eastAsia="zh-CN"/>
        </w:rPr>
        <w:t>七通一平</w:t>
      </w:r>
      <w:r>
        <w:rPr>
          <w:rFonts w:hint="eastAsia"/>
          <w:lang w:val="en-US" w:eastAsia="zh-CN"/>
        </w:rPr>
        <w:t>”</w:t>
      </w:r>
      <w:r>
        <w:rPr>
          <w:rFonts w:hint="default"/>
          <w:lang w:val="en-US" w:eastAsia="zh-CN"/>
        </w:rPr>
        <w:t>建设</w:t>
      </w:r>
      <w:r>
        <w:rPr>
          <w:rFonts w:hint="eastAsia"/>
          <w:lang w:val="en-US" w:eastAsia="zh-CN"/>
        </w:rPr>
        <w:t>改造，</w:t>
      </w:r>
      <w:r>
        <w:rPr>
          <w:rFonts w:hint="default"/>
          <w:lang w:val="en-US" w:eastAsia="zh-CN"/>
        </w:rPr>
        <w:t>推进新型信息基础设施建设，统筹布局通信网络基础设施，推动信息技术与传统基础设施数字化深度融合。加快红海湾绿色制造产业园、汕尾高新区、海丰产业园区天星湖片区等一批</w:t>
      </w:r>
      <w:r>
        <w:rPr>
          <w:rFonts w:hint="eastAsia"/>
          <w:lang w:val="en-US" w:eastAsia="zh-CN"/>
        </w:rPr>
        <w:t>园区</w:t>
      </w:r>
      <w:r>
        <w:rPr>
          <w:rFonts w:hint="default"/>
          <w:lang w:val="en-US" w:eastAsia="zh-CN"/>
        </w:rPr>
        <w:t>重大基础设施项目建设。</w:t>
      </w:r>
    </w:p>
    <w:p>
      <w:pPr>
        <w:bidi w:val="0"/>
        <w:rPr>
          <w:rFonts w:hint="default"/>
          <w:lang w:val="en-US" w:eastAsia="zh-CN"/>
        </w:rPr>
      </w:pPr>
      <w:r>
        <w:rPr>
          <w:rFonts w:hint="default"/>
          <w:lang w:val="en-US" w:eastAsia="zh-CN"/>
        </w:rPr>
        <w:t>强化科技教育人才保障。聚焦重点产业发展需求，精准引进高层次急需紧缺人</w:t>
      </w:r>
      <w:r>
        <w:rPr>
          <w:rFonts w:hint="default"/>
          <w:b w:val="0"/>
          <w:bCs w:val="0"/>
          <w:color w:val="000000" w:themeColor="text1"/>
          <w:lang w:val="en-US" w:eastAsia="zh-CN"/>
          <w14:textFill>
            <w14:solidFill>
              <w14:schemeClr w14:val="tx1"/>
            </w14:solidFill>
          </w14:textFill>
        </w:rPr>
        <w:t>才，系统培育本土科技与技能人才</w:t>
      </w:r>
      <w:r>
        <w:rPr>
          <w:rFonts w:hint="eastAsia"/>
          <w:b w:val="0"/>
          <w:bCs w:val="0"/>
          <w:color w:val="000000" w:themeColor="text1"/>
          <w:lang w:val="en-US" w:eastAsia="zh-CN"/>
          <w14:textFill>
            <w14:solidFill>
              <w14:schemeClr w14:val="tx1"/>
            </w14:solidFill>
          </w14:textFill>
        </w:rPr>
        <w:t>，</w:t>
      </w:r>
      <w:r>
        <w:rPr>
          <w:rFonts w:hint="default"/>
          <w:b w:val="0"/>
          <w:bCs w:val="0"/>
          <w:color w:val="000000" w:themeColor="text1"/>
          <w:lang w:val="en-US" w:eastAsia="zh-CN"/>
          <w14:textFill>
            <w14:solidFill>
              <w14:schemeClr w14:val="tx1"/>
            </w14:solidFill>
          </w14:textFill>
        </w:rPr>
        <w:t>持续优化创新创业环境，吸引优秀大学毕业生回乡创新创业</w:t>
      </w:r>
      <w:r>
        <w:rPr>
          <w:rFonts w:hint="eastAsia"/>
          <w:b w:val="0"/>
          <w:bCs w:val="0"/>
          <w:color w:val="000000" w:themeColor="text1"/>
          <w:lang w:val="en-US" w:eastAsia="zh-CN"/>
          <w14:textFill>
            <w14:solidFill>
              <w14:schemeClr w14:val="tx1"/>
            </w14:solidFill>
          </w14:textFill>
        </w:rPr>
        <w:t>。</w:t>
      </w:r>
      <w:r>
        <w:rPr>
          <w:rFonts w:hint="default"/>
          <w:b w:val="0"/>
          <w:bCs w:val="0"/>
          <w:color w:val="000000" w:themeColor="text1"/>
          <w:lang w:val="en-US" w:eastAsia="zh-CN"/>
          <w14:textFill>
            <w14:solidFill>
              <w14:schemeClr w14:val="tx1"/>
            </w14:solidFill>
          </w14:textFill>
        </w:rPr>
        <w:t>深</w:t>
      </w:r>
      <w:r>
        <w:rPr>
          <w:rFonts w:hint="eastAsia"/>
          <w:b w:val="0"/>
          <w:bCs w:val="0"/>
          <w:color w:val="000000" w:themeColor="text1"/>
          <w:lang w:val="en-US" w:eastAsia="zh-CN"/>
          <w14:textFill>
            <w14:solidFill>
              <w14:schemeClr w14:val="tx1"/>
            </w14:solidFill>
          </w14:textFill>
        </w:rPr>
        <w:t>化</w:t>
      </w:r>
      <w:r>
        <w:rPr>
          <w:rFonts w:hint="default"/>
          <w:b w:val="0"/>
          <w:bCs w:val="0"/>
          <w:color w:val="000000" w:themeColor="text1"/>
          <w:lang w:val="en-US" w:eastAsia="zh-CN"/>
          <w14:textFill>
            <w14:solidFill>
              <w14:schemeClr w14:val="tx1"/>
            </w14:solidFill>
          </w14:textFill>
        </w:rPr>
        <w:t>园区企业与本地院校深度对接，开展人才定向交流合作，探</w:t>
      </w:r>
      <w:r>
        <w:rPr>
          <w:rFonts w:hint="default"/>
          <w:lang w:val="en-US" w:eastAsia="zh-CN"/>
        </w:rPr>
        <w:t>索开设产业对口专业及岗位直通班，精准补齐企业用工缺口</w:t>
      </w:r>
      <w:r>
        <w:rPr>
          <w:rFonts w:hint="eastAsia"/>
          <w:lang w:val="en-US" w:eastAsia="zh-CN"/>
        </w:rPr>
        <w:t>，夯实园区产业人才支撑。</w:t>
      </w:r>
    </w:p>
    <w:p>
      <w:pPr>
        <w:bidi w:val="0"/>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lang w:val="en-US" w:eastAsia="zh-CN"/>
        </w:rPr>
        <w:t>完善公共生活服务保障。统筹园区生活服务设施一体化建设，有序配</w:t>
      </w:r>
      <w:r>
        <w:rPr>
          <w:rFonts w:hint="default"/>
          <w:b w:val="0"/>
          <w:bCs w:val="0"/>
          <w:color w:val="000000" w:themeColor="text1"/>
          <w:lang w:val="en-US" w:eastAsia="zh-CN"/>
          <w14:textFill>
            <w14:solidFill>
              <w14:schemeClr w14:val="tx1"/>
            </w14:solidFill>
          </w14:textFill>
        </w:rPr>
        <w:t>建人才公寓、</w:t>
      </w:r>
      <w:r>
        <w:rPr>
          <w:rFonts w:hint="eastAsia"/>
          <w:b w:val="0"/>
          <w:bCs w:val="0"/>
          <w:color w:val="000000" w:themeColor="text1"/>
          <w:lang w:val="en-US" w:eastAsia="zh-CN"/>
          <w14:textFill>
            <w14:solidFill>
              <w14:schemeClr w14:val="tx1"/>
            </w14:solidFill>
          </w14:textFill>
        </w:rPr>
        <w:t>企业</w:t>
      </w:r>
      <w:r>
        <w:rPr>
          <w:rFonts w:hint="default"/>
          <w:b w:val="0"/>
          <w:bCs w:val="0"/>
          <w:color w:val="000000" w:themeColor="text1"/>
          <w:lang w:val="en-US" w:eastAsia="zh-CN"/>
          <w14:textFill>
            <w14:solidFill>
              <w14:schemeClr w14:val="tx1"/>
            </w14:solidFill>
          </w14:textFill>
        </w:rPr>
        <w:t>员工宿舍，畅通园区职工子女就学、就近就医渠道</w:t>
      </w:r>
      <w:r>
        <w:rPr>
          <w:rFonts w:hint="eastAsia"/>
          <w:b w:val="0"/>
          <w:bCs w:val="0"/>
          <w:color w:val="000000" w:themeColor="text1"/>
          <w:lang w:val="en-US" w:eastAsia="zh-CN"/>
          <w14:textFill>
            <w14:solidFill>
              <w14:schemeClr w14:val="tx1"/>
            </w14:solidFill>
          </w14:textFill>
        </w:rPr>
        <w:t>，补齐商贸、文体等便民配套短板，打造业态丰富、层级完善的园区宜居服务体系</w:t>
      </w:r>
      <w:r>
        <w:rPr>
          <w:rFonts w:hint="eastAsia" w:ascii="仿宋_GB2312" w:hAnsi="仿宋_GB2312" w:eastAsia="仿宋_GB2312" w:cs="仿宋_GB2312"/>
          <w:b w:val="0"/>
          <w:bCs w:val="0"/>
          <w:color w:val="000000" w:themeColor="text1"/>
          <w:szCs w:val="32"/>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outlineLvl w:val="2"/>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bookmarkStart w:id="335" w:name="_Toc454"/>
      <w:bookmarkStart w:id="336" w:name="_Toc2617"/>
      <w:r>
        <w:rPr>
          <w:rFonts w:hint="default" w:ascii="Times New Roman" w:hAnsi="Times New Roman" w:cs="Times New Roman"/>
          <w:b/>
          <w:bCs/>
          <w:color w:val="000000" w:themeColor="text1"/>
          <w:sz w:val="32"/>
          <w:szCs w:val="32"/>
          <w:lang w:val="en-US" w:eastAsia="zh-CN"/>
          <w14:textFill>
            <w14:solidFill>
              <w14:schemeClr w14:val="tx1"/>
            </w14:solidFill>
          </w14:textFill>
        </w:rPr>
        <w:t>13</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.创新园区运营管理模式，提升园区运营效能</w:t>
      </w:r>
      <w:bookmarkEnd w:id="335"/>
      <w:bookmarkEnd w:id="336"/>
    </w:p>
    <w:p>
      <w:pPr>
        <w:bidi w:val="0"/>
        <w:rPr>
          <w:rFonts w:hint="default"/>
          <w:lang w:val="en-US" w:eastAsia="zh-CN"/>
        </w:rPr>
      </w:pPr>
      <w:r>
        <w:rPr>
          <w:rFonts w:hint="eastAsia"/>
          <w:b w:val="0"/>
          <w:bCs w:val="0"/>
          <w:color w:val="000000" w:themeColor="text1"/>
          <w:lang w:val="en-US" w:eastAsia="zh-CN"/>
          <w14:textFill>
            <w14:solidFill>
              <w14:schemeClr w14:val="tx1"/>
            </w14:solidFill>
          </w14:textFill>
        </w:rPr>
        <w:t>强化市级统筹。建立由市主要领导任组长的市级园区统筹发展领导小组，统筹全市园区规划、项目布局、指标调配工作，由相</w:t>
      </w:r>
      <w:r>
        <w:rPr>
          <w:rFonts w:hint="eastAsia"/>
          <w:lang w:val="en-US" w:eastAsia="zh-CN"/>
        </w:rPr>
        <w:t>关职能部门、各县（市、区）及园区管委会主要负责人组成领导小组，强化市级顶层设计与跨区域、跨部门统筹协调，统筹审定全市园区发展规划、布局重大产业项目、推进跨区域基础设施建设、调配市级土地与能耗指标等，从源头规避园区同质化竞争与重复建设，凝聚全市园区发展“一盘棋”工作合力。</w:t>
      </w:r>
    </w:p>
    <w:p>
      <w:pPr>
        <w:bidi w:val="0"/>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lang w:val="en-US" w:eastAsia="zh-CN"/>
        </w:rPr>
        <w:t>建立优质企业跟踪服务机制。构建园区企业评价与分类数据库，实现企业运行动态监测</w:t>
      </w:r>
      <w:r>
        <w:t>、精准画像、分类管控</w:t>
      </w:r>
      <w:r>
        <w:rPr>
          <w:rFonts w:hint="default"/>
          <w:lang w:val="en-US" w:eastAsia="zh-CN"/>
        </w:rPr>
        <w:t>，为精准化施策提供数据</w:t>
      </w:r>
      <w:r>
        <w:rPr>
          <w:rFonts w:hint="default" w:ascii="Times New Roman" w:hAnsi="Times New Roman" w:cs="Times New Roman"/>
          <w:b w:val="0"/>
          <w:bCs w:val="0"/>
          <w:color w:val="000000" w:themeColor="text1"/>
          <w:lang w:val="en-US" w:eastAsia="zh-CN"/>
          <w14:textFill>
            <w14:solidFill>
              <w14:schemeClr w14:val="tx1"/>
            </w14:solidFill>
          </w14:textFill>
        </w:rPr>
        <w:t>支撑。推行</w:t>
      </w:r>
      <w:r>
        <w:rPr>
          <w:rFonts w:hint="eastAsia"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一企一策</w:t>
      </w:r>
      <w:r>
        <w:rPr>
          <w:rFonts w:hint="eastAsia"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精准帮扶，落实高新技术企业认定奖励、研发费用</w:t>
      </w:r>
      <w:r>
        <w:rPr>
          <w:rFonts w:hint="default"/>
          <w:b w:val="0"/>
          <w:bCs w:val="0"/>
          <w:color w:val="000000" w:themeColor="text1"/>
          <w:lang w:val="en-US" w:eastAsia="zh-CN"/>
          <w14:textFill>
            <w14:solidFill>
              <w14:schemeClr w14:val="tx1"/>
            </w14:solidFill>
          </w14:textFill>
        </w:rPr>
        <w:t>加计扣除辅导、知识产权质押融资、出口信用保险补贴等政策举措，切实降低企业综合运营成本。组建园区专属服务专班，常态化上门走访、主动对接企业，提供政策宣讲、资质预审、材料申报等全流程代办服务；畅通企业常态化诉求反馈处置通道，高效协调化解各类跨部门经营难题。</w:t>
      </w:r>
    </w:p>
    <w:p>
      <w:pPr>
        <w:pStyle w:val="4"/>
        <w:keepNext/>
        <w:adjustRightInd w:val="0"/>
        <w:snapToGrid w:val="0"/>
        <w:ind w:firstLine="640"/>
        <w:rPr>
          <w:rFonts w:hint="eastAsia" w:ascii="Times New Roman" w:hAnsi="Times New Roman" w:cs="Times New Roman"/>
          <w:b w:val="0"/>
          <w:bCs/>
          <w:color w:val="000000" w:themeColor="text1"/>
          <w:lang w:val="en-US" w:eastAsia="zh-CN"/>
          <w14:textFill>
            <w14:solidFill>
              <w14:schemeClr w14:val="tx1"/>
            </w14:solidFill>
          </w14:textFill>
        </w:rPr>
      </w:pPr>
      <w:bookmarkStart w:id="337" w:name="_Toc11400"/>
      <w:bookmarkStart w:id="338" w:name="_Toc23296"/>
      <w:r>
        <w:rPr>
          <w:rFonts w:hint="eastAsia" w:cs="Times New Roman"/>
          <w:b w:val="0"/>
          <w:bCs/>
          <w:color w:val="000000" w:themeColor="text1"/>
          <w:lang w:val="en-US" w:eastAsia="zh-CN"/>
          <w14:textFill>
            <w14:solidFill>
              <w14:schemeClr w14:val="tx1"/>
            </w14:solidFill>
          </w14:textFill>
        </w:rPr>
        <w:t>（七）实施</w:t>
      </w:r>
      <w:r>
        <w:rPr>
          <w:rFonts w:hint="eastAsia" w:ascii="Times New Roman" w:hAnsi="Times New Roman" w:cs="Times New Roman"/>
          <w:b w:val="0"/>
          <w:bCs/>
          <w:color w:val="000000" w:themeColor="text1"/>
          <w:lang w:val="en-US" w:eastAsia="zh-CN"/>
          <w14:textFill>
            <w14:solidFill>
              <w14:schemeClr w14:val="tx1"/>
            </w14:solidFill>
          </w14:textFill>
        </w:rPr>
        <w:t>绿色转型，</w:t>
      </w:r>
      <w:r>
        <w:rPr>
          <w:rFonts w:hint="eastAsia" w:cs="Times New Roman"/>
          <w:b w:val="0"/>
          <w:bCs/>
          <w:color w:val="000000" w:themeColor="text1"/>
          <w:lang w:val="en-US" w:eastAsia="zh-CN"/>
          <w14:textFill>
            <w14:solidFill>
              <w14:schemeClr w14:val="tx1"/>
            </w14:solidFill>
          </w14:textFill>
        </w:rPr>
        <w:t>推进</w:t>
      </w:r>
      <w:r>
        <w:rPr>
          <w:rFonts w:hint="eastAsia" w:ascii="Times New Roman" w:hAnsi="Times New Roman" w:cs="Times New Roman"/>
          <w:b w:val="0"/>
          <w:bCs/>
          <w:color w:val="000000" w:themeColor="text1"/>
          <w:lang w:val="en-US" w:eastAsia="zh-CN"/>
          <w14:textFill>
            <w14:solidFill>
              <w14:schemeClr w14:val="tx1"/>
            </w14:solidFill>
          </w14:textFill>
        </w:rPr>
        <w:t>产业</w:t>
      </w:r>
      <w:r>
        <w:rPr>
          <w:rFonts w:hint="eastAsia" w:cs="Times New Roman"/>
          <w:b w:val="0"/>
          <w:bCs/>
          <w:color w:val="000000" w:themeColor="text1"/>
          <w:lang w:val="en-US" w:eastAsia="zh-CN"/>
          <w14:textFill>
            <w14:solidFill>
              <w14:schemeClr w14:val="tx1"/>
            </w14:solidFill>
          </w14:textFill>
        </w:rPr>
        <w:t>绿色</w:t>
      </w:r>
      <w:r>
        <w:rPr>
          <w:rFonts w:hint="eastAsia" w:ascii="Times New Roman" w:hAnsi="Times New Roman" w:cs="Times New Roman"/>
          <w:b w:val="0"/>
          <w:bCs/>
          <w:color w:val="000000" w:themeColor="text1"/>
          <w:lang w:val="en-US" w:eastAsia="zh-CN"/>
          <w14:textFill>
            <w14:solidFill>
              <w14:schemeClr w14:val="tx1"/>
            </w14:solidFill>
          </w14:textFill>
        </w:rPr>
        <w:t>发展</w:t>
      </w:r>
      <w:bookmarkEnd w:id="337"/>
      <w:bookmarkEnd w:id="338"/>
    </w:p>
    <w:p>
      <w:pPr>
        <w:keepNext w:val="0"/>
        <w:keepLines w:val="0"/>
        <w:pageBreakBefore w:val="0"/>
        <w:widowControl/>
        <w:tabs>
          <w:tab w:val="left" w:pos="5440"/>
        </w:tabs>
        <w:kinsoku/>
        <w:wordWrap/>
        <w:overflowPunct/>
        <w:topLinePunct w:val="0"/>
        <w:autoSpaceDE/>
        <w:autoSpaceDN/>
        <w:bidi w:val="0"/>
        <w:adjustRightInd/>
        <w:snapToGrid/>
        <w:spacing w:line="560" w:lineRule="exact"/>
        <w:ind w:firstLine="642" w:firstLineChars="200"/>
        <w:textAlignment w:val="auto"/>
        <w:outlineLvl w:val="2"/>
        <w:rPr>
          <w:rFonts w:hint="eastAsia" w:ascii="Times New Roman" w:hAnsi="Times New Roman" w:cs="Times New Roman"/>
          <w:b/>
          <w:bCs/>
          <w:color w:val="000000" w:themeColor="text1"/>
          <w14:textFill>
            <w14:solidFill>
              <w14:schemeClr w14:val="tx1"/>
            </w14:solidFill>
          </w14:textFill>
        </w:rPr>
      </w:pPr>
      <w:bookmarkStart w:id="339" w:name="_Toc6100"/>
      <w:bookmarkStart w:id="340" w:name="_Toc7252"/>
      <w:r>
        <w:rPr>
          <w:rFonts w:hint="eastAsia" w:cs="Times New Roman"/>
          <w:b/>
          <w:bCs/>
          <w:color w:val="000000" w:themeColor="text1"/>
          <w:lang w:val="en-US" w:eastAsia="zh-CN"/>
          <w14:textFill>
            <w14:solidFill>
              <w14:schemeClr w14:val="tx1"/>
            </w14:solidFill>
          </w14:textFill>
        </w:rPr>
        <w:t>14</w:t>
      </w:r>
      <w:r>
        <w:rPr>
          <w:rFonts w:hint="eastAsia" w:ascii="Times New Roman" w:hAnsi="Times New Roman" w:cs="Times New Roman"/>
          <w:b/>
          <w:bCs/>
          <w:color w:val="000000" w:themeColor="text1"/>
          <w14:textFill>
            <w14:solidFill>
              <w14:schemeClr w14:val="tx1"/>
            </w14:solidFill>
          </w14:textFill>
        </w:rPr>
        <w:t>.以绿色低碳</w:t>
      </w:r>
      <w:r>
        <w:rPr>
          <w:rFonts w:hint="eastAsia" w:ascii="Times New Roman" w:hAnsi="Times New Roman" w:cs="Times New Roman"/>
          <w:b/>
          <w:bCs/>
          <w:color w:val="000000" w:themeColor="text1"/>
          <w:lang w:val="en-US" w:eastAsia="zh-CN"/>
          <w14:textFill>
            <w14:solidFill>
              <w14:schemeClr w14:val="tx1"/>
            </w14:solidFill>
          </w14:textFill>
        </w:rPr>
        <w:t>为导向，</w:t>
      </w:r>
      <w:r>
        <w:rPr>
          <w:rFonts w:hint="eastAsia" w:ascii="Times New Roman" w:hAnsi="Times New Roman" w:cs="Times New Roman"/>
          <w:b/>
          <w:bCs/>
          <w:color w:val="000000" w:themeColor="text1"/>
          <w14:textFill>
            <w14:solidFill>
              <w14:schemeClr w14:val="tx1"/>
            </w14:solidFill>
          </w14:textFill>
        </w:rPr>
        <w:t>探索</w:t>
      </w:r>
      <w:r>
        <w:rPr>
          <w:rFonts w:hint="eastAsia" w:ascii="Times New Roman" w:hAnsi="Times New Roman" w:cs="Times New Roman"/>
          <w:b/>
          <w:bCs/>
          <w:color w:val="000000" w:themeColor="text1"/>
          <w:lang w:val="en-US" w:eastAsia="zh-CN"/>
          <w14:textFill>
            <w14:solidFill>
              <w14:schemeClr w14:val="tx1"/>
            </w14:solidFill>
          </w14:textFill>
        </w:rPr>
        <w:t>产业</w:t>
      </w:r>
      <w:r>
        <w:rPr>
          <w:rFonts w:hint="eastAsia" w:ascii="Times New Roman" w:hAnsi="Times New Roman" w:cs="Times New Roman"/>
          <w:b/>
          <w:bCs/>
          <w:color w:val="000000" w:themeColor="text1"/>
          <w14:textFill>
            <w14:solidFill>
              <w14:schemeClr w14:val="tx1"/>
            </w14:solidFill>
          </w14:textFill>
        </w:rPr>
        <w:t>零碳</w:t>
      </w:r>
      <w:r>
        <w:rPr>
          <w:rFonts w:hint="eastAsia" w:ascii="Times New Roman" w:hAnsi="Times New Roman" w:cs="Times New Roman"/>
          <w:b/>
          <w:bCs/>
          <w:color w:val="000000" w:themeColor="text1"/>
          <w:lang w:val="en-US" w:eastAsia="zh-CN"/>
          <w14:textFill>
            <w14:solidFill>
              <w14:schemeClr w14:val="tx1"/>
            </w14:solidFill>
          </w14:textFill>
        </w:rPr>
        <w:t>发展</w:t>
      </w:r>
      <w:r>
        <w:rPr>
          <w:rFonts w:hint="eastAsia" w:ascii="Times New Roman" w:hAnsi="Times New Roman" w:cs="Times New Roman"/>
          <w:b/>
          <w:bCs/>
          <w:color w:val="000000" w:themeColor="text1"/>
          <w14:textFill>
            <w14:solidFill>
              <w14:schemeClr w14:val="tx1"/>
            </w14:solidFill>
          </w14:textFill>
        </w:rPr>
        <w:t>路径</w:t>
      </w:r>
      <w:bookmarkEnd w:id="339"/>
      <w:bookmarkEnd w:id="340"/>
    </w:p>
    <w:p>
      <w:pPr>
        <w:bidi w:val="0"/>
        <w:rPr>
          <w:rFonts w:hint="eastAsia"/>
        </w:rPr>
      </w:pPr>
      <w:r>
        <w:rPr>
          <w:rFonts w:hint="eastAsia"/>
          <w:color w:val="000000" w:themeColor="text1"/>
          <w14:textFill>
            <w14:solidFill>
              <w14:schemeClr w14:val="tx1"/>
            </w14:solidFill>
          </w14:textFill>
        </w:rPr>
        <w:t>推动重点</w:t>
      </w:r>
      <w:r>
        <w:rPr>
          <w:rFonts w:hint="eastAsia"/>
          <w:color w:val="000000" w:themeColor="text1"/>
          <w:lang w:val="en-US" w:eastAsia="zh-CN"/>
          <w14:textFill>
            <w14:solidFill>
              <w14:schemeClr w14:val="tx1"/>
            </w14:solidFill>
          </w14:textFill>
        </w:rPr>
        <w:t>产业</w:t>
      </w:r>
      <w:r>
        <w:rPr>
          <w:rFonts w:hint="eastAsia"/>
          <w:color w:val="000000" w:themeColor="text1"/>
          <w14:textFill>
            <w14:solidFill>
              <w14:schemeClr w14:val="tx1"/>
            </w14:solidFill>
          </w14:textFill>
        </w:rPr>
        <w:t>节能降碳。依托“风光水火核储”清洁能源产业基底</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搭建</w:t>
      </w:r>
      <w:r>
        <w:rPr>
          <w:rFonts w:hint="eastAsia"/>
          <w:color w:val="000000" w:themeColor="text1"/>
          <w14:textFill>
            <w14:solidFill>
              <w14:schemeClr w14:val="tx1"/>
            </w14:solidFill>
          </w14:textFill>
        </w:rPr>
        <w:t>“源网荷储”一体化绿色供电网络，推动辖区工业企业接入本地绿电</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积极引导龙头企业创建绿色工厂、培育</w:t>
      </w:r>
      <w:r>
        <w:rPr>
          <w:rFonts w:hint="eastAsia"/>
          <w:lang w:val="en-US" w:eastAsia="zh-CN"/>
        </w:rPr>
        <w:t>绿色供应链，示范带动行业整体向低碳化、绿色化转型。引导新一代电子信息企业推广低功耗芯片、绿色封装工艺，高端装备产业研发节能型核心部件与生产设备智能化改造，新材料行业发展低碳环保型材料，新能源汽车行业完善动力电池生产的全流程低碳管控。</w:t>
      </w:r>
    </w:p>
    <w:p>
      <w:pPr>
        <w:bidi w:val="0"/>
        <w:rPr>
          <w:color w:val="000000" w:themeColor="text1"/>
          <w14:textFill>
            <w14:solidFill>
              <w14:schemeClr w14:val="tx1"/>
            </w14:solidFill>
          </w14:textFill>
        </w:rPr>
      </w:pPr>
      <w:r>
        <w:rPr>
          <w:rFonts w:hint="eastAsia"/>
        </w:rPr>
        <w:t>完善循环经济</w:t>
      </w:r>
      <w:r>
        <w:rPr>
          <w:rFonts w:hint="eastAsia"/>
          <w:lang w:val="en-US" w:eastAsia="zh-CN"/>
        </w:rPr>
        <w:t>产业链</w:t>
      </w:r>
      <w:r>
        <w:rPr>
          <w:rFonts w:hint="eastAsia"/>
        </w:rPr>
        <w:t>。聚焦工业制造业全链条，</w:t>
      </w:r>
      <w:r>
        <w:rPr>
          <w:rFonts w:hint="eastAsia"/>
          <w:lang w:val="en-US" w:eastAsia="zh-CN"/>
        </w:rPr>
        <w:t>强化细分领域特色资源循环利用，推动退役动力电池、老旧风电叶片、海工装备废钢、珠宝加工废料等大宗及特色固废规范化回收、无害化处置与资源化再生利用。夯实循环经济技术工艺支撑，推广应用湿法冶金、物理分选、固废精深加工等先进适用技术，提升有价资源回收转化率和综合利用水平。</w:t>
      </w:r>
      <w:r>
        <w:rPr>
          <w:rFonts w:hint="eastAsia"/>
        </w:rPr>
        <w:t>探索</w:t>
      </w:r>
      <w:r>
        <w:rPr>
          <w:rFonts w:hint="eastAsia"/>
          <w:lang w:val="en-US" w:eastAsia="zh-CN"/>
        </w:rPr>
        <w:t>搭建</w:t>
      </w:r>
      <w:r>
        <w:rPr>
          <w:rFonts w:hint="eastAsia"/>
        </w:rPr>
        <w:t>工业循环</w:t>
      </w:r>
      <w:r>
        <w:rPr>
          <w:rFonts w:hint="eastAsia"/>
          <w:lang w:val="en-US" w:eastAsia="zh-CN"/>
        </w:rPr>
        <w:t>公共</w:t>
      </w:r>
      <w:r>
        <w:rPr>
          <w:rFonts w:hint="eastAsia"/>
        </w:rPr>
        <w:t>服务平台，整合产废</w:t>
      </w:r>
      <w:r>
        <w:rPr>
          <w:rFonts w:hint="eastAsia"/>
          <w:lang w:val="en-US" w:eastAsia="zh-CN"/>
        </w:rPr>
        <w:t>与</w:t>
      </w:r>
      <w:r>
        <w:rPr>
          <w:rFonts w:hint="eastAsia"/>
        </w:rPr>
        <w:t>再生利用主体资源</w:t>
      </w:r>
      <w:r>
        <w:rPr>
          <w:rFonts w:hint="eastAsia"/>
          <w:lang w:val="en-US" w:eastAsia="zh-CN"/>
        </w:rPr>
        <w:t>，实现供需精准对接</w:t>
      </w:r>
      <w:r>
        <w:rPr>
          <w:rFonts w:hint="eastAsia" w:ascii="Times New Roman" w:hAnsi="Times New Roman" w:cs="Times New Roman"/>
          <w:bCs/>
          <w:color w:val="000000" w:themeColor="text1"/>
          <w:lang w:val="en-US" w:eastAsia="zh-CN"/>
          <w14:textFill>
            <w14:solidFill>
              <w14:schemeClr w14:val="tx1"/>
            </w14:solidFill>
          </w14:textFill>
        </w:rPr>
        <w:t>与要素高效</w:t>
      </w:r>
      <w:r>
        <w:rPr>
          <w:rFonts w:hint="eastAsia"/>
          <w:color w:val="000000" w:themeColor="text1"/>
          <w:lang w:val="en-US" w:eastAsia="zh-CN"/>
          <w14:textFill>
            <w14:solidFill>
              <w14:schemeClr w14:val="tx1"/>
            </w14:solidFill>
          </w14:textFill>
        </w:rPr>
        <w:t>配置，加快形成闭环式、规模化、高值化的循环经济发展格局</w:t>
      </w:r>
      <w:r>
        <w:rPr>
          <w:rFonts w:hint="eastAsia"/>
          <w:color w:val="000000" w:themeColor="text1"/>
          <w14:textFill>
            <w14:solidFill>
              <w14:schemeClr w14:val="tx1"/>
            </w14:solidFill>
          </w14:textFill>
        </w:rPr>
        <w:t>。</w:t>
      </w:r>
    </w:p>
    <w:p>
      <w:pPr>
        <w:keepNext w:val="0"/>
        <w:keepLines w:val="0"/>
        <w:pageBreakBefore w:val="0"/>
        <w:widowControl/>
        <w:tabs>
          <w:tab w:val="left" w:pos="5440"/>
        </w:tabs>
        <w:kinsoku/>
        <w:wordWrap/>
        <w:overflowPunct/>
        <w:topLinePunct w:val="0"/>
        <w:autoSpaceDE/>
        <w:autoSpaceDN/>
        <w:bidi w:val="0"/>
        <w:adjustRightInd/>
        <w:snapToGrid/>
        <w:spacing w:line="560" w:lineRule="exact"/>
        <w:ind w:firstLine="642" w:firstLineChars="200"/>
        <w:textAlignment w:val="auto"/>
        <w:outlineLvl w:val="2"/>
        <w:rPr>
          <w:rFonts w:hint="eastAsia" w:ascii="Times New Roman" w:hAnsi="Times New Roman" w:cs="Times New Roman"/>
          <w:b/>
          <w:bCs/>
          <w:color w:val="000000" w:themeColor="text1"/>
          <w:lang w:val="en-US" w:eastAsia="zh-CN"/>
          <w14:textFill>
            <w14:solidFill>
              <w14:schemeClr w14:val="tx1"/>
            </w14:solidFill>
          </w14:textFill>
        </w:rPr>
      </w:pPr>
      <w:bookmarkStart w:id="341" w:name="_Toc28069"/>
      <w:bookmarkStart w:id="342" w:name="_Toc31305"/>
      <w:r>
        <w:rPr>
          <w:rFonts w:hint="eastAsia"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5</w:t>
      </w:r>
      <w:r>
        <w:rPr>
          <w:rFonts w:hint="eastAsia" w:ascii="Times New Roman" w:hAnsi="Times New Roman" w:cs="Times New Roman"/>
          <w:b/>
          <w:bCs/>
          <w:color w:val="000000" w:themeColor="text1"/>
          <w:lang w:val="en-US" w:eastAsia="zh-CN"/>
          <w14:textFill>
            <w14:solidFill>
              <w14:schemeClr w14:val="tx1"/>
            </w14:solidFill>
          </w14:textFill>
        </w:rPr>
        <w:t>.深化园区绿色低碳转型，夯实制造业高质量绿色发展支撑</w:t>
      </w:r>
      <w:bookmarkEnd w:id="341"/>
      <w:bookmarkEnd w:id="342"/>
    </w:p>
    <w:p>
      <w:pPr>
        <w:bidi w:val="0"/>
        <w:rPr>
          <w:rFonts w:hint="eastAsia"/>
        </w:rPr>
      </w:pPr>
      <w:r>
        <w:rPr>
          <w:rFonts w:hint="eastAsia"/>
          <w:color w:val="000000" w:themeColor="text1"/>
          <w14:textFill>
            <w14:solidFill>
              <w14:schemeClr w14:val="tx1"/>
            </w14:solidFill>
          </w14:textFill>
        </w:rPr>
        <w:t>推动绿色低</w:t>
      </w:r>
      <w:r>
        <w:rPr>
          <w:rFonts w:hint="eastAsia"/>
        </w:rPr>
        <w:t>碳循环发展。健全资源节约集约利用管控机制，从严落实能源、水资源、建设用地总量与强度双控管理。完善清洁生产正向激励政策，分步实施园区循环化改造工程，加快推动重点园区创建省级绿色升级示范工业园区，打造资源集约、低碳循环的标准化绿色产业载体。</w:t>
      </w:r>
      <w:r>
        <w:rPr>
          <w:rFonts w:hint="eastAsia"/>
          <w:lang w:val="en-US" w:eastAsia="zh-CN"/>
        </w:rPr>
        <w:t>探索搭建</w:t>
      </w:r>
      <w:r>
        <w:rPr>
          <w:rFonts w:hint="eastAsia"/>
        </w:rPr>
        <w:t>园区工业资源梯级利用共享平台</w:t>
      </w:r>
      <w:r>
        <w:t>，</w:t>
      </w:r>
      <w:r>
        <w:rPr>
          <w:rFonts w:hint="eastAsia"/>
        </w:rPr>
        <w:t>鼓励龙头企业开放余热、余压、边角料等资源，推动企业间资源梯级利用，</w:t>
      </w:r>
      <w:r>
        <w:rPr>
          <w:rFonts w:hint="eastAsia"/>
          <w:lang w:val="en-US" w:eastAsia="zh-CN"/>
        </w:rPr>
        <w:t>构建</w:t>
      </w:r>
      <w:r>
        <w:rPr>
          <w:rFonts w:hint="eastAsia"/>
        </w:rPr>
        <w:t>“上游废料</w:t>
      </w:r>
      <w:r>
        <w:rPr>
          <w:rFonts w:hint="eastAsia"/>
          <w:lang w:eastAsia="zh-CN"/>
        </w:rPr>
        <w:t>、</w:t>
      </w:r>
      <w:r>
        <w:rPr>
          <w:rFonts w:hint="eastAsia"/>
        </w:rPr>
        <w:t>下游原料”的</w:t>
      </w:r>
      <w:r>
        <w:rPr>
          <w:rFonts w:hint="eastAsia"/>
          <w:lang w:val="en-US" w:eastAsia="zh-CN"/>
        </w:rPr>
        <w:t>循环体系</w:t>
      </w:r>
      <w:r>
        <w:rPr>
          <w:rFonts w:hint="eastAsia"/>
          <w:lang w:eastAsia="zh-CN"/>
        </w:rPr>
        <w:t>。</w:t>
      </w:r>
    </w:p>
    <w:p>
      <w:pPr>
        <w:bidi w:val="0"/>
        <w:rPr>
          <w:rFonts w:hint="eastAsia"/>
          <w:color w:val="000000" w:themeColor="text1"/>
          <w14:textFill>
            <w14:solidFill>
              <w14:schemeClr w14:val="tx1"/>
            </w14:solidFill>
          </w14:textFill>
        </w:rPr>
      </w:pPr>
      <w:r>
        <w:rPr>
          <w:rFonts w:hint="eastAsia"/>
        </w:rPr>
        <w:t>强化</w:t>
      </w:r>
      <w:r>
        <w:rPr>
          <w:rFonts w:hint="eastAsia"/>
          <w:lang w:val="en-US" w:eastAsia="zh-CN"/>
        </w:rPr>
        <w:t>生态</w:t>
      </w:r>
      <w:r>
        <w:rPr>
          <w:rFonts w:hint="eastAsia"/>
        </w:rPr>
        <w:t>环境管控。常态化开展园区环境综合整治，落实工程减排增容量，依托工程治理、产业结构优化、日常监管多措并举</w:t>
      </w:r>
      <w:r>
        <w:rPr>
          <w:rFonts w:hint="eastAsia"/>
          <w:lang w:val="en-US" w:eastAsia="zh-CN"/>
        </w:rPr>
        <w:t>，</w:t>
      </w:r>
      <w:r>
        <w:rPr>
          <w:rFonts w:hint="eastAsia"/>
        </w:rPr>
        <w:t>深挖减排潜力</w:t>
      </w:r>
      <w:r>
        <w:rPr>
          <w:rFonts w:hint="eastAsia"/>
          <w:lang w:eastAsia="zh-CN"/>
        </w:rPr>
        <w:t>，</w:t>
      </w:r>
      <w:r>
        <w:rPr>
          <w:rFonts w:hint="eastAsia"/>
        </w:rPr>
        <w:t>拓宽环境容量，统筹</w:t>
      </w:r>
      <w:r>
        <w:rPr>
          <w:rFonts w:hint="eastAsia"/>
          <w:lang w:val="en-US" w:eastAsia="zh-CN"/>
        </w:rPr>
        <w:t>推进</w:t>
      </w:r>
      <w:r>
        <w:rPr>
          <w:rFonts w:hint="eastAsia"/>
        </w:rPr>
        <w:t>产业扩容与生态保护协同发展。</w:t>
      </w:r>
      <w:r>
        <w:rPr>
          <w:rFonts w:hint="eastAsia"/>
          <w:lang w:val="en-US" w:eastAsia="zh-CN"/>
        </w:rPr>
        <w:t>规范</w:t>
      </w:r>
      <w:r>
        <w:rPr>
          <w:rFonts w:hint="eastAsia"/>
        </w:rPr>
        <w:t>园区</w:t>
      </w:r>
      <w:r>
        <w:rPr>
          <w:rFonts w:hint="eastAsia"/>
          <w:lang w:val="en-US" w:eastAsia="zh-CN"/>
        </w:rPr>
        <w:t>新</w:t>
      </w:r>
      <w:r>
        <w:rPr>
          <w:rFonts w:hint="eastAsia"/>
        </w:rPr>
        <w:t>建设项目环评审批</w:t>
      </w:r>
      <w:r>
        <w:rPr>
          <w:rFonts w:hint="eastAsia"/>
          <w:lang w:eastAsia="zh-CN"/>
        </w:rPr>
        <w:t>、</w:t>
      </w:r>
      <w:r>
        <w:rPr>
          <w:rFonts w:hint="eastAsia"/>
        </w:rPr>
        <w:t>排污许可证核发</w:t>
      </w:r>
      <w:r>
        <w:rPr>
          <w:rFonts w:hint="eastAsia"/>
          <w:lang w:val="en-US" w:eastAsia="zh-CN"/>
        </w:rPr>
        <w:t>管理</w:t>
      </w:r>
      <w:r>
        <w:rPr>
          <w:rFonts w:hint="eastAsia"/>
          <w:color w:val="000000" w:themeColor="text1"/>
          <w14:textFill>
            <w14:solidFill>
              <w14:schemeClr w14:val="tx1"/>
            </w14:solidFill>
          </w14:textFill>
        </w:rPr>
        <w:t>，</w:t>
      </w:r>
      <w:r>
        <w:rPr>
          <w:rFonts w:hint="eastAsia" w:ascii="Times New Roman" w:hAnsi="Times New Roman" w:eastAsia="仿宋_GB2312" w:cs="Times New Roman"/>
          <w:color w:val="000000" w:themeColor="text1"/>
          <w:szCs w:val="24"/>
          <w14:textFill>
            <w14:solidFill>
              <w14:schemeClr w14:val="tx1"/>
            </w14:solidFill>
          </w14:textFill>
        </w:rPr>
        <w:t>全面摸排未纳入环境统计的市场主体</w:t>
      </w:r>
      <w:r>
        <w:rPr>
          <w:rFonts w:hint="eastAsia" w:cs="Times New Roman"/>
          <w:color w:val="000000" w:themeColor="text1"/>
          <w:szCs w:val="24"/>
          <w:lang w:eastAsia="zh-CN"/>
          <w14:textFill>
            <w14:solidFill>
              <w14:schemeClr w14:val="tx1"/>
            </w14:solidFill>
          </w14:textFill>
        </w:rPr>
        <w:t>，</w:t>
      </w:r>
      <w:r>
        <w:rPr>
          <w:rFonts w:hint="eastAsia"/>
          <w:color w:val="000000" w:themeColor="text1"/>
          <w14:textFill>
            <w14:solidFill>
              <w14:schemeClr w14:val="tx1"/>
            </w14:solidFill>
          </w14:textFill>
        </w:rPr>
        <w:t>建立</w:t>
      </w:r>
      <w:r>
        <w:rPr>
          <w:rFonts w:hint="eastAsia"/>
          <w:color w:val="000000" w:themeColor="text1"/>
          <w:lang w:val="en-US" w:eastAsia="zh-CN"/>
          <w14:textFill>
            <w14:solidFill>
              <w14:schemeClr w14:val="tx1"/>
            </w14:solidFill>
          </w14:textFill>
        </w:rPr>
        <w:t>企业</w:t>
      </w:r>
      <w:r>
        <w:rPr>
          <w:rFonts w:hint="eastAsia"/>
          <w:color w:val="000000" w:themeColor="text1"/>
          <w14:textFill>
            <w14:solidFill>
              <w14:schemeClr w14:val="tx1"/>
            </w14:solidFill>
          </w14:textFill>
        </w:rPr>
        <w:t>全口径管理</w:t>
      </w:r>
      <w:r>
        <w:rPr>
          <w:rFonts w:hint="eastAsia"/>
          <w:color w:val="000000" w:themeColor="text1"/>
          <w:lang w:val="en-US" w:eastAsia="zh-CN"/>
          <w14:textFill>
            <w14:solidFill>
              <w14:schemeClr w14:val="tx1"/>
            </w14:solidFill>
          </w14:textFill>
        </w:rPr>
        <w:t>台账</w:t>
      </w:r>
      <w:r>
        <w:rPr>
          <w:rFonts w:hint="eastAsia"/>
          <w:color w:val="000000" w:themeColor="text1"/>
          <w14:textFill>
            <w14:solidFill>
              <w14:schemeClr w14:val="tx1"/>
            </w14:solidFill>
          </w14:textFill>
        </w:rPr>
        <w:t>，严厉查处各类环境违法违规行为。强化环境风险危险源常态化</w:t>
      </w:r>
      <w:r>
        <w:rPr>
          <w:rFonts w:hint="eastAsia"/>
          <w:color w:val="000000" w:themeColor="text1"/>
          <w:lang w:val="en-US" w:eastAsia="zh-CN"/>
          <w14:textFill>
            <w14:solidFill>
              <w14:schemeClr w14:val="tx1"/>
            </w14:solidFill>
          </w14:textFill>
        </w:rPr>
        <w:t>在线</w:t>
      </w:r>
      <w:r>
        <w:rPr>
          <w:rFonts w:hint="eastAsia"/>
          <w:color w:val="000000" w:themeColor="text1"/>
          <w14:textFill>
            <w14:solidFill>
              <w14:schemeClr w14:val="tx1"/>
            </w14:solidFill>
          </w14:textFill>
        </w:rPr>
        <w:t>监测，动态完善突发环境事件应急预案体系，</w:t>
      </w:r>
      <w:r>
        <w:rPr>
          <w:rFonts w:hint="eastAsia"/>
          <w:color w:val="000000" w:themeColor="text1"/>
          <w:lang w:val="en-US" w:eastAsia="zh-CN"/>
          <w14:textFill>
            <w14:solidFill>
              <w14:schemeClr w14:val="tx1"/>
            </w14:solidFill>
          </w14:textFill>
        </w:rPr>
        <w:t>持续</w:t>
      </w:r>
      <w:r>
        <w:rPr>
          <w:rFonts w:hint="eastAsia"/>
          <w:color w:val="000000" w:themeColor="text1"/>
          <w14:textFill>
            <w14:solidFill>
              <w14:schemeClr w14:val="tx1"/>
            </w14:solidFill>
          </w14:textFill>
        </w:rPr>
        <w:t>提升应急处置</w:t>
      </w:r>
      <w:r>
        <w:rPr>
          <w:rFonts w:hint="eastAsia"/>
          <w:color w:val="000000" w:themeColor="text1"/>
          <w:lang w:val="en-US" w:eastAsia="zh-CN"/>
          <w14:textFill>
            <w14:solidFill>
              <w14:schemeClr w14:val="tx1"/>
            </w14:solidFill>
          </w14:textFill>
        </w:rPr>
        <w:t>水平</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坚守园区环境安全底线</w:t>
      </w:r>
      <w:r>
        <w:rPr>
          <w:rFonts w:hint="eastAsia"/>
          <w:color w:val="000000" w:themeColor="text1"/>
          <w14:textFill>
            <w14:solidFill>
              <w14:schemeClr w14:val="tx1"/>
            </w14:solidFill>
          </w14:textFill>
        </w:rPr>
        <w:t>。</w:t>
      </w:r>
    </w:p>
    <w:p>
      <w:pPr>
        <w:pStyle w:val="4"/>
        <w:keepNext w:val="0"/>
        <w:keepLines/>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b/>
          <w:bCs w:val="0"/>
          <w:color w:val="000000" w:themeColor="text1"/>
          <w:lang w:val="en-US" w:eastAsia="zh-CN"/>
          <w14:textFill>
            <w14:solidFill>
              <w14:schemeClr w14:val="tx1"/>
            </w14:solidFill>
          </w14:textFill>
        </w:rPr>
      </w:pPr>
      <w:bookmarkStart w:id="343" w:name="_Toc968"/>
      <w:bookmarkStart w:id="344" w:name="_Toc21956"/>
      <w:r>
        <w:rPr>
          <w:rFonts w:hint="eastAsia"/>
          <w:b w:val="0"/>
          <w:bCs/>
          <w:color w:val="000000" w:themeColor="text1"/>
          <w:lang w:val="en-US" w:eastAsia="zh-CN"/>
          <w14:textFill>
            <w14:solidFill>
              <w14:schemeClr w14:val="tx1"/>
            </w14:solidFill>
          </w14:textFill>
        </w:rPr>
        <w:t>（八）</w:t>
      </w:r>
      <w:r>
        <w:rPr>
          <w:rFonts w:hint="eastAsia"/>
          <w:b w:val="0"/>
          <w:bCs/>
          <w:color w:val="000000" w:themeColor="text1"/>
          <w14:textFill>
            <w14:solidFill>
              <w14:schemeClr w14:val="tx1"/>
            </w14:solidFill>
          </w14:textFill>
        </w:rPr>
        <w:t>深化区域协同，拓展开放发展空间</w:t>
      </w:r>
      <w:bookmarkEnd w:id="343"/>
      <w:bookmarkEnd w:id="344"/>
    </w:p>
    <w:p>
      <w:pPr>
        <w:pStyle w:val="5"/>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Times New Roman" w:hAnsi="Times New Roman" w:cs="Times New Roman"/>
          <w:b/>
          <w:bCs w:val="0"/>
          <w:color w:val="000000" w:themeColor="text1"/>
          <w:lang w:val="en-US" w:eastAsia="zh-CN"/>
          <w14:textFill>
            <w14:solidFill>
              <w14:schemeClr w14:val="tx1"/>
            </w14:solidFill>
          </w14:textFill>
        </w:rPr>
      </w:pPr>
      <w:bookmarkStart w:id="345" w:name="_Toc3744"/>
      <w:bookmarkStart w:id="346" w:name="_Toc8609"/>
      <w:r>
        <w:rPr>
          <w:rFonts w:hint="eastAsia"/>
          <w:b/>
          <w:bCs w:val="0"/>
          <w:color w:val="000000" w:themeColor="text1"/>
          <w:lang w:val="en-US" w:eastAsia="zh-CN"/>
          <w14:textFill>
            <w14:solidFill>
              <w14:schemeClr w14:val="tx1"/>
            </w14:solidFill>
          </w14:textFill>
        </w:rPr>
        <w:t>16.</w:t>
      </w:r>
      <w:r>
        <w:rPr>
          <w:rFonts w:hint="eastAsia"/>
          <w:b/>
          <w:bCs w:val="0"/>
          <w:color w:val="000000" w:themeColor="text1"/>
          <w14:textFill>
            <w14:solidFill>
              <w14:schemeClr w14:val="tx1"/>
            </w14:solidFill>
          </w14:textFill>
        </w:rPr>
        <w:t>深度</w:t>
      </w:r>
      <w:r>
        <w:rPr>
          <w:rFonts w:hint="eastAsia"/>
          <w:b/>
          <w:bCs w:val="0"/>
          <w:color w:val="000000" w:themeColor="text1"/>
          <w:lang w:val="en-US" w:eastAsia="zh-CN"/>
          <w14:textFill>
            <w14:solidFill>
              <w14:schemeClr w14:val="tx1"/>
            </w14:solidFill>
          </w14:textFill>
        </w:rPr>
        <w:t>融入</w:t>
      </w:r>
      <w:r>
        <w:rPr>
          <w:rFonts w:hint="eastAsia"/>
          <w:b/>
          <w:bCs w:val="0"/>
          <w:color w:val="000000" w:themeColor="text1"/>
          <w14:textFill>
            <w14:solidFill>
              <w14:schemeClr w14:val="tx1"/>
            </w14:solidFill>
          </w14:textFill>
        </w:rPr>
        <w:t>粤港澳大湾区，</w:t>
      </w:r>
      <w:r>
        <w:rPr>
          <w:rFonts w:hint="eastAsia" w:ascii="Times New Roman" w:hAnsi="Times New Roman" w:cs="Times New Roman"/>
          <w:color w:val="000000" w:themeColor="text1"/>
          <w:lang w:val="en-US" w:eastAsia="zh-CN"/>
          <w14:textFill>
            <w14:solidFill>
              <w14:schemeClr w14:val="tx1"/>
            </w14:solidFill>
          </w14:textFill>
        </w:rPr>
        <w:t>打造粤港澳大湾区产业协同发展承载地</w:t>
      </w:r>
      <w:bookmarkEnd w:id="345"/>
      <w:bookmarkEnd w:id="346"/>
    </w:p>
    <w:p>
      <w:pPr>
        <w:bidi w:val="0"/>
        <w:rPr>
          <w:rFonts w:hint="eastAsia"/>
          <w:lang w:val="en-US" w:eastAsia="zh-CN"/>
        </w:rPr>
      </w:pPr>
      <w:r>
        <w:rPr>
          <w:rFonts w:hint="eastAsia" w:ascii="Times New Roman" w:hAnsi="Times New Roman" w:cs="Times New Roman"/>
          <w:color w:val="000000" w:themeColor="text1"/>
          <w:lang w:val="en-US" w:eastAsia="zh-CN"/>
          <w14:textFill>
            <w14:solidFill>
              <w14:schemeClr w14:val="tx1"/>
            </w14:solidFill>
          </w14:textFill>
        </w:rPr>
        <w:t>深化多赛道产业协同布局。统筹先进制造协同布局，深耕海洋先进制造</w:t>
      </w:r>
      <w:r>
        <w:rPr>
          <w:rFonts w:hint="eastAsia" w:ascii="Times New Roman" w:hAnsi="Times New Roman" w:cs="Times New Roman"/>
          <w:color w:val="000000" w:themeColor="text1"/>
          <w:u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szCs w:val="24"/>
          <w:u w:val="none"/>
          <w:lang w:bidi="ar"/>
          <w14:textFill>
            <w14:solidFill>
              <w14:schemeClr w14:val="tx1"/>
            </w14:solidFill>
          </w14:textFill>
        </w:rPr>
        <w:t>聚焦</w:t>
      </w:r>
      <w:r>
        <w:rPr>
          <w:rFonts w:hint="eastAsia" w:ascii="Times New Roman" w:hAnsi="Times New Roman" w:cs="Times New Roman"/>
          <w:b w:val="0"/>
          <w:bCs w:val="0"/>
          <w:color w:val="000000" w:themeColor="text1"/>
          <w:kern w:val="2"/>
          <w:szCs w:val="24"/>
          <w:u w:val="none" w:color="auto"/>
          <w:shd w:val="clear" w:color="auto" w:fill="auto"/>
          <w:lang w:val="en-US" w:eastAsia="zh-CN" w:bidi="ar"/>
          <w14:textFill>
            <w14:solidFill>
              <w14:schemeClr w14:val="tx1"/>
            </w14:solidFill>
          </w14:textFill>
        </w:rPr>
        <w:t>绿色氢能、海底算力、</w:t>
      </w:r>
      <w:r>
        <w:rPr>
          <w:rFonts w:hint="eastAsia" w:ascii="Times New Roman" w:hAnsi="Times New Roman" w:cs="Times New Roman"/>
          <w:b w:val="0"/>
          <w:bCs w:val="0"/>
          <w:color w:val="000000" w:themeColor="text1"/>
          <w:kern w:val="2"/>
          <w:szCs w:val="24"/>
          <w:u w:val="none"/>
          <w:shd w:val="clear"/>
          <w:lang w:val="en-US" w:eastAsia="zh-CN" w:bidi="ar"/>
          <w14:textFill>
            <w14:solidFill>
              <w14:schemeClr w14:val="tx1"/>
            </w14:solidFill>
          </w14:textFill>
        </w:rPr>
        <w:t>深海装备共建海洋科技创新走廊</w:t>
      </w:r>
      <w:r>
        <w:rPr>
          <w:rFonts w:hint="eastAsia" w:ascii="Times New Roman" w:hAnsi="Times New Roman" w:cs="Times New Roman"/>
          <w:b w:val="0"/>
          <w:bCs w:val="0"/>
          <w:color w:val="000000" w:themeColor="text1"/>
          <w:kern w:val="2"/>
          <w:szCs w:val="24"/>
          <w:u w:val="none" w:color="auto"/>
          <w:shd w:val="clear" w:color="auto" w:fill="auto"/>
          <w:lang w:val="en-US" w:eastAsia="zh-CN" w:bidi="ar"/>
          <w14:textFill>
            <w14:solidFill>
              <w14:schemeClr w14:val="tx1"/>
            </w14:solidFill>
          </w14:textFill>
        </w:rPr>
        <w:t>，打造大湾区海工装备产业重要配套基地</w:t>
      </w:r>
      <w:r>
        <w:rPr>
          <w:rFonts w:hint="eastAsia" w:ascii="Times New Roman" w:hAnsi="Times New Roman" w:cs="Times New Roman"/>
          <w:b w:val="0"/>
          <w:bCs w:val="0"/>
          <w:color w:val="000000" w:themeColor="text1"/>
          <w:kern w:val="2"/>
          <w:szCs w:val="24"/>
          <w:u w:val="none"/>
          <w:shd w:val="clear"/>
          <w:lang w:val="en-US" w:eastAsia="zh-CN" w:bidi="ar"/>
          <w14:textFill>
            <w14:solidFill>
              <w14:schemeClr w14:val="tx1"/>
            </w14:solidFill>
          </w14:textFill>
        </w:rPr>
        <w:t>；做强</w:t>
      </w:r>
      <w:r>
        <w:rPr>
          <w:rFonts w:hint="eastAsia" w:cs="Times New Roman"/>
          <w:color w:val="000000" w:themeColor="text1"/>
          <w:kern w:val="2"/>
          <w:szCs w:val="24"/>
          <w:lang w:val="en-US" w:eastAsia="zh-CN" w:bidi="ar-SA"/>
          <w14:textFill>
            <w14:solidFill>
              <w14:schemeClr w14:val="tx1"/>
            </w14:solidFill>
          </w14:textFill>
        </w:rPr>
        <w:t>新一代电</w:t>
      </w:r>
      <w:r>
        <w:rPr>
          <w:rFonts w:hint="eastAsia"/>
          <w:lang w:val="en-US" w:eastAsia="zh-CN"/>
        </w:rPr>
        <w:t>子信息产业，主动融入珠江东岸电子信息产业带，持续提升本地电子信息产品市场份额与品牌影响力；发展新能源汽车产业，以比亚迪等链主企业为牵引，承接大湾区电池、电机等核心零部件产能，联动广州、肇庆共建零部件配套基地，构建“深圳研发设计—汕尾精密制造—湾区整车装配”跨区域产业链，聚力打造具有国际竞争力的深汕新能源汽车产业基地。提质升级传统优势产业，引入大湾区设计、检测、品牌运营资源，将梅陇、可塘打造为“粤港澳珠宝供应链枢纽”，实现“汕尾制造+湾区品牌”双驱动。前瞻布局未来产业新赛道，围绕新型储能、低空经济等领域，健全“基础研究+技术攻关+成果转化+科技金融+人才支撑”全过程创新生态链。</w:t>
      </w:r>
    </w:p>
    <w:p>
      <w:pPr>
        <w:bidi w:val="0"/>
        <w:rPr>
          <w:rFonts w:hint="eastAsia"/>
          <w:color w:val="000000" w:themeColor="text1"/>
          <w14:textFill>
            <w14:solidFill>
              <w14:schemeClr w14:val="tx1"/>
            </w14:solidFill>
          </w14:textFill>
        </w:rPr>
      </w:pPr>
      <w:r>
        <w:rPr>
          <w:rFonts w:hint="eastAsia"/>
          <w:lang w:val="en-US" w:eastAsia="zh-CN"/>
        </w:rPr>
        <w:t>搭建全域产业对接平台。建立跨区域常态化对接机制，定期举办产业转移、创新资源供需对接会。深化与大湾区核心城市的产业协作，联合</w:t>
      </w:r>
      <w:r>
        <w:rPr>
          <w:rFonts w:hint="eastAsia"/>
          <w:color w:val="000000" w:themeColor="text1"/>
          <w:lang w:val="en-US" w:eastAsia="zh-CN"/>
          <w14:textFill>
            <w14:solidFill>
              <w14:schemeClr w14:val="tx1"/>
            </w14:solidFill>
          </w14:textFill>
        </w:rPr>
        <w:t>梳理储备、落地实施一批产业链共建、创新资源共享类重大合作项目，从要素互通、项目联建、园区共建多维度发力，探索打造产业协同发展先行示范区，畅通湾区高端制造、创新资源向汕尾有序转移落地通道。</w:t>
      </w:r>
    </w:p>
    <w:p>
      <w:pPr>
        <w:pStyle w:val="5"/>
        <w:keepNext/>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eastAsia="仿宋_GB2312"/>
          <w:b/>
          <w:bCs w:val="0"/>
          <w:color w:val="000000" w:themeColor="text1"/>
          <w:lang w:val="en-US" w:eastAsia="zh-CN"/>
          <w14:textFill>
            <w14:solidFill>
              <w14:schemeClr w14:val="tx1"/>
            </w14:solidFill>
          </w14:textFill>
        </w:rPr>
      </w:pPr>
      <w:bookmarkStart w:id="347" w:name="_Toc27593"/>
      <w:bookmarkStart w:id="348" w:name="_Toc18068"/>
      <w:r>
        <w:rPr>
          <w:rFonts w:hint="eastAsia"/>
          <w:b/>
          <w:bCs w:val="0"/>
          <w:color w:val="000000" w:themeColor="text1"/>
          <w:lang w:val="en-US" w:eastAsia="zh-CN"/>
          <w14:textFill>
            <w14:solidFill>
              <w14:schemeClr w14:val="tx1"/>
            </w14:solidFill>
          </w14:textFill>
        </w:rPr>
        <w:t>17</w:t>
      </w:r>
      <w:r>
        <w:rPr>
          <w:rFonts w:hint="eastAsia"/>
          <w:b/>
          <w:bCs w:val="0"/>
          <w:color w:val="000000" w:themeColor="text1"/>
          <w14:textFill>
            <w14:solidFill>
              <w14:schemeClr w14:val="tx1"/>
            </w14:solidFill>
          </w14:textFill>
        </w:rPr>
        <w:t>.强化深汕合作，</w:t>
      </w:r>
      <w:r>
        <w:rPr>
          <w:rFonts w:hint="eastAsia"/>
          <w:b/>
          <w:bCs w:val="0"/>
          <w:color w:val="000000" w:themeColor="text1"/>
          <w:lang w:val="en-US" w:eastAsia="zh-CN"/>
          <w14:textFill>
            <w14:solidFill>
              <w14:schemeClr w14:val="tx1"/>
            </w14:solidFill>
          </w14:textFill>
        </w:rPr>
        <w:t>探索“</w:t>
      </w:r>
      <w:r>
        <w:rPr>
          <w:rFonts w:hint="default"/>
          <w:b/>
          <w:bCs w:val="0"/>
          <w:color w:val="000000" w:themeColor="text1"/>
          <w:lang w:val="en-US"/>
          <w14:textFill>
            <w14:solidFill>
              <w14:schemeClr w14:val="tx1"/>
            </w14:solidFill>
          </w14:textFill>
        </w:rPr>
        <w:t>飞地经济</w:t>
      </w:r>
      <w:r>
        <w:rPr>
          <w:rFonts w:hint="eastAsia"/>
          <w:b/>
          <w:bCs w:val="0"/>
          <w:color w:val="000000" w:themeColor="text1"/>
          <w:lang w:val="en-US" w:eastAsia="zh-CN"/>
          <w14:textFill>
            <w14:solidFill>
              <w14:schemeClr w14:val="tx1"/>
            </w14:solidFill>
          </w14:textFill>
        </w:rPr>
        <w:t>”</w:t>
      </w:r>
      <w:r>
        <w:rPr>
          <w:rFonts w:hint="default"/>
          <w:b/>
          <w:bCs w:val="0"/>
          <w:color w:val="000000" w:themeColor="text1"/>
          <w:lang w:val="en-US"/>
          <w14:textFill>
            <w14:solidFill>
              <w14:schemeClr w14:val="tx1"/>
            </w14:solidFill>
          </w14:textFill>
        </w:rPr>
        <w:t>融合发展新路径</w:t>
      </w:r>
      <w:bookmarkEnd w:id="347"/>
      <w:bookmarkEnd w:id="348"/>
    </w:p>
    <w:p>
      <w:pPr>
        <w:bidi w:val="0"/>
        <w:rPr>
          <w:rFonts w:hint="default"/>
          <w:lang w:val="en-US" w:eastAsia="zh-CN"/>
        </w:rPr>
      </w:pPr>
      <w:r>
        <w:rPr>
          <w:rFonts w:hint="default" w:ascii="Times New Roman" w:hAnsi="Times New Roman" w:cs="Times New Roman"/>
          <w:b w:val="0"/>
          <w:bCs w:val="0"/>
          <w:color w:val="000000" w:themeColor="text1"/>
          <w:lang w:val="en-US" w:eastAsia="zh-CN"/>
          <w14:textFill>
            <w14:solidFill>
              <w14:schemeClr w14:val="tx1"/>
            </w14:solidFill>
          </w14:textFill>
        </w:rPr>
        <w:t>深化</w:t>
      </w:r>
      <w:r>
        <w:rPr>
          <w:rFonts w:hint="eastAsia" w:cs="Times New Roman"/>
          <w:b w:val="0"/>
          <w:bCs w:val="0"/>
          <w:color w:val="000000" w:themeColor="text1"/>
          <w:lang w:val="en-US" w:eastAsia="zh-CN"/>
          <w14:textFill>
            <w14:solidFill>
              <w14:schemeClr w14:val="tx1"/>
            </w14:solidFill>
          </w14:textFill>
        </w:rPr>
        <w:t>深汕</w:t>
      </w:r>
      <w:r>
        <w:rPr>
          <w:rFonts w:hint="default" w:ascii="Times New Roman" w:hAnsi="Times New Roman" w:cs="Times New Roman"/>
          <w:b w:val="0"/>
          <w:bCs w:val="0"/>
          <w:color w:val="000000" w:themeColor="text1"/>
          <w:lang w:val="en-US" w:eastAsia="zh-CN"/>
          <w14:textFill>
            <w14:solidFill>
              <w14:schemeClr w14:val="tx1"/>
            </w14:solidFill>
          </w14:textFill>
        </w:rPr>
        <w:t>产业协同联动。依托深汕特别合作区及拓展区，持续做强</w:t>
      </w:r>
      <w:r>
        <w:rPr>
          <w:rFonts w:hint="eastAsia"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深圳总部+汕尾基地</w:t>
      </w:r>
      <w:r>
        <w:rPr>
          <w:rFonts w:hint="eastAsia"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深圳研发+汕尾转化</w:t>
      </w:r>
      <w:r>
        <w:rPr>
          <w:rFonts w:hint="eastAsia"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联动模式</w:t>
      </w:r>
      <w:r>
        <w:rPr>
          <w:rFonts w:hint="eastAsia" w:ascii="Times New Roman" w:hAnsi="Times New Roman" w:cs="Times New Roman"/>
          <w:b w:val="0"/>
          <w:bCs w:val="0"/>
          <w:color w:val="000000" w:themeColor="text1"/>
          <w:lang w:val="en-US" w:eastAsia="zh-CN"/>
          <w14:textFill>
            <w14:solidFill>
              <w14:schemeClr w14:val="tx1"/>
            </w14:solidFill>
          </w14:textFill>
        </w:rPr>
        <w:t>。以“深汕协同、全链构建”为抓手，围绕新能源汽车、新能源、新材料、新一代</w:t>
      </w:r>
      <w:r>
        <w:rPr>
          <w:rFonts w:hint="eastAsia"/>
          <w:lang w:val="en-US" w:eastAsia="zh-CN"/>
        </w:rPr>
        <w:t>电子信息、海洋城市建设等领域形成上下游协作，重点承接新能源汽车“三电三智”产业生态和基础零部件配套业态，以“大红海湾区”建设为牵引，深度参与深圳全球海洋中心城市建设。</w:t>
      </w:r>
    </w:p>
    <w:p>
      <w:pPr>
        <w:bidi w:val="0"/>
        <w:rPr>
          <w:rFonts w:hint="default"/>
          <w:lang w:val="en-US" w:eastAsia="zh-CN"/>
        </w:rPr>
      </w:pPr>
      <w:r>
        <w:rPr>
          <w:rFonts w:hint="default"/>
          <w:lang w:val="en-US" w:eastAsia="zh-CN"/>
        </w:rPr>
        <w:t>创新跨区域管理服务机制。积极复制推广深圳</w:t>
      </w:r>
      <w:r>
        <w:rPr>
          <w:rFonts w:hint="eastAsia"/>
          <w:lang w:val="en-US" w:eastAsia="zh-CN"/>
        </w:rPr>
        <w:t>“</w:t>
      </w:r>
      <w:r>
        <w:rPr>
          <w:rFonts w:hint="default"/>
          <w:lang w:val="en-US" w:eastAsia="zh-CN"/>
        </w:rPr>
        <w:t>园区管家</w:t>
      </w:r>
      <w:r>
        <w:rPr>
          <w:rFonts w:hint="eastAsia"/>
          <w:lang w:val="en-US" w:eastAsia="zh-CN"/>
        </w:rPr>
        <w:t>”</w:t>
      </w:r>
      <w:r>
        <w:rPr>
          <w:rFonts w:hint="default"/>
          <w:lang w:val="en-US" w:eastAsia="zh-CN"/>
        </w:rPr>
        <w:t>服务模式</w:t>
      </w:r>
      <w:r>
        <w:rPr>
          <w:rFonts w:hint="eastAsia"/>
          <w:lang w:val="en-US" w:eastAsia="zh-CN"/>
        </w:rPr>
        <w:t>，</w:t>
      </w:r>
      <w:r>
        <w:rPr>
          <w:rFonts w:hint="default"/>
          <w:lang w:val="en-US" w:eastAsia="zh-CN"/>
        </w:rPr>
        <w:t>为合作园区企业提供一站式落地配套服务。创新跨区域要素统筹调配方式，加快建立产值、税收、能耗等指标共享及统计分算机制，充分激发跨区域协同内生动力，保障合作区高效运</w:t>
      </w:r>
      <w:r>
        <w:rPr>
          <w:rFonts w:hint="eastAsia"/>
          <w:lang w:val="en-US" w:eastAsia="zh-CN"/>
        </w:rPr>
        <w:t>转</w:t>
      </w:r>
      <w:r>
        <w:rPr>
          <w:rFonts w:hint="default"/>
          <w:lang w:val="en-US" w:eastAsia="zh-CN"/>
        </w:rPr>
        <w:t>。</w:t>
      </w:r>
    </w:p>
    <w:p>
      <w:pPr>
        <w:bidi w:val="0"/>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lang w:val="en-US" w:eastAsia="zh-CN"/>
        </w:rPr>
        <w:t>推动深汕联合招商。完善深汕联合招商常态化工作机制，统筹两市力量组建联合招商专班，推动招商资源共享。搭建两地招商信息共享平台，</w:t>
      </w:r>
      <w:r>
        <w:rPr>
          <w:rFonts w:hint="default" w:ascii="Times New Roman" w:hAnsi="Times New Roman" w:cs="Times New Roman"/>
          <w:b w:val="0"/>
          <w:bCs w:val="0"/>
          <w:color w:val="000000" w:themeColor="text1"/>
          <w:lang w:val="en-US" w:eastAsia="zh-CN"/>
          <w14:textFill>
            <w14:solidFill>
              <w14:schemeClr w14:val="tx1"/>
            </w14:solidFill>
          </w14:textFill>
        </w:rPr>
        <w:t>常态化开展产业对接、企业走访、项目推介等系列交流活动，推动优质科创项目、产业投资资源双向流动，</w:t>
      </w:r>
      <w:r>
        <w:rPr>
          <w:rFonts w:hint="eastAsia" w:cs="Times New Roman"/>
          <w:b w:val="0"/>
          <w:bCs w:val="0"/>
          <w:color w:val="000000" w:themeColor="text1"/>
          <w:lang w:val="en-US" w:eastAsia="zh-CN"/>
          <w14:textFill>
            <w14:solidFill>
              <w14:schemeClr w14:val="tx1"/>
            </w14:solidFill>
          </w14:textFill>
        </w:rPr>
        <w:t>助推</w:t>
      </w:r>
      <w:r>
        <w:rPr>
          <w:rFonts w:hint="default" w:ascii="Times New Roman" w:hAnsi="Times New Roman" w:cs="Times New Roman"/>
          <w:b w:val="0"/>
          <w:bCs w:val="0"/>
          <w:color w:val="000000" w:themeColor="text1"/>
          <w:lang w:val="en-US" w:eastAsia="zh-CN"/>
          <w14:textFill>
            <w14:solidFill>
              <w14:schemeClr w14:val="tx1"/>
            </w14:solidFill>
          </w14:textFill>
        </w:rPr>
        <w:t>两地招商资源互通共享。</w:t>
      </w:r>
    </w:p>
    <w:p>
      <w:pPr>
        <w:pStyle w:val="21"/>
        <w:keepNext/>
        <w:numPr>
          <w:ilvl w:val="-1"/>
          <w:numId w:val="0"/>
        </w:numPr>
        <w:spacing w:after="0"/>
        <w:ind w:left="0" w:leftChars="0" w:firstLine="642" w:firstLineChars="200"/>
        <w:outlineLvl w:val="2"/>
        <w:rPr>
          <w:rFonts w:hint="eastAsia"/>
          <w:b/>
          <w:bCs w:val="0"/>
          <w:color w:val="000000" w:themeColor="text1"/>
          <w:lang w:val="en-US" w:eastAsia="zh-CN"/>
          <w14:textFill>
            <w14:solidFill>
              <w14:schemeClr w14:val="tx1"/>
            </w14:solidFill>
          </w14:textFill>
        </w:rPr>
      </w:pPr>
      <w:bookmarkStart w:id="349" w:name="_Toc27181"/>
      <w:bookmarkStart w:id="350" w:name="_Toc5264"/>
      <w:r>
        <w:rPr>
          <w:rFonts w:hint="eastAsia"/>
          <w:b/>
          <w:bCs w:val="0"/>
          <w:color w:val="000000" w:themeColor="text1"/>
          <w:lang w:val="en-US" w:eastAsia="zh-CN"/>
          <w14:textFill>
            <w14:solidFill>
              <w14:schemeClr w14:val="tx1"/>
            </w14:solidFill>
          </w14:textFill>
        </w:rPr>
        <w:t>18.加强与粤东沿海经济带协同联动，共建共赢发展格局</w:t>
      </w:r>
      <w:bookmarkEnd w:id="349"/>
      <w:bookmarkEnd w:id="350"/>
    </w:p>
    <w:p>
      <w:pPr>
        <w:bidi w:val="0"/>
        <w:rPr>
          <w:rFonts w:hint="eastAsia"/>
          <w:lang w:val="en-US" w:eastAsia="zh-CN"/>
        </w:rPr>
      </w:pPr>
      <w:r>
        <w:rPr>
          <w:rFonts w:hint="eastAsia" w:ascii="仿宋_GB2312" w:hAnsi="仿宋_GB2312" w:eastAsia="仿宋_GB2312" w:cs="仿宋_GB2312"/>
          <w:b w:val="0"/>
          <w:bCs/>
          <w:color w:val="000000" w:themeColor="text1"/>
          <w:szCs w:val="32"/>
          <w:lang w:val="en-US" w:eastAsia="zh-CN"/>
          <w14:textFill>
            <w14:solidFill>
              <w14:schemeClr w14:val="tx1"/>
            </w14:solidFill>
          </w14:textFill>
        </w:rPr>
        <w:t>积极融入粤东沿海经济带一体化发展大局。深化区域协同协作，推动形成优势互补、资源共享、联动发展的良好格局；深度参与汕潮揭都市圈建设，加强与汕头、潮州、揭阳等兄弟城市全方位对</w:t>
      </w:r>
      <w:r>
        <w:rPr>
          <w:rFonts w:hint="eastAsia"/>
          <w:lang w:val="en-US" w:eastAsia="zh-CN"/>
        </w:rPr>
        <w:t>接合作，聚焦能源开发、科技创新、市场互通、产业配套等重点领域搭建常态化协作机制，推动要素自由流动与资源高效配置，携手提升粤东地区制造业综合竞争力。</w:t>
      </w:r>
    </w:p>
    <w:p>
      <w:pPr>
        <w:bidi w:val="0"/>
        <w:rPr>
          <w:rFonts w:hint="eastAsia" w:ascii="仿宋_GB2312" w:hAnsi="仿宋_GB2312" w:eastAsia="仿宋_GB2312" w:cs="仿宋_GB2312"/>
          <w:b w:val="0"/>
          <w:bCs/>
          <w:color w:val="000000" w:themeColor="text1"/>
          <w:szCs w:val="32"/>
          <w:lang w:val="en-US" w:eastAsia="zh-CN"/>
          <w14:textFill>
            <w14:solidFill>
              <w14:schemeClr w14:val="tx1"/>
            </w14:solidFill>
          </w14:textFill>
        </w:rPr>
      </w:pPr>
      <w:r>
        <w:rPr>
          <w:rFonts w:hint="eastAsia"/>
          <w:lang w:val="en-US" w:eastAsia="zh-CN"/>
        </w:rPr>
        <w:t>深化临港产业协同联动。聚焦海洋经济与清洁能源产业强化跨市协作，统筹推进粤东海上风电产业一体化布局，优化海上能源资源开发利用</w:t>
      </w:r>
      <w:r>
        <w:rPr>
          <w:rFonts w:hint="eastAsia" w:ascii="仿宋_GB2312" w:hAnsi="仿宋_GB2312" w:eastAsia="仿宋_GB2312" w:cs="仿宋_GB2312"/>
          <w:b w:val="0"/>
          <w:bCs/>
          <w:color w:val="000000" w:themeColor="text1"/>
          <w:szCs w:val="32"/>
          <w:lang w:val="en-US" w:eastAsia="zh-CN"/>
          <w14:textFill>
            <w14:solidFill>
              <w14:schemeClr w14:val="tx1"/>
            </w14:solidFill>
          </w14:textFill>
        </w:rPr>
        <w:t>，推动汕尾海洋工程装备基地与汕头国际风电创新港、揭阳风电运维基地功能互补；依托揭阳大南海石化产业园原料配套优势，积极探索“隔墙供应”</w:t>
      </w:r>
      <w:r>
        <w:rPr>
          <w:rFonts w:hint="eastAsia" w:ascii="仿宋_GB2312" w:hAnsi="仿宋_GB2312" w:eastAsia="仿宋_GB2312" w:cs="仿宋_GB2312"/>
          <w:b w:val="0"/>
          <w:bCs/>
          <w:color w:val="000000" w:themeColor="text1"/>
          <w:szCs w:val="32"/>
          <w14:textFill>
            <w14:solidFill>
              <w14:schemeClr w14:val="tx1"/>
            </w14:solidFill>
          </w14:textFill>
        </w:rPr>
        <w:t>、产业链配套共建协同模式</w:t>
      </w:r>
      <w:r>
        <w:rPr>
          <w:rFonts w:hint="eastAsia" w:ascii="仿宋_GB2312" w:hAnsi="仿宋_GB2312" w:eastAsia="仿宋_GB2312" w:cs="仿宋_GB2312"/>
          <w:b w:val="0"/>
          <w:bCs/>
          <w:color w:val="000000" w:themeColor="text1"/>
          <w:szCs w:val="32"/>
          <w:lang w:val="en-US" w:eastAsia="zh-CN"/>
          <w14:textFill>
            <w14:solidFill>
              <w14:schemeClr w14:val="tx1"/>
            </w14:solidFill>
          </w14:textFill>
        </w:rPr>
        <w:t>，延伸新材料产业发展链条，培育壮大特色新材料产业集群，以区域产业协同赋能汕尾高质量发展。</w:t>
      </w:r>
    </w:p>
    <w:bookmarkEnd w:id="292"/>
    <w:bookmarkEnd w:id="293"/>
    <w:bookmarkEnd w:id="294"/>
    <w:bookmarkEnd w:id="295"/>
    <w:bookmarkEnd w:id="296"/>
    <w:bookmarkEnd w:id="297"/>
    <w:bookmarkEnd w:id="298"/>
    <w:bookmarkEnd w:id="299"/>
    <w:bookmarkEnd w:id="300"/>
    <w:bookmarkEnd w:id="301"/>
    <w:p>
      <w:pPr>
        <w:pStyle w:val="3"/>
        <w:ind w:firstLine="643"/>
        <w:rPr>
          <w:rFonts w:hint="eastAsia"/>
          <w:color w:val="000000" w:themeColor="text1"/>
          <w14:textFill>
            <w14:solidFill>
              <w14:schemeClr w14:val="tx1"/>
            </w14:solidFill>
          </w14:textFill>
        </w:rPr>
      </w:pPr>
      <w:bookmarkStart w:id="351" w:name="_Toc25198"/>
      <w:bookmarkStart w:id="352" w:name="_Toc15607"/>
      <w:bookmarkStart w:id="353" w:name="_Toc20432"/>
      <w:bookmarkStart w:id="354" w:name="_Toc19770"/>
      <w:bookmarkStart w:id="355" w:name="_Toc7593"/>
      <w:bookmarkStart w:id="356" w:name="_Toc22370"/>
      <w:bookmarkStart w:id="357" w:name="_Toc16540"/>
      <w:r>
        <w:rPr>
          <w:rFonts w:hint="eastAsia"/>
          <w:color w:val="000000" w:themeColor="text1"/>
          <w:lang w:val="en-US" w:eastAsia="zh-CN"/>
          <w14:textFill>
            <w14:solidFill>
              <w14:schemeClr w14:val="tx1"/>
            </w14:solidFill>
          </w14:textFill>
        </w:rPr>
        <w:t>五</w:t>
      </w:r>
      <w:r>
        <w:rPr>
          <w:rFonts w:hint="eastAsia"/>
          <w:color w:val="000000" w:themeColor="text1"/>
          <w14:textFill>
            <w14:solidFill>
              <w14:schemeClr w14:val="tx1"/>
            </w14:solidFill>
          </w14:textFill>
        </w:rPr>
        <w:t>、</w:t>
      </w:r>
      <w:bookmarkEnd w:id="351"/>
      <w:bookmarkEnd w:id="352"/>
      <w:bookmarkEnd w:id="353"/>
      <w:bookmarkEnd w:id="354"/>
      <w:bookmarkEnd w:id="355"/>
      <w:r>
        <w:rPr>
          <w:rFonts w:hint="eastAsia"/>
          <w:color w:val="000000" w:themeColor="text1"/>
          <w14:textFill>
            <w14:solidFill>
              <w14:schemeClr w14:val="tx1"/>
            </w14:solidFill>
          </w14:textFill>
        </w:rPr>
        <w:t>组织实施</w:t>
      </w:r>
      <w:bookmarkEnd w:id="356"/>
      <w:bookmarkEnd w:id="357"/>
    </w:p>
    <w:p>
      <w:pPr>
        <w:widowControl/>
        <w:spacing w:beforeLines="-2147483648" w:afterLines="-2147483648"/>
        <w:ind w:firstLine="0"/>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eastAsia="仿宋_GB2312" w:cs="Times New Roman"/>
          <w:i w:val="0"/>
          <w:iCs w:val="0"/>
          <w:caps w:val="0"/>
          <w:color w:val="000000" w:themeColor="text1"/>
          <w:spacing w:val="0"/>
          <w:kern w:val="2"/>
          <w:sz w:val="32"/>
          <w:szCs w:val="24"/>
          <w:highlight w:val="none"/>
          <w:shd w:val="clear" w:fill="auto"/>
          <w:lang w:val="en-US" w:eastAsia="zh-CN" w:bidi="ar"/>
          <w14:textFill>
            <w14:solidFill>
              <w14:schemeClr w14:val="tx1"/>
            </w14:solidFill>
          </w14:textFill>
        </w:rPr>
        <w:t>市工信局牵头联动各相关部门建立规划统筹推进机制，深化制造业高质量发展专项研究，一体推进政策宣讲、技术跟踪、行业研判、运行监测与成效评估，持续优化工作方式，压实规划目标与重点任务落地责任。各属地结合自身发展条件完善制造业发展工作领导架构，保障规划落地推进顺畅有序。</w:t>
      </w:r>
    </w:p>
    <w:p>
      <w:pPr>
        <w:ind w:firstLine="640"/>
        <w:rPr>
          <w:rFonts w:hint="eastAsia"/>
          <w:color w:val="000000" w:themeColor="text1"/>
          <w:lang w:eastAsia="zh-CN"/>
          <w14:textFill>
            <w14:solidFill>
              <w14:schemeClr w14:val="tx1"/>
            </w14:solidFill>
          </w14:textFill>
        </w:rPr>
      </w:pPr>
    </w:p>
    <w:p>
      <w:pPr>
        <w:rPr>
          <w:rFonts w:hint="default"/>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ind w:firstLineChars="0"/>
        <w:textAlignment w:val="auto"/>
        <w:outlineLvl w:val="0"/>
        <w:rPr>
          <w:rFonts w:hint="eastAsia" w:ascii="黑体" w:hAnsi="黑体" w:cs="黑体"/>
          <w:color w:val="000000" w:themeColor="text1"/>
          <w:lang w:val="en-US" w:eastAsia="zh-CN"/>
          <w14:textFill>
            <w14:solidFill>
              <w14:schemeClr w14:val="tx1"/>
            </w14:solidFill>
          </w14:textFill>
        </w:rPr>
      </w:pPr>
      <w:bookmarkStart w:id="358" w:name="_Toc25007"/>
      <w:bookmarkStart w:id="359" w:name="_Toc20462"/>
      <w:bookmarkStart w:id="360" w:name="_Toc29221"/>
      <w:bookmarkStart w:id="361" w:name="_Toc12488"/>
      <w:bookmarkStart w:id="362" w:name="_Toc9696"/>
      <w:bookmarkStart w:id="363" w:name="_Toc17156"/>
      <w:bookmarkStart w:id="364" w:name="_Toc21267"/>
      <w:bookmarkStart w:id="365" w:name="_Toc10124"/>
      <w:bookmarkStart w:id="366" w:name="_Toc25703"/>
      <w:bookmarkStart w:id="367" w:name="_Toc10875"/>
      <w:bookmarkStart w:id="368" w:name="_Toc25488"/>
      <w:r>
        <w:rPr>
          <w:rFonts w:hint="eastAsia" w:ascii="黑体" w:hAnsi="黑体" w:eastAsia="黑体" w:cs="黑体"/>
          <w:color w:val="000000" w:themeColor="text1"/>
          <w:lang w:val="en-US" w:eastAsia="zh-CN"/>
          <w14:textFill>
            <w14:solidFill>
              <w14:schemeClr w14:val="tx1"/>
            </w14:solidFill>
          </w14:textFill>
        </w:rPr>
        <w:t>附件</w:t>
      </w:r>
      <w:r>
        <w:rPr>
          <w:rFonts w:hint="eastAsia" w:ascii="黑体" w:hAnsi="黑体" w:cs="黑体"/>
          <w:color w:val="000000" w:themeColor="text1"/>
          <w:lang w:val="en-US" w:eastAsia="zh-CN"/>
          <w14:textFill>
            <w14:solidFill>
              <w14:schemeClr w14:val="tx1"/>
            </w14:solidFill>
          </w14:textFill>
        </w:rPr>
        <w:t>：</w:t>
      </w:r>
    </w:p>
    <w:p>
      <w:pPr>
        <w:bidi w:val="0"/>
        <w:jc w:val="center"/>
        <w:rPr>
          <w:rFonts w:hint="eastAsia"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lang w:val="en-US" w:eastAsia="zh-CN"/>
        </w:rPr>
        <w:t>汕尾市重点建设项目计划表</w:t>
      </w:r>
      <w:bookmarkEnd w:id="358"/>
      <w:bookmarkEnd w:id="359"/>
      <w:bookmarkEnd w:id="360"/>
      <w:bookmarkEnd w:id="361"/>
      <w:bookmarkEnd w:id="362"/>
      <w:bookmarkEnd w:id="363"/>
      <w:bookmarkEnd w:id="364"/>
      <w:bookmarkEnd w:id="365"/>
      <w:bookmarkEnd w:id="366"/>
      <w:bookmarkEnd w:id="367"/>
      <w:bookmarkEnd w:id="368"/>
    </w:p>
    <w:tbl>
      <w:tblPr>
        <w:tblStyle w:val="22"/>
        <w:tblW w:w="142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186"/>
        <w:gridCol w:w="880"/>
        <w:gridCol w:w="4200"/>
        <w:gridCol w:w="1120"/>
        <w:gridCol w:w="1080"/>
        <w:gridCol w:w="1100"/>
        <w:gridCol w:w="30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blHeader/>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序号</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项目名称</w:t>
            </w:r>
          </w:p>
        </w:tc>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建设起止年限</w:t>
            </w:r>
          </w:p>
        </w:tc>
        <w:tc>
          <w:tcPr>
            <w:tcW w:w="4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建设规模和内容</w:t>
            </w:r>
          </w:p>
        </w:tc>
        <w:tc>
          <w:tcPr>
            <w:tcW w:w="1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总投资</w:t>
            </w: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（万元）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截止（上年）底累计完成投资（万元）</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2026年计划投资（万元）</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本年工作目标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blHeader/>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4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1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广东陆丰核电1、2号机组</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2025-2030</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装机容量2×124.5万千瓦。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4207567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3113200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1、2号机组顺利开工，正在进行工程建设。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广东陆丰核电5、6号机组</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装机容量2×120万千瓦。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4127908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2625200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全面继续现场施工、设备采购等工作。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广东陆河抽水蓄能电站项目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装机容量140万千瓦。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902746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167864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开展业主营地、上水库工程、下水库工程、输水发电系统工程、机电安装工程等主体工程。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广东陆丰甲湖湾电厂3、4号机组扩建工程（2×1000MW）</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装机容量2×100万千瓦。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780656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填海工程、码头施工、设备安装调试等。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汕尾电厂二期5、6号机组（2x1000MW）扩建工程项目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装机容量2×100万千瓦。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779456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190812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集控楼、汽机房交付安装，锅炉钢架、受热面吊装，汽轮发电机基础交安，烟囱施工完成，海淡土建交付安装。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粤东海上风电001项目Ⅰ区</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装机容量60万千瓦。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727091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风电机组、海上升压站、陆上集控中心。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汕尾红海湾六海上风电项目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海上风场、海上送出工程及陆上集控中心施工。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汕尾红海湾四海上风电项目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590000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风机基础施工和风机吊装以及集电海缆施工。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汕尾红海湾五海上风电项目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574000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1.陆上集控中心土建施工；</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2.开展主要设备招标采购、制造；3.完成海上风电风机钢结构基础陆上制作，首批风机基础海上施工，力争首台风机海上安装。4.送出与集电线路开始陆上海缆制作。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汕尾红海湾三海上风电项目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装机容量50万千瓦。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开工建设，并完成一批风机并网。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汕尾红海湾三、四海上风电集中送出项目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建设海上升压站、海底电缆等。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370000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拟计划于2025年5月与红海湾三海上风电场址同步开工建设。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汕尾高新区200MW/800MWh锂钠新型储能示范项目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储能电站容量200MW/800MWh。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建设200MW/800MWh锂钠混合储能电站一座。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汕尾市城区推动绿色低碳发展清洁能源示范建设一期项目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对城区和红海湾开发区总可利用屋顶进行光伏设施及相关储能设备安装。</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35751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项目建设进度完成至60%。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海丰县公共机构屋顶分布式光伏项目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建设分布式光伏的屋顶面积约361865.26平方米。设计总装机容量约61517.09kWp，并按需配置新型储能系统。</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44151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推进项目前期立项、融资工作，项目开工建设。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陆河县陆财光能屋顶分布式光伏项目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利用的现有的公共机构屋顶面积约为265260.80㎡。项目光伏装机容量约为47746.94kWp，标准发电量为5550.36万kWh。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16000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完成项目建设的80%。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陆河县企业屋顶分布式光伏项目（一期）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设计总装机容量为60787.20千瓦，标准发电量为7066.23万千瓦时。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26331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1100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完成屋顶光伏建设1万平方米。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陆丰市公共机构屋顶分布式光伏项目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用陆丰市公共机构屋顶布设分布式光伏，屋顶面积约605637.54平方米。设计总装机容量约90845.63kWp。装机规模：90.846兆瓦。</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67100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建设分布式光伏的屋顶面积约200000平方米。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综合能源岛陆上试验基地项目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发建设风、光发电规模52MW，同时配套制氢、制氨试验及储能设备，制氢规模700Nm3/h（其中碱性电解水制氢规模500Nm3/h，PEM电解水制氢规模200Nm3/h），储氢规模3000kg，开展绿氨制储运试验。项目建设内容包括建设一座110kV升压站、风电机组、制氢、制氨试验设备、箱变、储能电池和低压交流电缆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40404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开发建设风、光发电规模52MW，同时配套制氢、制氨试验及储能设备。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中广核陆丰电化学储能电站</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储能电站容量100MW/200MWh。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37473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电站建设。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汕尾市200MW/200MWh独立储能电站项目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储能电站容量200MW/200MWh。</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建设站房式200MW/200MWh独立储能系统。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广东华电汕尾华侨管理区新型电化学储能电站项目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建设一座200MW/400MWh的新型电化学储能电站。</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建成投产一座200MW/400MWh的新型电化学储能电站，项目配套建设一座额定容量为240MVA的220kV升压站和1回220kV架空送出线路。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500千伏陆丰核电一期接入系统工程（5、6号机组）</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新建500千伏线路80.5公里。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101214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61153</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基础全部完成、组塔85%，架线60%。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汕尾红海湾绿色制造产业园比亚迪项目一期（N1）</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2026-2031</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建设面积约141.5万平方米，建设新能源汽车核心零部件工厂及供电配套设施等，生产新能源汽车核心零部件等。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电池项目占地约900亩，完成厂房、配套仓库辅房及宿舍等22栋单体的建设，满足电池电芯生产需要。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深汕合作拓展区比亚迪项目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建设新能源汽车核心零部件工厂。</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190000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厂房及宿舍楼建设。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汕尾市锦合电子科技有限公司年产500万平方米电路板项目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建设生产厂房、办公楼、宿舍楼、废水处理站等，生产设计能力500万平方米/年。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完成项目一期建设，包含厂房6栋（含连廊2座）、宿舍2栋、地下室1个、废水处理中心1栋、危化仓库1座、其他仓库2座、门卫室2个。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绿色低碳高端海陆缆光电项目（南海海缆二期）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新建厂房，淘汰落后产能并引进74台（套）先进设备，构建多套高效、绿色、智能的示范性生产线。</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项目开工建设，完成计划投资和工程量。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海丰一本首饰智能制造及供应链基地建设项目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项目主要建设办公写字楼，生产制造中心、商品质量检测中心、产品设计研发中心、商品展示中心，仓储中心，助农公益展示中心、直播间、拍摄基地、园区宿舍、文体设施及配套建设。</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新能源汽车线材线束研发与生产项目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投建厂房4栋、办公研发大楼1栋、宿舍2栋。主要生产设备为端子机，剥线机，套管机等，研发生产新能源汽车线束、线材、电子元器件、电子产品、通讯产品。设计生产能力预计8000万条/年，年产值预计2.2亿元人民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海丰县大康生物环保全降解新材料研发生产基地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2020-2027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办公大楼、生产车间、研发实验基地、储藏仓库等，购置双螺杆挤出机、片材机、研发实验设备等百余台。主要生产生物环保全降解新原料及农用地膜、包装容器、餐饮具、医用生物降解材料等可降解产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完成消防设施的安装、室内外装修工作。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海丰县力晖新型环保塑料塑胶制品研发生产项目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2020-2026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办公大楼，生产车间、检测车间、研发/实验中心、储藏仓库等。购置塑料配混、成型、二次加工、产品检测等生产、研发、检测设备百余台，主要生产塑料环保设备、新型环卫垃圾分类桶等环保环卫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海丰县立威新能源合成材料研发生产项目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2020-2026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主要建设5栋厂房，2栋宿舍，1栋办公楼。主要生产精密五金制品、金属表面处理、集成电路、5G通讯、新能源汽车零部件。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海丰县可塘珠宝产业环保集聚区建设项目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3栋11层厂房及54栋6层厂房，用于宝石研发、设计、加工等。同时，在用地西南及东侧建设两处废水处理站，两处废水处理用房为225平方米，共450平方米。废水处理能力60立方米/天。废水处理站地下分别设置有效容积350立方米，共700立方米的事故应急池（暂时存储预处理废水），本项目不涉及危险废物处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进行厂房建设及室内外装修。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广东康诺生物科技研发生产项目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主要建设办公大楼、宿舍、研发中心及配套，安装配套设备及生产线约46台，主要生产卫生用品、汽车护理用品、卫生杀虫剂、杀虫气雾剂、驱蚊露、电热蚊香液（有效</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成分</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：除虫菊酯类）、有害生物防</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治</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研发生产。</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进行室内外装修及市政道路管网工程。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海丰县铭德智能制造研发生产项目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2021-2026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主要建设综合厂房配套宿舍及办公配套综合楼，研发生产产品主要包括通讯类，影音设备类，医疗及汽车零件类。全面投产后，年产量达到285万件，年度销售收入可达到30000万元。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46000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海丰现代智造基地建设项目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主要建设研发楼、生产厂房、行政办公大楼、员工宿舍及配套设施。主要生产并联机器人、机器人控制系统、成套系统集成。预计年产量10000套，预计年产值50000万元。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3#厂房、6#宿舍、9#配电房的主体建设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海丰依仕智能家居半自动化生产基地建设项目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生产厂房，办公研发综合大楼，员工宿舍以及相应配套建筑，购置木工自动裁床、面料自动裁床、数控缝纫机、自动定型切割机、电脑数控加工设备等各类生产设备。项目主要生产电动智能功能沙发，新能源汽车配套智能座椅，抗菌沙发面料，自动化家居生产设备等。预计年产值1亿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室内装修及室外附属工程。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海丰高迪装配式整装研发生产项目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建设内容包括智造基地、文创基地、研发中心、生产厂房、宿舍及配套等设施建设。主要生产金属制品、装饰固装、装配式部件及成品。预计生产设计能力2万件/年。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主体工程装修和配套建设。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广东鼎汇环保科技新材料建设项目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标准化无尘环保生产车间、办公研发中心、员工宿舍、产品展销以及培训办公楼，配套绿化、道路硬化、围墙、大门、监控、室外电气、室外给排水、室外消防、燃气、通讯等工程，并配置配套设备和车辆。项目主要生产包括绿色复合材料、镁质胶凝材料以及纤维增强覆面木基材料等建筑环保材料，年产值约1亿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完成图纸设计，完成图纸审批，办理施工许可证，入场开工建设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东鹏饮料海丰生产基地扩建项目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建设高标准仓库，用于存储东鹏饮料集团名下系列产品，项目扩建后预估年产值2</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亿元</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、年税收450</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万元</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完成项目备案等前期工作争取开工建设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海丰永利成金属日用品加工生产建设项目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项目主要建设金属日用品制品加工车间、成品生产车间、材料仓库，并购置一批生产设备、运输设备。主要生产淋浴门、金属门窗、保温杯、酒店用品等金属制日用品。预计年产值18000万元。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厂房、行政楼主体建设及室内外装修。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海丰贺兴新材料智慧创研基地建设项目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生产车间、办公楼、办公楼辅楼、食堂、宿舍以及水泵房、消防水池、电房、污水池等配套用房。购置涂布机、烘箱、分切机、切纸管机、空压机、上料机等设备。项目主要生产超薄防水泡棉、石墨胶带、遮光胶带、新能源无卤素阻燃双面胶带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完成图纸设计工作、报建相关工作，开工建设。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海丰县可塘彩宝生产研发中心项目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规划建设1栋高层厂房，地上6层、地下1层，厂房用于宝石研发、设计、加工等，主要设备分别为光谱分析设备、物理性质检测设备、绘图设备、数字建模设备、3D打印机、压片机、高频感应熔金机、金属切割机、压边机、微镶机、激光点焊机、切割机、微雕机、超声波雕刻机、激光内雕机、抛光机、激光打孔机、分色机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广东金东环境科技产业园项目（广东金东环境科技有限公司危废处理处置项目）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一期建设内容：设计规模 9.8万 t/a，其中焚烧 3 万 t/a、物化处理 3.4 万 t/a、含铜蚀刻废液综合利用 2.9 万 t/a等。二期建设内容：设计规模 4.7 万 t/a， 其中矿物油综合利用 3 万 t/a、废催化剂 1 万 t/a、等离子熔融 0.7 万 t/a。</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55600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23770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一期投产运营，二期厂房主体施工。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中船高端海洋装备制造基地（一期）风机总装配套附属设施项目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新建主机总装车间、甲类库、丙类库房、动力中心、综合中心周边道路、绿化等相关附属配套设施。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建设厂房及引进生产线。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陆丰替代蛋白生物制造新技术项目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主要建设厂房、办公区、污水处理站、相关配套设施。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主要建设厂房、办公区、污水处理站、相关配套设施。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广东司碧林科技有限公司SCR脱硝催化剂再生项目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建设废SCR脱硝催化剂循环再生与处置生产线，建成后年可再生处置2万吨废SCR脱硝催化剂。纯水制备、废水处理、通风、废气收集等系统各1套、除尘系统、破碎系统、磨制系统各1套。</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主要是建设厂房、流水线，员工住宿房等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恒明盛电缆辅助材料生产项目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建设生产较大规模的镀锌钢丝制品、镀锌钢带制品、高圆整度复合海缆填充组件、陶瓷化塑料制品生产基地，产品主要为海工基地产业链配套，供应园区内南海海缆等企业。</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2800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汕尾市宝创科技有限公司宝石加工共性工厂项目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建设一栋5层珠宝加工厂房，内设宝石加工车间230间、注胶工艺车间一间、金刚石研磨盘退镍加工车间一间。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5400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3400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成珠宝加工厂房，内设宝石加工车间230间、注胶工艺车间一间、金刚石研磨盘退镍加工车间一间。购置自动化和半自动加工设备，消防设施、环保净化设备等。建成后引进珠宝相关企业进行宝石加工、宝石泡酸注胶工序，金刚砂研磨盘退镍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陆丰市宝珅建材公司－-富华纳米隔热瓦生产项目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建设厂房，引进国内先进生产设备，采用具有抗氧化、耐腐蚀高纯度技术生产纳米隔热瓦、纳米隔热板、ASA合成树脂瓦、阻燃型采光板FRP防腐板等新型材料。</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陆河中奕环保流态高温处理废线路板及金属新材料建设项目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内容包括主体工程、储运工程、公用工程、辅助工程、环保工程以及研发综合大楼。主体工程由原料制备配伍系统、流态高温炉、余热锅炉、溴化钠制备系统组成；环保工程由事故应急池、喷淋塔、烟气过滤水池、静电除尘、活性炭吸附塔组成。</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加快钢结构主体工程及研发综合大楼建设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陆河奥普新声谷项目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建设涵盖扬声器智能自动化生产车间、声学研发实验基地、综合办公楼、智能物流仓储及员工宿舍等配套设施；并引进60条智能先进扬声器生产线，生产电声器件及零件。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比亚迪规划院汽车研发（汕尾）试验基地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定位高技术、全功能、可扩展的汽车研发试验场，以新能源汽车研发为核心，覆盖智能驾驶、易四方、越野无人机等开发为主的试验场景和新能源实验室等配套项目，该项目建成投产后可提供公司最新研发车型测试任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陆河雅美家新型材料研发生产及配套项目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项目主要建设办公楼、材料研发楼、宿舍、厂房</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及其他配套设施</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，安装生产线6条，主要生产装饰耐火板材。项目投产后预计年产值2亿元，项目年综合能源消耗当量值为4327.81tce。</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28521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19000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陆河睿电智能制造与研发实验基地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将建设涵盖智能化生产车间、创新研发中心、综合办公楼、物流仓储及员工生活配套在内的完整设施，并引进4条先进电容笔生产线，配套变配电等辅助设备，打造智能制造与研发实验基地。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陆河新型复合材料生产基地项目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用于建设办公楼、生产车间、综合实验检测中心及产品研发中心等基础设施，项目主要生产绝缘材料及其他新型复合材料，引进6条国内最先进的高耐温、耐磨新型复合材料生产线及10套后加工设备。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陆河再生高分子材料及绿色绳缆项目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计划用于新建智能化分洗、再生造粒、改性研发及绿色绳缆制造车间，并配套综合办公楼、环保处理设施和标准化仓库，引进自动化分选清洗线、熔融挤出造粒机组、高效过滤系统及绳缆智能生产线等先进设备。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汕尾泽浩电子信息产品研发及配套产业项目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2020-2026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建设厂房、办公楼、宿舍楼、污水处理站、仓库等。主要生产线路板约240万平方米/年，液晶显示屏1000万片/年；主要设备有钻孔机，涂布机，喷锡机，自动电镀线等。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室内外装修、引入设备。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奥登医疗牙科产品基台及附件生产项目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主要建设牙科产品基台及附件的研发、生产和销售基地。生产的主要产品是个性化基台。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特展电子背光源、显示模组研发及生产项目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2021-2026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拟建设生产工艺车间3幢（每幢七层），生活宿舍3幢（每幢五层）；主要生产显示模组80万套/年、背光源60万套/年及电子元器件20万套/年。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厂房主体建设，投产。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百草堂红海湾体培牛黄制药基地及国医馆项目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提取车间、制药车间（包括丸剂、散剂、液剂、膏剂、颗粒剂等），中药饮片车间，国医馆康养中心。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开工建设，年底前完成主体工程。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海丰县海盈畜禽饲料生产项目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项目建设一号厂房4层，二号厂房1层及地下基础设施，主要研发生产饲料、食品加工。</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厂房和配套建设。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广东能源微藻减排转化利用火电机组二氧化碳产业化示范工程项目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利用微藻生长过程吸收CO2，生产藻液、藻粉并提取高附加值活性物质。项目拟建设三条养殖生产线，利用不同的光生物反应器养殖微藻；同步建设产学研综合办公大楼、生产加工车间、仓库及配套附属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13009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主体建筑工程完工，主要设备进场安装等。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汕尾市新型建材产业基地建设项目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本项目预计新建2条安迈Universal 400（5000型） 沥青混凝土生产线， 预计年产预制混凝土160万吨。同时配备60台运料环保车，以配合搅拌站混凝土运输。新建海绵城市透水砖生产线2条，预计年产海绵透水砖6万吨。</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新建2条安迈Universal 400</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5000型） 沥青混凝土生产线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陆丰星都珠宝产业园建设项目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项目主要建设厂房，包括宝石酸洗加工车间、宝石注胶加工车间，金刚石研磨盘退镍加工车间。购置自动化和半自动加工设备，消防设施、环保净化设备等。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标准化厂房、大型仓库、员工公寓与商业综合体等核心设施。配备废水处理站（占地1200平方米）、高效酸雾废气处理站及先进的车间换气系统。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陆河县锦丝线及织布生产基地项目（一期）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期计划投资4500万元，用地约12亩，建设生产电声行业配件锦丝线、高档医疗机械设备线材等产品的研发生产基地、综合办公楼等；二期项目拟用地约28亩，计划投资约10500万元，新建研发生产基地、综合办公楼等设施，增设锦丝线、高档医疗线材等生产线，扩大产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陆河县河田镇河北村富民兴村服装产业园</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建筑4幢2层钢结构厂房及其他配套设施；主要安装服装生产线，生产各类服装。</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完成厂房及相关配套设施建设，招引企业进驻。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陆河金泰模具制造生产基地项目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项目主要购置深加工数控生产设备，建设研发生产汽车模具、注塑机、油压机铸件等产品基地。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圆尚智能终端设备生产基地项目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包括行政楼，标准厂房，宿舍楼等。项目主要生产移动电源，充电器，蓝牙外设，路由器，扩展坞等智能数码产品。土地交付后三年半达产，达产年实现产值不低于10</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亿元</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，年产能约280万片，主要设备是SMT贴片机、检测设备。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厂房室内外装修，设备安装调试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中亿智能管网系统及装备生产制造基地产业园项目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包括智能管道车间、智能装备车间、智能传感车间、实验试产车间、原材料及成品智能化仓库等设施，建设综合楼以及员工宿舍等配套设施；主要生产智能排水、给水、电力、燃气等管道产品，生产能力100万米/年，主要设备HDPE、给水管挤出机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30560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23500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怡昌新材料生产基地项目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内容涵盖生产基地、研发中心、办公楼、员工公寓等多个功能区域，主要生产碳纤维高科技材料，包括织带、汽车安全带、绳带等。项目引入先进的碳纤维材料生产设备，包括自动高速针织绳带机、圆绳带编织机、络筒机等设备，实现生产过程的全自动化操作。建成后，将形成年产2万吨碳纤维的生产能力。</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厂房主体建设。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恒诚元再生资源回收拆解生产基地项目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主要建设拆解加工车间、仓库、办公大楼，该项目采用先进的拆解工艺流程，对各类废物进行分类处理，达产后可实现年处理20000吨废金属（废料）的能力。</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加快厂房主体建设。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葆丰牙科手术器械生产基地项目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计划建设厂房、污水处理站等配套设施。主要研发和生产牙科手术器械，预计年生产400万盒，主要生产设备有数控磨床、冲压设备等。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完成厂房建设。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龙龙金总部基地项目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建设生态农业观光营业厅、生态农业服务部、服务配套楼、文旅餐饮购物区、游客服务中心等，开展甘薯精深加工研究，开发甘薯特色食品等项目。</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65000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生态农业服务部主楼建设完成，完成装修，并开始投入使用。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陆丰市预制菜产业园建设项目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项目改造孵化中心1栋，新建生产配套楼1栋、综合车间1栋、生产车间4栋、配套冷库1栋、连廊2条，包含门卫房、固废房、室外道路、入园道路，以及水、电、暖通、消防安装、弱电工程等配套工程。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62100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6600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2026年计划新建生产配套楼1栋、生产车间1栋、配套冷库1栋。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陆丰市海洋牧场养殖科创产业园项目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建设海洋牧场种苗产业项目4万平方米以上，水产品加工项目1.5万平方米以上。</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完成深水网箱的投放运营，配套建设海上牧场种苗产业项目和鱼类深海养殖项目。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陆河鸿鼎食品生产基地项目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规划建设生产车间、原料仓库、办公楼、员工宿舍及专用晒场，并配套自动化清洗、分拣及腌制等生产线，主要从事青梅半成品加工，产品涵盖青梅干和咸水梅等。项目建成后，预计可实现年加工青梅3500吨。</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完成生产车间、原料仓库、办公楼、员工宿舍及专用晒场的建设并投入使用。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陆河南万青梅产业基地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主要建设厂房2栋，设置青梅精深加工技术中心、青梅产品展示厅，同时屋顶增设光伏发电站等配套设施，生产半成品话梅、蜜饯等青梅产品。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陆河吉溪“奇楠”沉香项目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分两期建设。一期投资1亿元，打造沉香种植、育苗基地，主要种植沉香900亩。沉香产品加工厂建设，主要生产茶叶、珠链、精油、香枝等系列产品。二期投资8500万元，扩大生产规模，生产沉香酒、家私产品、将沉香树结香后加工精油和线香，加工珠链，用沉香鲜叶制作。预计每年总产值10000万元，可提供就业岗位200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2260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完成沉香产品加工厂建设及1000亩沉香种植。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陆河县河口虹兴达服装产业基地</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一期租赁厂房1300平方米，安装先进生产线，进行服装服饰制造；二期拟拿地建设，用于创意研发设计中心及扩充仓储空间。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安装先进生产线，进行服装服饰制造，扩充仓储空间。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陆丰电镀万洋众创城项目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2024-2035</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主要建设电镀产业集聚赋能平台，将项目打造成为集电镀生产、研发科创、电子商务、生产生活配套、金融服务和智慧园区管理为一体的新型电镀专业园区。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新开工6万方，电镀厂房。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陆丰万洋众创城项目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2023-2035</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建设制造业产业集聚赋能平台，将项目打造成为集制造研发、电子商务、仓储物流、生产生活配套、金融服务和智慧园区管理为一体的新型产业园区。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陆丰产业转移工业园（省级）基础设施建设项目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园区路网26条市政道路总长51km、11处智慧停车场，污水管网（管径400-1400）89公里、雨水管网（管径300-1600）135.91公里、给水管网（管径200-1200）79.17公里，以及地下综合管线（电力管线31公里、燃气管线36公里、弱电管线28.3公里）和交通设施、配套信息化工程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399259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开展项目一期一标段施工。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陆丰星都经济开发区产业园区基础设施配套工程（二期）</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土方平整、道路及相关配套设施建设，220KV高压线迁改工程、电力管网迁改及建设工程。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281012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37885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1、产业园区场地土方平整工程；2、产业园区道路工程及相关配套设施建设；3、产业园区排洪渠整治工程；4、产业园区220KV高压线迁改工程；5、产业园区电力管网迁改及建设工程。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陆丰市碣石海工基地（二期）项目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道路、给排水、电力、通信、照明、地基处理工程、配套燃气管道、景观绿化、交通、消防及污水处理等相关工程。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51000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46000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本项目全部完成。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陆丰东海经济开发区产业园区二期基础设施配套项目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分为两标段建设。建设规模：①辅道建设工程，总长4410m，宽26/30m；②上海南路道路升级改造工程，道路全长3938米，宽30米；③龙湖路道路升级改造工程，道路全长1850米，宽36米。④康佳产业园及工业园一期基础设施配套工程；⑤全路段埋设雨污分流管长5674m，环状供水管网管径DN200-1400。</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21689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完成其他配套设施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汕尾市光明科技产业园区（一期）基础设施建设项目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2025-2031</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市光明科技产业园（一期）基础设施建设项目规划占地面积约1200亩。主要建设内容包括：建设园区道路约5.6公里，管径DN200-DN800污水管网11.2公里，给排水管网约11.2公里；建设园区内地上、地下停车位2908个及充电桩200个；建设集研发、试验、生产等综合的高标准厂房，总建筑面积约36.62万㎡，建设科技产业孵化基地，总建筑面积约3.24万㎡；建设职工宿舍和饭堂等生活配套基础设施，总建筑面积约18.54万㎡；建设供配电、动力、通风、给排水、停车场及充电桩等园区配套基础设施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337807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（一标段）环境治理及土地平整工程：本项目填埋区治理范围约为5.6万平方米，已填埋垃圾约为706786.42立方米（636107.78 吨），其中355.07立方米为近期填埋的垃圾。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海丰海迪时尚美都产业园项目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以美妆、服装、鞋帽、箱包、家纺、珠宝首饰为主导产业，打造时尚产业集聚平台。</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240000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进行C地块开发建设及海迪时尚美都园区代建二纵二横2.35公里市政道路建设。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海丰梅陇珠宝首饰国际商贸城建设项目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期建设：建筑主体为三层大平层及四栋高层配套综合楼，一、二层为大型珠宝首饰交易商场，三层为写字楼、抖音、直播平台，一栋国际酒店，一栋酒店式公寓，两栋宿舍配套公寓；二期建设：建设用途为珠宝首饰设计、研发、培训、生产工业配套；三期建设：建设用途为珠宝首饰生产、办公工业配套。</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19000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开展室内外装修，完成二次结构砌筑、各区域面层铺装及外立面装饰，匹配不同功能区使用需求；实施机电系统建设，完成强弱电、给排水、消防等管线敷设、设备安装与系统调试；推进室外工程及收尾，完成绿化种植、道路硬化，并组织一期工程验收，确保年底具备验收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海丰县津泽创意文化产业园建设项目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项目建设生产厂房、综合楼及门卫室，购置印刷机、CTP机、商标机、拼图机、油压机、天地盒全自动粘盒机等设备，主要产品：纸制智力拼图、彩盒、彩咭、胶片印刷等，年产值2</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亿元</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，总产量17000万公斤。</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35000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进行室内外装修及市政道路管网工程。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马宫现代渔业产业园区基础设施建设项目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2025-2031</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建设内容包括功能区建设工程、道路工程、其他基础设施工程。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397531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22000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推进一期马宫大道项目开工并形成一定工程量。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海丰县深汕特别合作区拓展区基础设施建设项目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2022-2029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建设污水处理设施、标准厂房、停车场、道路等基础设施。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对园区的道路、标准化厂房、污水处理厂等进行建设。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海丰首饰产业环保集聚地金银首饰加工厂房建设项目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2018-2028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主要包括六大功能区域：加工</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厂房</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区、综合服务区、电镀生产区、废水和废渣液回收处理区、配套服务区、物流仓储区。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265500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建设A-01-01地块建设项目（三期）、危险化学品仓库、B-02-01地块建设项目（五期）、一栋宿舍楼。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海丰县产业转移工业园基础建设项目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2014-2027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园区以海丰经济开发区（省级）为依托，整合城东北部工业区，金园工业区等土地资源，总规划15平方公里，其中6平方公里已被省认定为省级产业转移工业园。园区分为综合服务产业，传统优势产业和大学科技产业三个功能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230837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进行产业转移园生态4期建设。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深圳汕尾产业转移合作园基础设施配套工程项目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w:t>
            </w: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7</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-2030</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赤梅快线海丰段约7.058公里，包括道路、桥涵、山体隧道、照明、交通、绿化、水土保持等。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194392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配合深汕合作区推进赤梅快线合作区段立项等前期工作进展。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深汕协作产业园建设项目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2026-2028</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打造“1+1+N”的园区产业业态新平台，建设新能源汽车零部件制造、新材料、新能源、智能终端等配套设施。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34000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建设钢筋混凝土结构的标准化厂房及综合服务配套设施。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海丰县可塘镇长桥工业园区配套基础建设项目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2023-2026</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道路与交通设施工程；（2）园区综合服务配套设施；（3）给排水工程；（4）防洪排涝工程；（5）燃气工程；（6）供电工程；（7）通信工程；（8）绿化工程；（9）场地平整；（10）园区配套外部污水管网连接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46000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一期二标段建设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深圳龙岗－汕尾海丰共建园区公共配套设施提升项目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2024-2027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污水管道建设、河道治理及生态提升、综合服务中心的装修和安装工程、口袋公园建设、东园小学升级建设等。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12687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1738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对污水管道、口袋公园等进行建设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98</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陆河县产业转移工业园区东片区基础配套设施建设项目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新建共享研发中心10200㎡、配套食堂7900㎡、配套宿舍楼47400㎡、停车场6100㎡（含73个充电桩）、标准化厂房60000㎡、1座日处理规模8000吨污水处理厂3000m2；新建外接水唇水质净化厂污水管工程，DN600污水管总长2000米；新增拓宽11米辅道工程，长度1281米；新建园区道路工程，总长10885米；以及相应给水、排水、通信、电力、路灯照明工程等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132010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组织实施外接污水管网、高新四路、东坑一路、东坑标准化厂房、场地平整一期项目。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陆河县产业转移工业园区基础设施配套建设项目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2021-2027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建设11条道路，共计21649米；铺设高压下地电缆管网及电缆830米；消防配套设施建设；消防站装备设施；工业污水处理站及管网工程；政务服务中心建设，E-11地块挡土墙建设。</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111792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44500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组织实施园区三期B线道路建设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陆河县产业转移工业园区西片区基础配套设施建设项目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道路及市政配套项目：（1）新田片区新建道路工程，路线全长5213米；（2）河口片区新建道路工程，道路全长4048米；（3）上护片区新建道路工程；（4）其他市政配套项目包括坪山大道交通安全设施工程。基础配套设施建设项目：园区配套租赁公寓改造工程建筑面积32138㎡、标准化厂房建筑面积40000㎡、孵化器建筑面积20000㎡、配套充电桩144个、屋顶光伏发电工程建筑面积18470㎡及高低压变配电工程。</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94582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环城路一期验收结算、连接线改扩建验收结算；组织实施比亚迪南侧道路、坪山大道交通安全设施项目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汕尾高新区红草园区基础设施建设六期项目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2020-2027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建设园区道路约11.83公里以及配套的交通工程、给排水工程、电气工程、绿化工程；建设洪坑渠北侧堤身1800米；建设园区绿化设施约23万平方米和水利防护栏约11公里。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136000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70000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5000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完成六期项目（南西路、红草西路南段、红草西路支路）和六期项目（洪坑北路东段、东坑路）等标段建设，推进六期项目（沿河路）、六期项目（水利防护栏等配套工程）等新开工标段建设。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汕尾高新区红草园区基础设施八期项目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2025-2027</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汕尾高新区红草园区基础设施八期项目共建设园区4条道路，总长度约2370m，改造一处路口面积约24520㎡，新建110kV拾和站Ⅱ回线接入电缆线路工程，线路长约2.7km。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27876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完成项目前期工作及部分道路桩基及基础工程施工。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103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汕尾红海湾经济开发区汕尾新港白沙湖作业区基础设施建设项目</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2026-2029</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主要建设内容包括：新建园区道路长 2.392 公里；DN160 电力管道约 3000 米，DN110 通信管道约 3000 米，DN200～1400 雨水管道约 5200 米，DN300～800 污水管道约 3500 米，DN800～1000 中水管道约 500 米，DN200～300 给水管道约 3300 米，DN300～400 燃气管道约 1100 米，DN500 蒸汽管道约 1000 米；新建及改造排洪渠 2450 米；场地平整、智慧充电桩路灯、农业用水计量设备等配套设施。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48830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20000</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sz w:val="24"/>
                <w:szCs w:val="24"/>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完成建设项目1/3工作量。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总计</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24837941.61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8833838.58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3359353</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iCs w:val="0"/>
                <w:color w:val="000000" w:themeColor="text1"/>
                <w:kern w:val="0"/>
                <w:sz w:val="24"/>
                <w:szCs w:val="24"/>
                <w:u w:val="none"/>
                <w:lang w:val="en-US" w:eastAsia="zh-CN" w:bidi="ar"/>
                <w14:textFill>
                  <w14:solidFill>
                    <w14:schemeClr w14:val="tx1"/>
                  </w14:solidFill>
                </w14:textFill>
              </w:rPr>
              <w:t>——</w:t>
            </w:r>
          </w:p>
        </w:tc>
      </w:tr>
    </w:tbl>
    <w:p>
      <w:pPr>
        <w:ind w:firstLine="0" w:firstLineChars="0"/>
        <w:rPr>
          <w:color w:val="000000" w:themeColor="text1"/>
          <w14:textFill>
            <w14:solidFill>
              <w14:schemeClr w14:val="tx1"/>
            </w14:solidFill>
          </w14:textFill>
        </w:rPr>
      </w:pPr>
    </w:p>
    <w:sectPr>
      <w:footerReference r:id="rId12"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楷体">
    <w:panose1 w:val="02010609060101010101"/>
    <w:charset w:val="86"/>
    <w:family w:val="auto"/>
    <w:pitch w:val="default"/>
    <w:sig w:usb0="800002BF" w:usb1="38CF7CFA" w:usb2="00000016" w:usb3="00000000" w:csb0="00040001" w:csb1="00000000"/>
  </w:font>
  <w:font w:name="Liberation Serif">
    <w:panose1 w:val="02020603050405020304"/>
    <w:charset w:val="00"/>
    <w:family w:val="auto"/>
    <w:pitch w:val="default"/>
    <w:sig w:usb0="A00002AF" w:usb1="500078FB" w:usb2="00000000" w:usb3="00000000" w:csb0="6000009F" w:csb1="DFD70000"/>
  </w:font>
  <w:font w:name="Microsoft YaHei">
    <w:altName w:val="黑体"/>
    <w:panose1 w:val="00000000000000000000"/>
    <w:charset w:val="00"/>
    <w:family w:val="auto"/>
    <w:pitch w:val="default"/>
    <w:sig w:usb0="00000000" w:usb1="00000000" w:usb2="00000000" w:usb3="00000000" w:csb0="00000000" w:csb1="00000000"/>
  </w:font>
  <w:font w:name="Tahoma">
    <w:altName w:val="Droid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672"/>
      <w:docPartObj>
        <w:docPartGallery w:val="autotext"/>
      </w:docPartObj>
    </w:sdtPr>
    <w:sdtEndPr>
      <w:rPr>
        <w:color w:val="0D0D0D" w:themeColor="text1" w:themeTint="F2"/>
        <w14:textFill>
          <w14:solidFill>
            <w14:schemeClr w14:val="tx1">
              <w14:lumMod w14:val="95000"/>
              <w14:lumOff w14:val="5000"/>
            </w14:schemeClr>
          </w14:solidFill>
        </w14:textFill>
      </w:rPr>
    </w:sdtEndPr>
    <w:sdtContent>
      <w:p>
        <w:pPr>
          <w:pStyle w:val="14"/>
          <w:ind w:firstLine="360"/>
          <w:jc w:val="center"/>
          <w:rPr>
            <w:rFonts w:hint="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fldChar w:fldCharType="begin"/>
        </w:r>
        <w:r>
          <w:rPr>
            <w:color w:val="0D0D0D" w:themeColor="text1" w:themeTint="F2"/>
            <w14:textFill>
              <w14:solidFill>
                <w14:schemeClr w14:val="tx1">
                  <w14:lumMod w14:val="95000"/>
                  <w14:lumOff w14:val="5000"/>
                </w14:schemeClr>
              </w14:solidFill>
            </w14:textFill>
          </w:rPr>
          <w:instrText xml:space="preserve">PAGE   \* MERGEFORMAT</w:instrText>
        </w:r>
        <w:r>
          <w:rPr>
            <w:color w:val="0D0D0D" w:themeColor="text1" w:themeTint="F2"/>
            <w14:textFill>
              <w14:solidFill>
                <w14:schemeClr w14:val="tx1">
                  <w14:lumMod w14:val="95000"/>
                  <w14:lumOff w14:val="5000"/>
                </w14:schemeClr>
              </w14:solidFill>
            </w14:textFill>
          </w:rPr>
          <w:fldChar w:fldCharType="separate"/>
        </w:r>
        <w:r>
          <w:rPr>
            <w:color w:val="0D0D0D" w:themeColor="text1" w:themeTint="F2"/>
            <w:lang w:val="zh-CN"/>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rPr>
        <w:rFonts w:hint="eastAsia"/>
        <w:color w:val="0D0D0D" w:themeColor="text1" w:themeTint="F2"/>
        <w14:textFill>
          <w14:solidFill>
            <w14:schemeClr w14:val="tx1">
              <w14:lumMod w14:val="95000"/>
              <w14:lumOff w14:val="5000"/>
            </w14:schemeClr>
          </w14:solidFill>
        </w14:textFill>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5CA89"/>
    <w:multiLevelType w:val="singleLevel"/>
    <w:tmpl w:val="00D5CA89"/>
    <w:lvl w:ilvl="0" w:tentative="0">
      <w:start w:val="2"/>
      <w:numFmt w:val="chineseCounting"/>
      <w:suff w:val="nothing"/>
      <w:lvlText w:val="（%1）"/>
      <w:lvlJc w:val="left"/>
      <w:rPr>
        <w:rFonts w:hint="eastAsia"/>
      </w:rPr>
    </w:lvl>
  </w:abstractNum>
  <w:abstractNum w:abstractNumId="1">
    <w:nsid w:val="65B0CD7F"/>
    <w:multiLevelType w:val="multilevel"/>
    <w:tmpl w:val="65B0CD7F"/>
    <w:lvl w:ilvl="0" w:tentative="0">
      <w:start w:val="1"/>
      <w:numFmt w:val="chineseCountingThousand"/>
      <w:suff w:val="nothing"/>
      <w:lvlText w:val="第%1章  "/>
      <w:legacy w:legacy="1" w:legacySpace="0" w:legacyIndent="288"/>
      <w:lvlJc w:val="center"/>
      <w:pPr>
        <w:ind w:left="0" w:firstLine="288"/>
      </w:pPr>
      <w:rPr>
        <w:rFonts w:hint="eastAsia" w:eastAsia="黑体"/>
        <w:sz w:val="28"/>
        <w:szCs w:val="28"/>
      </w:rPr>
    </w:lvl>
    <w:lvl w:ilvl="1" w:tentative="0">
      <w:start w:val="1"/>
      <w:numFmt w:val="chineseCountingThousand"/>
      <w:suff w:val="nothing"/>
      <w:lvlText w:val="第%2节  "/>
      <w:legacy w:legacy="1" w:legacySpace="0" w:legacyIndent="0"/>
      <w:lvlJc w:val="left"/>
      <w:pPr>
        <w:ind w:left="0" w:firstLine="0"/>
      </w:pPr>
      <w:rPr>
        <w:rFonts w:hint="eastAsia" w:ascii="宋体" w:hAnsi="宋体" w:eastAsia="宋体"/>
        <w:b w:val="0"/>
        <w:sz w:val="28"/>
        <w:szCs w:val="28"/>
      </w:rPr>
    </w:lvl>
    <w:lvl w:ilvl="2" w:tentative="0">
      <w:start w:val="1"/>
      <w:numFmt w:val="none"/>
      <w:suff w:val="nothing"/>
      <w:lvlText w:val=""/>
      <w:legacy w:legacy="1" w:legacySpace="0" w:legacyIndent="0"/>
      <w:lvlJc w:val="left"/>
      <w:pPr>
        <w:ind w:left="0" w:firstLine="0"/>
      </w:pPr>
      <w:rPr>
        <w:rFonts w:hint="eastAsia"/>
      </w:rPr>
    </w:lvl>
    <w:lvl w:ilvl="3" w:tentative="0">
      <w:start w:val="1"/>
      <w:numFmt w:val="none"/>
      <w:suff w:val="nothing"/>
      <w:lvlText w:val=""/>
      <w:legacy w:legacy="1" w:legacySpace="0" w:legacyIndent="0"/>
      <w:lvlJc w:val="left"/>
      <w:pPr>
        <w:ind w:left="0" w:firstLine="0"/>
      </w:pPr>
      <w:rPr>
        <w:rFonts w:hint="eastAsia"/>
      </w:rPr>
    </w:lvl>
    <w:lvl w:ilvl="4" w:tentative="0">
      <w:start w:val="1"/>
      <w:numFmt w:val="none"/>
      <w:suff w:val="nothing"/>
      <w:lvlText w:val=""/>
      <w:legacy w:legacy="1" w:legacySpace="0" w:legacyIndent="0"/>
      <w:lvlJc w:val="left"/>
      <w:pPr>
        <w:ind w:left="0" w:firstLine="0"/>
      </w:pPr>
      <w:rPr>
        <w:rFonts w:hint="eastAsia"/>
      </w:rPr>
    </w:lvl>
    <w:lvl w:ilvl="5" w:tentative="0">
      <w:start w:val="1"/>
      <w:numFmt w:val="none"/>
      <w:pStyle w:val="7"/>
      <w:suff w:val="nothing"/>
      <w:lvlText w:val=""/>
      <w:legacy w:legacy="1" w:legacySpace="0" w:legacyIndent="0"/>
      <w:lvlJc w:val="left"/>
      <w:pPr>
        <w:ind w:left="0" w:firstLine="0"/>
      </w:pPr>
      <w:rPr>
        <w:rFonts w:hint="eastAsia"/>
      </w:rPr>
    </w:lvl>
    <w:lvl w:ilvl="6" w:tentative="0">
      <w:start w:val="1"/>
      <w:numFmt w:val="none"/>
      <w:suff w:val="nothing"/>
      <w:lvlText w:val=""/>
      <w:legacy w:legacy="1" w:legacySpace="0" w:legacyIndent="0"/>
      <w:lvlJc w:val="left"/>
      <w:pPr>
        <w:ind w:left="0" w:firstLine="0"/>
      </w:pPr>
      <w:rPr>
        <w:rFonts w:hint="eastAsia"/>
      </w:rPr>
    </w:lvl>
    <w:lvl w:ilvl="7" w:tentative="0">
      <w:start w:val="1"/>
      <w:numFmt w:val="none"/>
      <w:suff w:val="nothing"/>
      <w:lvlText w:val=""/>
      <w:legacy w:legacy="1" w:legacySpace="0" w:legacyIndent="0"/>
      <w:lvlJc w:val="left"/>
      <w:pPr>
        <w:ind w:left="0" w:firstLine="0"/>
      </w:pPr>
      <w:rPr>
        <w:rFonts w:hint="eastAsia"/>
      </w:rPr>
    </w:lvl>
    <w:lvl w:ilvl="8" w:tentative="0">
      <w:start w:val="1"/>
      <w:numFmt w:val="none"/>
      <w:suff w:val="nothing"/>
      <w:lvlText w:val=""/>
      <w:legacy w:legacy="1" w:legacySpace="0" w:legacyIndent="0"/>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MGI3OWQwZjU0ZTU4ZDZiNGJkYTk3MzkxYzY2Y2IifQ=="/>
  </w:docVars>
  <w:rsids>
    <w:rsidRoot w:val="00172A27"/>
    <w:rsid w:val="000071BB"/>
    <w:rsid w:val="000418FE"/>
    <w:rsid w:val="00050006"/>
    <w:rsid w:val="00172A27"/>
    <w:rsid w:val="001A2968"/>
    <w:rsid w:val="001E08F9"/>
    <w:rsid w:val="00271F9D"/>
    <w:rsid w:val="002B6923"/>
    <w:rsid w:val="003C1F04"/>
    <w:rsid w:val="004B0D73"/>
    <w:rsid w:val="005602F8"/>
    <w:rsid w:val="005714C6"/>
    <w:rsid w:val="005F481F"/>
    <w:rsid w:val="0061268A"/>
    <w:rsid w:val="00661709"/>
    <w:rsid w:val="006731E0"/>
    <w:rsid w:val="0069744B"/>
    <w:rsid w:val="006B3FCD"/>
    <w:rsid w:val="006D6F3B"/>
    <w:rsid w:val="00724903"/>
    <w:rsid w:val="007C24D9"/>
    <w:rsid w:val="007C717F"/>
    <w:rsid w:val="008D418D"/>
    <w:rsid w:val="008D7F24"/>
    <w:rsid w:val="00914615"/>
    <w:rsid w:val="009C3294"/>
    <w:rsid w:val="00A244DD"/>
    <w:rsid w:val="00A255DC"/>
    <w:rsid w:val="00B269F2"/>
    <w:rsid w:val="00B84E29"/>
    <w:rsid w:val="00BF3129"/>
    <w:rsid w:val="00BF7567"/>
    <w:rsid w:val="00C73000"/>
    <w:rsid w:val="00D35B66"/>
    <w:rsid w:val="00DC09F6"/>
    <w:rsid w:val="00DC272A"/>
    <w:rsid w:val="00E3646C"/>
    <w:rsid w:val="00E42A18"/>
    <w:rsid w:val="00E46AD2"/>
    <w:rsid w:val="00E766B8"/>
    <w:rsid w:val="00FA67D1"/>
    <w:rsid w:val="00FC02BE"/>
    <w:rsid w:val="00FC02BF"/>
    <w:rsid w:val="00FE1064"/>
    <w:rsid w:val="01021EB0"/>
    <w:rsid w:val="010C705D"/>
    <w:rsid w:val="011123D5"/>
    <w:rsid w:val="012B735D"/>
    <w:rsid w:val="01383E81"/>
    <w:rsid w:val="014460DC"/>
    <w:rsid w:val="01466397"/>
    <w:rsid w:val="01560234"/>
    <w:rsid w:val="016043AA"/>
    <w:rsid w:val="01785B98"/>
    <w:rsid w:val="017B5611"/>
    <w:rsid w:val="017F669D"/>
    <w:rsid w:val="01843692"/>
    <w:rsid w:val="01951EFD"/>
    <w:rsid w:val="0196601E"/>
    <w:rsid w:val="019C4418"/>
    <w:rsid w:val="019D3E3D"/>
    <w:rsid w:val="01A1135E"/>
    <w:rsid w:val="01A22C15"/>
    <w:rsid w:val="01B023F4"/>
    <w:rsid w:val="01CF7782"/>
    <w:rsid w:val="01D628BE"/>
    <w:rsid w:val="01D92F9F"/>
    <w:rsid w:val="01DE77E3"/>
    <w:rsid w:val="01EE1D39"/>
    <w:rsid w:val="01F86854"/>
    <w:rsid w:val="0207305F"/>
    <w:rsid w:val="02073B86"/>
    <w:rsid w:val="020E4338"/>
    <w:rsid w:val="02105650"/>
    <w:rsid w:val="02330296"/>
    <w:rsid w:val="023615AF"/>
    <w:rsid w:val="0240659B"/>
    <w:rsid w:val="024263C4"/>
    <w:rsid w:val="0250441F"/>
    <w:rsid w:val="02516E82"/>
    <w:rsid w:val="02667537"/>
    <w:rsid w:val="02685C0C"/>
    <w:rsid w:val="026C01DD"/>
    <w:rsid w:val="026E580B"/>
    <w:rsid w:val="02851B46"/>
    <w:rsid w:val="028B637C"/>
    <w:rsid w:val="02A56E89"/>
    <w:rsid w:val="02AF6965"/>
    <w:rsid w:val="02B87FFB"/>
    <w:rsid w:val="02C46BBB"/>
    <w:rsid w:val="02C8787C"/>
    <w:rsid w:val="02C941D1"/>
    <w:rsid w:val="02CE534C"/>
    <w:rsid w:val="02F56D74"/>
    <w:rsid w:val="03045209"/>
    <w:rsid w:val="03103B27"/>
    <w:rsid w:val="031B7E6F"/>
    <w:rsid w:val="031F474C"/>
    <w:rsid w:val="032A55EF"/>
    <w:rsid w:val="0333760E"/>
    <w:rsid w:val="03364ED1"/>
    <w:rsid w:val="034120B4"/>
    <w:rsid w:val="0359498D"/>
    <w:rsid w:val="035E2049"/>
    <w:rsid w:val="03764359"/>
    <w:rsid w:val="0388682E"/>
    <w:rsid w:val="03977E2B"/>
    <w:rsid w:val="03A01B4F"/>
    <w:rsid w:val="03AE3AF3"/>
    <w:rsid w:val="03AF33C7"/>
    <w:rsid w:val="03BE2277"/>
    <w:rsid w:val="03CA3AB5"/>
    <w:rsid w:val="03D96696"/>
    <w:rsid w:val="03F84D6E"/>
    <w:rsid w:val="04082D1D"/>
    <w:rsid w:val="040C6A6B"/>
    <w:rsid w:val="041A1DAA"/>
    <w:rsid w:val="041D1215"/>
    <w:rsid w:val="04437768"/>
    <w:rsid w:val="04457D3F"/>
    <w:rsid w:val="04564B89"/>
    <w:rsid w:val="0460786C"/>
    <w:rsid w:val="046C0DB7"/>
    <w:rsid w:val="046E5030"/>
    <w:rsid w:val="047D1139"/>
    <w:rsid w:val="047F4634"/>
    <w:rsid w:val="047F723D"/>
    <w:rsid w:val="04843C28"/>
    <w:rsid w:val="04926387"/>
    <w:rsid w:val="049D3B67"/>
    <w:rsid w:val="04A50D82"/>
    <w:rsid w:val="04BA0275"/>
    <w:rsid w:val="04BF6FA3"/>
    <w:rsid w:val="04C17856"/>
    <w:rsid w:val="04D70E27"/>
    <w:rsid w:val="04E32541"/>
    <w:rsid w:val="04E76918"/>
    <w:rsid w:val="04F14B3B"/>
    <w:rsid w:val="04F33787"/>
    <w:rsid w:val="04FE4606"/>
    <w:rsid w:val="05034C75"/>
    <w:rsid w:val="05080520"/>
    <w:rsid w:val="050E50E5"/>
    <w:rsid w:val="0512765A"/>
    <w:rsid w:val="05203B59"/>
    <w:rsid w:val="05385864"/>
    <w:rsid w:val="053C02DB"/>
    <w:rsid w:val="053F0FCB"/>
    <w:rsid w:val="056613C4"/>
    <w:rsid w:val="056F0AF9"/>
    <w:rsid w:val="05A50F26"/>
    <w:rsid w:val="05B922DB"/>
    <w:rsid w:val="05BE6294"/>
    <w:rsid w:val="05BF41AB"/>
    <w:rsid w:val="05C3315A"/>
    <w:rsid w:val="05C33E86"/>
    <w:rsid w:val="05CA44E8"/>
    <w:rsid w:val="05CF7D50"/>
    <w:rsid w:val="05E03D0C"/>
    <w:rsid w:val="05E337FC"/>
    <w:rsid w:val="05FA0335"/>
    <w:rsid w:val="05FA6691"/>
    <w:rsid w:val="061B33AB"/>
    <w:rsid w:val="06230B81"/>
    <w:rsid w:val="06330293"/>
    <w:rsid w:val="063B4B64"/>
    <w:rsid w:val="065D35AE"/>
    <w:rsid w:val="06640499"/>
    <w:rsid w:val="066D1C16"/>
    <w:rsid w:val="066E238C"/>
    <w:rsid w:val="06841CCA"/>
    <w:rsid w:val="068E3E81"/>
    <w:rsid w:val="069A14F1"/>
    <w:rsid w:val="06AE2FA5"/>
    <w:rsid w:val="06B84C89"/>
    <w:rsid w:val="06CC7F39"/>
    <w:rsid w:val="06EB1C93"/>
    <w:rsid w:val="06ED4932"/>
    <w:rsid w:val="06F63C98"/>
    <w:rsid w:val="06FD1A86"/>
    <w:rsid w:val="070C28DE"/>
    <w:rsid w:val="07195068"/>
    <w:rsid w:val="07506C6F"/>
    <w:rsid w:val="075A1EFF"/>
    <w:rsid w:val="07724E37"/>
    <w:rsid w:val="07797E70"/>
    <w:rsid w:val="07807554"/>
    <w:rsid w:val="078E795F"/>
    <w:rsid w:val="07A64EC2"/>
    <w:rsid w:val="07AB20F7"/>
    <w:rsid w:val="07B34F9D"/>
    <w:rsid w:val="07B407BE"/>
    <w:rsid w:val="07D4164E"/>
    <w:rsid w:val="07E37AE3"/>
    <w:rsid w:val="081538B4"/>
    <w:rsid w:val="081D1247"/>
    <w:rsid w:val="08204893"/>
    <w:rsid w:val="0822386C"/>
    <w:rsid w:val="082805EC"/>
    <w:rsid w:val="08350B60"/>
    <w:rsid w:val="08420CAE"/>
    <w:rsid w:val="084773F1"/>
    <w:rsid w:val="08564296"/>
    <w:rsid w:val="08597DA5"/>
    <w:rsid w:val="085A3CD2"/>
    <w:rsid w:val="085D7E4F"/>
    <w:rsid w:val="0874347A"/>
    <w:rsid w:val="08762705"/>
    <w:rsid w:val="08807006"/>
    <w:rsid w:val="0882554E"/>
    <w:rsid w:val="088E5CA1"/>
    <w:rsid w:val="088F5575"/>
    <w:rsid w:val="08901FC1"/>
    <w:rsid w:val="08936990"/>
    <w:rsid w:val="08A234FA"/>
    <w:rsid w:val="08B111EB"/>
    <w:rsid w:val="08B6414A"/>
    <w:rsid w:val="08B651F8"/>
    <w:rsid w:val="08B80F70"/>
    <w:rsid w:val="08D10970"/>
    <w:rsid w:val="08D37B58"/>
    <w:rsid w:val="08D51800"/>
    <w:rsid w:val="08DC5452"/>
    <w:rsid w:val="08DF64FD"/>
    <w:rsid w:val="08E05248"/>
    <w:rsid w:val="08ED6854"/>
    <w:rsid w:val="08F1563F"/>
    <w:rsid w:val="09002C0C"/>
    <w:rsid w:val="091066B6"/>
    <w:rsid w:val="09114435"/>
    <w:rsid w:val="0912051F"/>
    <w:rsid w:val="091C14FF"/>
    <w:rsid w:val="0924573B"/>
    <w:rsid w:val="092C0DD4"/>
    <w:rsid w:val="09430C49"/>
    <w:rsid w:val="09442803"/>
    <w:rsid w:val="094E04B7"/>
    <w:rsid w:val="097A6225"/>
    <w:rsid w:val="09931A4E"/>
    <w:rsid w:val="09AF0D44"/>
    <w:rsid w:val="09CF031F"/>
    <w:rsid w:val="09D76CAB"/>
    <w:rsid w:val="09DC55E5"/>
    <w:rsid w:val="09F37B41"/>
    <w:rsid w:val="09F77876"/>
    <w:rsid w:val="09F95EC0"/>
    <w:rsid w:val="0A090062"/>
    <w:rsid w:val="0A1202CA"/>
    <w:rsid w:val="0A1B7A08"/>
    <w:rsid w:val="0A252635"/>
    <w:rsid w:val="0A2D5046"/>
    <w:rsid w:val="0A36214C"/>
    <w:rsid w:val="0A3E54A5"/>
    <w:rsid w:val="0A4E6FBD"/>
    <w:rsid w:val="0A503D1B"/>
    <w:rsid w:val="0A5C680F"/>
    <w:rsid w:val="0A5D191E"/>
    <w:rsid w:val="0A6F75BD"/>
    <w:rsid w:val="0A735943"/>
    <w:rsid w:val="0A8119D2"/>
    <w:rsid w:val="0A825391"/>
    <w:rsid w:val="0A8D3D36"/>
    <w:rsid w:val="0A9B46A5"/>
    <w:rsid w:val="0AB45767"/>
    <w:rsid w:val="0AB6762E"/>
    <w:rsid w:val="0AB70971"/>
    <w:rsid w:val="0AB84675"/>
    <w:rsid w:val="0ABA0DF8"/>
    <w:rsid w:val="0ABD2BDF"/>
    <w:rsid w:val="0ABF5171"/>
    <w:rsid w:val="0AC20FD5"/>
    <w:rsid w:val="0ACC0D02"/>
    <w:rsid w:val="0AD007F3"/>
    <w:rsid w:val="0AE24082"/>
    <w:rsid w:val="0AEB6B61"/>
    <w:rsid w:val="0AF25580"/>
    <w:rsid w:val="0AF554FA"/>
    <w:rsid w:val="0AF80FBD"/>
    <w:rsid w:val="0B022912"/>
    <w:rsid w:val="0B2D79F3"/>
    <w:rsid w:val="0B332E62"/>
    <w:rsid w:val="0B36617C"/>
    <w:rsid w:val="0B4D1E43"/>
    <w:rsid w:val="0B5807A3"/>
    <w:rsid w:val="0B6B22C9"/>
    <w:rsid w:val="0B6C55AF"/>
    <w:rsid w:val="0B8C2EFD"/>
    <w:rsid w:val="0B93265A"/>
    <w:rsid w:val="0BA22FC1"/>
    <w:rsid w:val="0BC049CF"/>
    <w:rsid w:val="0BC35860"/>
    <w:rsid w:val="0BCB063F"/>
    <w:rsid w:val="0BE96EEC"/>
    <w:rsid w:val="0BEB51B8"/>
    <w:rsid w:val="0C107EC4"/>
    <w:rsid w:val="0C503E37"/>
    <w:rsid w:val="0C5745FC"/>
    <w:rsid w:val="0C6F2567"/>
    <w:rsid w:val="0C743400"/>
    <w:rsid w:val="0C7927C4"/>
    <w:rsid w:val="0C7A1229"/>
    <w:rsid w:val="0C81708A"/>
    <w:rsid w:val="0C825B1D"/>
    <w:rsid w:val="0C842373"/>
    <w:rsid w:val="0C8B18B5"/>
    <w:rsid w:val="0C8C699B"/>
    <w:rsid w:val="0C985340"/>
    <w:rsid w:val="0CA94959"/>
    <w:rsid w:val="0CAD02C0"/>
    <w:rsid w:val="0CAF56D5"/>
    <w:rsid w:val="0CB324A4"/>
    <w:rsid w:val="0CBB3BD3"/>
    <w:rsid w:val="0CD342B6"/>
    <w:rsid w:val="0CD65E68"/>
    <w:rsid w:val="0CE9794A"/>
    <w:rsid w:val="0CF00BEA"/>
    <w:rsid w:val="0CF423FB"/>
    <w:rsid w:val="0CF956B3"/>
    <w:rsid w:val="0D1418BD"/>
    <w:rsid w:val="0D1A3FA7"/>
    <w:rsid w:val="0D272220"/>
    <w:rsid w:val="0D2E2895"/>
    <w:rsid w:val="0D305579"/>
    <w:rsid w:val="0D336E17"/>
    <w:rsid w:val="0D3C66C5"/>
    <w:rsid w:val="0D7336B7"/>
    <w:rsid w:val="0D821B4C"/>
    <w:rsid w:val="0D867C8B"/>
    <w:rsid w:val="0D870F11"/>
    <w:rsid w:val="0D935B07"/>
    <w:rsid w:val="0DA11FD2"/>
    <w:rsid w:val="0DBA6F5E"/>
    <w:rsid w:val="0DC74BB1"/>
    <w:rsid w:val="0DD05F2E"/>
    <w:rsid w:val="0DD201F4"/>
    <w:rsid w:val="0DD57ECE"/>
    <w:rsid w:val="0DD95C10"/>
    <w:rsid w:val="0DE018EF"/>
    <w:rsid w:val="0DE16873"/>
    <w:rsid w:val="0DE446CB"/>
    <w:rsid w:val="0DFD0FF8"/>
    <w:rsid w:val="0DFE11D3"/>
    <w:rsid w:val="0E0A35FC"/>
    <w:rsid w:val="0E0C2274"/>
    <w:rsid w:val="0E124C7E"/>
    <w:rsid w:val="0E1A1D85"/>
    <w:rsid w:val="0E1B7FD7"/>
    <w:rsid w:val="0E1D59E6"/>
    <w:rsid w:val="0E465AFE"/>
    <w:rsid w:val="0E4C33AE"/>
    <w:rsid w:val="0E620BAE"/>
    <w:rsid w:val="0E6D6E46"/>
    <w:rsid w:val="0E764425"/>
    <w:rsid w:val="0E8C787B"/>
    <w:rsid w:val="0E8D1EBF"/>
    <w:rsid w:val="0E924096"/>
    <w:rsid w:val="0E963B01"/>
    <w:rsid w:val="0EAF7272"/>
    <w:rsid w:val="0EB52A91"/>
    <w:rsid w:val="0EBB23DF"/>
    <w:rsid w:val="0EBC6F03"/>
    <w:rsid w:val="0ED26512"/>
    <w:rsid w:val="0EF4232E"/>
    <w:rsid w:val="0EF425D6"/>
    <w:rsid w:val="0EFD592E"/>
    <w:rsid w:val="0F225395"/>
    <w:rsid w:val="0F3B253B"/>
    <w:rsid w:val="0F40581B"/>
    <w:rsid w:val="0F5F5CA1"/>
    <w:rsid w:val="0F883B32"/>
    <w:rsid w:val="0F894D98"/>
    <w:rsid w:val="0F906E55"/>
    <w:rsid w:val="0F9F69E6"/>
    <w:rsid w:val="0FAE6F8F"/>
    <w:rsid w:val="0FB74F6A"/>
    <w:rsid w:val="0FDF6DE2"/>
    <w:rsid w:val="0FE45294"/>
    <w:rsid w:val="0FE67D3D"/>
    <w:rsid w:val="0FE80FB7"/>
    <w:rsid w:val="0FED14FF"/>
    <w:rsid w:val="0FF20B75"/>
    <w:rsid w:val="0FF3288D"/>
    <w:rsid w:val="0FF85EDB"/>
    <w:rsid w:val="0FF86DF4"/>
    <w:rsid w:val="100D2C3B"/>
    <w:rsid w:val="100D7DF3"/>
    <w:rsid w:val="10362DC0"/>
    <w:rsid w:val="10405D16"/>
    <w:rsid w:val="10612472"/>
    <w:rsid w:val="107339EC"/>
    <w:rsid w:val="10947BCD"/>
    <w:rsid w:val="109B6F44"/>
    <w:rsid w:val="10C832C3"/>
    <w:rsid w:val="10CD1330"/>
    <w:rsid w:val="10CF02AC"/>
    <w:rsid w:val="10D34B99"/>
    <w:rsid w:val="10E16330"/>
    <w:rsid w:val="11042EEF"/>
    <w:rsid w:val="110A553C"/>
    <w:rsid w:val="110D797F"/>
    <w:rsid w:val="110F36F7"/>
    <w:rsid w:val="110F6BF8"/>
    <w:rsid w:val="11131439"/>
    <w:rsid w:val="11193E5E"/>
    <w:rsid w:val="11333889"/>
    <w:rsid w:val="113C2AA5"/>
    <w:rsid w:val="1142469E"/>
    <w:rsid w:val="11657521"/>
    <w:rsid w:val="11677FF5"/>
    <w:rsid w:val="117874EE"/>
    <w:rsid w:val="1182211B"/>
    <w:rsid w:val="119B4F8B"/>
    <w:rsid w:val="11A2456B"/>
    <w:rsid w:val="11A6405B"/>
    <w:rsid w:val="11A77DD3"/>
    <w:rsid w:val="11AE1162"/>
    <w:rsid w:val="11B76268"/>
    <w:rsid w:val="11C10E95"/>
    <w:rsid w:val="11C42733"/>
    <w:rsid w:val="11C4534D"/>
    <w:rsid w:val="11C61808"/>
    <w:rsid w:val="11CE710E"/>
    <w:rsid w:val="11DD02B7"/>
    <w:rsid w:val="11E10533"/>
    <w:rsid w:val="12096398"/>
    <w:rsid w:val="12157FC9"/>
    <w:rsid w:val="1230066B"/>
    <w:rsid w:val="123C0D32"/>
    <w:rsid w:val="127F69EA"/>
    <w:rsid w:val="12880BE8"/>
    <w:rsid w:val="129739A4"/>
    <w:rsid w:val="12A6200E"/>
    <w:rsid w:val="12B34077"/>
    <w:rsid w:val="12C2709B"/>
    <w:rsid w:val="12C46D87"/>
    <w:rsid w:val="12D2780D"/>
    <w:rsid w:val="12D44A81"/>
    <w:rsid w:val="12D8182D"/>
    <w:rsid w:val="12DB5F87"/>
    <w:rsid w:val="12E12E71"/>
    <w:rsid w:val="12E40460"/>
    <w:rsid w:val="12FD0B6A"/>
    <w:rsid w:val="13070B2A"/>
    <w:rsid w:val="133438E9"/>
    <w:rsid w:val="13405DEA"/>
    <w:rsid w:val="13406A79"/>
    <w:rsid w:val="134E6759"/>
    <w:rsid w:val="13830281"/>
    <w:rsid w:val="138C1B26"/>
    <w:rsid w:val="139C3430"/>
    <w:rsid w:val="13C0517C"/>
    <w:rsid w:val="13D2292A"/>
    <w:rsid w:val="13DE01AE"/>
    <w:rsid w:val="13DF24ED"/>
    <w:rsid w:val="13E238D3"/>
    <w:rsid w:val="13E62E35"/>
    <w:rsid w:val="140D682E"/>
    <w:rsid w:val="141D437D"/>
    <w:rsid w:val="142174E2"/>
    <w:rsid w:val="142252EA"/>
    <w:rsid w:val="14334118"/>
    <w:rsid w:val="143376FC"/>
    <w:rsid w:val="143850E3"/>
    <w:rsid w:val="143D057B"/>
    <w:rsid w:val="143E36BA"/>
    <w:rsid w:val="14563F45"/>
    <w:rsid w:val="146A26EA"/>
    <w:rsid w:val="146A5814"/>
    <w:rsid w:val="14784E69"/>
    <w:rsid w:val="14883EEC"/>
    <w:rsid w:val="148E215F"/>
    <w:rsid w:val="149F6A09"/>
    <w:rsid w:val="14A33EAB"/>
    <w:rsid w:val="14A93841"/>
    <w:rsid w:val="14B24AC5"/>
    <w:rsid w:val="14C842E9"/>
    <w:rsid w:val="14CC01A1"/>
    <w:rsid w:val="14DB717D"/>
    <w:rsid w:val="14E55BD9"/>
    <w:rsid w:val="1500393A"/>
    <w:rsid w:val="150414A8"/>
    <w:rsid w:val="150A76A2"/>
    <w:rsid w:val="15127C5A"/>
    <w:rsid w:val="151F77A7"/>
    <w:rsid w:val="152C0D1B"/>
    <w:rsid w:val="153951E6"/>
    <w:rsid w:val="15400323"/>
    <w:rsid w:val="15552B80"/>
    <w:rsid w:val="156564B1"/>
    <w:rsid w:val="1587456B"/>
    <w:rsid w:val="158E5532"/>
    <w:rsid w:val="15910B7E"/>
    <w:rsid w:val="15A11C7D"/>
    <w:rsid w:val="15CD1B01"/>
    <w:rsid w:val="15D46A1A"/>
    <w:rsid w:val="15D62A35"/>
    <w:rsid w:val="15D91091"/>
    <w:rsid w:val="15DA78F3"/>
    <w:rsid w:val="15DD3DC4"/>
    <w:rsid w:val="15E038B4"/>
    <w:rsid w:val="15E04CF1"/>
    <w:rsid w:val="15E2762C"/>
    <w:rsid w:val="15E32034"/>
    <w:rsid w:val="15EB593E"/>
    <w:rsid w:val="15EF35C9"/>
    <w:rsid w:val="15F27E2C"/>
    <w:rsid w:val="15FE0ECE"/>
    <w:rsid w:val="160305A0"/>
    <w:rsid w:val="161B25E6"/>
    <w:rsid w:val="16493341"/>
    <w:rsid w:val="16604EB9"/>
    <w:rsid w:val="167A5FAD"/>
    <w:rsid w:val="167B0268"/>
    <w:rsid w:val="16905364"/>
    <w:rsid w:val="16AF39B2"/>
    <w:rsid w:val="16CF5E02"/>
    <w:rsid w:val="16D451C7"/>
    <w:rsid w:val="16ED6288"/>
    <w:rsid w:val="16F77107"/>
    <w:rsid w:val="17131EB5"/>
    <w:rsid w:val="17171557"/>
    <w:rsid w:val="1719707D"/>
    <w:rsid w:val="17305017"/>
    <w:rsid w:val="173B3498"/>
    <w:rsid w:val="174844D9"/>
    <w:rsid w:val="17514A69"/>
    <w:rsid w:val="17530D80"/>
    <w:rsid w:val="17657940"/>
    <w:rsid w:val="17686429"/>
    <w:rsid w:val="17832E52"/>
    <w:rsid w:val="17872239"/>
    <w:rsid w:val="179901BE"/>
    <w:rsid w:val="17B15508"/>
    <w:rsid w:val="17B4766F"/>
    <w:rsid w:val="17BB6387"/>
    <w:rsid w:val="17BD5C5B"/>
    <w:rsid w:val="17C734E0"/>
    <w:rsid w:val="17CC0594"/>
    <w:rsid w:val="17DA1F62"/>
    <w:rsid w:val="17DD00AB"/>
    <w:rsid w:val="182C4B8E"/>
    <w:rsid w:val="18383533"/>
    <w:rsid w:val="183F6C04"/>
    <w:rsid w:val="184536BA"/>
    <w:rsid w:val="184E65D2"/>
    <w:rsid w:val="18602A8A"/>
    <w:rsid w:val="1864257A"/>
    <w:rsid w:val="186E33F9"/>
    <w:rsid w:val="18915F7D"/>
    <w:rsid w:val="189F659D"/>
    <w:rsid w:val="18A24A16"/>
    <w:rsid w:val="18D05AC7"/>
    <w:rsid w:val="18D25736"/>
    <w:rsid w:val="19000B7B"/>
    <w:rsid w:val="190301C9"/>
    <w:rsid w:val="1904491B"/>
    <w:rsid w:val="19126B92"/>
    <w:rsid w:val="192166BD"/>
    <w:rsid w:val="19235F91"/>
    <w:rsid w:val="19306328"/>
    <w:rsid w:val="19397563"/>
    <w:rsid w:val="194126BA"/>
    <w:rsid w:val="19445F08"/>
    <w:rsid w:val="1959724A"/>
    <w:rsid w:val="19645891"/>
    <w:rsid w:val="1975388D"/>
    <w:rsid w:val="19806F7E"/>
    <w:rsid w:val="19A075E2"/>
    <w:rsid w:val="19B0396B"/>
    <w:rsid w:val="19B34E36"/>
    <w:rsid w:val="19B41802"/>
    <w:rsid w:val="19BD0194"/>
    <w:rsid w:val="19BF4733"/>
    <w:rsid w:val="19C257AA"/>
    <w:rsid w:val="19CB76F3"/>
    <w:rsid w:val="19CD342F"/>
    <w:rsid w:val="19DB2D10"/>
    <w:rsid w:val="19DC576F"/>
    <w:rsid w:val="19E0285F"/>
    <w:rsid w:val="19F90CE5"/>
    <w:rsid w:val="19FC3140"/>
    <w:rsid w:val="1A0444B0"/>
    <w:rsid w:val="1A2752E4"/>
    <w:rsid w:val="1A457F17"/>
    <w:rsid w:val="1A5F124B"/>
    <w:rsid w:val="1A734CF7"/>
    <w:rsid w:val="1A7F0380"/>
    <w:rsid w:val="1A804910"/>
    <w:rsid w:val="1A83675C"/>
    <w:rsid w:val="1A836FA3"/>
    <w:rsid w:val="1A975A4B"/>
    <w:rsid w:val="1AA255DC"/>
    <w:rsid w:val="1AA80E44"/>
    <w:rsid w:val="1AB64489"/>
    <w:rsid w:val="1AD902B2"/>
    <w:rsid w:val="1AE3773B"/>
    <w:rsid w:val="1AF916A0"/>
    <w:rsid w:val="1B10433A"/>
    <w:rsid w:val="1B124510"/>
    <w:rsid w:val="1B133F19"/>
    <w:rsid w:val="1B1C670C"/>
    <w:rsid w:val="1B1E5F75"/>
    <w:rsid w:val="1B261D69"/>
    <w:rsid w:val="1B2644A6"/>
    <w:rsid w:val="1B293C2A"/>
    <w:rsid w:val="1B3F0E7A"/>
    <w:rsid w:val="1B430B7C"/>
    <w:rsid w:val="1B522F1E"/>
    <w:rsid w:val="1B5508A0"/>
    <w:rsid w:val="1B642891"/>
    <w:rsid w:val="1B721373"/>
    <w:rsid w:val="1B7A180A"/>
    <w:rsid w:val="1B7A3E63"/>
    <w:rsid w:val="1B7C0178"/>
    <w:rsid w:val="1B7C7BDB"/>
    <w:rsid w:val="1B814880"/>
    <w:rsid w:val="1B860996"/>
    <w:rsid w:val="1B866CAC"/>
    <w:rsid w:val="1B896E09"/>
    <w:rsid w:val="1B8C53D5"/>
    <w:rsid w:val="1B900434"/>
    <w:rsid w:val="1BAF6799"/>
    <w:rsid w:val="1BB50B63"/>
    <w:rsid w:val="1BCB238C"/>
    <w:rsid w:val="1BDA7974"/>
    <w:rsid w:val="1BDC53E1"/>
    <w:rsid w:val="1BED7499"/>
    <w:rsid w:val="1BF400B9"/>
    <w:rsid w:val="1C024584"/>
    <w:rsid w:val="1C0D6BFC"/>
    <w:rsid w:val="1C0E26F1"/>
    <w:rsid w:val="1C204A0A"/>
    <w:rsid w:val="1C2C3BED"/>
    <w:rsid w:val="1C3A1F70"/>
    <w:rsid w:val="1C3C5D9B"/>
    <w:rsid w:val="1C3F5DAD"/>
    <w:rsid w:val="1C641D3B"/>
    <w:rsid w:val="1C7F7983"/>
    <w:rsid w:val="1C890801"/>
    <w:rsid w:val="1C8F393E"/>
    <w:rsid w:val="1C9666B6"/>
    <w:rsid w:val="1CC932F4"/>
    <w:rsid w:val="1CCF653B"/>
    <w:rsid w:val="1CD2589C"/>
    <w:rsid w:val="1D082370"/>
    <w:rsid w:val="1D091942"/>
    <w:rsid w:val="1D152095"/>
    <w:rsid w:val="1D315B90"/>
    <w:rsid w:val="1D3D339A"/>
    <w:rsid w:val="1D4854B7"/>
    <w:rsid w:val="1D505712"/>
    <w:rsid w:val="1D567413"/>
    <w:rsid w:val="1D7019C1"/>
    <w:rsid w:val="1D81772B"/>
    <w:rsid w:val="1D860ECB"/>
    <w:rsid w:val="1D933C61"/>
    <w:rsid w:val="1D951428"/>
    <w:rsid w:val="1DA05C02"/>
    <w:rsid w:val="1DA05FD2"/>
    <w:rsid w:val="1DA13929"/>
    <w:rsid w:val="1DA530EA"/>
    <w:rsid w:val="1DAD14C3"/>
    <w:rsid w:val="1DBA49EB"/>
    <w:rsid w:val="1DBE097F"/>
    <w:rsid w:val="1DC07CF2"/>
    <w:rsid w:val="1DC43408"/>
    <w:rsid w:val="1DC74A9A"/>
    <w:rsid w:val="1DDA3D8E"/>
    <w:rsid w:val="1DF328A6"/>
    <w:rsid w:val="1DFC27A3"/>
    <w:rsid w:val="1E1265D5"/>
    <w:rsid w:val="1E133217"/>
    <w:rsid w:val="1E1377DC"/>
    <w:rsid w:val="1E200CF1"/>
    <w:rsid w:val="1E2875EE"/>
    <w:rsid w:val="1E2B03AB"/>
    <w:rsid w:val="1E2B1061"/>
    <w:rsid w:val="1E2B71DE"/>
    <w:rsid w:val="1E37603B"/>
    <w:rsid w:val="1E3F2047"/>
    <w:rsid w:val="1E403142"/>
    <w:rsid w:val="1E404CC6"/>
    <w:rsid w:val="1E422367"/>
    <w:rsid w:val="1E43073E"/>
    <w:rsid w:val="1E524B92"/>
    <w:rsid w:val="1E5906A7"/>
    <w:rsid w:val="1E5C0E57"/>
    <w:rsid w:val="1E62235C"/>
    <w:rsid w:val="1E65704C"/>
    <w:rsid w:val="1E764B43"/>
    <w:rsid w:val="1E831280"/>
    <w:rsid w:val="1EA81BFC"/>
    <w:rsid w:val="1EAC619A"/>
    <w:rsid w:val="1EB83620"/>
    <w:rsid w:val="1EC15DEE"/>
    <w:rsid w:val="1ED01DDC"/>
    <w:rsid w:val="1ED82831"/>
    <w:rsid w:val="1EDB691E"/>
    <w:rsid w:val="1EDE58F5"/>
    <w:rsid w:val="1EE2244B"/>
    <w:rsid w:val="1EEC12C4"/>
    <w:rsid w:val="1EF35394"/>
    <w:rsid w:val="1EF434A8"/>
    <w:rsid w:val="1F046865"/>
    <w:rsid w:val="1F073C5F"/>
    <w:rsid w:val="1F0B3750"/>
    <w:rsid w:val="1F136AA8"/>
    <w:rsid w:val="1F19696F"/>
    <w:rsid w:val="1F270B53"/>
    <w:rsid w:val="1F3C49A5"/>
    <w:rsid w:val="1F4076C7"/>
    <w:rsid w:val="1F432641"/>
    <w:rsid w:val="1F4849A4"/>
    <w:rsid w:val="1F5A46D7"/>
    <w:rsid w:val="1F6B2314"/>
    <w:rsid w:val="1F813A12"/>
    <w:rsid w:val="1F8F364F"/>
    <w:rsid w:val="1F9279CD"/>
    <w:rsid w:val="1F9E2816"/>
    <w:rsid w:val="1FA21B7E"/>
    <w:rsid w:val="1FB65DB1"/>
    <w:rsid w:val="1FBC0BD7"/>
    <w:rsid w:val="1FBD4056"/>
    <w:rsid w:val="1FC33368"/>
    <w:rsid w:val="1FD86127"/>
    <w:rsid w:val="1FD9384E"/>
    <w:rsid w:val="1FE521F3"/>
    <w:rsid w:val="1FF40688"/>
    <w:rsid w:val="1FFF79EC"/>
    <w:rsid w:val="20032679"/>
    <w:rsid w:val="200563F1"/>
    <w:rsid w:val="2016157C"/>
    <w:rsid w:val="202334B1"/>
    <w:rsid w:val="202A2D2D"/>
    <w:rsid w:val="202F7912"/>
    <w:rsid w:val="203369E9"/>
    <w:rsid w:val="203C4592"/>
    <w:rsid w:val="204D5FEA"/>
    <w:rsid w:val="204E7DDF"/>
    <w:rsid w:val="205348E9"/>
    <w:rsid w:val="20542ED4"/>
    <w:rsid w:val="20672C08"/>
    <w:rsid w:val="206F7D1F"/>
    <w:rsid w:val="207417C9"/>
    <w:rsid w:val="208714FC"/>
    <w:rsid w:val="20A434D5"/>
    <w:rsid w:val="20AD0A3C"/>
    <w:rsid w:val="20AD3B69"/>
    <w:rsid w:val="20B6313A"/>
    <w:rsid w:val="20B63B8F"/>
    <w:rsid w:val="20CE0ED9"/>
    <w:rsid w:val="20D008CD"/>
    <w:rsid w:val="20D02813"/>
    <w:rsid w:val="20D21C2E"/>
    <w:rsid w:val="20EA4B1C"/>
    <w:rsid w:val="20EC6894"/>
    <w:rsid w:val="20F6718A"/>
    <w:rsid w:val="20FC2D16"/>
    <w:rsid w:val="21021787"/>
    <w:rsid w:val="21042B4C"/>
    <w:rsid w:val="211F1734"/>
    <w:rsid w:val="212D634D"/>
    <w:rsid w:val="213177ED"/>
    <w:rsid w:val="213C22E6"/>
    <w:rsid w:val="214647E0"/>
    <w:rsid w:val="2147185A"/>
    <w:rsid w:val="214921EE"/>
    <w:rsid w:val="214A0E52"/>
    <w:rsid w:val="214C004F"/>
    <w:rsid w:val="214E6745"/>
    <w:rsid w:val="215208E1"/>
    <w:rsid w:val="215548C0"/>
    <w:rsid w:val="215D756B"/>
    <w:rsid w:val="215F3F86"/>
    <w:rsid w:val="216225C8"/>
    <w:rsid w:val="216F4B4A"/>
    <w:rsid w:val="217211F0"/>
    <w:rsid w:val="21780E44"/>
    <w:rsid w:val="21A47E8B"/>
    <w:rsid w:val="21B225A8"/>
    <w:rsid w:val="21BA76AF"/>
    <w:rsid w:val="21BE2E1C"/>
    <w:rsid w:val="21C11732"/>
    <w:rsid w:val="21DA219B"/>
    <w:rsid w:val="21DC13D3"/>
    <w:rsid w:val="21DE62DE"/>
    <w:rsid w:val="21E71F53"/>
    <w:rsid w:val="21F60142"/>
    <w:rsid w:val="21F901D7"/>
    <w:rsid w:val="21F93D33"/>
    <w:rsid w:val="21FC1A76"/>
    <w:rsid w:val="22090649"/>
    <w:rsid w:val="221943D6"/>
    <w:rsid w:val="22290796"/>
    <w:rsid w:val="22375668"/>
    <w:rsid w:val="223B434C"/>
    <w:rsid w:val="22401962"/>
    <w:rsid w:val="224274F3"/>
    <w:rsid w:val="22512A1A"/>
    <w:rsid w:val="22590C76"/>
    <w:rsid w:val="225A1BC4"/>
    <w:rsid w:val="2265586D"/>
    <w:rsid w:val="226F36A6"/>
    <w:rsid w:val="226F7C8D"/>
    <w:rsid w:val="229F54C2"/>
    <w:rsid w:val="22A35D77"/>
    <w:rsid w:val="22A6463F"/>
    <w:rsid w:val="22AF6AE8"/>
    <w:rsid w:val="22BA05C4"/>
    <w:rsid w:val="22BB6869"/>
    <w:rsid w:val="22BD7457"/>
    <w:rsid w:val="22D87DED"/>
    <w:rsid w:val="22F30891"/>
    <w:rsid w:val="22F664C5"/>
    <w:rsid w:val="2305495A"/>
    <w:rsid w:val="230636DC"/>
    <w:rsid w:val="230B3458"/>
    <w:rsid w:val="23133FE2"/>
    <w:rsid w:val="23160915"/>
    <w:rsid w:val="231F3C6E"/>
    <w:rsid w:val="232A43C0"/>
    <w:rsid w:val="232E2103"/>
    <w:rsid w:val="233A3EC0"/>
    <w:rsid w:val="234436D4"/>
    <w:rsid w:val="23541978"/>
    <w:rsid w:val="235651B5"/>
    <w:rsid w:val="235A0180"/>
    <w:rsid w:val="236819A8"/>
    <w:rsid w:val="237A70F6"/>
    <w:rsid w:val="23847DAA"/>
    <w:rsid w:val="238A5597"/>
    <w:rsid w:val="23B1503C"/>
    <w:rsid w:val="23B24AE2"/>
    <w:rsid w:val="23B7280F"/>
    <w:rsid w:val="23B84AD3"/>
    <w:rsid w:val="23C9261C"/>
    <w:rsid w:val="23D20DAA"/>
    <w:rsid w:val="23E821A6"/>
    <w:rsid w:val="23FA0D38"/>
    <w:rsid w:val="2412732E"/>
    <w:rsid w:val="2428717D"/>
    <w:rsid w:val="243D77FA"/>
    <w:rsid w:val="2455546D"/>
    <w:rsid w:val="24596D0B"/>
    <w:rsid w:val="246851A0"/>
    <w:rsid w:val="246B72F0"/>
    <w:rsid w:val="247722A3"/>
    <w:rsid w:val="248C70E1"/>
    <w:rsid w:val="24951ADC"/>
    <w:rsid w:val="24992818"/>
    <w:rsid w:val="249B0281"/>
    <w:rsid w:val="24BA1F38"/>
    <w:rsid w:val="24C525F3"/>
    <w:rsid w:val="24D42836"/>
    <w:rsid w:val="24E862E1"/>
    <w:rsid w:val="250E55C8"/>
    <w:rsid w:val="252B1B61"/>
    <w:rsid w:val="252E0C6B"/>
    <w:rsid w:val="25320E04"/>
    <w:rsid w:val="253B3189"/>
    <w:rsid w:val="253F05F7"/>
    <w:rsid w:val="254A2AF8"/>
    <w:rsid w:val="255A01BB"/>
    <w:rsid w:val="255B6CF1"/>
    <w:rsid w:val="25675458"/>
    <w:rsid w:val="257007B0"/>
    <w:rsid w:val="257B0F03"/>
    <w:rsid w:val="257C5270"/>
    <w:rsid w:val="258C7A71"/>
    <w:rsid w:val="259124D5"/>
    <w:rsid w:val="25AB0F73"/>
    <w:rsid w:val="25AB23F1"/>
    <w:rsid w:val="25BF23D2"/>
    <w:rsid w:val="25C428AA"/>
    <w:rsid w:val="25CB270A"/>
    <w:rsid w:val="25E22D30"/>
    <w:rsid w:val="25FD362C"/>
    <w:rsid w:val="26025181"/>
    <w:rsid w:val="262944FD"/>
    <w:rsid w:val="262F5BC1"/>
    <w:rsid w:val="26527EC1"/>
    <w:rsid w:val="26551965"/>
    <w:rsid w:val="2665408D"/>
    <w:rsid w:val="26753BA5"/>
    <w:rsid w:val="267A11BB"/>
    <w:rsid w:val="267E65D2"/>
    <w:rsid w:val="267F4B73"/>
    <w:rsid w:val="26807CBA"/>
    <w:rsid w:val="2685203A"/>
    <w:rsid w:val="268A673E"/>
    <w:rsid w:val="26A12BEB"/>
    <w:rsid w:val="26AD372B"/>
    <w:rsid w:val="26B1053A"/>
    <w:rsid w:val="26B474A7"/>
    <w:rsid w:val="26C012C4"/>
    <w:rsid w:val="26C467F8"/>
    <w:rsid w:val="26DE4430"/>
    <w:rsid w:val="26F1147D"/>
    <w:rsid w:val="26F86BA8"/>
    <w:rsid w:val="26FA4A89"/>
    <w:rsid w:val="27111B1F"/>
    <w:rsid w:val="27174C5C"/>
    <w:rsid w:val="27227239"/>
    <w:rsid w:val="272A2BE1"/>
    <w:rsid w:val="272D02DE"/>
    <w:rsid w:val="272D2876"/>
    <w:rsid w:val="273E4BBB"/>
    <w:rsid w:val="27550449"/>
    <w:rsid w:val="275A34C6"/>
    <w:rsid w:val="2762237B"/>
    <w:rsid w:val="27725547"/>
    <w:rsid w:val="27A72484"/>
    <w:rsid w:val="27AD6EC3"/>
    <w:rsid w:val="27AF0C9F"/>
    <w:rsid w:val="27AF30E6"/>
    <w:rsid w:val="27BA21B7"/>
    <w:rsid w:val="27BC40CB"/>
    <w:rsid w:val="27C70430"/>
    <w:rsid w:val="27C84A9A"/>
    <w:rsid w:val="280B42F7"/>
    <w:rsid w:val="280B656E"/>
    <w:rsid w:val="282C063D"/>
    <w:rsid w:val="284326B1"/>
    <w:rsid w:val="28532DE7"/>
    <w:rsid w:val="28643ED1"/>
    <w:rsid w:val="28723C10"/>
    <w:rsid w:val="287700A8"/>
    <w:rsid w:val="288822B5"/>
    <w:rsid w:val="28887BBF"/>
    <w:rsid w:val="28930636"/>
    <w:rsid w:val="289B1FE8"/>
    <w:rsid w:val="289C366A"/>
    <w:rsid w:val="28AA7C89"/>
    <w:rsid w:val="28B46C06"/>
    <w:rsid w:val="28B704A4"/>
    <w:rsid w:val="28DE3C83"/>
    <w:rsid w:val="28E26D4E"/>
    <w:rsid w:val="28EF7246"/>
    <w:rsid w:val="28FB61EE"/>
    <w:rsid w:val="28FC3BD8"/>
    <w:rsid w:val="28FD6E53"/>
    <w:rsid w:val="290A0F1C"/>
    <w:rsid w:val="2913412E"/>
    <w:rsid w:val="291853E7"/>
    <w:rsid w:val="2919115F"/>
    <w:rsid w:val="29220014"/>
    <w:rsid w:val="292B7EB0"/>
    <w:rsid w:val="292F2731"/>
    <w:rsid w:val="29424212"/>
    <w:rsid w:val="294363FE"/>
    <w:rsid w:val="29502A8A"/>
    <w:rsid w:val="29693E94"/>
    <w:rsid w:val="297B49C8"/>
    <w:rsid w:val="298258D7"/>
    <w:rsid w:val="298C5FF3"/>
    <w:rsid w:val="29912F65"/>
    <w:rsid w:val="299407E6"/>
    <w:rsid w:val="29972B38"/>
    <w:rsid w:val="29BD5F8E"/>
    <w:rsid w:val="29E75BF0"/>
    <w:rsid w:val="29EC0622"/>
    <w:rsid w:val="29F81E64"/>
    <w:rsid w:val="29F86353"/>
    <w:rsid w:val="29FB6096"/>
    <w:rsid w:val="2A062858"/>
    <w:rsid w:val="2A133007"/>
    <w:rsid w:val="2A1701AF"/>
    <w:rsid w:val="2A1856DC"/>
    <w:rsid w:val="2A21651D"/>
    <w:rsid w:val="2A281705"/>
    <w:rsid w:val="2A2D4EC2"/>
    <w:rsid w:val="2A510485"/>
    <w:rsid w:val="2A542C2C"/>
    <w:rsid w:val="2A5F0DF4"/>
    <w:rsid w:val="2A620962"/>
    <w:rsid w:val="2A6E7289"/>
    <w:rsid w:val="2A771053"/>
    <w:rsid w:val="2A7826B4"/>
    <w:rsid w:val="2A7A6782"/>
    <w:rsid w:val="2A88034A"/>
    <w:rsid w:val="2A8E0C2D"/>
    <w:rsid w:val="2AAD3254"/>
    <w:rsid w:val="2ABE5B1A"/>
    <w:rsid w:val="2AC96530"/>
    <w:rsid w:val="2AF02EFE"/>
    <w:rsid w:val="2AF23A16"/>
    <w:rsid w:val="2AF57C94"/>
    <w:rsid w:val="2AFB149F"/>
    <w:rsid w:val="2B074811"/>
    <w:rsid w:val="2B0F281A"/>
    <w:rsid w:val="2B2D02F9"/>
    <w:rsid w:val="2B4D20BD"/>
    <w:rsid w:val="2B4F4EC4"/>
    <w:rsid w:val="2B5446D0"/>
    <w:rsid w:val="2B72656A"/>
    <w:rsid w:val="2B732DA8"/>
    <w:rsid w:val="2B860901"/>
    <w:rsid w:val="2B995746"/>
    <w:rsid w:val="2BA07916"/>
    <w:rsid w:val="2BA71C0E"/>
    <w:rsid w:val="2BA77321"/>
    <w:rsid w:val="2BC01D66"/>
    <w:rsid w:val="2BC34C2A"/>
    <w:rsid w:val="2BCF651F"/>
    <w:rsid w:val="2BD30F7C"/>
    <w:rsid w:val="2BD575BF"/>
    <w:rsid w:val="2C0359EB"/>
    <w:rsid w:val="2C147850"/>
    <w:rsid w:val="2C210A56"/>
    <w:rsid w:val="2C26606D"/>
    <w:rsid w:val="2C3F194B"/>
    <w:rsid w:val="2C541062"/>
    <w:rsid w:val="2C5B070C"/>
    <w:rsid w:val="2C5E6435"/>
    <w:rsid w:val="2C6273B8"/>
    <w:rsid w:val="2C7D7263"/>
    <w:rsid w:val="2C8209C3"/>
    <w:rsid w:val="2C820DC9"/>
    <w:rsid w:val="2C821E22"/>
    <w:rsid w:val="2C906987"/>
    <w:rsid w:val="2C9B134F"/>
    <w:rsid w:val="2C9E3E55"/>
    <w:rsid w:val="2C9F197B"/>
    <w:rsid w:val="2CA70830"/>
    <w:rsid w:val="2CB400F6"/>
    <w:rsid w:val="2CC31B0E"/>
    <w:rsid w:val="2CC56979"/>
    <w:rsid w:val="2CD755B9"/>
    <w:rsid w:val="2CE27EF2"/>
    <w:rsid w:val="2CE657FC"/>
    <w:rsid w:val="2CEA36EB"/>
    <w:rsid w:val="2CF717B7"/>
    <w:rsid w:val="2CFE05A2"/>
    <w:rsid w:val="2D012C77"/>
    <w:rsid w:val="2D097D9C"/>
    <w:rsid w:val="2D1F7A15"/>
    <w:rsid w:val="2D2140BE"/>
    <w:rsid w:val="2D286F51"/>
    <w:rsid w:val="2D287BC3"/>
    <w:rsid w:val="2D2A3A58"/>
    <w:rsid w:val="2D310B09"/>
    <w:rsid w:val="2D3318FE"/>
    <w:rsid w:val="2D3C5C02"/>
    <w:rsid w:val="2D404F0C"/>
    <w:rsid w:val="2D542E65"/>
    <w:rsid w:val="2D564730"/>
    <w:rsid w:val="2D5E25CD"/>
    <w:rsid w:val="2D6A05F9"/>
    <w:rsid w:val="2D6F134E"/>
    <w:rsid w:val="2D71509A"/>
    <w:rsid w:val="2D7921CC"/>
    <w:rsid w:val="2D937732"/>
    <w:rsid w:val="2D9D29C5"/>
    <w:rsid w:val="2D9F507D"/>
    <w:rsid w:val="2DB94B12"/>
    <w:rsid w:val="2DC23B73"/>
    <w:rsid w:val="2DD44D7C"/>
    <w:rsid w:val="2DEA5B9A"/>
    <w:rsid w:val="2DF14458"/>
    <w:rsid w:val="2E1354C0"/>
    <w:rsid w:val="2E1F2D74"/>
    <w:rsid w:val="2E327793"/>
    <w:rsid w:val="2E402CEA"/>
    <w:rsid w:val="2E422F06"/>
    <w:rsid w:val="2E4945EC"/>
    <w:rsid w:val="2E4B2CC7"/>
    <w:rsid w:val="2E521173"/>
    <w:rsid w:val="2E701821"/>
    <w:rsid w:val="2E8157DC"/>
    <w:rsid w:val="2E8B2A9B"/>
    <w:rsid w:val="2E9279E9"/>
    <w:rsid w:val="2E9C2616"/>
    <w:rsid w:val="2EA1070F"/>
    <w:rsid w:val="2EBF6305"/>
    <w:rsid w:val="2EDA2C9E"/>
    <w:rsid w:val="2EE43A78"/>
    <w:rsid w:val="2F002B74"/>
    <w:rsid w:val="2F0D407F"/>
    <w:rsid w:val="2F120B2A"/>
    <w:rsid w:val="2F164BE0"/>
    <w:rsid w:val="2F176141"/>
    <w:rsid w:val="2F2907E2"/>
    <w:rsid w:val="2F2B2ABE"/>
    <w:rsid w:val="2F2C13A9"/>
    <w:rsid w:val="2F414F6C"/>
    <w:rsid w:val="2F436AB3"/>
    <w:rsid w:val="2F45680A"/>
    <w:rsid w:val="2F4C54B3"/>
    <w:rsid w:val="2F5527C5"/>
    <w:rsid w:val="2F562255"/>
    <w:rsid w:val="2F572C19"/>
    <w:rsid w:val="2F7610B9"/>
    <w:rsid w:val="2F8310E0"/>
    <w:rsid w:val="2F86136D"/>
    <w:rsid w:val="2F882B9B"/>
    <w:rsid w:val="2FA56BF9"/>
    <w:rsid w:val="2FC021F3"/>
    <w:rsid w:val="2FC11140"/>
    <w:rsid w:val="2FC11CB9"/>
    <w:rsid w:val="2FC25559"/>
    <w:rsid w:val="2FD91648"/>
    <w:rsid w:val="2FF31AF5"/>
    <w:rsid w:val="2FF41FDE"/>
    <w:rsid w:val="2FF63FA8"/>
    <w:rsid w:val="2FFD2195"/>
    <w:rsid w:val="300A4F7D"/>
    <w:rsid w:val="30183F1E"/>
    <w:rsid w:val="301F2B6C"/>
    <w:rsid w:val="303B1A02"/>
    <w:rsid w:val="303E07C3"/>
    <w:rsid w:val="30467C1B"/>
    <w:rsid w:val="304A60A2"/>
    <w:rsid w:val="304D122A"/>
    <w:rsid w:val="304E7940"/>
    <w:rsid w:val="30545824"/>
    <w:rsid w:val="30566560"/>
    <w:rsid w:val="30683E50"/>
    <w:rsid w:val="30803A07"/>
    <w:rsid w:val="30843FBD"/>
    <w:rsid w:val="309C29BF"/>
    <w:rsid w:val="30AA7F1D"/>
    <w:rsid w:val="30B86B7A"/>
    <w:rsid w:val="30BA5405"/>
    <w:rsid w:val="30BA71DB"/>
    <w:rsid w:val="30C40855"/>
    <w:rsid w:val="30C474F7"/>
    <w:rsid w:val="30C5195E"/>
    <w:rsid w:val="30CC6AB7"/>
    <w:rsid w:val="30DD3FF4"/>
    <w:rsid w:val="30F06A5F"/>
    <w:rsid w:val="30F501B0"/>
    <w:rsid w:val="30FC739C"/>
    <w:rsid w:val="3101732D"/>
    <w:rsid w:val="310224D9"/>
    <w:rsid w:val="311727EF"/>
    <w:rsid w:val="31321010"/>
    <w:rsid w:val="313C1E8F"/>
    <w:rsid w:val="31462D0D"/>
    <w:rsid w:val="314A41D7"/>
    <w:rsid w:val="314B3E80"/>
    <w:rsid w:val="31592B38"/>
    <w:rsid w:val="3159659D"/>
    <w:rsid w:val="315B0955"/>
    <w:rsid w:val="315C1E73"/>
    <w:rsid w:val="317E4255"/>
    <w:rsid w:val="31883AA4"/>
    <w:rsid w:val="318F2D1D"/>
    <w:rsid w:val="31A041CB"/>
    <w:rsid w:val="31C7260D"/>
    <w:rsid w:val="31CD0D39"/>
    <w:rsid w:val="31D245A1"/>
    <w:rsid w:val="31D52A69"/>
    <w:rsid w:val="31E32279"/>
    <w:rsid w:val="31F24737"/>
    <w:rsid w:val="31FB7654"/>
    <w:rsid w:val="322A7FAB"/>
    <w:rsid w:val="32326DEE"/>
    <w:rsid w:val="323D2944"/>
    <w:rsid w:val="32835B02"/>
    <w:rsid w:val="32847688"/>
    <w:rsid w:val="32B67A1F"/>
    <w:rsid w:val="32C40510"/>
    <w:rsid w:val="32CB650C"/>
    <w:rsid w:val="32D46EB9"/>
    <w:rsid w:val="32E91BA2"/>
    <w:rsid w:val="32FC175E"/>
    <w:rsid w:val="32FC70BF"/>
    <w:rsid w:val="33060643"/>
    <w:rsid w:val="3316574C"/>
    <w:rsid w:val="33196C24"/>
    <w:rsid w:val="331974C0"/>
    <w:rsid w:val="331B019D"/>
    <w:rsid w:val="332B21BB"/>
    <w:rsid w:val="332B5D17"/>
    <w:rsid w:val="33550FE6"/>
    <w:rsid w:val="33552D94"/>
    <w:rsid w:val="335D0B51"/>
    <w:rsid w:val="336838EC"/>
    <w:rsid w:val="3371200F"/>
    <w:rsid w:val="337453DA"/>
    <w:rsid w:val="337879BA"/>
    <w:rsid w:val="337B08B1"/>
    <w:rsid w:val="33807630"/>
    <w:rsid w:val="338B4A07"/>
    <w:rsid w:val="338E555B"/>
    <w:rsid w:val="33C87A09"/>
    <w:rsid w:val="33D068BE"/>
    <w:rsid w:val="33ED67B0"/>
    <w:rsid w:val="33F151B2"/>
    <w:rsid w:val="33F3014A"/>
    <w:rsid w:val="33F67771"/>
    <w:rsid w:val="33F7209D"/>
    <w:rsid w:val="340B4DB4"/>
    <w:rsid w:val="3411146B"/>
    <w:rsid w:val="34136117"/>
    <w:rsid w:val="34256C0A"/>
    <w:rsid w:val="342A4220"/>
    <w:rsid w:val="34332284"/>
    <w:rsid w:val="343432F1"/>
    <w:rsid w:val="344A518B"/>
    <w:rsid w:val="344B63BD"/>
    <w:rsid w:val="34586FDF"/>
    <w:rsid w:val="345B4830"/>
    <w:rsid w:val="34605E94"/>
    <w:rsid w:val="346076B1"/>
    <w:rsid w:val="34833930"/>
    <w:rsid w:val="3487303E"/>
    <w:rsid w:val="349D49F2"/>
    <w:rsid w:val="34A418FC"/>
    <w:rsid w:val="34B34216"/>
    <w:rsid w:val="34C226AB"/>
    <w:rsid w:val="34DA5C46"/>
    <w:rsid w:val="34E95E89"/>
    <w:rsid w:val="34F073AF"/>
    <w:rsid w:val="350C5C16"/>
    <w:rsid w:val="35242B52"/>
    <w:rsid w:val="352A733C"/>
    <w:rsid w:val="35347ACA"/>
    <w:rsid w:val="35386E11"/>
    <w:rsid w:val="353C420B"/>
    <w:rsid w:val="35400FA3"/>
    <w:rsid w:val="35481FE4"/>
    <w:rsid w:val="354B6B44"/>
    <w:rsid w:val="35507CB7"/>
    <w:rsid w:val="35531DB4"/>
    <w:rsid w:val="35577297"/>
    <w:rsid w:val="3575771D"/>
    <w:rsid w:val="358955E7"/>
    <w:rsid w:val="3594272C"/>
    <w:rsid w:val="35A96497"/>
    <w:rsid w:val="35C91817"/>
    <w:rsid w:val="35CD57AB"/>
    <w:rsid w:val="35D54660"/>
    <w:rsid w:val="35E328D9"/>
    <w:rsid w:val="35F4636A"/>
    <w:rsid w:val="35FE71F3"/>
    <w:rsid w:val="360815A7"/>
    <w:rsid w:val="362979CB"/>
    <w:rsid w:val="362C1AE2"/>
    <w:rsid w:val="362D7FF8"/>
    <w:rsid w:val="363C023B"/>
    <w:rsid w:val="36415851"/>
    <w:rsid w:val="36462E68"/>
    <w:rsid w:val="36474D22"/>
    <w:rsid w:val="36502183"/>
    <w:rsid w:val="365C491B"/>
    <w:rsid w:val="366F23BE"/>
    <w:rsid w:val="368A544A"/>
    <w:rsid w:val="368D493E"/>
    <w:rsid w:val="369B092F"/>
    <w:rsid w:val="36C85441"/>
    <w:rsid w:val="36D73C60"/>
    <w:rsid w:val="36F33C0B"/>
    <w:rsid w:val="370C2303"/>
    <w:rsid w:val="37146FCD"/>
    <w:rsid w:val="371C179E"/>
    <w:rsid w:val="37263353"/>
    <w:rsid w:val="373A0062"/>
    <w:rsid w:val="374415A9"/>
    <w:rsid w:val="375A0120"/>
    <w:rsid w:val="377C4D93"/>
    <w:rsid w:val="378313F5"/>
    <w:rsid w:val="378B147A"/>
    <w:rsid w:val="378E072C"/>
    <w:rsid w:val="37AD7642"/>
    <w:rsid w:val="37B07AD7"/>
    <w:rsid w:val="37BF7BCD"/>
    <w:rsid w:val="37C14E9C"/>
    <w:rsid w:val="37C50D92"/>
    <w:rsid w:val="37E64902"/>
    <w:rsid w:val="37E80261"/>
    <w:rsid w:val="37F871E7"/>
    <w:rsid w:val="38156481"/>
    <w:rsid w:val="3826251B"/>
    <w:rsid w:val="383133CF"/>
    <w:rsid w:val="38555055"/>
    <w:rsid w:val="386046B4"/>
    <w:rsid w:val="3867502D"/>
    <w:rsid w:val="38795776"/>
    <w:rsid w:val="388A71FA"/>
    <w:rsid w:val="388B4630"/>
    <w:rsid w:val="38A63E9B"/>
    <w:rsid w:val="38B72CB1"/>
    <w:rsid w:val="38C34C43"/>
    <w:rsid w:val="38CB1C6F"/>
    <w:rsid w:val="38DB1189"/>
    <w:rsid w:val="38E528FD"/>
    <w:rsid w:val="38E74406"/>
    <w:rsid w:val="39096AFA"/>
    <w:rsid w:val="391B682D"/>
    <w:rsid w:val="39221E45"/>
    <w:rsid w:val="39581830"/>
    <w:rsid w:val="395A24AF"/>
    <w:rsid w:val="39674E21"/>
    <w:rsid w:val="39816C60"/>
    <w:rsid w:val="39891CA7"/>
    <w:rsid w:val="398A4590"/>
    <w:rsid w:val="398C5358"/>
    <w:rsid w:val="39915C5A"/>
    <w:rsid w:val="399834E3"/>
    <w:rsid w:val="39A317C3"/>
    <w:rsid w:val="39AF0A30"/>
    <w:rsid w:val="39B747A8"/>
    <w:rsid w:val="39C3553D"/>
    <w:rsid w:val="39C40C73"/>
    <w:rsid w:val="39E02ED5"/>
    <w:rsid w:val="39E60D85"/>
    <w:rsid w:val="39FD6559"/>
    <w:rsid w:val="3A020F0A"/>
    <w:rsid w:val="3A0A4E64"/>
    <w:rsid w:val="3A0B5AC2"/>
    <w:rsid w:val="3A105C66"/>
    <w:rsid w:val="3A1360EA"/>
    <w:rsid w:val="3A190DF5"/>
    <w:rsid w:val="3A1C0AAF"/>
    <w:rsid w:val="3A1F22D9"/>
    <w:rsid w:val="3A2B2622"/>
    <w:rsid w:val="3A2C26D8"/>
    <w:rsid w:val="3A402444"/>
    <w:rsid w:val="3A4C409B"/>
    <w:rsid w:val="3A5C70FE"/>
    <w:rsid w:val="3A5D0C34"/>
    <w:rsid w:val="3A6A35C8"/>
    <w:rsid w:val="3A7111E0"/>
    <w:rsid w:val="3A711271"/>
    <w:rsid w:val="3A7262AF"/>
    <w:rsid w:val="3A7F47F8"/>
    <w:rsid w:val="3A8723CC"/>
    <w:rsid w:val="3A8D16F2"/>
    <w:rsid w:val="3AA211EA"/>
    <w:rsid w:val="3AB71C38"/>
    <w:rsid w:val="3AD273C0"/>
    <w:rsid w:val="3AEA5A78"/>
    <w:rsid w:val="3AF6354C"/>
    <w:rsid w:val="3B0D21A6"/>
    <w:rsid w:val="3B111C96"/>
    <w:rsid w:val="3B32369C"/>
    <w:rsid w:val="3B3B46D6"/>
    <w:rsid w:val="3B443E1A"/>
    <w:rsid w:val="3B455DE4"/>
    <w:rsid w:val="3B53405D"/>
    <w:rsid w:val="3B5810D9"/>
    <w:rsid w:val="3B7A3CDF"/>
    <w:rsid w:val="3B7C7A57"/>
    <w:rsid w:val="3B7D37CF"/>
    <w:rsid w:val="3B81703B"/>
    <w:rsid w:val="3B820AA5"/>
    <w:rsid w:val="3B8C57C0"/>
    <w:rsid w:val="3B950B19"/>
    <w:rsid w:val="3BA22C44"/>
    <w:rsid w:val="3BA36D42"/>
    <w:rsid w:val="3BB96BD9"/>
    <w:rsid w:val="3BBC612A"/>
    <w:rsid w:val="3BBE26F4"/>
    <w:rsid w:val="3BC1690A"/>
    <w:rsid w:val="3BCF4395"/>
    <w:rsid w:val="3BD00ADD"/>
    <w:rsid w:val="3BD10EFB"/>
    <w:rsid w:val="3BD376AD"/>
    <w:rsid w:val="3BD53F6F"/>
    <w:rsid w:val="3BE13D5E"/>
    <w:rsid w:val="3BE956CF"/>
    <w:rsid w:val="3BED2703"/>
    <w:rsid w:val="3BFC1FA4"/>
    <w:rsid w:val="3C155E7F"/>
    <w:rsid w:val="3C363AD7"/>
    <w:rsid w:val="3C371BD0"/>
    <w:rsid w:val="3C3C71E7"/>
    <w:rsid w:val="3C3E3F2B"/>
    <w:rsid w:val="3C432323"/>
    <w:rsid w:val="3C4D430D"/>
    <w:rsid w:val="3C616D66"/>
    <w:rsid w:val="3C635A48"/>
    <w:rsid w:val="3C702719"/>
    <w:rsid w:val="3CAA05F4"/>
    <w:rsid w:val="3CB700CE"/>
    <w:rsid w:val="3CD130C0"/>
    <w:rsid w:val="3CD31C3F"/>
    <w:rsid w:val="3CEF4259"/>
    <w:rsid w:val="3CF63839"/>
    <w:rsid w:val="3CFE449C"/>
    <w:rsid w:val="3CFF03F0"/>
    <w:rsid w:val="3D033860"/>
    <w:rsid w:val="3D1D29E9"/>
    <w:rsid w:val="3D275291"/>
    <w:rsid w:val="3D2F0AF9"/>
    <w:rsid w:val="3D325D34"/>
    <w:rsid w:val="3D336868"/>
    <w:rsid w:val="3D347EBE"/>
    <w:rsid w:val="3D436353"/>
    <w:rsid w:val="3D495035"/>
    <w:rsid w:val="3D4C4075"/>
    <w:rsid w:val="3D65276D"/>
    <w:rsid w:val="3D69306B"/>
    <w:rsid w:val="3D763CD0"/>
    <w:rsid w:val="3D8471FE"/>
    <w:rsid w:val="3D9D1F07"/>
    <w:rsid w:val="3DA43295"/>
    <w:rsid w:val="3DA72308"/>
    <w:rsid w:val="3DB64929"/>
    <w:rsid w:val="3DD35929"/>
    <w:rsid w:val="3DD765B2"/>
    <w:rsid w:val="3DD82F3F"/>
    <w:rsid w:val="3DED69EA"/>
    <w:rsid w:val="3DFA2303"/>
    <w:rsid w:val="3E0274D7"/>
    <w:rsid w:val="3E126451"/>
    <w:rsid w:val="3E1F3AF2"/>
    <w:rsid w:val="3E353EED"/>
    <w:rsid w:val="3E4C0C00"/>
    <w:rsid w:val="3E5339E3"/>
    <w:rsid w:val="3E5C2562"/>
    <w:rsid w:val="3E810A46"/>
    <w:rsid w:val="3E9C0DD9"/>
    <w:rsid w:val="3EB372B8"/>
    <w:rsid w:val="3EC02F0A"/>
    <w:rsid w:val="3EC05EAD"/>
    <w:rsid w:val="3ED14F0B"/>
    <w:rsid w:val="3ED731F7"/>
    <w:rsid w:val="3EF21DDE"/>
    <w:rsid w:val="3EF73899"/>
    <w:rsid w:val="3F0538C0"/>
    <w:rsid w:val="3F0D0B21"/>
    <w:rsid w:val="3F1104B7"/>
    <w:rsid w:val="3F163D1F"/>
    <w:rsid w:val="3F1D3FB4"/>
    <w:rsid w:val="3F1D4C7E"/>
    <w:rsid w:val="3F23643C"/>
    <w:rsid w:val="3F2A5A1C"/>
    <w:rsid w:val="3F3055E4"/>
    <w:rsid w:val="3F3E0F5D"/>
    <w:rsid w:val="3F472E4B"/>
    <w:rsid w:val="3F4C08E9"/>
    <w:rsid w:val="3F5900B0"/>
    <w:rsid w:val="3F666E0D"/>
    <w:rsid w:val="3F6C7DE3"/>
    <w:rsid w:val="3F6D3EEE"/>
    <w:rsid w:val="3F732F1F"/>
    <w:rsid w:val="3F782604"/>
    <w:rsid w:val="3F852C53"/>
    <w:rsid w:val="3F927552"/>
    <w:rsid w:val="3FA27361"/>
    <w:rsid w:val="3FA806EF"/>
    <w:rsid w:val="3FAF7CCF"/>
    <w:rsid w:val="3FB02373"/>
    <w:rsid w:val="3FBA0816"/>
    <w:rsid w:val="3FDB2873"/>
    <w:rsid w:val="3FEA4714"/>
    <w:rsid w:val="3FEB5B69"/>
    <w:rsid w:val="3FF41B04"/>
    <w:rsid w:val="3FFD6C8D"/>
    <w:rsid w:val="40083624"/>
    <w:rsid w:val="400860D7"/>
    <w:rsid w:val="40161AFD"/>
    <w:rsid w:val="401F4E55"/>
    <w:rsid w:val="40210BCD"/>
    <w:rsid w:val="4022143E"/>
    <w:rsid w:val="402931E4"/>
    <w:rsid w:val="402C0157"/>
    <w:rsid w:val="403854EB"/>
    <w:rsid w:val="403C77B5"/>
    <w:rsid w:val="40442B0E"/>
    <w:rsid w:val="4044683B"/>
    <w:rsid w:val="405014B2"/>
    <w:rsid w:val="40570775"/>
    <w:rsid w:val="40583EC3"/>
    <w:rsid w:val="40612AE6"/>
    <w:rsid w:val="40671125"/>
    <w:rsid w:val="406B54A0"/>
    <w:rsid w:val="40704882"/>
    <w:rsid w:val="40717DB6"/>
    <w:rsid w:val="407F5F3B"/>
    <w:rsid w:val="408E5B37"/>
    <w:rsid w:val="40955A55"/>
    <w:rsid w:val="409666EE"/>
    <w:rsid w:val="409C4993"/>
    <w:rsid w:val="409F7A83"/>
    <w:rsid w:val="40AE351F"/>
    <w:rsid w:val="40B90071"/>
    <w:rsid w:val="40C52526"/>
    <w:rsid w:val="40C7391D"/>
    <w:rsid w:val="40CA000B"/>
    <w:rsid w:val="40D043A1"/>
    <w:rsid w:val="40D47DB4"/>
    <w:rsid w:val="40D81790"/>
    <w:rsid w:val="40E045E4"/>
    <w:rsid w:val="40E83499"/>
    <w:rsid w:val="40F260C6"/>
    <w:rsid w:val="40F938F8"/>
    <w:rsid w:val="40F97454"/>
    <w:rsid w:val="40FE2CBD"/>
    <w:rsid w:val="41021092"/>
    <w:rsid w:val="410F0A26"/>
    <w:rsid w:val="410F2AF6"/>
    <w:rsid w:val="411B05CB"/>
    <w:rsid w:val="412C6906"/>
    <w:rsid w:val="41314584"/>
    <w:rsid w:val="414244A0"/>
    <w:rsid w:val="414E5A60"/>
    <w:rsid w:val="4168282C"/>
    <w:rsid w:val="41744D2D"/>
    <w:rsid w:val="41765860"/>
    <w:rsid w:val="41801BCC"/>
    <w:rsid w:val="41864CEF"/>
    <w:rsid w:val="418A34C1"/>
    <w:rsid w:val="41923405"/>
    <w:rsid w:val="41A26A93"/>
    <w:rsid w:val="41B127B0"/>
    <w:rsid w:val="41B810BD"/>
    <w:rsid w:val="41D80832"/>
    <w:rsid w:val="41E33925"/>
    <w:rsid w:val="41E91761"/>
    <w:rsid w:val="41F27355"/>
    <w:rsid w:val="41F61BE6"/>
    <w:rsid w:val="41FA1B64"/>
    <w:rsid w:val="41FB36A0"/>
    <w:rsid w:val="42025BE2"/>
    <w:rsid w:val="420345BF"/>
    <w:rsid w:val="4228185B"/>
    <w:rsid w:val="42332E3A"/>
    <w:rsid w:val="423972F2"/>
    <w:rsid w:val="4250131F"/>
    <w:rsid w:val="4255690C"/>
    <w:rsid w:val="426D56E2"/>
    <w:rsid w:val="42731488"/>
    <w:rsid w:val="42925DB2"/>
    <w:rsid w:val="42986E48"/>
    <w:rsid w:val="42A20A61"/>
    <w:rsid w:val="42AB29D0"/>
    <w:rsid w:val="42AC04F6"/>
    <w:rsid w:val="42AE4A14"/>
    <w:rsid w:val="42BB191D"/>
    <w:rsid w:val="42CF20FD"/>
    <w:rsid w:val="42D10E7F"/>
    <w:rsid w:val="42D27F5D"/>
    <w:rsid w:val="42D86FCA"/>
    <w:rsid w:val="42E67ABD"/>
    <w:rsid w:val="42EE550D"/>
    <w:rsid w:val="42F74505"/>
    <w:rsid w:val="42FE1F2F"/>
    <w:rsid w:val="430B346F"/>
    <w:rsid w:val="43194258"/>
    <w:rsid w:val="43195B8C"/>
    <w:rsid w:val="431E7267"/>
    <w:rsid w:val="432D5ADB"/>
    <w:rsid w:val="4339622E"/>
    <w:rsid w:val="433F2437"/>
    <w:rsid w:val="43424987"/>
    <w:rsid w:val="43455072"/>
    <w:rsid w:val="43474A84"/>
    <w:rsid w:val="434F5A51"/>
    <w:rsid w:val="435B43F6"/>
    <w:rsid w:val="435B71B9"/>
    <w:rsid w:val="4366315A"/>
    <w:rsid w:val="436C7BA9"/>
    <w:rsid w:val="43707776"/>
    <w:rsid w:val="437710B2"/>
    <w:rsid w:val="437F3E16"/>
    <w:rsid w:val="43971411"/>
    <w:rsid w:val="43992A22"/>
    <w:rsid w:val="43A93F3B"/>
    <w:rsid w:val="43B03E7E"/>
    <w:rsid w:val="43BB6702"/>
    <w:rsid w:val="43E7AE1C"/>
    <w:rsid w:val="43ED0DC6"/>
    <w:rsid w:val="43F263DD"/>
    <w:rsid w:val="43FC0B0D"/>
    <w:rsid w:val="440B1130"/>
    <w:rsid w:val="44125964"/>
    <w:rsid w:val="44290050"/>
    <w:rsid w:val="442C2496"/>
    <w:rsid w:val="44366C11"/>
    <w:rsid w:val="443B5FD6"/>
    <w:rsid w:val="443D1E0E"/>
    <w:rsid w:val="444A7FC7"/>
    <w:rsid w:val="446D5D11"/>
    <w:rsid w:val="446E1F07"/>
    <w:rsid w:val="44823C05"/>
    <w:rsid w:val="44896D41"/>
    <w:rsid w:val="448A4586"/>
    <w:rsid w:val="44901B43"/>
    <w:rsid w:val="449A7EB1"/>
    <w:rsid w:val="44A75419"/>
    <w:rsid w:val="44B57B36"/>
    <w:rsid w:val="44BD1DF3"/>
    <w:rsid w:val="44BF57D9"/>
    <w:rsid w:val="44C735BB"/>
    <w:rsid w:val="44D75CFE"/>
    <w:rsid w:val="44DC1567"/>
    <w:rsid w:val="44DC50C3"/>
    <w:rsid w:val="44E003B0"/>
    <w:rsid w:val="44E1092B"/>
    <w:rsid w:val="44E26451"/>
    <w:rsid w:val="44E4666D"/>
    <w:rsid w:val="44E67283"/>
    <w:rsid w:val="44ED4010"/>
    <w:rsid w:val="45005E52"/>
    <w:rsid w:val="45036AF3"/>
    <w:rsid w:val="4515017A"/>
    <w:rsid w:val="45244CBC"/>
    <w:rsid w:val="4529736B"/>
    <w:rsid w:val="45343151"/>
    <w:rsid w:val="45372C41"/>
    <w:rsid w:val="4537689D"/>
    <w:rsid w:val="45383381"/>
    <w:rsid w:val="453848C5"/>
    <w:rsid w:val="454D5C68"/>
    <w:rsid w:val="456B75E9"/>
    <w:rsid w:val="45810DBE"/>
    <w:rsid w:val="45820089"/>
    <w:rsid w:val="459B31D0"/>
    <w:rsid w:val="45B621A1"/>
    <w:rsid w:val="45C75919"/>
    <w:rsid w:val="45C9535A"/>
    <w:rsid w:val="45CC3389"/>
    <w:rsid w:val="45DD10A6"/>
    <w:rsid w:val="45E61310"/>
    <w:rsid w:val="45EF121D"/>
    <w:rsid w:val="460B0785"/>
    <w:rsid w:val="4614088C"/>
    <w:rsid w:val="464748C5"/>
    <w:rsid w:val="46476EB4"/>
    <w:rsid w:val="464C5CDC"/>
    <w:rsid w:val="464C6278"/>
    <w:rsid w:val="464D38EE"/>
    <w:rsid w:val="46562030"/>
    <w:rsid w:val="465A58B4"/>
    <w:rsid w:val="467F0CF9"/>
    <w:rsid w:val="46821C9A"/>
    <w:rsid w:val="46911EDD"/>
    <w:rsid w:val="46A03D08"/>
    <w:rsid w:val="46A9191C"/>
    <w:rsid w:val="46B207D1"/>
    <w:rsid w:val="46B55FD0"/>
    <w:rsid w:val="46BB2CA5"/>
    <w:rsid w:val="46D6477E"/>
    <w:rsid w:val="46EE0CD7"/>
    <w:rsid w:val="46F3255C"/>
    <w:rsid w:val="47060EC7"/>
    <w:rsid w:val="471A45C8"/>
    <w:rsid w:val="473849AD"/>
    <w:rsid w:val="4742203B"/>
    <w:rsid w:val="475D1DCE"/>
    <w:rsid w:val="476D5360"/>
    <w:rsid w:val="47713DFB"/>
    <w:rsid w:val="47777325"/>
    <w:rsid w:val="477A03F9"/>
    <w:rsid w:val="477E06B3"/>
    <w:rsid w:val="47805AEC"/>
    <w:rsid w:val="478722ED"/>
    <w:rsid w:val="479422E2"/>
    <w:rsid w:val="47A01918"/>
    <w:rsid w:val="47A8585E"/>
    <w:rsid w:val="47AA221B"/>
    <w:rsid w:val="47AD250C"/>
    <w:rsid w:val="47B70069"/>
    <w:rsid w:val="47C01496"/>
    <w:rsid w:val="47C307BC"/>
    <w:rsid w:val="47C9092A"/>
    <w:rsid w:val="47DA18DA"/>
    <w:rsid w:val="47FF79BA"/>
    <w:rsid w:val="48027536"/>
    <w:rsid w:val="481903DC"/>
    <w:rsid w:val="48221986"/>
    <w:rsid w:val="48311BC9"/>
    <w:rsid w:val="48517B76"/>
    <w:rsid w:val="485860F7"/>
    <w:rsid w:val="486701DC"/>
    <w:rsid w:val="486E18AD"/>
    <w:rsid w:val="48783354"/>
    <w:rsid w:val="487C2831"/>
    <w:rsid w:val="48892001"/>
    <w:rsid w:val="488C26C1"/>
    <w:rsid w:val="48942A2D"/>
    <w:rsid w:val="48A05E4C"/>
    <w:rsid w:val="48A4694D"/>
    <w:rsid w:val="48A73C3A"/>
    <w:rsid w:val="48A82E66"/>
    <w:rsid w:val="48BB76E5"/>
    <w:rsid w:val="48C540C0"/>
    <w:rsid w:val="48C60564"/>
    <w:rsid w:val="48D13C35"/>
    <w:rsid w:val="48D62E9D"/>
    <w:rsid w:val="48D771FB"/>
    <w:rsid w:val="48E13798"/>
    <w:rsid w:val="48F0738F"/>
    <w:rsid w:val="48F90DAD"/>
    <w:rsid w:val="49116D94"/>
    <w:rsid w:val="4913450D"/>
    <w:rsid w:val="49145375"/>
    <w:rsid w:val="492B02EC"/>
    <w:rsid w:val="493A685C"/>
    <w:rsid w:val="493F3E51"/>
    <w:rsid w:val="49575660"/>
    <w:rsid w:val="495B7F3D"/>
    <w:rsid w:val="49637376"/>
    <w:rsid w:val="496A1E2F"/>
    <w:rsid w:val="4979677B"/>
    <w:rsid w:val="49802F75"/>
    <w:rsid w:val="49855F2D"/>
    <w:rsid w:val="499C7517"/>
    <w:rsid w:val="49A46DFB"/>
    <w:rsid w:val="49B66EB3"/>
    <w:rsid w:val="49B760FE"/>
    <w:rsid w:val="49CA3C29"/>
    <w:rsid w:val="49D051F2"/>
    <w:rsid w:val="49DF49A3"/>
    <w:rsid w:val="49E83B4B"/>
    <w:rsid w:val="49EC3FFA"/>
    <w:rsid w:val="49EC473C"/>
    <w:rsid w:val="49FF3829"/>
    <w:rsid w:val="4A00193A"/>
    <w:rsid w:val="4A037596"/>
    <w:rsid w:val="4A173F6A"/>
    <w:rsid w:val="4A1B043B"/>
    <w:rsid w:val="4A1C23CF"/>
    <w:rsid w:val="4A2812AD"/>
    <w:rsid w:val="4A332939"/>
    <w:rsid w:val="4A34774F"/>
    <w:rsid w:val="4A381F39"/>
    <w:rsid w:val="4A471230"/>
    <w:rsid w:val="4A596C44"/>
    <w:rsid w:val="4A5E652E"/>
    <w:rsid w:val="4A786501"/>
    <w:rsid w:val="4A7D4C52"/>
    <w:rsid w:val="4A873D23"/>
    <w:rsid w:val="4A940CA0"/>
    <w:rsid w:val="4AA03ECF"/>
    <w:rsid w:val="4AA06B93"/>
    <w:rsid w:val="4AA85A47"/>
    <w:rsid w:val="4AA87A9D"/>
    <w:rsid w:val="4AC07235"/>
    <w:rsid w:val="4AC22FAD"/>
    <w:rsid w:val="4AC60E43"/>
    <w:rsid w:val="4AC82949"/>
    <w:rsid w:val="4AD056CA"/>
    <w:rsid w:val="4AD65823"/>
    <w:rsid w:val="4AD866BE"/>
    <w:rsid w:val="4ADF76BB"/>
    <w:rsid w:val="4AE67788"/>
    <w:rsid w:val="4AE90539"/>
    <w:rsid w:val="4AED4A99"/>
    <w:rsid w:val="4AFB7094"/>
    <w:rsid w:val="4B204665"/>
    <w:rsid w:val="4B2058B1"/>
    <w:rsid w:val="4B4D1AAC"/>
    <w:rsid w:val="4B50324F"/>
    <w:rsid w:val="4B5C0D0B"/>
    <w:rsid w:val="4B6422B6"/>
    <w:rsid w:val="4B813EB0"/>
    <w:rsid w:val="4B8E4932"/>
    <w:rsid w:val="4BA206E8"/>
    <w:rsid w:val="4BB539E6"/>
    <w:rsid w:val="4BB75010"/>
    <w:rsid w:val="4BCF5981"/>
    <w:rsid w:val="4BE13907"/>
    <w:rsid w:val="4BE753D1"/>
    <w:rsid w:val="4BEB349F"/>
    <w:rsid w:val="4C0C0983"/>
    <w:rsid w:val="4C206DBA"/>
    <w:rsid w:val="4C215AFB"/>
    <w:rsid w:val="4C2F4672"/>
    <w:rsid w:val="4C417F01"/>
    <w:rsid w:val="4C435792"/>
    <w:rsid w:val="4C455C43"/>
    <w:rsid w:val="4C5B44D2"/>
    <w:rsid w:val="4C6F335A"/>
    <w:rsid w:val="4C7427EB"/>
    <w:rsid w:val="4C756DFD"/>
    <w:rsid w:val="4C8D7CE6"/>
    <w:rsid w:val="4C914294"/>
    <w:rsid w:val="4C982217"/>
    <w:rsid w:val="4C9C37CD"/>
    <w:rsid w:val="4CAC5CC3"/>
    <w:rsid w:val="4CD45888"/>
    <w:rsid w:val="4CE85A9D"/>
    <w:rsid w:val="4CEE659E"/>
    <w:rsid w:val="4CF907DC"/>
    <w:rsid w:val="4D07114B"/>
    <w:rsid w:val="4D1660F8"/>
    <w:rsid w:val="4D170083"/>
    <w:rsid w:val="4D1F5E1D"/>
    <w:rsid w:val="4D225F85"/>
    <w:rsid w:val="4D2E2B7B"/>
    <w:rsid w:val="4D3112F1"/>
    <w:rsid w:val="4D333CEE"/>
    <w:rsid w:val="4D602609"/>
    <w:rsid w:val="4D7D0C66"/>
    <w:rsid w:val="4D7D3885"/>
    <w:rsid w:val="4D7D6F47"/>
    <w:rsid w:val="4D7F5185"/>
    <w:rsid w:val="4D926C66"/>
    <w:rsid w:val="4DCA7E8F"/>
    <w:rsid w:val="4DCE3A17"/>
    <w:rsid w:val="4DFE3442"/>
    <w:rsid w:val="4DFF4C79"/>
    <w:rsid w:val="4E04244B"/>
    <w:rsid w:val="4E102281"/>
    <w:rsid w:val="4E1D7B05"/>
    <w:rsid w:val="4E212AEE"/>
    <w:rsid w:val="4E252DBF"/>
    <w:rsid w:val="4E263853"/>
    <w:rsid w:val="4E3E294A"/>
    <w:rsid w:val="4E434405"/>
    <w:rsid w:val="4E4A1A12"/>
    <w:rsid w:val="4E4C150B"/>
    <w:rsid w:val="4E591384"/>
    <w:rsid w:val="4E592D3B"/>
    <w:rsid w:val="4E5934A7"/>
    <w:rsid w:val="4E647566"/>
    <w:rsid w:val="4E6B74B7"/>
    <w:rsid w:val="4E7C16C5"/>
    <w:rsid w:val="4E822C4E"/>
    <w:rsid w:val="4E8E7D02"/>
    <w:rsid w:val="4E902A31"/>
    <w:rsid w:val="4E9B7D9D"/>
    <w:rsid w:val="4EB37FFC"/>
    <w:rsid w:val="4ED84B4D"/>
    <w:rsid w:val="4EDE412D"/>
    <w:rsid w:val="4EE01C53"/>
    <w:rsid w:val="4EE259CC"/>
    <w:rsid w:val="4EE73765"/>
    <w:rsid w:val="4EE96D5A"/>
    <w:rsid w:val="4EED3CA3"/>
    <w:rsid w:val="4EEF640A"/>
    <w:rsid w:val="4F18319B"/>
    <w:rsid w:val="4F1E5397"/>
    <w:rsid w:val="4F2C6C47"/>
    <w:rsid w:val="4F2E6E63"/>
    <w:rsid w:val="4F300AB3"/>
    <w:rsid w:val="4F3124AF"/>
    <w:rsid w:val="4F3176D2"/>
    <w:rsid w:val="4F3A0B9D"/>
    <w:rsid w:val="4F3D36D6"/>
    <w:rsid w:val="4F58517B"/>
    <w:rsid w:val="4F5B752C"/>
    <w:rsid w:val="4F5F3899"/>
    <w:rsid w:val="4F665FE3"/>
    <w:rsid w:val="4F674123"/>
    <w:rsid w:val="4F693CFF"/>
    <w:rsid w:val="4F6C798B"/>
    <w:rsid w:val="4F753FCD"/>
    <w:rsid w:val="4F791EF0"/>
    <w:rsid w:val="4F7C2CDA"/>
    <w:rsid w:val="4F7F177B"/>
    <w:rsid w:val="4F802737"/>
    <w:rsid w:val="4F844CD5"/>
    <w:rsid w:val="4F942E88"/>
    <w:rsid w:val="4FA143AC"/>
    <w:rsid w:val="4FA15887"/>
    <w:rsid w:val="4FA461CB"/>
    <w:rsid w:val="4FCF4CE1"/>
    <w:rsid w:val="4FD02DF6"/>
    <w:rsid w:val="4FD15077"/>
    <w:rsid w:val="4FD31B9F"/>
    <w:rsid w:val="4FF563CE"/>
    <w:rsid w:val="4FFC3921"/>
    <w:rsid w:val="4FFF25AD"/>
    <w:rsid w:val="50232EA5"/>
    <w:rsid w:val="50395ABF"/>
    <w:rsid w:val="504D156B"/>
    <w:rsid w:val="504F0E3F"/>
    <w:rsid w:val="50593AED"/>
    <w:rsid w:val="50640680"/>
    <w:rsid w:val="506D27D5"/>
    <w:rsid w:val="50721785"/>
    <w:rsid w:val="507A4D64"/>
    <w:rsid w:val="507B60D8"/>
    <w:rsid w:val="509A3440"/>
    <w:rsid w:val="50A33BAD"/>
    <w:rsid w:val="50AD3DB7"/>
    <w:rsid w:val="50AD3FE0"/>
    <w:rsid w:val="50B25281"/>
    <w:rsid w:val="50B77C63"/>
    <w:rsid w:val="50B93DF8"/>
    <w:rsid w:val="50C35389"/>
    <w:rsid w:val="50C5535E"/>
    <w:rsid w:val="50D10F23"/>
    <w:rsid w:val="50E53F3B"/>
    <w:rsid w:val="50F47C38"/>
    <w:rsid w:val="5100038B"/>
    <w:rsid w:val="510A0771"/>
    <w:rsid w:val="510A0978"/>
    <w:rsid w:val="511E00CE"/>
    <w:rsid w:val="51263104"/>
    <w:rsid w:val="51280962"/>
    <w:rsid w:val="514C4B63"/>
    <w:rsid w:val="514E3757"/>
    <w:rsid w:val="514F6668"/>
    <w:rsid w:val="51620E80"/>
    <w:rsid w:val="51666B76"/>
    <w:rsid w:val="516A3A56"/>
    <w:rsid w:val="516E13D9"/>
    <w:rsid w:val="517F4A6D"/>
    <w:rsid w:val="5189228F"/>
    <w:rsid w:val="519F112B"/>
    <w:rsid w:val="519F1952"/>
    <w:rsid w:val="51A11136"/>
    <w:rsid w:val="51B5549B"/>
    <w:rsid w:val="51C90454"/>
    <w:rsid w:val="51C94C21"/>
    <w:rsid w:val="51D05FAF"/>
    <w:rsid w:val="51DC2BA6"/>
    <w:rsid w:val="51E74D0F"/>
    <w:rsid w:val="51E753DE"/>
    <w:rsid w:val="51F223CA"/>
    <w:rsid w:val="51FC3A18"/>
    <w:rsid w:val="52181704"/>
    <w:rsid w:val="52183035"/>
    <w:rsid w:val="523E73BD"/>
    <w:rsid w:val="524B3888"/>
    <w:rsid w:val="525017DE"/>
    <w:rsid w:val="525F19A5"/>
    <w:rsid w:val="52611061"/>
    <w:rsid w:val="5268443A"/>
    <w:rsid w:val="52860D64"/>
    <w:rsid w:val="529214B7"/>
    <w:rsid w:val="52972F71"/>
    <w:rsid w:val="529F291F"/>
    <w:rsid w:val="52A0149C"/>
    <w:rsid w:val="52A758F3"/>
    <w:rsid w:val="52B044DE"/>
    <w:rsid w:val="52B43F8A"/>
    <w:rsid w:val="52BE400D"/>
    <w:rsid w:val="52BE634B"/>
    <w:rsid w:val="52C04276"/>
    <w:rsid w:val="52C5058C"/>
    <w:rsid w:val="52C5363A"/>
    <w:rsid w:val="52D06248"/>
    <w:rsid w:val="52E00EB9"/>
    <w:rsid w:val="52E42BB7"/>
    <w:rsid w:val="52E579D6"/>
    <w:rsid w:val="52E635B0"/>
    <w:rsid w:val="52EF526D"/>
    <w:rsid w:val="52F1442F"/>
    <w:rsid w:val="52FC4D46"/>
    <w:rsid w:val="53044A76"/>
    <w:rsid w:val="530B7CB6"/>
    <w:rsid w:val="53157FDF"/>
    <w:rsid w:val="531D1E76"/>
    <w:rsid w:val="531E3B27"/>
    <w:rsid w:val="53234805"/>
    <w:rsid w:val="532C0155"/>
    <w:rsid w:val="53320B51"/>
    <w:rsid w:val="533802B0"/>
    <w:rsid w:val="534327B1"/>
    <w:rsid w:val="53436211"/>
    <w:rsid w:val="534A1D91"/>
    <w:rsid w:val="53534C94"/>
    <w:rsid w:val="53560736"/>
    <w:rsid w:val="535A5ACE"/>
    <w:rsid w:val="53616B84"/>
    <w:rsid w:val="537F5627"/>
    <w:rsid w:val="53A414A2"/>
    <w:rsid w:val="53B316E5"/>
    <w:rsid w:val="53BE1361"/>
    <w:rsid w:val="53C02C55"/>
    <w:rsid w:val="53C43306"/>
    <w:rsid w:val="53C6241F"/>
    <w:rsid w:val="53D53D51"/>
    <w:rsid w:val="53D56834"/>
    <w:rsid w:val="53D705C2"/>
    <w:rsid w:val="53DA0CAB"/>
    <w:rsid w:val="5404273B"/>
    <w:rsid w:val="5406215C"/>
    <w:rsid w:val="54116070"/>
    <w:rsid w:val="541303D5"/>
    <w:rsid w:val="541C3AAD"/>
    <w:rsid w:val="54241F00"/>
    <w:rsid w:val="542A67AB"/>
    <w:rsid w:val="543145AD"/>
    <w:rsid w:val="543C16DA"/>
    <w:rsid w:val="54453590"/>
    <w:rsid w:val="544762D1"/>
    <w:rsid w:val="54482775"/>
    <w:rsid w:val="54631655"/>
    <w:rsid w:val="54754BEC"/>
    <w:rsid w:val="547846DC"/>
    <w:rsid w:val="548B0BCD"/>
    <w:rsid w:val="548B2661"/>
    <w:rsid w:val="548F2152"/>
    <w:rsid w:val="54A35BFD"/>
    <w:rsid w:val="54A61249"/>
    <w:rsid w:val="54B41BB8"/>
    <w:rsid w:val="54BA64A9"/>
    <w:rsid w:val="54C41A18"/>
    <w:rsid w:val="54C54A95"/>
    <w:rsid w:val="54EF25F9"/>
    <w:rsid w:val="54FE693D"/>
    <w:rsid w:val="55006F39"/>
    <w:rsid w:val="55115317"/>
    <w:rsid w:val="55173EF5"/>
    <w:rsid w:val="551C49F3"/>
    <w:rsid w:val="552B1C06"/>
    <w:rsid w:val="553C5E9D"/>
    <w:rsid w:val="554B22F9"/>
    <w:rsid w:val="55520F12"/>
    <w:rsid w:val="555B2034"/>
    <w:rsid w:val="555C53C5"/>
    <w:rsid w:val="556316CE"/>
    <w:rsid w:val="55637137"/>
    <w:rsid w:val="55821CB6"/>
    <w:rsid w:val="558535EF"/>
    <w:rsid w:val="559819EA"/>
    <w:rsid w:val="55983288"/>
    <w:rsid w:val="559A0800"/>
    <w:rsid w:val="559A7000"/>
    <w:rsid w:val="55A46EBE"/>
    <w:rsid w:val="55A8310A"/>
    <w:rsid w:val="55AD03B6"/>
    <w:rsid w:val="55AF7A72"/>
    <w:rsid w:val="55B00597"/>
    <w:rsid w:val="55B55BE8"/>
    <w:rsid w:val="55CA33E4"/>
    <w:rsid w:val="55F01A8B"/>
    <w:rsid w:val="560426CB"/>
    <w:rsid w:val="560A5808"/>
    <w:rsid w:val="560B6DEC"/>
    <w:rsid w:val="56101D2C"/>
    <w:rsid w:val="561A3C9D"/>
    <w:rsid w:val="561B7A15"/>
    <w:rsid w:val="562A12F0"/>
    <w:rsid w:val="565D3B8A"/>
    <w:rsid w:val="566C201F"/>
    <w:rsid w:val="56920712"/>
    <w:rsid w:val="569577C7"/>
    <w:rsid w:val="56962D99"/>
    <w:rsid w:val="569972B8"/>
    <w:rsid w:val="569A4DDE"/>
    <w:rsid w:val="56AB2AB9"/>
    <w:rsid w:val="56AE2637"/>
    <w:rsid w:val="56B0015D"/>
    <w:rsid w:val="56C7515D"/>
    <w:rsid w:val="56C9121F"/>
    <w:rsid w:val="56E55DC4"/>
    <w:rsid w:val="56E77687"/>
    <w:rsid w:val="570120E9"/>
    <w:rsid w:val="57122BC6"/>
    <w:rsid w:val="57160908"/>
    <w:rsid w:val="572F30D9"/>
    <w:rsid w:val="572F3778"/>
    <w:rsid w:val="57342B3C"/>
    <w:rsid w:val="57365DD5"/>
    <w:rsid w:val="574050C8"/>
    <w:rsid w:val="574D51C0"/>
    <w:rsid w:val="57622855"/>
    <w:rsid w:val="577C44E3"/>
    <w:rsid w:val="57845189"/>
    <w:rsid w:val="57854D26"/>
    <w:rsid w:val="57D8796C"/>
    <w:rsid w:val="57E5252E"/>
    <w:rsid w:val="57EF10CB"/>
    <w:rsid w:val="57F304BD"/>
    <w:rsid w:val="580144C9"/>
    <w:rsid w:val="58095919"/>
    <w:rsid w:val="58111F18"/>
    <w:rsid w:val="581179F5"/>
    <w:rsid w:val="5816182C"/>
    <w:rsid w:val="5822606F"/>
    <w:rsid w:val="58270B1D"/>
    <w:rsid w:val="583B0BA3"/>
    <w:rsid w:val="584371A7"/>
    <w:rsid w:val="5851771E"/>
    <w:rsid w:val="58552E90"/>
    <w:rsid w:val="585C6BAD"/>
    <w:rsid w:val="58613A3F"/>
    <w:rsid w:val="587F072F"/>
    <w:rsid w:val="58900AB5"/>
    <w:rsid w:val="58A6632B"/>
    <w:rsid w:val="58AB32D2"/>
    <w:rsid w:val="58D04AE7"/>
    <w:rsid w:val="58D51DCF"/>
    <w:rsid w:val="58D83900"/>
    <w:rsid w:val="58EB2CD9"/>
    <w:rsid w:val="58F31111"/>
    <w:rsid w:val="58F6033F"/>
    <w:rsid w:val="58F85DEC"/>
    <w:rsid w:val="590C01AF"/>
    <w:rsid w:val="59346185"/>
    <w:rsid w:val="593B28A8"/>
    <w:rsid w:val="593E42F7"/>
    <w:rsid w:val="593F15BA"/>
    <w:rsid w:val="594E2B77"/>
    <w:rsid w:val="596B111A"/>
    <w:rsid w:val="5975743C"/>
    <w:rsid w:val="59771406"/>
    <w:rsid w:val="597C6EA0"/>
    <w:rsid w:val="59914276"/>
    <w:rsid w:val="59B857E0"/>
    <w:rsid w:val="59C04B5B"/>
    <w:rsid w:val="59C86B3A"/>
    <w:rsid w:val="59CC128C"/>
    <w:rsid w:val="59DF4FA9"/>
    <w:rsid w:val="59E73ADE"/>
    <w:rsid w:val="59FE68ED"/>
    <w:rsid w:val="5A0272B1"/>
    <w:rsid w:val="5A0B6471"/>
    <w:rsid w:val="5A1D1FAE"/>
    <w:rsid w:val="5A353189"/>
    <w:rsid w:val="5A504131"/>
    <w:rsid w:val="5A580CEF"/>
    <w:rsid w:val="5A5D0F6B"/>
    <w:rsid w:val="5A625C12"/>
    <w:rsid w:val="5A63590E"/>
    <w:rsid w:val="5A6B7846"/>
    <w:rsid w:val="5A6C38CF"/>
    <w:rsid w:val="5A736072"/>
    <w:rsid w:val="5A8A7703"/>
    <w:rsid w:val="5A9009D2"/>
    <w:rsid w:val="5AB16465"/>
    <w:rsid w:val="5AB50325"/>
    <w:rsid w:val="5AB53F94"/>
    <w:rsid w:val="5ACF64C5"/>
    <w:rsid w:val="5AD36B10"/>
    <w:rsid w:val="5AE90C2D"/>
    <w:rsid w:val="5AE94178"/>
    <w:rsid w:val="5AEB5C08"/>
    <w:rsid w:val="5B0026A2"/>
    <w:rsid w:val="5B0D3DD0"/>
    <w:rsid w:val="5B12588A"/>
    <w:rsid w:val="5B1A047F"/>
    <w:rsid w:val="5B204DE6"/>
    <w:rsid w:val="5B336D03"/>
    <w:rsid w:val="5B4041A6"/>
    <w:rsid w:val="5B431DB8"/>
    <w:rsid w:val="5B4A7497"/>
    <w:rsid w:val="5B5150EA"/>
    <w:rsid w:val="5B557525"/>
    <w:rsid w:val="5B710F32"/>
    <w:rsid w:val="5B7756EE"/>
    <w:rsid w:val="5B882167"/>
    <w:rsid w:val="5B9D535B"/>
    <w:rsid w:val="5BA57B34"/>
    <w:rsid w:val="5BB64468"/>
    <w:rsid w:val="5BB667F6"/>
    <w:rsid w:val="5BBB7CD0"/>
    <w:rsid w:val="5BCF367F"/>
    <w:rsid w:val="5BDA1503"/>
    <w:rsid w:val="5BDC749B"/>
    <w:rsid w:val="5BDD7C46"/>
    <w:rsid w:val="5BE50E7B"/>
    <w:rsid w:val="5BFA4F23"/>
    <w:rsid w:val="5BFB1B7F"/>
    <w:rsid w:val="5C043980"/>
    <w:rsid w:val="5C0F6681"/>
    <w:rsid w:val="5C1271C4"/>
    <w:rsid w:val="5C202555"/>
    <w:rsid w:val="5C215FAE"/>
    <w:rsid w:val="5C254F42"/>
    <w:rsid w:val="5C3030FB"/>
    <w:rsid w:val="5C311A87"/>
    <w:rsid w:val="5C3166BC"/>
    <w:rsid w:val="5C361105"/>
    <w:rsid w:val="5C4019E8"/>
    <w:rsid w:val="5C4416C6"/>
    <w:rsid w:val="5C561FCA"/>
    <w:rsid w:val="5C5743AC"/>
    <w:rsid w:val="5C5E240A"/>
    <w:rsid w:val="5C82699B"/>
    <w:rsid w:val="5C952CA1"/>
    <w:rsid w:val="5CA264EC"/>
    <w:rsid w:val="5CB07109"/>
    <w:rsid w:val="5CB25F16"/>
    <w:rsid w:val="5CBA1D36"/>
    <w:rsid w:val="5CC30327"/>
    <w:rsid w:val="5CC61A99"/>
    <w:rsid w:val="5CCC13DE"/>
    <w:rsid w:val="5CD25B3D"/>
    <w:rsid w:val="5CF10E39"/>
    <w:rsid w:val="5CF321ED"/>
    <w:rsid w:val="5CF52D6E"/>
    <w:rsid w:val="5CFE7C3F"/>
    <w:rsid w:val="5D0131B3"/>
    <w:rsid w:val="5D042FB1"/>
    <w:rsid w:val="5D0A04EA"/>
    <w:rsid w:val="5D1A2A7C"/>
    <w:rsid w:val="5D1D0666"/>
    <w:rsid w:val="5D245401"/>
    <w:rsid w:val="5D287F86"/>
    <w:rsid w:val="5D291C06"/>
    <w:rsid w:val="5D340EF8"/>
    <w:rsid w:val="5D354D18"/>
    <w:rsid w:val="5D465377"/>
    <w:rsid w:val="5D5749A7"/>
    <w:rsid w:val="5D6B2C6D"/>
    <w:rsid w:val="5D796F08"/>
    <w:rsid w:val="5D887E95"/>
    <w:rsid w:val="5D8A268F"/>
    <w:rsid w:val="5D8E0811"/>
    <w:rsid w:val="5D9E3BCD"/>
    <w:rsid w:val="5DA12EF6"/>
    <w:rsid w:val="5DA51F0A"/>
    <w:rsid w:val="5DA64068"/>
    <w:rsid w:val="5DA779D9"/>
    <w:rsid w:val="5DAF73C1"/>
    <w:rsid w:val="5DB96185"/>
    <w:rsid w:val="5DC319A5"/>
    <w:rsid w:val="5DD24E5D"/>
    <w:rsid w:val="5DD45079"/>
    <w:rsid w:val="5DD97E74"/>
    <w:rsid w:val="5DF9422C"/>
    <w:rsid w:val="5DFA7592"/>
    <w:rsid w:val="5E042B62"/>
    <w:rsid w:val="5E1172C8"/>
    <w:rsid w:val="5E1F706D"/>
    <w:rsid w:val="5E21062F"/>
    <w:rsid w:val="5E2463C6"/>
    <w:rsid w:val="5E2751A9"/>
    <w:rsid w:val="5E394EDC"/>
    <w:rsid w:val="5E4A533B"/>
    <w:rsid w:val="5E5A16CB"/>
    <w:rsid w:val="5E862A06"/>
    <w:rsid w:val="5E877FEF"/>
    <w:rsid w:val="5E8E347A"/>
    <w:rsid w:val="5E9071F2"/>
    <w:rsid w:val="5E9D755E"/>
    <w:rsid w:val="5EB92998"/>
    <w:rsid w:val="5EC01DF2"/>
    <w:rsid w:val="5ECF633C"/>
    <w:rsid w:val="5ED72F89"/>
    <w:rsid w:val="5EE52C76"/>
    <w:rsid w:val="5EE53DB9"/>
    <w:rsid w:val="5EF71BAD"/>
    <w:rsid w:val="5F1D65AC"/>
    <w:rsid w:val="5F286FBC"/>
    <w:rsid w:val="5F4D6E91"/>
    <w:rsid w:val="5F506981"/>
    <w:rsid w:val="5F566CDA"/>
    <w:rsid w:val="5F5E11F6"/>
    <w:rsid w:val="5F6318C1"/>
    <w:rsid w:val="5F661D01"/>
    <w:rsid w:val="5F8959EF"/>
    <w:rsid w:val="5FA62A45"/>
    <w:rsid w:val="5FC16118"/>
    <w:rsid w:val="5FC22B81"/>
    <w:rsid w:val="5FCD52BA"/>
    <w:rsid w:val="5FCF3D4A"/>
    <w:rsid w:val="5FCF5791"/>
    <w:rsid w:val="5FCF779B"/>
    <w:rsid w:val="5FD02D75"/>
    <w:rsid w:val="5FDE3BAD"/>
    <w:rsid w:val="5FE14E2A"/>
    <w:rsid w:val="5FE201F5"/>
    <w:rsid w:val="5FED5F7E"/>
    <w:rsid w:val="5FF72831"/>
    <w:rsid w:val="5FFC08B7"/>
    <w:rsid w:val="5FFD62D0"/>
    <w:rsid w:val="600734E4"/>
    <w:rsid w:val="600D06FC"/>
    <w:rsid w:val="60116111"/>
    <w:rsid w:val="60182CB2"/>
    <w:rsid w:val="601A545D"/>
    <w:rsid w:val="60292503"/>
    <w:rsid w:val="602C3CF8"/>
    <w:rsid w:val="602E7326"/>
    <w:rsid w:val="605B2D6C"/>
    <w:rsid w:val="606E6BD0"/>
    <w:rsid w:val="60754471"/>
    <w:rsid w:val="60822B6A"/>
    <w:rsid w:val="608D72C8"/>
    <w:rsid w:val="60AA0313"/>
    <w:rsid w:val="60C5514D"/>
    <w:rsid w:val="60CC2038"/>
    <w:rsid w:val="60EB2416"/>
    <w:rsid w:val="60EE0200"/>
    <w:rsid w:val="61024FA7"/>
    <w:rsid w:val="612F3E61"/>
    <w:rsid w:val="61501D2B"/>
    <w:rsid w:val="61502C69"/>
    <w:rsid w:val="615710D9"/>
    <w:rsid w:val="61610EF5"/>
    <w:rsid w:val="61673788"/>
    <w:rsid w:val="616876BA"/>
    <w:rsid w:val="616F5CEA"/>
    <w:rsid w:val="617F67CC"/>
    <w:rsid w:val="61811074"/>
    <w:rsid w:val="61891CD7"/>
    <w:rsid w:val="61923D99"/>
    <w:rsid w:val="619470EB"/>
    <w:rsid w:val="619C4100"/>
    <w:rsid w:val="61A178F2"/>
    <w:rsid w:val="61AB4343"/>
    <w:rsid w:val="61AF7EBA"/>
    <w:rsid w:val="61B2747F"/>
    <w:rsid w:val="61B718F7"/>
    <w:rsid w:val="61BA27D8"/>
    <w:rsid w:val="61C62F2B"/>
    <w:rsid w:val="61D06F95"/>
    <w:rsid w:val="61D75993"/>
    <w:rsid w:val="61E756BD"/>
    <w:rsid w:val="61F555BE"/>
    <w:rsid w:val="62194391"/>
    <w:rsid w:val="62267F4B"/>
    <w:rsid w:val="622C1B47"/>
    <w:rsid w:val="62326812"/>
    <w:rsid w:val="624625DA"/>
    <w:rsid w:val="624B5CD1"/>
    <w:rsid w:val="625F161B"/>
    <w:rsid w:val="626369CC"/>
    <w:rsid w:val="62830E1C"/>
    <w:rsid w:val="628652DF"/>
    <w:rsid w:val="628D0270"/>
    <w:rsid w:val="6291178B"/>
    <w:rsid w:val="629A0DE3"/>
    <w:rsid w:val="629D40A2"/>
    <w:rsid w:val="62A326F5"/>
    <w:rsid w:val="62A36DC8"/>
    <w:rsid w:val="62A36FB4"/>
    <w:rsid w:val="62A768B8"/>
    <w:rsid w:val="62AD71FA"/>
    <w:rsid w:val="62BB0192"/>
    <w:rsid w:val="62BC5FD6"/>
    <w:rsid w:val="62C0797A"/>
    <w:rsid w:val="62CC13F5"/>
    <w:rsid w:val="62D13A59"/>
    <w:rsid w:val="62D21CBE"/>
    <w:rsid w:val="62EF64B1"/>
    <w:rsid w:val="62F04EE0"/>
    <w:rsid w:val="62F473D5"/>
    <w:rsid w:val="62F66AC6"/>
    <w:rsid w:val="63085D89"/>
    <w:rsid w:val="63086882"/>
    <w:rsid w:val="630B32EB"/>
    <w:rsid w:val="63422A85"/>
    <w:rsid w:val="634C7460"/>
    <w:rsid w:val="63502316"/>
    <w:rsid w:val="63626220"/>
    <w:rsid w:val="63672428"/>
    <w:rsid w:val="63786354"/>
    <w:rsid w:val="637A0E94"/>
    <w:rsid w:val="63840244"/>
    <w:rsid w:val="638E7A78"/>
    <w:rsid w:val="63B55F55"/>
    <w:rsid w:val="63BF5E84"/>
    <w:rsid w:val="63C4329E"/>
    <w:rsid w:val="63CA7358"/>
    <w:rsid w:val="63E6054C"/>
    <w:rsid w:val="63F024E1"/>
    <w:rsid w:val="63F105D5"/>
    <w:rsid w:val="63F975E8"/>
    <w:rsid w:val="63FF4645"/>
    <w:rsid w:val="6402496A"/>
    <w:rsid w:val="642E704C"/>
    <w:rsid w:val="64335620"/>
    <w:rsid w:val="64353894"/>
    <w:rsid w:val="644F0FB6"/>
    <w:rsid w:val="645E38EF"/>
    <w:rsid w:val="6468132B"/>
    <w:rsid w:val="64813E50"/>
    <w:rsid w:val="648318D7"/>
    <w:rsid w:val="648336D6"/>
    <w:rsid w:val="64835727"/>
    <w:rsid w:val="649324D1"/>
    <w:rsid w:val="649B069F"/>
    <w:rsid w:val="64AF23D7"/>
    <w:rsid w:val="64CB64F4"/>
    <w:rsid w:val="64D83F59"/>
    <w:rsid w:val="64D97995"/>
    <w:rsid w:val="64F14763"/>
    <w:rsid w:val="65077AE2"/>
    <w:rsid w:val="65085608"/>
    <w:rsid w:val="650A1380"/>
    <w:rsid w:val="650D264A"/>
    <w:rsid w:val="6510599E"/>
    <w:rsid w:val="653553D2"/>
    <w:rsid w:val="65442AE4"/>
    <w:rsid w:val="65662483"/>
    <w:rsid w:val="656B0071"/>
    <w:rsid w:val="6571026B"/>
    <w:rsid w:val="6582360D"/>
    <w:rsid w:val="658C1E21"/>
    <w:rsid w:val="65A26342"/>
    <w:rsid w:val="65B90DA9"/>
    <w:rsid w:val="65BE3F06"/>
    <w:rsid w:val="65BF03BD"/>
    <w:rsid w:val="65CE0600"/>
    <w:rsid w:val="65D54C8C"/>
    <w:rsid w:val="65D57BE0"/>
    <w:rsid w:val="65DB5AC8"/>
    <w:rsid w:val="65F20792"/>
    <w:rsid w:val="65FD4C4A"/>
    <w:rsid w:val="65FE7137"/>
    <w:rsid w:val="66000465"/>
    <w:rsid w:val="6605665B"/>
    <w:rsid w:val="660A500E"/>
    <w:rsid w:val="663012BB"/>
    <w:rsid w:val="66317058"/>
    <w:rsid w:val="66321F8D"/>
    <w:rsid w:val="66342B59"/>
    <w:rsid w:val="6642401D"/>
    <w:rsid w:val="665A3E1B"/>
    <w:rsid w:val="665F0CD7"/>
    <w:rsid w:val="6664682D"/>
    <w:rsid w:val="666B73A8"/>
    <w:rsid w:val="668D7512"/>
    <w:rsid w:val="669C6028"/>
    <w:rsid w:val="669D534D"/>
    <w:rsid w:val="66A3383B"/>
    <w:rsid w:val="66AD5344"/>
    <w:rsid w:val="66AE444A"/>
    <w:rsid w:val="66B5531C"/>
    <w:rsid w:val="66B7651C"/>
    <w:rsid w:val="66BB0D4F"/>
    <w:rsid w:val="66C11F13"/>
    <w:rsid w:val="66D656DD"/>
    <w:rsid w:val="66DB485A"/>
    <w:rsid w:val="66DF144C"/>
    <w:rsid w:val="66E107AF"/>
    <w:rsid w:val="66E94F45"/>
    <w:rsid w:val="66FB6A5C"/>
    <w:rsid w:val="66FFFA55"/>
    <w:rsid w:val="67021D28"/>
    <w:rsid w:val="671C0F5D"/>
    <w:rsid w:val="672131A8"/>
    <w:rsid w:val="6727446C"/>
    <w:rsid w:val="67334BBF"/>
    <w:rsid w:val="6738702B"/>
    <w:rsid w:val="674D208B"/>
    <w:rsid w:val="676254A4"/>
    <w:rsid w:val="676905E0"/>
    <w:rsid w:val="677F7E04"/>
    <w:rsid w:val="678A02D7"/>
    <w:rsid w:val="678E7152"/>
    <w:rsid w:val="679C6C08"/>
    <w:rsid w:val="67A20389"/>
    <w:rsid w:val="67AA29A7"/>
    <w:rsid w:val="67AB677A"/>
    <w:rsid w:val="67AE38B3"/>
    <w:rsid w:val="67B82464"/>
    <w:rsid w:val="67C021CA"/>
    <w:rsid w:val="67C91D21"/>
    <w:rsid w:val="67D15FCC"/>
    <w:rsid w:val="67E14F7F"/>
    <w:rsid w:val="67ED7463"/>
    <w:rsid w:val="67F91F70"/>
    <w:rsid w:val="68000819"/>
    <w:rsid w:val="680C4CB4"/>
    <w:rsid w:val="680F708F"/>
    <w:rsid w:val="68152516"/>
    <w:rsid w:val="681A7AE0"/>
    <w:rsid w:val="681C1AF7"/>
    <w:rsid w:val="683F7593"/>
    <w:rsid w:val="6842021D"/>
    <w:rsid w:val="68541290"/>
    <w:rsid w:val="685A261F"/>
    <w:rsid w:val="685C6397"/>
    <w:rsid w:val="68637725"/>
    <w:rsid w:val="686D4100"/>
    <w:rsid w:val="68727A20"/>
    <w:rsid w:val="687C07E7"/>
    <w:rsid w:val="687E630D"/>
    <w:rsid w:val="688651C2"/>
    <w:rsid w:val="688A18E7"/>
    <w:rsid w:val="68953657"/>
    <w:rsid w:val="689C0F90"/>
    <w:rsid w:val="689C49E5"/>
    <w:rsid w:val="68B25FB7"/>
    <w:rsid w:val="68D1119C"/>
    <w:rsid w:val="68D51395"/>
    <w:rsid w:val="68D51CA5"/>
    <w:rsid w:val="68D54BAD"/>
    <w:rsid w:val="68D86F6F"/>
    <w:rsid w:val="69076FCD"/>
    <w:rsid w:val="69156F4A"/>
    <w:rsid w:val="69191363"/>
    <w:rsid w:val="69273FD9"/>
    <w:rsid w:val="6933534A"/>
    <w:rsid w:val="69464588"/>
    <w:rsid w:val="695C60D9"/>
    <w:rsid w:val="695D5F42"/>
    <w:rsid w:val="6962178B"/>
    <w:rsid w:val="69645F05"/>
    <w:rsid w:val="697655C4"/>
    <w:rsid w:val="69847953"/>
    <w:rsid w:val="69934FDB"/>
    <w:rsid w:val="699B1675"/>
    <w:rsid w:val="699B4C9D"/>
    <w:rsid w:val="699F478D"/>
    <w:rsid w:val="69BE5413"/>
    <w:rsid w:val="69C435D6"/>
    <w:rsid w:val="69D35ABE"/>
    <w:rsid w:val="69F73170"/>
    <w:rsid w:val="69FC398E"/>
    <w:rsid w:val="6A0C3D78"/>
    <w:rsid w:val="6A18009C"/>
    <w:rsid w:val="6A1A7CF2"/>
    <w:rsid w:val="6A1D5C82"/>
    <w:rsid w:val="6A205136"/>
    <w:rsid w:val="6A224828"/>
    <w:rsid w:val="6A293470"/>
    <w:rsid w:val="6A41142C"/>
    <w:rsid w:val="6A647785"/>
    <w:rsid w:val="6A69484A"/>
    <w:rsid w:val="6A6B7365"/>
    <w:rsid w:val="6A6C792F"/>
    <w:rsid w:val="6A835E5D"/>
    <w:rsid w:val="6A917422"/>
    <w:rsid w:val="6A997812"/>
    <w:rsid w:val="6AA24062"/>
    <w:rsid w:val="6AAB2201"/>
    <w:rsid w:val="6AB956BB"/>
    <w:rsid w:val="6ABA645B"/>
    <w:rsid w:val="6ABA73A5"/>
    <w:rsid w:val="6AC36CF9"/>
    <w:rsid w:val="6AC801AA"/>
    <w:rsid w:val="6ACB7804"/>
    <w:rsid w:val="6ACC31BC"/>
    <w:rsid w:val="6AD761A9"/>
    <w:rsid w:val="6AE236E0"/>
    <w:rsid w:val="6AEF0926"/>
    <w:rsid w:val="6B100A03"/>
    <w:rsid w:val="6B1427A5"/>
    <w:rsid w:val="6B256F14"/>
    <w:rsid w:val="6B2E3678"/>
    <w:rsid w:val="6B366E12"/>
    <w:rsid w:val="6B371AA7"/>
    <w:rsid w:val="6B40072F"/>
    <w:rsid w:val="6B511AB7"/>
    <w:rsid w:val="6B5D66AE"/>
    <w:rsid w:val="6B6350FA"/>
    <w:rsid w:val="6B6562D0"/>
    <w:rsid w:val="6B712159"/>
    <w:rsid w:val="6B7670E2"/>
    <w:rsid w:val="6B7D27DC"/>
    <w:rsid w:val="6B8754D9"/>
    <w:rsid w:val="6B9032E0"/>
    <w:rsid w:val="6BA3608B"/>
    <w:rsid w:val="6BA4408F"/>
    <w:rsid w:val="6BB97B5D"/>
    <w:rsid w:val="6BDA5F51"/>
    <w:rsid w:val="6BDE07B0"/>
    <w:rsid w:val="6BDF3567"/>
    <w:rsid w:val="6C165841"/>
    <w:rsid w:val="6C30791F"/>
    <w:rsid w:val="6C3D21F4"/>
    <w:rsid w:val="6C3F5DB4"/>
    <w:rsid w:val="6C4920F3"/>
    <w:rsid w:val="6C4B4A70"/>
    <w:rsid w:val="6C5A2BED"/>
    <w:rsid w:val="6C5D5295"/>
    <w:rsid w:val="6C6521D9"/>
    <w:rsid w:val="6C6972D4"/>
    <w:rsid w:val="6C727F37"/>
    <w:rsid w:val="6C77554D"/>
    <w:rsid w:val="6C91013B"/>
    <w:rsid w:val="6C9454B4"/>
    <w:rsid w:val="6C9C4FB4"/>
    <w:rsid w:val="6CA44A36"/>
    <w:rsid w:val="6CB16231"/>
    <w:rsid w:val="6CB218E1"/>
    <w:rsid w:val="6CB22A29"/>
    <w:rsid w:val="6CBA368C"/>
    <w:rsid w:val="6CC637E4"/>
    <w:rsid w:val="6CC91B21"/>
    <w:rsid w:val="6CCD7863"/>
    <w:rsid w:val="6CCE7A47"/>
    <w:rsid w:val="6CD00DCB"/>
    <w:rsid w:val="6CD56938"/>
    <w:rsid w:val="6CF66F76"/>
    <w:rsid w:val="6CFA04A0"/>
    <w:rsid w:val="6D046742"/>
    <w:rsid w:val="6D06567B"/>
    <w:rsid w:val="6D1B4804"/>
    <w:rsid w:val="6D294052"/>
    <w:rsid w:val="6D472F36"/>
    <w:rsid w:val="6D5533B5"/>
    <w:rsid w:val="6D702F45"/>
    <w:rsid w:val="6D714693"/>
    <w:rsid w:val="6D7E6C73"/>
    <w:rsid w:val="6D83255E"/>
    <w:rsid w:val="6D855A48"/>
    <w:rsid w:val="6D910891"/>
    <w:rsid w:val="6D9E2A7D"/>
    <w:rsid w:val="6DA335C4"/>
    <w:rsid w:val="6DAD4F9F"/>
    <w:rsid w:val="6DAD615B"/>
    <w:rsid w:val="6DBE0F5A"/>
    <w:rsid w:val="6DC3327E"/>
    <w:rsid w:val="6DDE51E1"/>
    <w:rsid w:val="6DE06CD0"/>
    <w:rsid w:val="6DE17243"/>
    <w:rsid w:val="6DE36991"/>
    <w:rsid w:val="6DE74955"/>
    <w:rsid w:val="6DF6187E"/>
    <w:rsid w:val="6E1E5318"/>
    <w:rsid w:val="6E1F5E9D"/>
    <w:rsid w:val="6E36142B"/>
    <w:rsid w:val="6E3A2CD6"/>
    <w:rsid w:val="6E3B50E8"/>
    <w:rsid w:val="6E414065"/>
    <w:rsid w:val="6E613510"/>
    <w:rsid w:val="6E623065"/>
    <w:rsid w:val="6E6733A0"/>
    <w:rsid w:val="6E6E75D4"/>
    <w:rsid w:val="6E716BAF"/>
    <w:rsid w:val="6E8D6CB9"/>
    <w:rsid w:val="6E98633A"/>
    <w:rsid w:val="6EA142D6"/>
    <w:rsid w:val="6EB81E4D"/>
    <w:rsid w:val="6EC627BC"/>
    <w:rsid w:val="6EDA6598"/>
    <w:rsid w:val="6EE1128B"/>
    <w:rsid w:val="6EF530A1"/>
    <w:rsid w:val="6F04407F"/>
    <w:rsid w:val="6F0C3476"/>
    <w:rsid w:val="6F3D68D5"/>
    <w:rsid w:val="6F3E2352"/>
    <w:rsid w:val="6F467459"/>
    <w:rsid w:val="6F667AFB"/>
    <w:rsid w:val="6F7B25C1"/>
    <w:rsid w:val="6F7E3097"/>
    <w:rsid w:val="6F936CF5"/>
    <w:rsid w:val="6F9B4DC7"/>
    <w:rsid w:val="6FA6675B"/>
    <w:rsid w:val="6FAA79E8"/>
    <w:rsid w:val="6FAC3760"/>
    <w:rsid w:val="6FBE0EAD"/>
    <w:rsid w:val="6FC21A38"/>
    <w:rsid w:val="6FC65DF5"/>
    <w:rsid w:val="6FD50BCF"/>
    <w:rsid w:val="6FDA6E00"/>
    <w:rsid w:val="6FF9271D"/>
    <w:rsid w:val="701357A0"/>
    <w:rsid w:val="702C559D"/>
    <w:rsid w:val="70331B5F"/>
    <w:rsid w:val="703379DD"/>
    <w:rsid w:val="703B3B29"/>
    <w:rsid w:val="703B4AE4"/>
    <w:rsid w:val="704B7D8D"/>
    <w:rsid w:val="706B7016"/>
    <w:rsid w:val="707567AC"/>
    <w:rsid w:val="708F0257"/>
    <w:rsid w:val="709541F4"/>
    <w:rsid w:val="70BF39FA"/>
    <w:rsid w:val="70CE3BAA"/>
    <w:rsid w:val="70D00087"/>
    <w:rsid w:val="70DA60AB"/>
    <w:rsid w:val="70E56002"/>
    <w:rsid w:val="70FC1726"/>
    <w:rsid w:val="71002A41"/>
    <w:rsid w:val="711041C2"/>
    <w:rsid w:val="711710AD"/>
    <w:rsid w:val="711A6D17"/>
    <w:rsid w:val="71320FFA"/>
    <w:rsid w:val="713B6CCF"/>
    <w:rsid w:val="713C5FF9"/>
    <w:rsid w:val="71480D75"/>
    <w:rsid w:val="71753A9C"/>
    <w:rsid w:val="71780C71"/>
    <w:rsid w:val="71866233"/>
    <w:rsid w:val="71940A21"/>
    <w:rsid w:val="719C15B2"/>
    <w:rsid w:val="71C561B9"/>
    <w:rsid w:val="71CB7924"/>
    <w:rsid w:val="71CF7BDA"/>
    <w:rsid w:val="71EF5B86"/>
    <w:rsid w:val="72005FE5"/>
    <w:rsid w:val="720447E6"/>
    <w:rsid w:val="7214383E"/>
    <w:rsid w:val="721675B7"/>
    <w:rsid w:val="72192252"/>
    <w:rsid w:val="72192C03"/>
    <w:rsid w:val="721E646B"/>
    <w:rsid w:val="72313FCD"/>
    <w:rsid w:val="72320C13"/>
    <w:rsid w:val="7239220A"/>
    <w:rsid w:val="723B6919"/>
    <w:rsid w:val="724B3A15"/>
    <w:rsid w:val="724C2FD8"/>
    <w:rsid w:val="725D3437"/>
    <w:rsid w:val="725D421F"/>
    <w:rsid w:val="725E2D0C"/>
    <w:rsid w:val="727A3E41"/>
    <w:rsid w:val="727E18F1"/>
    <w:rsid w:val="728F1117"/>
    <w:rsid w:val="72955527"/>
    <w:rsid w:val="72A050D2"/>
    <w:rsid w:val="72A41D88"/>
    <w:rsid w:val="72A45685"/>
    <w:rsid w:val="72B50B7E"/>
    <w:rsid w:val="72B604C1"/>
    <w:rsid w:val="72B91E38"/>
    <w:rsid w:val="72D40328"/>
    <w:rsid w:val="72F0605A"/>
    <w:rsid w:val="72F21F81"/>
    <w:rsid w:val="72FD42D3"/>
    <w:rsid w:val="7301693A"/>
    <w:rsid w:val="730256BA"/>
    <w:rsid w:val="7315161C"/>
    <w:rsid w:val="7320374B"/>
    <w:rsid w:val="73462701"/>
    <w:rsid w:val="734906D2"/>
    <w:rsid w:val="737814DC"/>
    <w:rsid w:val="737D308C"/>
    <w:rsid w:val="737F4795"/>
    <w:rsid w:val="738172DC"/>
    <w:rsid w:val="7386076C"/>
    <w:rsid w:val="738B0EBB"/>
    <w:rsid w:val="73A155A6"/>
    <w:rsid w:val="73A34A08"/>
    <w:rsid w:val="73B26069"/>
    <w:rsid w:val="73B9469D"/>
    <w:rsid w:val="73D14701"/>
    <w:rsid w:val="73DC20DD"/>
    <w:rsid w:val="73EF00BF"/>
    <w:rsid w:val="73F2242D"/>
    <w:rsid w:val="73FD43FF"/>
    <w:rsid w:val="7415331D"/>
    <w:rsid w:val="742552BF"/>
    <w:rsid w:val="743326A2"/>
    <w:rsid w:val="74360DA7"/>
    <w:rsid w:val="745417F1"/>
    <w:rsid w:val="745F3497"/>
    <w:rsid w:val="746019E4"/>
    <w:rsid w:val="74724642"/>
    <w:rsid w:val="74780A2A"/>
    <w:rsid w:val="747D3C70"/>
    <w:rsid w:val="748A4983"/>
    <w:rsid w:val="74936C9D"/>
    <w:rsid w:val="74A12027"/>
    <w:rsid w:val="74B30951"/>
    <w:rsid w:val="74B6388F"/>
    <w:rsid w:val="74C90910"/>
    <w:rsid w:val="74EA4FDD"/>
    <w:rsid w:val="7510107A"/>
    <w:rsid w:val="751A0EF3"/>
    <w:rsid w:val="751D2A0A"/>
    <w:rsid w:val="7527366D"/>
    <w:rsid w:val="75330480"/>
    <w:rsid w:val="753871DF"/>
    <w:rsid w:val="753D12FE"/>
    <w:rsid w:val="75476CAA"/>
    <w:rsid w:val="755B653D"/>
    <w:rsid w:val="755D40CD"/>
    <w:rsid w:val="755F2B0A"/>
    <w:rsid w:val="756D3991"/>
    <w:rsid w:val="75760F5D"/>
    <w:rsid w:val="7577036C"/>
    <w:rsid w:val="75794B32"/>
    <w:rsid w:val="75823D9F"/>
    <w:rsid w:val="75952577"/>
    <w:rsid w:val="759A2D2F"/>
    <w:rsid w:val="75B710B1"/>
    <w:rsid w:val="75B85D2F"/>
    <w:rsid w:val="75BA294F"/>
    <w:rsid w:val="75BA734C"/>
    <w:rsid w:val="75C8567E"/>
    <w:rsid w:val="75E672A0"/>
    <w:rsid w:val="760A1338"/>
    <w:rsid w:val="760C31AA"/>
    <w:rsid w:val="760E58AB"/>
    <w:rsid w:val="761A1300"/>
    <w:rsid w:val="762D2E0A"/>
    <w:rsid w:val="763B4B15"/>
    <w:rsid w:val="7642015A"/>
    <w:rsid w:val="764A782F"/>
    <w:rsid w:val="76627753"/>
    <w:rsid w:val="76654669"/>
    <w:rsid w:val="76676633"/>
    <w:rsid w:val="76684494"/>
    <w:rsid w:val="76685F07"/>
    <w:rsid w:val="767174B1"/>
    <w:rsid w:val="76934E17"/>
    <w:rsid w:val="7697276E"/>
    <w:rsid w:val="76984881"/>
    <w:rsid w:val="76B247FD"/>
    <w:rsid w:val="76BA51F0"/>
    <w:rsid w:val="76C577FD"/>
    <w:rsid w:val="76C808E8"/>
    <w:rsid w:val="76CC336E"/>
    <w:rsid w:val="76D040B0"/>
    <w:rsid w:val="76DA1CAD"/>
    <w:rsid w:val="76E51514"/>
    <w:rsid w:val="76EB5CC7"/>
    <w:rsid w:val="76FB4FCD"/>
    <w:rsid w:val="76FB76A4"/>
    <w:rsid w:val="770C2D36"/>
    <w:rsid w:val="770F0450"/>
    <w:rsid w:val="77266D5B"/>
    <w:rsid w:val="77290F7D"/>
    <w:rsid w:val="774056FE"/>
    <w:rsid w:val="774249AA"/>
    <w:rsid w:val="775E4832"/>
    <w:rsid w:val="7769651F"/>
    <w:rsid w:val="7772528F"/>
    <w:rsid w:val="777B183A"/>
    <w:rsid w:val="777F2FEF"/>
    <w:rsid w:val="77846CDF"/>
    <w:rsid w:val="77855149"/>
    <w:rsid w:val="779121BD"/>
    <w:rsid w:val="779C5C9D"/>
    <w:rsid w:val="779D7F84"/>
    <w:rsid w:val="77A05B36"/>
    <w:rsid w:val="77A2369A"/>
    <w:rsid w:val="77A2719E"/>
    <w:rsid w:val="77A458E3"/>
    <w:rsid w:val="77AC54F3"/>
    <w:rsid w:val="77B77146"/>
    <w:rsid w:val="77B82363"/>
    <w:rsid w:val="77BD2AA6"/>
    <w:rsid w:val="77C4093A"/>
    <w:rsid w:val="77CB4ADD"/>
    <w:rsid w:val="77E2289D"/>
    <w:rsid w:val="77FF6D92"/>
    <w:rsid w:val="780334F2"/>
    <w:rsid w:val="782D036F"/>
    <w:rsid w:val="785E1CB7"/>
    <w:rsid w:val="786077DD"/>
    <w:rsid w:val="786170B2"/>
    <w:rsid w:val="786C017F"/>
    <w:rsid w:val="7876121D"/>
    <w:rsid w:val="7879341E"/>
    <w:rsid w:val="78794082"/>
    <w:rsid w:val="78857244"/>
    <w:rsid w:val="789816F7"/>
    <w:rsid w:val="789E0306"/>
    <w:rsid w:val="789F3838"/>
    <w:rsid w:val="78A27DF6"/>
    <w:rsid w:val="78A376CA"/>
    <w:rsid w:val="78B6564F"/>
    <w:rsid w:val="78BD69DE"/>
    <w:rsid w:val="78CB7157"/>
    <w:rsid w:val="78E82D76"/>
    <w:rsid w:val="78EE3C67"/>
    <w:rsid w:val="78F42CC0"/>
    <w:rsid w:val="78FB5758"/>
    <w:rsid w:val="78FB7506"/>
    <w:rsid w:val="79165A2F"/>
    <w:rsid w:val="79207C11"/>
    <w:rsid w:val="79226328"/>
    <w:rsid w:val="79242D6F"/>
    <w:rsid w:val="79266ACC"/>
    <w:rsid w:val="79312F28"/>
    <w:rsid w:val="793D18CD"/>
    <w:rsid w:val="794A3988"/>
    <w:rsid w:val="794E3ADA"/>
    <w:rsid w:val="79517126"/>
    <w:rsid w:val="7955704F"/>
    <w:rsid w:val="795804B5"/>
    <w:rsid w:val="795A5FDB"/>
    <w:rsid w:val="796706F8"/>
    <w:rsid w:val="79686716"/>
    <w:rsid w:val="796A4B47"/>
    <w:rsid w:val="79711576"/>
    <w:rsid w:val="7972002F"/>
    <w:rsid w:val="79786DA9"/>
    <w:rsid w:val="79876FC5"/>
    <w:rsid w:val="798E79CF"/>
    <w:rsid w:val="79A225C5"/>
    <w:rsid w:val="79A436FA"/>
    <w:rsid w:val="79A63514"/>
    <w:rsid w:val="79A92AE0"/>
    <w:rsid w:val="79A96F62"/>
    <w:rsid w:val="79AB2CDA"/>
    <w:rsid w:val="79AD6A52"/>
    <w:rsid w:val="79B81BF4"/>
    <w:rsid w:val="79C8388C"/>
    <w:rsid w:val="79C93160"/>
    <w:rsid w:val="79D16CED"/>
    <w:rsid w:val="79D36586"/>
    <w:rsid w:val="79D45CED"/>
    <w:rsid w:val="79E47F9A"/>
    <w:rsid w:val="7A010B4C"/>
    <w:rsid w:val="7A036672"/>
    <w:rsid w:val="7A055417"/>
    <w:rsid w:val="7A6148C7"/>
    <w:rsid w:val="7A726F30"/>
    <w:rsid w:val="7A7C6425"/>
    <w:rsid w:val="7A8333F9"/>
    <w:rsid w:val="7A8F6158"/>
    <w:rsid w:val="7A9D6AC7"/>
    <w:rsid w:val="7AA8541C"/>
    <w:rsid w:val="7AB157E6"/>
    <w:rsid w:val="7AC52D43"/>
    <w:rsid w:val="7AE71DB9"/>
    <w:rsid w:val="7AF81F4F"/>
    <w:rsid w:val="7AFF1777"/>
    <w:rsid w:val="7B191EC6"/>
    <w:rsid w:val="7B2E0DA0"/>
    <w:rsid w:val="7B2E3233"/>
    <w:rsid w:val="7B384EF0"/>
    <w:rsid w:val="7B3B1E3C"/>
    <w:rsid w:val="7B4E1B6F"/>
    <w:rsid w:val="7B4E22CE"/>
    <w:rsid w:val="7B4E6143"/>
    <w:rsid w:val="7B542EFE"/>
    <w:rsid w:val="7B5E06A9"/>
    <w:rsid w:val="7B8063CB"/>
    <w:rsid w:val="7B89704B"/>
    <w:rsid w:val="7B964991"/>
    <w:rsid w:val="7B991BC7"/>
    <w:rsid w:val="7B9E1624"/>
    <w:rsid w:val="7BB06386"/>
    <w:rsid w:val="7BB776C5"/>
    <w:rsid w:val="7BC27D34"/>
    <w:rsid w:val="7BDC4146"/>
    <w:rsid w:val="7BE10C35"/>
    <w:rsid w:val="7BF344C5"/>
    <w:rsid w:val="7BFA3AA5"/>
    <w:rsid w:val="7BFF2E69"/>
    <w:rsid w:val="7C005E12"/>
    <w:rsid w:val="7C016BE2"/>
    <w:rsid w:val="7C06069C"/>
    <w:rsid w:val="7C161DFC"/>
    <w:rsid w:val="7C1C72CB"/>
    <w:rsid w:val="7C2B2B1D"/>
    <w:rsid w:val="7C384BC5"/>
    <w:rsid w:val="7C5C4E60"/>
    <w:rsid w:val="7C6E384E"/>
    <w:rsid w:val="7C865339"/>
    <w:rsid w:val="7C8E41ED"/>
    <w:rsid w:val="7C8E750C"/>
    <w:rsid w:val="7C96077E"/>
    <w:rsid w:val="7CC02A4E"/>
    <w:rsid w:val="7CD7624D"/>
    <w:rsid w:val="7CE9012A"/>
    <w:rsid w:val="7CEA0082"/>
    <w:rsid w:val="7D1E1A15"/>
    <w:rsid w:val="7D2360EE"/>
    <w:rsid w:val="7D276B1C"/>
    <w:rsid w:val="7D3919F8"/>
    <w:rsid w:val="7D3B627A"/>
    <w:rsid w:val="7D4A45B8"/>
    <w:rsid w:val="7D4F6073"/>
    <w:rsid w:val="7D6E640E"/>
    <w:rsid w:val="7D7E6734"/>
    <w:rsid w:val="7D891584"/>
    <w:rsid w:val="7D8E6B9B"/>
    <w:rsid w:val="7DC74CB0"/>
    <w:rsid w:val="7DCE343B"/>
    <w:rsid w:val="7DD0267D"/>
    <w:rsid w:val="7DD16A88"/>
    <w:rsid w:val="7DDD71DA"/>
    <w:rsid w:val="7DE80F6C"/>
    <w:rsid w:val="7E097FCF"/>
    <w:rsid w:val="7E25732C"/>
    <w:rsid w:val="7E3F359E"/>
    <w:rsid w:val="7E4333AF"/>
    <w:rsid w:val="7E4600A7"/>
    <w:rsid w:val="7E477101"/>
    <w:rsid w:val="7E4F632A"/>
    <w:rsid w:val="7E573431"/>
    <w:rsid w:val="7E5C3F56"/>
    <w:rsid w:val="7E6568EB"/>
    <w:rsid w:val="7E77759E"/>
    <w:rsid w:val="7E811183"/>
    <w:rsid w:val="7E812B87"/>
    <w:rsid w:val="7E8528B6"/>
    <w:rsid w:val="7E8B6D51"/>
    <w:rsid w:val="7E926217"/>
    <w:rsid w:val="7E926EA7"/>
    <w:rsid w:val="7EA65BD8"/>
    <w:rsid w:val="7EAA50EC"/>
    <w:rsid w:val="7EC565EC"/>
    <w:rsid w:val="7EDFC1E4"/>
    <w:rsid w:val="7EE36A72"/>
    <w:rsid w:val="7EEF71C5"/>
    <w:rsid w:val="7EF73808"/>
    <w:rsid w:val="7F034FD4"/>
    <w:rsid w:val="7F040F9A"/>
    <w:rsid w:val="7F08472B"/>
    <w:rsid w:val="7F1017DB"/>
    <w:rsid w:val="7F1D6663"/>
    <w:rsid w:val="7F233313"/>
    <w:rsid w:val="7F2C427F"/>
    <w:rsid w:val="7F2D1F8D"/>
    <w:rsid w:val="7F3823EB"/>
    <w:rsid w:val="7F441075"/>
    <w:rsid w:val="7F4C0ABC"/>
    <w:rsid w:val="7F4E65E2"/>
    <w:rsid w:val="7F5C42F5"/>
    <w:rsid w:val="7F7A24C4"/>
    <w:rsid w:val="7F7E71C0"/>
    <w:rsid w:val="7FAF4C78"/>
    <w:rsid w:val="7FBD5515"/>
    <w:rsid w:val="7FBF128D"/>
    <w:rsid w:val="7FC05B1E"/>
    <w:rsid w:val="7FC32A70"/>
    <w:rsid w:val="7FCA030F"/>
    <w:rsid w:val="7FD37D8B"/>
    <w:rsid w:val="7FEFA39F"/>
    <w:rsid w:val="7FF151BF"/>
    <w:rsid w:val="BF2FD4BF"/>
    <w:rsid w:val="BFD34747"/>
    <w:rsid w:val="D76FA03C"/>
    <w:rsid w:val="DDB97399"/>
    <w:rsid w:val="DFCE0F72"/>
    <w:rsid w:val="F4F5DFD1"/>
    <w:rsid w:val="F5FAA10B"/>
    <w:rsid w:val="F7ED1F35"/>
    <w:rsid w:val="F9D5A820"/>
    <w:rsid w:val="FDBC6384"/>
    <w:rsid w:val="FEA7636A"/>
    <w:rsid w:val="FFF5D212"/>
    <w:rsid w:val="FFFD9E85"/>
    <w:rsid w:val="FFFDA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720" w:firstLineChars="20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link w:val="29"/>
    <w:qFormat/>
    <w:uiPriority w:val="0"/>
    <w:pPr>
      <w:keepNext/>
      <w:keepLines/>
      <w:ind w:firstLine="321"/>
      <w:outlineLvl w:val="0"/>
    </w:pPr>
    <w:rPr>
      <w:rFonts w:eastAsia="黑体" w:asciiTheme="minorHAnsi" w:hAnsiTheme="minorHAnsi" w:cstheme="minorBidi"/>
      <w:b/>
      <w:bCs/>
      <w:kern w:val="44"/>
      <w:szCs w:val="44"/>
    </w:rPr>
  </w:style>
  <w:style w:type="paragraph" w:styleId="4">
    <w:name w:val="heading 2"/>
    <w:basedOn w:val="1"/>
    <w:next w:val="1"/>
    <w:unhideWhenUsed/>
    <w:qFormat/>
    <w:uiPriority w:val="0"/>
    <w:pPr>
      <w:keepNext/>
      <w:keepLines/>
      <w:outlineLvl w:val="1"/>
    </w:pPr>
    <w:rPr>
      <w:rFonts w:eastAsia="楷体_GB2312"/>
      <w:b/>
    </w:rPr>
  </w:style>
  <w:style w:type="paragraph" w:styleId="5">
    <w:name w:val="heading 3"/>
    <w:basedOn w:val="1"/>
    <w:next w:val="1"/>
    <w:unhideWhenUsed/>
    <w:qFormat/>
    <w:uiPriority w:val="0"/>
    <w:pPr>
      <w:keepNext/>
      <w:outlineLvl w:val="2"/>
    </w:pPr>
    <w:rPr>
      <w:b/>
    </w:rPr>
  </w:style>
  <w:style w:type="paragraph" w:styleId="6">
    <w:name w:val="heading 4"/>
    <w:basedOn w:val="1"/>
    <w:next w:val="1"/>
    <w:unhideWhenUsed/>
    <w:qFormat/>
    <w:uiPriority w:val="0"/>
    <w:pPr>
      <w:keepNext/>
      <w:keepLines/>
      <w:outlineLvl w:val="3"/>
    </w:pPr>
    <w:rPr>
      <w:rFonts w:ascii="Arial" w:hAnsi="Arial"/>
      <w:b/>
    </w:rPr>
  </w:style>
  <w:style w:type="paragraph" w:styleId="7">
    <w:name w:val="heading 6"/>
    <w:basedOn w:val="1"/>
    <w:next w:val="1"/>
    <w:qFormat/>
    <w:uiPriority w:val="0"/>
    <w:pPr>
      <w:keepNext/>
      <w:keepLines/>
      <w:widowControl w:val="0"/>
      <w:numPr>
        <w:ilvl w:val="5"/>
        <w:numId w:val="1"/>
      </w:numPr>
      <w:spacing w:line="560" w:lineRule="exact"/>
      <w:ind w:left="0" w:firstLine="0"/>
      <w:outlineLvl w:val="5"/>
    </w:pPr>
    <w:rPr>
      <w:rFonts w:ascii="Arial" w:hAnsi="Arial" w:eastAsia="楷体_GB2312"/>
      <w:bCs/>
      <w:sz w:val="32"/>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rFonts w:cs="Times New Roman"/>
    </w:rPr>
  </w:style>
  <w:style w:type="paragraph" w:styleId="8">
    <w:name w:val="annotation text"/>
    <w:basedOn w:val="1"/>
    <w:qFormat/>
    <w:uiPriority w:val="0"/>
    <w:pPr>
      <w:jc w:val="left"/>
    </w:pPr>
  </w:style>
  <w:style w:type="paragraph" w:styleId="9">
    <w:name w:val="Body Text"/>
    <w:basedOn w:val="1"/>
    <w:qFormat/>
    <w:uiPriority w:val="0"/>
    <w:pPr>
      <w:spacing w:line="288" w:lineRule="auto"/>
      <w:ind w:firstLine="0" w:firstLineChars="0"/>
      <w:jc w:val="center"/>
    </w:pPr>
    <w:rPr>
      <w:rFonts w:ascii="仿宋_GB2312" w:hAnsi="仿宋_GB2312"/>
      <w:sz w:val="24"/>
    </w:rPr>
  </w:style>
  <w:style w:type="paragraph" w:styleId="10">
    <w:name w:val="Body Text Indent"/>
    <w:basedOn w:val="1"/>
    <w:next w:val="11"/>
    <w:qFormat/>
    <w:uiPriority w:val="99"/>
    <w:pPr>
      <w:spacing w:after="120"/>
      <w:ind w:left="420" w:leftChars="200"/>
    </w:pPr>
    <w:rPr>
      <w:rFonts w:ascii="Times New Roman" w:hAnsi="Times New Roman" w:cs="Times New Roman"/>
    </w:rPr>
  </w:style>
  <w:style w:type="paragraph" w:customStyle="1" w:styleId="11">
    <w:name w:val="样式 正文文本缩进 + 左侧:  2 字符"/>
    <w:qFormat/>
    <w:uiPriority w:val="0"/>
    <w:pPr>
      <w:widowControl w:val="0"/>
      <w:suppressAutoHyphens/>
      <w:spacing w:line="360" w:lineRule="auto"/>
      <w:ind w:firstLine="200"/>
      <w:jc w:val="both"/>
    </w:pPr>
    <w:rPr>
      <w:rFonts w:ascii="宋体" w:hAnsi="宋体" w:eastAsia="宋体" w:cs="宋体"/>
      <w:kern w:val="1"/>
      <w:sz w:val="21"/>
      <w:lang w:val="en-US" w:eastAsia="zh-CN" w:bidi="ar-SA"/>
    </w:rPr>
  </w:style>
  <w:style w:type="paragraph" w:styleId="12">
    <w:name w:val="toc 3"/>
    <w:basedOn w:val="1"/>
    <w:next w:val="1"/>
    <w:qFormat/>
    <w:uiPriority w:val="39"/>
    <w:pPr>
      <w:ind w:left="640" w:leftChars="200"/>
    </w:pPr>
    <w:rPr>
      <w:rFonts w:ascii="Times New Roman" w:hAnsi="Times New Roman"/>
    </w:rPr>
  </w:style>
  <w:style w:type="paragraph" w:styleId="13">
    <w:name w:val="Plain Text"/>
    <w:basedOn w:val="1"/>
    <w:next w:val="1"/>
    <w:qFormat/>
    <w:uiPriority w:val="0"/>
    <w:rPr>
      <w:rFonts w:cs="Courier New" w:asciiTheme="minorHAnsi" w:hAnsiTheme="minorHAnsi"/>
      <w:szCs w:val="20"/>
    </w:rPr>
  </w:style>
  <w:style w:type="paragraph" w:styleId="14">
    <w:name w:val="footer"/>
    <w:basedOn w:val="1"/>
    <w:link w:val="41"/>
    <w:qFormat/>
    <w:uiPriority w:val="99"/>
    <w:pPr>
      <w:tabs>
        <w:tab w:val="center" w:pos="4153"/>
        <w:tab w:val="right" w:pos="8306"/>
      </w:tabs>
      <w:snapToGrid w:val="0"/>
      <w:jc w:val="left"/>
    </w:pPr>
    <w:rPr>
      <w:sz w:val="18"/>
    </w:rPr>
  </w:style>
  <w:style w:type="paragraph" w:styleId="15">
    <w:name w:val="header"/>
    <w:basedOn w:val="1"/>
    <w:link w:val="4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39"/>
    <w:pPr>
      <w:ind w:firstLine="0" w:firstLineChars="0"/>
    </w:pPr>
    <w:rPr>
      <w:rFonts w:ascii="Times New Roman" w:hAnsi="Times New Roman"/>
    </w:rPr>
  </w:style>
  <w:style w:type="paragraph" w:styleId="17">
    <w:name w:val="footnote text"/>
    <w:qFormat/>
    <w:uiPriority w:val="0"/>
    <w:pPr>
      <w:widowControl w:val="0"/>
      <w:snapToGrid w:val="0"/>
      <w:spacing w:line="560" w:lineRule="exact"/>
      <w:ind w:firstLine="880" w:firstLineChars="200"/>
    </w:pPr>
    <w:rPr>
      <w:rFonts w:ascii="Calibri" w:hAnsi="Calibri" w:eastAsia="仿宋_GB2312" w:cs="Times New Roman"/>
      <w:kern w:val="2"/>
      <w:sz w:val="18"/>
      <w:szCs w:val="18"/>
      <w:lang w:val="en-US" w:eastAsia="zh-CN" w:bidi="ar-SA"/>
    </w:rPr>
  </w:style>
  <w:style w:type="paragraph" w:styleId="18">
    <w:name w:val="table of figures"/>
    <w:basedOn w:val="1"/>
    <w:next w:val="1"/>
    <w:qFormat/>
    <w:uiPriority w:val="0"/>
    <w:pPr>
      <w:ind w:left="200" w:leftChars="200" w:firstLine="0" w:firstLineChars="0"/>
    </w:pPr>
  </w:style>
  <w:style w:type="paragraph" w:styleId="19">
    <w:name w:val="toc 2"/>
    <w:basedOn w:val="1"/>
    <w:next w:val="1"/>
    <w:qFormat/>
    <w:uiPriority w:val="39"/>
    <w:pPr>
      <w:ind w:left="0" w:leftChars="0"/>
    </w:pPr>
    <w:rPr>
      <w:rFonts w:ascii="Times New Roman" w:hAnsi="Times New Roman"/>
    </w:rPr>
  </w:style>
  <w:style w:type="paragraph" w:styleId="20">
    <w:name w:val="Normal (Web)"/>
    <w:basedOn w:val="1"/>
    <w:qFormat/>
    <w:uiPriority w:val="0"/>
    <w:pPr>
      <w:spacing w:beforeAutospacing="1" w:afterAutospacing="1"/>
      <w:ind w:firstLine="0" w:firstLineChars="0"/>
      <w:jc w:val="left"/>
    </w:pPr>
    <w:rPr>
      <w:kern w:val="0"/>
      <w:sz w:val="24"/>
    </w:rPr>
  </w:style>
  <w:style w:type="paragraph" w:styleId="21">
    <w:name w:val="Body Text First Indent 2"/>
    <w:basedOn w:val="10"/>
    <w:next w:val="1"/>
    <w:qFormat/>
    <w:uiPriority w:val="99"/>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footnote reference"/>
    <w:qFormat/>
    <w:uiPriority w:val="0"/>
    <w:rPr>
      <w:vertAlign w:val="superscript"/>
    </w:rPr>
  </w:style>
  <w:style w:type="character" w:customStyle="1" w:styleId="29">
    <w:name w:val="标题 1 字符"/>
    <w:basedOn w:val="24"/>
    <w:link w:val="3"/>
    <w:qFormat/>
    <w:uiPriority w:val="9"/>
    <w:rPr>
      <w:rFonts w:eastAsia="黑体" w:asciiTheme="minorHAnsi" w:hAnsiTheme="minorHAnsi"/>
      <w:b/>
      <w:bCs/>
      <w:kern w:val="44"/>
      <w:sz w:val="32"/>
      <w:szCs w:val="44"/>
    </w:rPr>
  </w:style>
  <w:style w:type="paragraph" w:customStyle="1" w:styleId="30">
    <w:name w:val="Heading6"/>
    <w:next w:val="1"/>
    <w:qFormat/>
    <w:uiPriority w:val="0"/>
    <w:pPr>
      <w:keepNext/>
      <w:keepLines/>
      <w:widowControl w:val="0"/>
      <w:spacing w:before="240" w:after="64" w:line="317" w:lineRule="auto"/>
      <w:jc w:val="both"/>
      <w:textAlignment w:val="baseline"/>
    </w:pPr>
    <w:rPr>
      <w:rFonts w:ascii="Arial" w:hAnsi="Arial" w:eastAsia="黑体" w:cs="Times New Roman"/>
      <w:b/>
      <w:bCs/>
      <w:kern w:val="2"/>
      <w:sz w:val="24"/>
      <w:szCs w:val="24"/>
      <w:lang w:val="en-US" w:eastAsia="zh-CN" w:bidi="ar-SA"/>
    </w:rPr>
  </w:style>
  <w:style w:type="paragraph" w:customStyle="1" w:styleId="31">
    <w:name w:val="报告内文"/>
    <w:basedOn w:val="1"/>
    <w:link w:val="32"/>
    <w:qFormat/>
    <w:uiPriority w:val="0"/>
    <w:pPr>
      <w:adjustRightInd w:val="0"/>
      <w:snapToGrid w:val="0"/>
      <w:spacing w:after="156" w:line="288" w:lineRule="auto"/>
    </w:pPr>
    <w:rPr>
      <w:rFonts w:ascii="微软雅黑" w:hAnsi="微软雅黑" w:eastAsia="微软雅黑" w:cstheme="minorBidi"/>
      <w:color w:val="404040" w:themeColor="text1" w:themeTint="BF"/>
      <w:sz w:val="18"/>
      <w:szCs w:val="18"/>
      <w14:textFill>
        <w14:solidFill>
          <w14:schemeClr w14:val="tx1">
            <w14:lumMod w14:val="75000"/>
            <w14:lumOff w14:val="25000"/>
          </w14:schemeClr>
        </w14:solidFill>
      </w14:textFill>
    </w:rPr>
  </w:style>
  <w:style w:type="character" w:customStyle="1" w:styleId="32">
    <w:name w:val="报告内文 字符"/>
    <w:basedOn w:val="24"/>
    <w:link w:val="31"/>
    <w:qFormat/>
    <w:uiPriority w:val="0"/>
    <w:rPr>
      <w:rFonts w:ascii="微软雅黑" w:hAnsi="微软雅黑" w:eastAsia="微软雅黑" w:cstheme="minorBidi"/>
      <w:color w:val="404040" w:themeColor="text1" w:themeTint="BF"/>
      <w:sz w:val="18"/>
      <w:szCs w:val="18"/>
      <w14:textFill>
        <w14:solidFill>
          <w14:schemeClr w14:val="tx1">
            <w14:lumMod w14:val="75000"/>
            <w14:lumOff w14:val="25000"/>
          </w14:schemeClr>
        </w14:solidFill>
      </w14:textFill>
    </w:rPr>
  </w:style>
  <w:style w:type="paragraph" w:customStyle="1" w:styleId="33">
    <w:name w:val="正文赛迪"/>
    <w:basedOn w:val="1"/>
    <w:link w:val="34"/>
    <w:qFormat/>
    <w:uiPriority w:val="0"/>
    <w:pPr>
      <w:ind w:firstLine="640"/>
    </w:pPr>
    <w:rPr>
      <w:kern w:val="0"/>
      <w:szCs w:val="32"/>
    </w:rPr>
  </w:style>
  <w:style w:type="character" w:customStyle="1" w:styleId="34">
    <w:name w:val="正文张峰 Char"/>
    <w:link w:val="33"/>
    <w:qFormat/>
    <w:uiPriority w:val="0"/>
    <w:rPr>
      <w:rFonts w:ascii="Times New Roman" w:hAnsi="Times New Roman" w:eastAsia="仿宋_GB2312" w:cs="Times New Roman"/>
      <w:kern w:val="0"/>
      <w:sz w:val="32"/>
      <w:szCs w:val="32"/>
    </w:rPr>
  </w:style>
  <w:style w:type="paragraph" w:customStyle="1" w:styleId="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36">
    <w:name w:val="网格型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0">
    <w:name w:val="页眉 字符"/>
    <w:basedOn w:val="24"/>
    <w:link w:val="15"/>
    <w:qFormat/>
    <w:uiPriority w:val="99"/>
    <w:rPr>
      <w:rFonts w:eastAsia="仿宋_GB2312"/>
      <w:kern w:val="2"/>
      <w:sz w:val="18"/>
      <w:szCs w:val="24"/>
    </w:rPr>
  </w:style>
  <w:style w:type="character" w:customStyle="1" w:styleId="41">
    <w:name w:val="页脚 字符"/>
    <w:basedOn w:val="24"/>
    <w:link w:val="14"/>
    <w:qFormat/>
    <w:uiPriority w:val="99"/>
    <w:rPr>
      <w:rFonts w:eastAsia="仿宋_GB2312"/>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32101</Words>
  <Characters>35376</Characters>
  <Lines>1098</Lines>
  <Paragraphs>372</Paragraphs>
  <TotalTime>3</TotalTime>
  <ScaleCrop>false</ScaleCrop>
  <LinksUpToDate>false</LinksUpToDate>
  <CharactersWithSpaces>35604</CharactersWithSpaces>
  <Application>WPS Office_11.8.2.10554_F1E327BC-269C-435d-A152-05C5408002CA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2023-01-06T10:41:00Z</dcterms:created>
  <dc:creator>lenovo</dc:creator>
  <cp:lastModifiedBy>zengzeqin</cp:lastModifiedBy>
  <cp:lastPrinted>2026-07-07T18:24:00Z</cp:lastPrinted>
  <dcterms:modified xsi:type="dcterms:W3CDTF">2026-07-14T16:02:24Z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2052-11.8.2.10554</vt:lpwstr>
  </property>
  <property fmtid="{D5CDD505-2E9C-101B-9397-08002B2CF9AE}" pid="3" name="ICV">
    <vt:lpwstr>3EB72A63CBF540A586B57EAB0422F078_13</vt:lpwstr>
  </property>
  <property fmtid="{D5CDD505-2E9C-101B-9397-08002B2CF9AE}" pid="4" name="KSOTemplateDocerSaveRecord">
    <vt:lpwstr>eyJoZGlkIjoiZThmNjAzMWJlZjFkMmQwODUwMTJkYzE2ODFiYmFmYTciLCJ1c2VySWQiOiIxMTQ5NzEyOTE3In0=</vt:lpwstr>
  </property>
</Properties>
</file>