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方正小标宋简体" w:hAnsi="方正小标宋简体" w:eastAsia="方正小标宋简体" w:cs="方正小标宋简体"/>
          <w:color w:val="000000" w:themeColor="text1"/>
          <w:sz w:val="40"/>
          <w:szCs w:val="32"/>
          <w14:textFill>
            <w14:solidFill>
              <w14:schemeClr w14:val="tx1"/>
            </w14:solidFill>
          </w14:textFill>
        </w:rPr>
      </w:pPr>
    </w:p>
    <w:p>
      <w:pPr>
        <w:ind w:firstLine="0" w:firstLineChars="0"/>
        <w:jc w:val="center"/>
        <w:rPr>
          <w:rFonts w:hint="eastAsia" w:ascii="方正小标宋简体" w:hAnsi="方正小标宋简体" w:eastAsia="方正小标宋简体" w:cs="方正小标宋简体"/>
          <w:color w:val="000000" w:themeColor="text1"/>
          <w:sz w:val="40"/>
          <w:szCs w:val="32"/>
          <w14:textFill>
            <w14:solidFill>
              <w14:schemeClr w14:val="tx1"/>
            </w14:solidFill>
          </w14:textFill>
        </w:rPr>
      </w:pPr>
    </w:p>
    <w:p>
      <w:pPr>
        <w:ind w:firstLine="0" w:firstLineChars="0"/>
        <w:jc w:val="center"/>
        <w:rPr>
          <w:rFonts w:hint="eastAsia" w:ascii="方正小标宋简体" w:hAnsi="方正小标宋简体" w:eastAsia="方正小标宋简体" w:cs="方正小标宋简体"/>
          <w:color w:val="000000" w:themeColor="text1"/>
          <w:sz w:val="40"/>
          <w:szCs w:val="32"/>
          <w14:textFill>
            <w14:solidFill>
              <w14:schemeClr w14:val="tx1"/>
            </w14:solidFill>
          </w14:textFill>
        </w:rPr>
      </w:pPr>
    </w:p>
    <w:p>
      <w:pPr>
        <w:ind w:firstLine="0" w:firstLineChars="0"/>
        <w:jc w:val="center"/>
        <w:rPr>
          <w:rFonts w:hint="eastAsia" w:ascii="方正小标宋简体" w:hAnsi="方正小标宋简体" w:eastAsia="方正小标宋简体" w:cs="方正小标宋简体"/>
          <w:color w:val="000000" w:themeColor="text1"/>
          <w:sz w:val="40"/>
          <w:szCs w:val="32"/>
          <w14:textFill>
            <w14:solidFill>
              <w14:schemeClr w14:val="tx1"/>
            </w14:solidFill>
          </w14:textFill>
        </w:rPr>
      </w:pPr>
    </w:p>
    <w:p>
      <w:pPr>
        <w:ind w:firstLine="0" w:firstLineChars="0"/>
        <w:jc w:val="center"/>
        <w:rPr>
          <w:rFonts w:hint="eastAsia" w:ascii="方正小标宋简体" w:hAnsi="方正小标宋简体" w:eastAsia="方正小标宋简体" w:cs="方正小标宋简体"/>
          <w:color w:val="000000" w:themeColor="text1"/>
          <w:sz w:val="40"/>
          <w:szCs w:val="32"/>
          <w14:textFill>
            <w14:solidFill>
              <w14:schemeClr w14:val="tx1"/>
            </w14:solidFill>
          </w14:textFill>
        </w:rPr>
      </w:pPr>
    </w:p>
    <w:p>
      <w:pPr>
        <w:ind w:firstLine="0" w:firstLineChars="0"/>
        <w:jc w:val="center"/>
        <w:rPr>
          <w:rFonts w:hint="eastAsia" w:ascii="方正小标宋简体" w:hAnsi="方正小标宋简体" w:eastAsia="方正小标宋简体" w:cs="方正小标宋简体"/>
          <w:color w:val="000000" w:themeColor="text1"/>
          <w:sz w:val="40"/>
          <w:szCs w:val="32"/>
          <w14:textFill>
            <w14:solidFill>
              <w14:schemeClr w14:val="tx1"/>
            </w14:solidFill>
          </w14:textFill>
        </w:rPr>
      </w:pPr>
    </w:p>
    <w:p>
      <w:pPr>
        <w:ind w:firstLine="0" w:firstLineChars="0"/>
        <w:jc w:val="center"/>
        <w:rPr>
          <w:rFonts w:hint="eastAsia" w:ascii="方正小标宋简体" w:hAnsi="方正小标宋简体" w:eastAsia="方正小标宋简体" w:cs="方正小标宋简体"/>
          <w:color w:val="000000" w:themeColor="text1"/>
          <w:sz w:val="40"/>
          <w:szCs w:val="32"/>
          <w14:textFill>
            <w14:solidFill>
              <w14:schemeClr w14:val="tx1"/>
            </w14:solidFill>
          </w14:textFill>
        </w:rPr>
      </w:pPr>
    </w:p>
    <w:p>
      <w:pPr>
        <w:spacing w:line="720" w:lineRule="exact"/>
        <w:ind w:firstLine="0" w:firstLineChars="0"/>
        <w:jc w:val="center"/>
        <w:rPr>
          <w:rFonts w:hint="eastAsia" w:ascii="方正小标宋简体" w:hAnsi="方正小标宋简体" w:eastAsia="方正小标宋简体" w:cs="方正小标宋简体"/>
          <w:color w:val="000000" w:themeColor="text1"/>
          <w:sz w:val="52"/>
          <w:szCs w:val="44"/>
          <w14:textFill>
            <w14:solidFill>
              <w14:schemeClr w14:val="tx1"/>
            </w14:solidFill>
          </w14:textFill>
        </w:rPr>
      </w:pPr>
    </w:p>
    <w:p>
      <w:pPr>
        <w:spacing w:line="720" w:lineRule="exact"/>
        <w:ind w:firstLine="0" w:firstLineChars="0"/>
        <w:jc w:val="center"/>
        <w:outlineLvl w:val="9"/>
        <w:rPr>
          <w:rFonts w:hint="eastAsia" w:ascii="方正小标宋简体" w:hAnsi="方正小标宋简体" w:eastAsia="方正小标宋简体" w:cs="方正小标宋简体"/>
          <w:color w:val="000000" w:themeColor="text1"/>
          <w:sz w:val="52"/>
          <w:szCs w:val="44"/>
          <w14:textFill>
            <w14:solidFill>
              <w14:schemeClr w14:val="tx1"/>
            </w14:solidFill>
          </w14:textFill>
        </w:rPr>
      </w:pPr>
      <w:bookmarkStart w:id="0" w:name="_Toc17652"/>
      <w:bookmarkStart w:id="1" w:name="_Toc31690"/>
      <w:bookmarkStart w:id="2" w:name="_Toc24740"/>
      <w:bookmarkStart w:id="3" w:name="_Toc28353"/>
      <w:bookmarkStart w:id="4" w:name="_Toc11059"/>
      <w:bookmarkStart w:id="5" w:name="_Toc14351"/>
      <w:bookmarkStart w:id="6" w:name="_Toc18294"/>
      <w:bookmarkStart w:id="7" w:name="_Toc10460"/>
      <w:bookmarkStart w:id="8" w:name="_Toc221007670"/>
      <w:bookmarkStart w:id="9" w:name="_Toc3224"/>
      <w:r>
        <w:rPr>
          <w:rFonts w:hint="eastAsia" w:ascii="方正小标宋简体" w:hAnsi="方正小标宋简体" w:eastAsia="方正小标宋简体" w:cs="方正小标宋简体"/>
          <w:color w:val="000000" w:themeColor="text1"/>
          <w:sz w:val="52"/>
          <w:szCs w:val="44"/>
          <w14:textFill>
            <w14:solidFill>
              <w14:schemeClr w14:val="tx1"/>
            </w14:solidFill>
          </w14:textFill>
        </w:rPr>
        <w:t>汕尾市高质量建设制造强市</w:t>
      </w:r>
    </w:p>
    <w:p>
      <w:pPr>
        <w:spacing w:line="720" w:lineRule="exact"/>
        <w:ind w:firstLine="0" w:firstLineChars="0"/>
        <w:jc w:val="center"/>
        <w:outlineLvl w:val="9"/>
        <w:rPr>
          <w:rFonts w:hint="eastAsia" w:ascii="方正小标宋简体" w:hAnsi="方正小标宋简体" w:eastAsia="方正小标宋简体" w:cs="方正小标宋简体"/>
          <w:color w:val="000000" w:themeColor="text1"/>
          <w:sz w:val="52"/>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52"/>
          <w:szCs w:val="44"/>
          <w14:textFill>
            <w14:solidFill>
              <w14:schemeClr w14:val="tx1"/>
            </w14:solidFill>
          </w14:textFill>
        </w:rPr>
        <w:t>“十五五”规划</w:t>
      </w:r>
      <w:bookmarkEnd w:id="0"/>
      <w:bookmarkEnd w:id="1"/>
      <w:bookmarkEnd w:id="2"/>
      <w:bookmarkEnd w:id="3"/>
      <w:bookmarkEnd w:id="4"/>
      <w:bookmarkEnd w:id="5"/>
      <w:bookmarkEnd w:id="6"/>
      <w:bookmarkEnd w:id="7"/>
      <w:bookmarkEnd w:id="8"/>
      <w:bookmarkEnd w:id="9"/>
    </w:p>
    <w:p>
      <w:pPr>
        <w:ind w:firstLine="640"/>
        <w:rPr>
          <w:color w:val="000000" w:themeColor="text1"/>
          <w14:textFill>
            <w14:solidFill>
              <w14:schemeClr w14:val="tx1"/>
            </w14:solidFill>
          </w14:textFill>
        </w:rPr>
      </w:pPr>
    </w:p>
    <w:p>
      <w:pPr>
        <w:ind w:firstLine="640"/>
        <w:rPr>
          <w:color w:val="000000" w:themeColor="text1"/>
          <w14:textFill>
            <w14:solidFill>
              <w14:schemeClr w14:val="tx1"/>
            </w14:solidFill>
          </w14:textFill>
        </w:rPr>
      </w:pPr>
    </w:p>
    <w:p>
      <w:pPr>
        <w:ind w:firstLine="640"/>
        <w:rPr>
          <w:color w:val="000000" w:themeColor="text1"/>
          <w14:textFill>
            <w14:solidFill>
              <w14:schemeClr w14:val="tx1"/>
            </w14:solidFill>
          </w14:textFill>
        </w:rPr>
      </w:pPr>
    </w:p>
    <w:p>
      <w:pPr>
        <w:ind w:firstLine="640"/>
        <w:rPr>
          <w:color w:val="000000" w:themeColor="text1"/>
          <w14:textFill>
            <w14:solidFill>
              <w14:schemeClr w14:val="tx1"/>
            </w14:solidFill>
          </w14:textFill>
        </w:rPr>
      </w:pPr>
    </w:p>
    <w:p>
      <w:pPr>
        <w:ind w:firstLine="640"/>
        <w:rPr>
          <w:color w:val="000000" w:themeColor="text1"/>
          <w14:textFill>
            <w14:solidFill>
              <w14:schemeClr w14:val="tx1"/>
            </w14:solidFill>
          </w14:textFill>
        </w:rPr>
      </w:pPr>
    </w:p>
    <w:p>
      <w:pPr>
        <w:ind w:firstLine="640"/>
        <w:rPr>
          <w:color w:val="000000" w:themeColor="text1"/>
          <w14:textFill>
            <w14:solidFill>
              <w14:schemeClr w14:val="tx1"/>
            </w14:solidFill>
          </w14:textFill>
        </w:rPr>
      </w:pPr>
    </w:p>
    <w:p>
      <w:pPr>
        <w:ind w:firstLine="640"/>
        <w:rPr>
          <w:color w:val="000000" w:themeColor="text1"/>
          <w14:textFill>
            <w14:solidFill>
              <w14:schemeClr w14:val="tx1"/>
            </w14:solidFill>
          </w14:textFill>
        </w:rPr>
      </w:pPr>
    </w:p>
    <w:p>
      <w:pPr>
        <w:ind w:firstLine="640"/>
        <w:rPr>
          <w:color w:val="000000" w:themeColor="text1"/>
          <w14:textFill>
            <w14:solidFill>
              <w14:schemeClr w14:val="tx1"/>
            </w14:solidFill>
          </w14:textFill>
        </w:rPr>
      </w:pPr>
    </w:p>
    <w:p>
      <w:pPr>
        <w:ind w:firstLine="640"/>
        <w:rPr>
          <w:color w:val="000000" w:themeColor="text1"/>
          <w14:textFill>
            <w14:solidFill>
              <w14:schemeClr w14:val="tx1"/>
            </w14:solidFill>
          </w14:textFill>
        </w:rPr>
      </w:pPr>
    </w:p>
    <w:p>
      <w:pPr>
        <w:ind w:firstLine="0" w:firstLineChars="0"/>
        <w:jc w:val="center"/>
        <w:rPr>
          <w:rFonts w:hint="default" w:eastAsia="黑体"/>
          <w:color w:val="000000" w:themeColor="text1"/>
          <w:szCs w:val="32"/>
          <w:lang w:val="en-US" w:eastAsia="zh-CN"/>
          <w14:textFill>
            <w14:solidFill>
              <w14:schemeClr w14:val="tx1"/>
            </w14:solidFill>
          </w14:textFill>
        </w:rPr>
      </w:pPr>
      <w:r>
        <w:rPr>
          <w:rFonts w:hint="default" w:eastAsia="黑体"/>
          <w:color w:val="000000" w:themeColor="text1"/>
          <w:szCs w:val="32"/>
          <w:lang w:val="en-US" w:eastAsia="zh-CN"/>
          <w14:textFill>
            <w14:solidFill>
              <w14:schemeClr w14:val="tx1"/>
            </w14:solidFill>
          </w14:textFill>
        </w:rPr>
        <w:t>汕尾市工业和信息化局</w:t>
      </w:r>
    </w:p>
    <w:p>
      <w:pPr>
        <w:ind w:firstLine="0" w:firstLineChars="0"/>
        <w:jc w:val="center"/>
        <w:rPr>
          <w:rFonts w:ascii="Times New Roman" w:hAnsi="Times New Roman" w:eastAsia="黑体" w:cs="Times New Roman"/>
          <w:color w:val="000000" w:themeColor="text1"/>
          <w:szCs w:val="32"/>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eastAsia" w:eastAsia="黑体"/>
          <w:color w:val="000000" w:themeColor="text1"/>
          <w:szCs w:val="32"/>
          <w:lang w:val="en-US" w:eastAsia="zh-CN"/>
          <w14:textFill>
            <w14:solidFill>
              <w14:schemeClr w14:val="tx1"/>
            </w14:solidFill>
          </w14:textFill>
        </w:rPr>
        <w:t>二〇二六</w:t>
      </w:r>
      <w:r>
        <w:rPr>
          <w:rFonts w:hint="default" w:eastAsia="黑体"/>
          <w:color w:val="000000" w:themeColor="text1"/>
          <w:szCs w:val="32"/>
          <w14:textFill>
            <w14:solidFill>
              <w14:schemeClr w14:val="tx1"/>
            </w14:solidFill>
          </w14:textFill>
        </w:rPr>
        <w:t>年</w:t>
      </w:r>
      <w:r>
        <w:rPr>
          <w:rFonts w:hint="eastAsia" w:eastAsia="黑体"/>
          <w:color w:val="000000" w:themeColor="text1"/>
          <w:szCs w:val="32"/>
          <w:lang w:val="en-US" w:eastAsia="zh-CN"/>
          <w14:textFill>
            <w14:solidFill>
              <w14:schemeClr w14:val="tx1"/>
            </w14:solidFill>
          </w14:textFill>
        </w:rPr>
        <w:t>七</w:t>
      </w:r>
      <w:r>
        <w:rPr>
          <w:rFonts w:hint="default" w:eastAsia="黑体"/>
          <w:color w:val="000000" w:themeColor="text1"/>
          <w:szCs w:val="32"/>
          <w14:textFill>
            <w14:solidFill>
              <w14:schemeClr w14:val="tx1"/>
            </w14:solidFill>
          </w14:textFill>
        </w:rPr>
        <w:t>月</w:t>
      </w:r>
    </w:p>
    <w:p>
      <w:pPr>
        <w:ind w:firstLine="0" w:firstLineChars="0"/>
        <w:jc w:val="center"/>
        <w:rPr>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目 录</w:t>
      </w:r>
    </w:p>
    <w:sdt>
      <w:sdtPr>
        <w:rPr>
          <w:rFonts w:ascii="宋体" w:hAnsi="宋体" w:eastAsia="宋体"/>
          <w:color w:val="000000" w:themeColor="text1"/>
          <w:sz w:val="21"/>
          <w14:textFill>
            <w14:solidFill>
              <w14:schemeClr w14:val="tx1"/>
            </w14:solidFill>
          </w14:textFill>
        </w:rPr>
        <w:id w:val="147457266"/>
        <w15:color w:val="DBDBDB"/>
        <w:docPartObj>
          <w:docPartGallery w:val="Table of Contents"/>
          <w:docPartUnique/>
        </w:docPartObj>
      </w:sdtPr>
      <w:sdtEndPr>
        <w:rPr>
          <w:rFonts w:ascii="宋体" w:hAnsi="宋体" w:eastAsia="宋体"/>
          <w:color w:val="000000" w:themeColor="text1"/>
          <w:sz w:val="21"/>
          <w14:textFill>
            <w14:solidFill>
              <w14:schemeClr w14:val="tx1"/>
            </w14:solidFill>
          </w14:textFill>
        </w:rPr>
      </w:sdtEndPr>
      <w:sdtContent>
        <w:p>
          <w:pPr>
            <w:pStyle w:val="16"/>
            <w:tabs>
              <w:tab w:val="right" w:leader="dot" w:pos="8306"/>
            </w:tabs>
            <w:spacing w:line="240" w:lineRule="auto"/>
            <w:ind w:firstLine="640"/>
            <w:rPr>
              <w:rFonts w:ascii="Times New Roman" w:hAnsi="Times New Roman" w:eastAsia="仿宋_GB2312" w:cs="Times New Roman"/>
              <w:color w:val="000000" w:themeColor="text1"/>
              <w:kern w:val="2"/>
              <w:sz w:val="32"/>
              <w:szCs w:val="21"/>
              <w:lang w:val="en-US" w:eastAsia="zh-CN" w:bidi="ar-SA"/>
              <w14:textFill>
                <w14:solidFill>
                  <w14:schemeClr w14:val="tx1"/>
                </w14:solidFill>
              </w14:textFill>
            </w:rPr>
          </w:pPr>
          <w:bookmarkStart w:id="10" w:name="_Toc21283"/>
          <w:bookmarkStart w:id="11" w:name="_Toc24495"/>
          <w:bookmarkStart w:id="12" w:name="_Toc10269"/>
          <w:bookmarkStart w:id="13" w:name="_Toc31385"/>
          <w:r>
            <w:rPr>
              <w:color w:val="000000" w:themeColor="text1"/>
              <w:sz w:val="24"/>
              <w:szCs w:val="21"/>
              <w14:textFill>
                <w14:solidFill>
                  <w14:schemeClr w14:val="tx1"/>
                </w14:solidFill>
              </w14:textFill>
            </w:rPr>
            <w:fldChar w:fldCharType="begin"/>
          </w:r>
          <w:r>
            <w:rPr>
              <w:color w:val="000000" w:themeColor="text1"/>
              <w:sz w:val="24"/>
              <w:szCs w:val="21"/>
              <w14:textFill>
                <w14:solidFill>
                  <w14:schemeClr w14:val="tx1"/>
                </w14:solidFill>
              </w14:textFill>
            </w:rPr>
            <w:instrText xml:space="preserve">TOC \o "1-3" \h \u </w:instrText>
          </w:r>
          <w:r>
            <w:rPr>
              <w:color w:val="000000" w:themeColor="text1"/>
              <w:sz w:val="24"/>
              <w:szCs w:val="21"/>
              <w14:textFill>
                <w14:solidFill>
                  <w14:schemeClr w14:val="tx1"/>
                </w14:solidFill>
              </w14:textFill>
            </w:rPr>
            <w:fldChar w:fldCharType="separate"/>
          </w:r>
        </w:p>
        <w:p>
          <w:pPr>
            <w:pStyle w:val="16"/>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_Toc21178 </w:instrText>
          </w:r>
          <w:r>
            <w:rPr>
              <w:szCs w:val="21"/>
            </w:rPr>
            <w:fldChar w:fldCharType="separate"/>
          </w:r>
          <w:r>
            <w:rPr>
              <w:rFonts w:hint="eastAsia"/>
              <w:lang w:val="en-US" w:eastAsia="zh-CN"/>
            </w:rPr>
            <w:t>一</w:t>
          </w:r>
          <w:r>
            <w:rPr>
              <w:rFonts w:hint="eastAsia"/>
            </w:rPr>
            <w:t>、总体要求</w:t>
          </w:r>
          <w:r>
            <w:tab/>
          </w:r>
          <w:r>
            <w:fldChar w:fldCharType="begin"/>
          </w:r>
          <w:r>
            <w:instrText xml:space="preserve"> PAGEREF _Toc21178 \h </w:instrText>
          </w:r>
          <w:r>
            <w:fldChar w:fldCharType="separate"/>
          </w:r>
          <w:r>
            <w:t>1</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_Toc21770 </w:instrText>
          </w:r>
          <w:r>
            <w:rPr>
              <w:szCs w:val="21"/>
            </w:rPr>
            <w:fldChar w:fldCharType="separate"/>
          </w:r>
          <w:r>
            <w:rPr>
              <w:rFonts w:hint="eastAsia"/>
            </w:rPr>
            <w:t>（一）指导思想</w:t>
          </w:r>
          <w:r>
            <w:tab/>
          </w:r>
          <w:r>
            <w:fldChar w:fldCharType="begin"/>
          </w:r>
          <w:r>
            <w:instrText xml:space="preserve"> PAGEREF _Toc21770 \h </w:instrText>
          </w:r>
          <w:r>
            <w:fldChar w:fldCharType="separate"/>
          </w:r>
          <w:r>
            <w:t>1</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_Toc32193 </w:instrText>
          </w:r>
          <w:r>
            <w:rPr>
              <w:szCs w:val="21"/>
            </w:rPr>
            <w:fldChar w:fldCharType="separate"/>
          </w:r>
          <w:r>
            <w:rPr>
              <w:rFonts w:hint="eastAsia"/>
            </w:rPr>
            <w:t>（</w:t>
          </w:r>
          <w:r>
            <w:rPr>
              <w:rFonts w:hint="eastAsia"/>
              <w:lang w:val="en-US" w:eastAsia="zh-CN"/>
            </w:rPr>
            <w:t>二</w:t>
          </w:r>
          <w:r>
            <w:rPr>
              <w:rFonts w:hint="eastAsia"/>
            </w:rPr>
            <w:t>）发展目标</w:t>
          </w:r>
          <w:r>
            <w:tab/>
          </w:r>
          <w:r>
            <w:fldChar w:fldCharType="begin"/>
          </w:r>
          <w:r>
            <w:instrText xml:space="preserve"> PAGEREF _Toc32193 \h </w:instrText>
          </w:r>
          <w:r>
            <w:fldChar w:fldCharType="separate"/>
          </w:r>
          <w:r>
            <w:t>1</w:t>
          </w:r>
          <w:r>
            <w:fldChar w:fldCharType="end"/>
          </w:r>
          <w:r>
            <w:rPr>
              <w:color w:val="000000" w:themeColor="text1"/>
              <w:szCs w:val="21"/>
              <w14:textFill>
                <w14:solidFill>
                  <w14:schemeClr w14:val="tx1"/>
                </w14:solidFill>
              </w14:textFill>
            </w:rPr>
            <w:fldChar w:fldCharType="end"/>
          </w:r>
        </w:p>
        <w:p>
          <w:pPr>
            <w:pStyle w:val="16"/>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_Toc18647 </w:instrText>
          </w:r>
          <w:r>
            <w:rPr>
              <w:szCs w:val="21"/>
            </w:rPr>
            <w:fldChar w:fldCharType="separate"/>
          </w:r>
          <w:r>
            <w:rPr>
              <w:rFonts w:hint="eastAsia"/>
              <w:lang w:val="en-US" w:eastAsia="zh-CN"/>
            </w:rPr>
            <w:t>二</w:t>
          </w:r>
          <w:r>
            <w:rPr>
              <w:rFonts w:hint="eastAsia"/>
            </w:rPr>
            <w:t>、</w:t>
          </w:r>
          <w:r>
            <w:rPr>
              <w:rFonts w:hint="eastAsia"/>
              <w:lang w:val="en-US" w:eastAsia="zh-CN"/>
            </w:rPr>
            <w:t>产业发展重点</w:t>
          </w:r>
          <w:r>
            <w:tab/>
          </w:r>
          <w:r>
            <w:fldChar w:fldCharType="begin"/>
          </w:r>
          <w:r>
            <w:instrText xml:space="preserve"> PAGEREF _Toc18647 \h </w:instrText>
          </w:r>
          <w:r>
            <w:fldChar w:fldCharType="separate"/>
          </w:r>
          <w:r>
            <w:t>3</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_Toc23381 </w:instrText>
          </w:r>
          <w:r>
            <w:rPr>
              <w:szCs w:val="21"/>
            </w:rPr>
            <w:fldChar w:fldCharType="separate"/>
          </w:r>
          <w:r>
            <w:rPr>
              <w:rFonts w:hint="eastAsia"/>
            </w:rPr>
            <w:t>（一）巩固提升传统产业</w:t>
          </w:r>
          <w:r>
            <w:tab/>
          </w:r>
          <w:r>
            <w:fldChar w:fldCharType="begin"/>
          </w:r>
          <w:r>
            <w:instrText xml:space="preserve"> PAGEREF _Toc23381 \h </w:instrText>
          </w:r>
          <w:r>
            <w:fldChar w:fldCharType="separate"/>
          </w:r>
          <w:r>
            <w:t>3</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_Toc15944 </w:instrText>
          </w:r>
          <w:r>
            <w:rPr>
              <w:szCs w:val="21"/>
            </w:rPr>
            <w:fldChar w:fldCharType="separate"/>
          </w:r>
          <w:r>
            <w:rPr>
              <w:rFonts w:hint="eastAsia"/>
            </w:rPr>
            <w:t>1.食品工业</w:t>
          </w:r>
          <w:r>
            <w:tab/>
          </w:r>
          <w:r>
            <w:fldChar w:fldCharType="begin"/>
          </w:r>
          <w:r>
            <w:instrText xml:space="preserve"> PAGEREF _Toc15944 \h </w:instrText>
          </w:r>
          <w:r>
            <w:fldChar w:fldCharType="separate"/>
          </w:r>
          <w:r>
            <w:t>3</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_Toc9501 </w:instrText>
          </w:r>
          <w:r>
            <w:rPr>
              <w:szCs w:val="21"/>
            </w:rPr>
            <w:fldChar w:fldCharType="separate"/>
          </w:r>
          <w:r>
            <w:rPr>
              <w:rFonts w:hint="eastAsia"/>
            </w:rPr>
            <w:t>2.金银首饰珠宝产业</w:t>
          </w:r>
          <w:r>
            <w:tab/>
          </w:r>
          <w:r>
            <w:fldChar w:fldCharType="begin"/>
          </w:r>
          <w:r>
            <w:instrText xml:space="preserve"> PAGEREF _Toc9501 \h </w:instrText>
          </w:r>
          <w:r>
            <w:fldChar w:fldCharType="separate"/>
          </w:r>
          <w:r>
            <w:t>4</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_Toc25792 </w:instrText>
          </w:r>
          <w:r>
            <w:rPr>
              <w:szCs w:val="21"/>
            </w:rPr>
            <w:fldChar w:fldCharType="separate"/>
          </w:r>
          <w:r>
            <w:rPr>
              <w:rFonts w:hint="eastAsia"/>
            </w:rPr>
            <w:t>3.纺织服装产业</w:t>
          </w:r>
          <w:r>
            <w:tab/>
          </w:r>
          <w:r>
            <w:fldChar w:fldCharType="begin"/>
          </w:r>
          <w:r>
            <w:instrText xml:space="preserve"> PAGEREF _Toc25792 \h </w:instrText>
          </w:r>
          <w:r>
            <w:fldChar w:fldCharType="separate"/>
          </w:r>
          <w:r>
            <w:t>4</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_Toc8161 </w:instrText>
          </w:r>
          <w:r>
            <w:rPr>
              <w:szCs w:val="21"/>
            </w:rPr>
            <w:fldChar w:fldCharType="separate"/>
          </w:r>
          <w:r>
            <w:rPr>
              <w:rFonts w:hint="eastAsia"/>
            </w:rPr>
            <w:t>4.五金配件产业</w:t>
          </w:r>
          <w:r>
            <w:tab/>
          </w:r>
          <w:r>
            <w:fldChar w:fldCharType="begin"/>
          </w:r>
          <w:r>
            <w:instrText xml:space="preserve"> PAGEREF _Toc8161 \h </w:instrText>
          </w:r>
          <w:r>
            <w:fldChar w:fldCharType="separate"/>
          </w:r>
          <w:r>
            <w:t>5</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_Toc15639 </w:instrText>
          </w:r>
          <w:r>
            <w:rPr>
              <w:szCs w:val="21"/>
            </w:rPr>
            <w:fldChar w:fldCharType="separate"/>
          </w:r>
          <w:r>
            <w:rPr>
              <w:rFonts w:hint="eastAsia"/>
            </w:rPr>
            <w:t>（二）</w:t>
          </w:r>
          <w:r>
            <w:rPr>
              <w:rFonts w:ascii="Times New Roman" w:hAnsi="Times New Roman" w:eastAsia="楷体_GB2312" w:cs="Times New Roman"/>
            </w:rPr>
            <w:t>培育壮大新兴产业</w:t>
          </w:r>
          <w:r>
            <w:tab/>
          </w:r>
          <w:r>
            <w:fldChar w:fldCharType="begin"/>
          </w:r>
          <w:r>
            <w:instrText xml:space="preserve"> PAGEREF _Toc15639 \h </w:instrText>
          </w:r>
          <w:r>
            <w:fldChar w:fldCharType="separate"/>
          </w:r>
          <w:r>
            <w:t>5</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_Toc918 </w:instrText>
          </w:r>
          <w:r>
            <w:rPr>
              <w:szCs w:val="21"/>
            </w:rPr>
            <w:fldChar w:fldCharType="separate"/>
          </w:r>
          <w:r>
            <w:rPr>
              <w:rFonts w:hint="eastAsia"/>
            </w:rPr>
            <w:t>5.新能源汽车产业</w:t>
          </w:r>
          <w:r>
            <w:tab/>
          </w:r>
          <w:r>
            <w:fldChar w:fldCharType="begin"/>
          </w:r>
          <w:r>
            <w:instrText xml:space="preserve"> PAGEREF _Toc918 \h </w:instrText>
          </w:r>
          <w:r>
            <w:fldChar w:fldCharType="separate"/>
          </w:r>
          <w:r>
            <w:t>5</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_Toc30689 </w:instrText>
          </w:r>
          <w:r>
            <w:rPr>
              <w:szCs w:val="21"/>
            </w:rPr>
            <w:fldChar w:fldCharType="separate"/>
          </w:r>
          <w:r>
            <w:rPr>
              <w:rFonts w:hint="eastAsia"/>
            </w:rPr>
            <w:t>6.新一代电子信息产业</w:t>
          </w:r>
          <w:r>
            <w:tab/>
          </w:r>
          <w:r>
            <w:fldChar w:fldCharType="begin"/>
          </w:r>
          <w:r>
            <w:instrText xml:space="preserve"> PAGEREF _Toc30689 \h </w:instrText>
          </w:r>
          <w:r>
            <w:fldChar w:fldCharType="separate"/>
          </w:r>
          <w:r>
            <w:t>6</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_Toc7448 </w:instrText>
          </w:r>
          <w:r>
            <w:rPr>
              <w:szCs w:val="21"/>
            </w:rPr>
            <w:fldChar w:fldCharType="separate"/>
          </w:r>
          <w:r>
            <w:rPr>
              <w:rFonts w:hint="eastAsia"/>
            </w:rPr>
            <w:t>7.低碳新能源产业</w:t>
          </w:r>
          <w:r>
            <w:tab/>
          </w:r>
          <w:r>
            <w:fldChar w:fldCharType="begin"/>
          </w:r>
          <w:r>
            <w:instrText xml:space="preserve"> PAGEREF _Toc7448 \h </w:instrText>
          </w:r>
          <w:r>
            <w:fldChar w:fldCharType="separate"/>
          </w:r>
          <w:r>
            <w:t>7</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_Toc23257 </w:instrText>
          </w:r>
          <w:r>
            <w:rPr>
              <w:szCs w:val="21"/>
            </w:rPr>
            <w:fldChar w:fldCharType="separate"/>
          </w:r>
          <w:r>
            <w:rPr>
              <w:rFonts w:hint="eastAsia"/>
            </w:rPr>
            <w:t>8.高端装备制造产业</w:t>
          </w:r>
          <w:r>
            <w:tab/>
          </w:r>
          <w:r>
            <w:fldChar w:fldCharType="begin"/>
          </w:r>
          <w:r>
            <w:instrText xml:space="preserve"> PAGEREF _Toc23257 \h </w:instrText>
          </w:r>
          <w:r>
            <w:fldChar w:fldCharType="separate"/>
          </w:r>
          <w:r>
            <w:t>8</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_Toc15962 </w:instrText>
          </w:r>
          <w:r>
            <w:rPr>
              <w:szCs w:val="21"/>
            </w:rPr>
            <w:fldChar w:fldCharType="separate"/>
          </w:r>
          <w:r>
            <w:rPr>
              <w:rFonts w:hint="eastAsia"/>
              <w:lang w:val="en-US" w:eastAsia="zh-CN"/>
            </w:rPr>
            <w:t>9.</w:t>
          </w:r>
          <w:r>
            <w:rPr>
              <w:rFonts w:hint="eastAsia"/>
            </w:rPr>
            <w:t>安全应急与环保新材料产业</w:t>
          </w:r>
          <w:r>
            <w:tab/>
          </w:r>
          <w:r>
            <w:fldChar w:fldCharType="begin"/>
          </w:r>
          <w:r>
            <w:instrText xml:space="preserve"> PAGEREF _Toc15962 \h </w:instrText>
          </w:r>
          <w:r>
            <w:fldChar w:fldCharType="separate"/>
          </w:r>
          <w:r>
            <w:t>9</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_Toc3774 </w:instrText>
          </w:r>
          <w:r>
            <w:rPr>
              <w:szCs w:val="21"/>
            </w:rPr>
            <w:fldChar w:fldCharType="separate"/>
          </w:r>
          <w:r>
            <w:rPr>
              <w:rFonts w:hint="eastAsia"/>
            </w:rPr>
            <w:t>（三）前瞻布局未来产业</w:t>
          </w:r>
          <w:r>
            <w:tab/>
          </w:r>
          <w:r>
            <w:fldChar w:fldCharType="begin"/>
          </w:r>
          <w:r>
            <w:instrText xml:space="preserve"> PAGEREF _Toc3774 \h </w:instrText>
          </w:r>
          <w:r>
            <w:fldChar w:fldCharType="separate"/>
          </w:r>
          <w:r>
            <w:t>10</w:t>
          </w:r>
          <w:r>
            <w:fldChar w:fldCharType="end"/>
          </w:r>
          <w:r>
            <w:rPr>
              <w:color w:val="000000" w:themeColor="text1"/>
              <w:szCs w:val="21"/>
              <w14:textFill>
                <w14:solidFill>
                  <w14:schemeClr w14:val="tx1"/>
                </w14:solidFill>
              </w14:textFill>
            </w:rPr>
            <w:fldChar w:fldCharType="end"/>
          </w:r>
        </w:p>
        <w:p>
          <w:pPr>
            <w:pStyle w:val="16"/>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_Toc31049 </w:instrText>
          </w:r>
          <w:r>
            <w:rPr>
              <w:szCs w:val="21"/>
            </w:rPr>
            <w:fldChar w:fldCharType="separate"/>
          </w:r>
          <w:r>
            <w:rPr>
              <w:rFonts w:hint="eastAsia"/>
              <w:lang w:val="en-US" w:eastAsia="zh-CN"/>
            </w:rPr>
            <w:t>三、</w:t>
          </w:r>
          <w:r>
            <w:rPr>
              <w:rFonts w:hint="eastAsia"/>
            </w:rPr>
            <w:t>空间布局</w:t>
          </w:r>
          <w:r>
            <w:tab/>
          </w:r>
          <w:r>
            <w:fldChar w:fldCharType="begin"/>
          </w:r>
          <w:r>
            <w:instrText xml:space="preserve"> PAGEREF _Toc31049 \h </w:instrText>
          </w:r>
          <w:r>
            <w:fldChar w:fldCharType="separate"/>
          </w:r>
          <w:r>
            <w:t>11</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_Toc306 </w:instrText>
          </w:r>
          <w:r>
            <w:rPr>
              <w:szCs w:val="21"/>
            </w:rPr>
            <w:fldChar w:fldCharType="separate"/>
          </w:r>
          <w:r>
            <w:rPr>
              <w:rFonts w:hint="eastAsia"/>
            </w:rPr>
            <w:t>（一）打造“一核</w:t>
          </w:r>
          <w:r>
            <w:rPr>
              <w:rFonts w:hint="eastAsia"/>
              <w:lang w:val="en-US" w:eastAsia="zh-CN"/>
            </w:rPr>
            <w:t>一</w:t>
          </w:r>
          <w:r>
            <w:rPr>
              <w:rFonts w:hint="eastAsia"/>
            </w:rPr>
            <w:t>带</w:t>
          </w:r>
          <w:r>
            <w:rPr>
              <w:rFonts w:hint="eastAsia"/>
              <w:lang w:val="en-US" w:eastAsia="zh-CN"/>
            </w:rPr>
            <w:t>两湾四组团</w:t>
          </w:r>
          <w:r>
            <w:rPr>
              <w:rFonts w:hint="eastAsia"/>
            </w:rPr>
            <w:t>”</w:t>
          </w:r>
          <w:r>
            <w:rPr>
              <w:rFonts w:hint="eastAsia"/>
              <w:lang w:val="en-US" w:eastAsia="zh-CN"/>
            </w:rPr>
            <w:t>产业</w:t>
          </w:r>
          <w:r>
            <w:rPr>
              <w:rFonts w:hint="eastAsia"/>
            </w:rPr>
            <w:t>空间布局</w:t>
          </w:r>
          <w:r>
            <w:tab/>
          </w:r>
          <w:r>
            <w:fldChar w:fldCharType="begin"/>
          </w:r>
          <w:r>
            <w:instrText xml:space="preserve"> PAGEREF _Toc306 \h </w:instrText>
          </w:r>
          <w:r>
            <w:fldChar w:fldCharType="separate"/>
          </w:r>
          <w:r>
            <w:t>11</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_Toc17095 </w:instrText>
          </w:r>
          <w:r>
            <w:rPr>
              <w:szCs w:val="21"/>
            </w:rPr>
            <w:fldChar w:fldCharType="separate"/>
          </w:r>
          <w:r>
            <w:rPr>
              <w:rFonts w:hint="eastAsia"/>
            </w:rPr>
            <w:t>（二）统筹各区（县、市）产业分工布局</w:t>
          </w:r>
          <w:r>
            <w:tab/>
          </w:r>
          <w:r>
            <w:fldChar w:fldCharType="begin"/>
          </w:r>
          <w:r>
            <w:instrText xml:space="preserve"> PAGEREF _Toc17095 \h </w:instrText>
          </w:r>
          <w:r>
            <w:fldChar w:fldCharType="separate"/>
          </w:r>
          <w:r>
            <w:t>14</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_Toc8782 </w:instrText>
          </w:r>
          <w:r>
            <w:rPr>
              <w:szCs w:val="21"/>
            </w:rPr>
            <w:fldChar w:fldCharType="separate"/>
          </w:r>
          <w:r>
            <w:rPr>
              <w:rFonts w:hint="eastAsia"/>
            </w:rPr>
            <w:t>（三）构建“1+4+N”</w:t>
          </w:r>
          <w:r>
            <w:rPr>
              <w:rFonts w:hint="eastAsia"/>
              <w:lang w:val="en-US" w:eastAsia="zh-CN"/>
            </w:rPr>
            <w:t>的</w:t>
          </w:r>
          <w:r>
            <w:rPr>
              <w:rFonts w:hint="eastAsia"/>
            </w:rPr>
            <w:t>园区体系</w:t>
          </w:r>
          <w:r>
            <w:tab/>
          </w:r>
          <w:r>
            <w:fldChar w:fldCharType="begin"/>
          </w:r>
          <w:r>
            <w:instrText xml:space="preserve"> PAGEREF _Toc8782 \h </w:instrText>
          </w:r>
          <w:r>
            <w:fldChar w:fldCharType="separate"/>
          </w:r>
          <w:r>
            <w:t>14</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_Toc18009 </w:instrText>
          </w:r>
          <w:r>
            <w:rPr>
              <w:szCs w:val="21"/>
            </w:rPr>
            <w:fldChar w:fldCharType="separate"/>
          </w:r>
          <w:r>
            <w:rPr>
              <w:rFonts w:hint="eastAsia"/>
            </w:rPr>
            <w:t>1.汕尾市承接产业有序转移主平台</w:t>
          </w:r>
          <w:r>
            <w:tab/>
          </w:r>
          <w:r>
            <w:fldChar w:fldCharType="begin"/>
          </w:r>
          <w:r>
            <w:instrText xml:space="preserve"> PAGEREF _Toc18009 \h </w:instrText>
          </w:r>
          <w:r>
            <w:fldChar w:fldCharType="separate"/>
          </w:r>
          <w:r>
            <w:t>17</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_Toc17412 </w:instrText>
          </w:r>
          <w:r>
            <w:rPr>
              <w:szCs w:val="21"/>
            </w:rPr>
            <w:fldChar w:fldCharType="separate"/>
          </w:r>
          <w:r>
            <w:rPr>
              <w:rFonts w:hint="eastAsia"/>
              <w:bCs/>
              <w:lang w:val="en-US" w:eastAsia="zh-CN"/>
            </w:rPr>
            <w:t>2</w:t>
          </w:r>
          <w:r>
            <w:rPr>
              <w:rFonts w:hint="eastAsia"/>
              <w:bCs/>
            </w:rPr>
            <w:t>.四个省级产业园区：</w:t>
          </w:r>
          <w:r>
            <w:rPr>
              <w:rFonts w:hint="eastAsia"/>
              <w:bCs/>
              <w:szCs w:val="32"/>
            </w:rPr>
            <w:t>红海湾产业园区、陆丰产业园区、海丰产业园区和陆河产业园区</w:t>
          </w:r>
          <w:r>
            <w:tab/>
          </w:r>
          <w:r>
            <w:fldChar w:fldCharType="begin"/>
          </w:r>
          <w:r>
            <w:instrText xml:space="preserve"> PAGEREF _Toc17412 \h </w:instrText>
          </w:r>
          <w:r>
            <w:fldChar w:fldCharType="separate"/>
          </w:r>
          <w:r>
            <w:t>17</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_Toc20886 </w:instrText>
          </w:r>
          <w:r>
            <w:rPr>
              <w:szCs w:val="21"/>
            </w:rPr>
            <w:fldChar w:fldCharType="separate"/>
          </w:r>
          <w:r>
            <w:rPr>
              <w:rFonts w:hint="eastAsia" w:ascii="Times New Roman" w:hAnsi="Times New Roman" w:cs="Times New Roman"/>
              <w:bCs/>
              <w:szCs w:val="32"/>
              <w:lang w:val="en-US" w:eastAsia="zh-CN"/>
            </w:rPr>
            <w:t>3</w:t>
          </w:r>
          <w:r>
            <w:rPr>
              <w:rFonts w:hint="eastAsia" w:ascii="Times New Roman" w:hAnsi="Times New Roman" w:cs="Times New Roman"/>
              <w:bCs/>
              <w:szCs w:val="32"/>
            </w:rPr>
            <w:t>.其他重点园区：</w:t>
          </w:r>
          <w:r>
            <w:rPr>
              <w:rFonts w:hint="eastAsia" w:ascii="Times New Roman" w:hAnsi="Times New Roman" w:eastAsia="仿宋_GB2312" w:cs="Times New Roman"/>
              <w:bCs/>
              <w:kern w:val="2"/>
              <w:szCs w:val="32"/>
              <w:lang w:val="en-US" w:eastAsia="zh-CN" w:bidi="ar"/>
            </w:rPr>
            <w:t>深汕合作拓展区、</w:t>
          </w:r>
          <w:r>
            <w:rPr>
              <w:rFonts w:hint="eastAsia" w:ascii="Times New Roman" w:hAnsi="Times New Roman" w:cs="Times New Roman"/>
              <w:bCs/>
              <w:szCs w:val="32"/>
            </w:rPr>
            <w:t>星都</w:t>
          </w:r>
          <w:r>
            <w:rPr>
              <w:rFonts w:hint="eastAsia" w:ascii="Times New Roman" w:hAnsi="Times New Roman" w:cs="Times New Roman"/>
              <w:bCs/>
              <w:szCs w:val="32"/>
              <w:lang w:eastAsia="zh-CN"/>
            </w:rPr>
            <w:t>—</w:t>
          </w:r>
          <w:r>
            <w:rPr>
              <w:rFonts w:hint="eastAsia" w:ascii="Times New Roman" w:hAnsi="Times New Roman" w:cs="Times New Roman"/>
              <w:bCs/>
              <w:szCs w:val="32"/>
            </w:rPr>
            <w:t>可塘合作共建产业园、光明</w:t>
          </w:r>
          <w:r>
            <w:rPr>
              <w:rFonts w:hint="eastAsia" w:ascii="Times New Roman" w:hAnsi="Times New Roman" w:cs="Times New Roman"/>
              <w:bCs/>
              <w:szCs w:val="32"/>
              <w:lang w:eastAsia="zh-CN"/>
            </w:rPr>
            <w:t>—</w:t>
          </w:r>
          <w:r>
            <w:rPr>
              <w:rFonts w:hint="eastAsia" w:ascii="Times New Roman" w:hAnsi="Times New Roman" w:cs="Times New Roman"/>
              <w:bCs/>
              <w:szCs w:val="32"/>
            </w:rPr>
            <w:t>城区结对共建产业园、陆丰三甲五金配件产业园、陆河富民兴村产业园</w:t>
          </w:r>
          <w:r>
            <w:tab/>
          </w:r>
          <w:r>
            <w:fldChar w:fldCharType="begin"/>
          </w:r>
          <w:r>
            <w:instrText xml:space="preserve"> PAGEREF _Toc20886 \h </w:instrText>
          </w:r>
          <w:r>
            <w:fldChar w:fldCharType="separate"/>
          </w:r>
          <w:r>
            <w:t>18</w:t>
          </w:r>
          <w:r>
            <w:fldChar w:fldCharType="end"/>
          </w:r>
          <w:r>
            <w:rPr>
              <w:color w:val="000000" w:themeColor="text1"/>
              <w:szCs w:val="21"/>
              <w14:textFill>
                <w14:solidFill>
                  <w14:schemeClr w14:val="tx1"/>
                </w14:solidFill>
              </w14:textFill>
            </w:rPr>
            <w:fldChar w:fldCharType="end"/>
          </w:r>
        </w:p>
        <w:p>
          <w:pPr>
            <w:pStyle w:val="16"/>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_Toc9481 </w:instrText>
          </w:r>
          <w:r>
            <w:rPr>
              <w:szCs w:val="21"/>
            </w:rPr>
            <w:fldChar w:fldCharType="separate"/>
          </w:r>
          <w:r>
            <w:rPr>
              <w:rFonts w:hint="eastAsia"/>
              <w:lang w:val="en-US" w:eastAsia="zh-CN"/>
            </w:rPr>
            <w:t>四</w:t>
          </w:r>
          <w:r>
            <w:rPr>
              <w:rFonts w:hint="eastAsia"/>
            </w:rPr>
            <w:t>、主要任务</w:t>
          </w:r>
          <w:r>
            <w:tab/>
          </w:r>
          <w:r>
            <w:fldChar w:fldCharType="begin"/>
          </w:r>
          <w:r>
            <w:instrText xml:space="preserve"> PAGEREF _Toc9481 \h </w:instrText>
          </w:r>
          <w:r>
            <w:fldChar w:fldCharType="separate"/>
          </w:r>
          <w:r>
            <w:t>19</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_Toc1950 </w:instrText>
          </w:r>
          <w:r>
            <w:rPr>
              <w:szCs w:val="21"/>
            </w:rPr>
            <w:fldChar w:fldCharType="separate"/>
          </w:r>
          <w:r>
            <w:rPr>
              <w:rFonts w:hint="eastAsia" w:ascii="Times New Roman" w:hAnsi="Times New Roman" w:eastAsia="楷体_GB2312" w:cs="Times New Roman"/>
              <w:bCs/>
              <w:kern w:val="2"/>
              <w:szCs w:val="24"/>
              <w:lang w:val="en-US" w:eastAsia="zh-CN" w:bidi="ar-SA"/>
            </w:rPr>
            <w:t>（</w:t>
          </w:r>
          <w:r>
            <w:rPr>
              <w:rFonts w:hint="eastAsia" w:cs="Times New Roman"/>
              <w:bCs/>
              <w:kern w:val="2"/>
              <w:szCs w:val="24"/>
              <w:lang w:val="en-US" w:eastAsia="zh-CN" w:bidi="ar-SA"/>
            </w:rPr>
            <w:t>一</w:t>
          </w:r>
          <w:r>
            <w:rPr>
              <w:rFonts w:hint="eastAsia" w:ascii="Times New Roman" w:hAnsi="Times New Roman" w:eastAsia="楷体_GB2312" w:cs="Times New Roman"/>
              <w:bCs/>
              <w:kern w:val="2"/>
              <w:szCs w:val="24"/>
              <w:lang w:val="en-US" w:eastAsia="zh-CN" w:bidi="ar-SA"/>
            </w:rPr>
            <w:t>）</w:t>
          </w:r>
          <w:r>
            <w:rPr>
              <w:rFonts w:hint="eastAsia" w:ascii="Times New Roman" w:hAnsi="Times New Roman" w:cs="Times New Roman"/>
              <w:bCs/>
              <w:lang w:val="en-US" w:eastAsia="zh-CN"/>
            </w:rPr>
            <w:t>注重创新铸魂，促进产研双向融合</w:t>
          </w:r>
          <w:r>
            <w:tab/>
          </w:r>
          <w:r>
            <w:fldChar w:fldCharType="begin"/>
          </w:r>
          <w:r>
            <w:instrText xml:space="preserve"> PAGEREF _Toc1950 \h </w:instrText>
          </w:r>
          <w:r>
            <w:fldChar w:fldCharType="separate"/>
          </w:r>
          <w:r>
            <w:t>19</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_Toc24328 </w:instrText>
          </w:r>
          <w:r>
            <w:rPr>
              <w:szCs w:val="21"/>
            </w:rPr>
            <w:fldChar w:fldCharType="separate"/>
          </w:r>
          <w:r>
            <w:rPr>
              <w:rFonts w:hint="eastAsia"/>
              <w:bCs w:val="0"/>
              <w:lang w:val="en-US" w:eastAsia="zh-CN"/>
            </w:rPr>
            <w:t>1</w:t>
          </w:r>
          <w:r>
            <w:rPr>
              <w:rFonts w:hint="eastAsia"/>
              <w:bCs w:val="0"/>
            </w:rPr>
            <w:t>.强化企业创新主体地位，激发</w:t>
          </w:r>
          <w:r>
            <w:rPr>
              <w:rFonts w:hint="eastAsia"/>
              <w:bCs w:val="0"/>
              <w:lang w:val="en-US" w:eastAsia="zh-CN"/>
            </w:rPr>
            <w:t>企业</w:t>
          </w:r>
          <w:r>
            <w:rPr>
              <w:rFonts w:hint="eastAsia"/>
              <w:bCs w:val="0"/>
            </w:rPr>
            <w:t>创新</w:t>
          </w:r>
          <w:r>
            <w:rPr>
              <w:rFonts w:hint="eastAsia"/>
              <w:bCs w:val="0"/>
              <w:lang w:val="en-US" w:eastAsia="zh-CN"/>
            </w:rPr>
            <w:t>动能</w:t>
          </w:r>
          <w:r>
            <w:tab/>
          </w:r>
          <w:r>
            <w:fldChar w:fldCharType="begin"/>
          </w:r>
          <w:r>
            <w:instrText xml:space="preserve"> PAGEREF _Toc24328 \h </w:instrText>
          </w:r>
          <w:r>
            <w:fldChar w:fldCharType="separate"/>
          </w:r>
          <w:r>
            <w:t>19</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_Toc22909 </w:instrText>
          </w:r>
          <w:r>
            <w:rPr>
              <w:szCs w:val="21"/>
            </w:rPr>
            <w:fldChar w:fldCharType="separate"/>
          </w:r>
          <w:r>
            <w:rPr>
              <w:rFonts w:hint="eastAsia"/>
              <w:bCs w:val="0"/>
              <w:lang w:val="en-US" w:eastAsia="zh-CN"/>
            </w:rPr>
            <w:t>2.</w:t>
          </w:r>
          <w:r>
            <w:rPr>
              <w:rFonts w:hint="eastAsia"/>
              <w:bCs w:val="0"/>
            </w:rPr>
            <w:t>构建高效创新平台体系，加快完</w:t>
          </w:r>
          <w:r>
            <w:rPr>
              <w:rFonts w:hint="eastAsia" w:ascii="Times New Roman" w:hAnsi="Times New Roman" w:eastAsia="仿宋_GB2312" w:cs="Times New Roman"/>
              <w:kern w:val="2"/>
              <w:szCs w:val="24"/>
              <w:lang w:val="en-US" w:eastAsia="zh-CN" w:bidi="ar-SA"/>
            </w:rPr>
            <w:t>善创新生态</w:t>
          </w:r>
          <w:r>
            <w:tab/>
          </w:r>
          <w:r>
            <w:fldChar w:fldCharType="begin"/>
          </w:r>
          <w:r>
            <w:instrText xml:space="preserve"> PAGEREF _Toc22909 \h </w:instrText>
          </w:r>
          <w:r>
            <w:fldChar w:fldCharType="separate"/>
          </w:r>
          <w:r>
            <w:t>19</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_Toc11638 </w:instrText>
          </w:r>
          <w:r>
            <w:rPr>
              <w:szCs w:val="21"/>
            </w:rPr>
            <w:fldChar w:fldCharType="separate"/>
          </w:r>
          <w:r>
            <w:rPr>
              <w:rFonts w:hint="eastAsia" w:cs="Times New Roman"/>
              <w:bCs w:val="0"/>
              <w:lang w:val="en-US" w:eastAsia="zh-CN"/>
            </w:rPr>
            <w:t>3.</w:t>
          </w:r>
          <w:r>
            <w:rPr>
              <w:rFonts w:hint="eastAsia" w:ascii="Times New Roman" w:hAnsi="Times New Roman" w:cs="Times New Roman"/>
              <w:bCs w:val="0"/>
              <w:lang w:val="en-US" w:eastAsia="zh-CN"/>
            </w:rPr>
            <w:t>完善创新服务体系，激发</w:t>
          </w:r>
          <w:r>
            <w:rPr>
              <w:rFonts w:hint="eastAsia" w:cs="Times New Roman"/>
              <w:bCs w:val="0"/>
              <w:lang w:val="en-US" w:eastAsia="zh-CN"/>
            </w:rPr>
            <w:t>社会</w:t>
          </w:r>
          <w:r>
            <w:rPr>
              <w:rFonts w:hint="eastAsia" w:ascii="Times New Roman" w:hAnsi="Times New Roman" w:cs="Times New Roman"/>
              <w:bCs w:val="0"/>
              <w:lang w:val="en-US" w:eastAsia="zh-CN"/>
            </w:rPr>
            <w:t>创新活力</w:t>
          </w:r>
          <w:r>
            <w:tab/>
          </w:r>
          <w:r>
            <w:fldChar w:fldCharType="begin"/>
          </w:r>
          <w:r>
            <w:instrText xml:space="preserve"> PAGEREF _Toc11638 \h </w:instrText>
          </w:r>
          <w:r>
            <w:fldChar w:fldCharType="separate"/>
          </w:r>
          <w:r>
            <w:t>20</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_Toc22320 </w:instrText>
          </w:r>
          <w:r>
            <w:rPr>
              <w:szCs w:val="21"/>
            </w:rPr>
            <w:fldChar w:fldCharType="separate"/>
          </w:r>
          <w:r>
            <w:rPr>
              <w:rFonts w:hint="eastAsia" w:ascii="Times New Roman" w:hAnsi="Times New Roman" w:cs="Times New Roman"/>
              <w:bCs/>
              <w:lang w:val="en-US" w:eastAsia="zh-CN"/>
            </w:rPr>
            <w:t>（二）</w:t>
          </w:r>
          <w:r>
            <w:rPr>
              <w:rFonts w:hint="eastAsia" w:cs="Times New Roman"/>
              <w:bCs w:val="0"/>
              <w:lang w:val="en-US" w:eastAsia="zh-CN"/>
            </w:rPr>
            <w:t>聚焦人工智能，驱动工业提质升级</w:t>
          </w:r>
          <w:r>
            <w:tab/>
          </w:r>
          <w:r>
            <w:fldChar w:fldCharType="begin"/>
          </w:r>
          <w:r>
            <w:instrText xml:space="preserve"> PAGEREF _Toc22320 \h </w:instrText>
          </w:r>
          <w:r>
            <w:fldChar w:fldCharType="separate"/>
          </w:r>
          <w:r>
            <w:t>21</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_Toc23037 </w:instrText>
          </w:r>
          <w:r>
            <w:rPr>
              <w:szCs w:val="21"/>
            </w:rPr>
            <w:fldChar w:fldCharType="separate"/>
          </w:r>
          <w:r>
            <w:rPr>
              <w:rFonts w:hint="eastAsia" w:cs="Times New Roman"/>
              <w:bCs/>
              <w:lang w:val="en-US" w:eastAsia="zh-CN"/>
            </w:rPr>
            <w:t>4</w:t>
          </w:r>
          <w:r>
            <w:rPr>
              <w:rFonts w:hint="eastAsia" w:ascii="Times New Roman" w:hAnsi="Times New Roman" w:cs="Times New Roman"/>
              <w:bCs/>
              <w:lang w:val="en-US" w:eastAsia="zh-CN"/>
            </w:rPr>
            <w:t>.</w:t>
          </w:r>
          <w:r>
            <w:rPr>
              <w:rFonts w:ascii="Times New Roman" w:hAnsi="Times New Roman" w:cs="Times New Roman"/>
              <w:bCs/>
            </w:rPr>
            <w:t>推进人工智能赋能</w:t>
          </w:r>
          <w:r>
            <w:rPr>
              <w:rFonts w:hint="eastAsia" w:ascii="Times New Roman" w:hAnsi="Times New Roman" w:cs="Times New Roman"/>
              <w:bCs/>
              <w:lang w:val="en-US" w:eastAsia="zh-CN"/>
            </w:rPr>
            <w:t>产业发展</w:t>
          </w:r>
          <w:r>
            <w:tab/>
          </w:r>
          <w:r>
            <w:fldChar w:fldCharType="begin"/>
          </w:r>
          <w:r>
            <w:instrText xml:space="preserve"> PAGEREF _Toc23037 \h </w:instrText>
          </w:r>
          <w:r>
            <w:fldChar w:fldCharType="separate"/>
          </w:r>
          <w:r>
            <w:t>21</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_Toc16091 </w:instrText>
          </w:r>
          <w:r>
            <w:rPr>
              <w:szCs w:val="21"/>
            </w:rPr>
            <w:fldChar w:fldCharType="separate"/>
          </w:r>
          <w:r>
            <w:rPr>
              <w:rFonts w:hint="eastAsia" w:ascii="Times New Roman" w:hAnsi="Times New Roman" w:cs="Times New Roman"/>
              <w:bCs/>
              <w:lang w:val="en-US" w:eastAsia="zh-CN"/>
            </w:rPr>
            <w:t>5.加速制造业数字化转型</w:t>
          </w:r>
          <w:r>
            <w:tab/>
          </w:r>
          <w:r>
            <w:fldChar w:fldCharType="begin"/>
          </w:r>
          <w:r>
            <w:instrText xml:space="preserve"> PAGEREF _Toc16091 \h </w:instrText>
          </w:r>
          <w:r>
            <w:fldChar w:fldCharType="separate"/>
          </w:r>
          <w:r>
            <w:t>22</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_Toc16614 </w:instrText>
          </w:r>
          <w:r>
            <w:rPr>
              <w:szCs w:val="21"/>
            </w:rPr>
            <w:fldChar w:fldCharType="separate"/>
          </w:r>
          <w:r>
            <w:rPr>
              <w:rFonts w:hint="eastAsia" w:ascii="Times New Roman" w:hAnsi="Times New Roman" w:cs="Times New Roman"/>
              <w:bCs w:val="0"/>
              <w:lang w:val="en-US" w:eastAsia="zh-CN"/>
            </w:rPr>
            <w:t>（三）</w:t>
          </w:r>
          <w:r>
            <w:rPr>
              <w:rFonts w:hint="eastAsia" w:cs="Times New Roman"/>
              <w:bCs w:val="0"/>
              <w:lang w:val="en-US" w:eastAsia="zh-CN"/>
            </w:rPr>
            <w:t>完善产业体系，筑牢产业现代根基</w:t>
          </w:r>
          <w:r>
            <w:tab/>
          </w:r>
          <w:r>
            <w:fldChar w:fldCharType="begin"/>
          </w:r>
          <w:r>
            <w:instrText xml:space="preserve"> PAGEREF _Toc16614 \h </w:instrText>
          </w:r>
          <w:r>
            <w:fldChar w:fldCharType="separate"/>
          </w:r>
          <w:r>
            <w:t>23</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_Toc32642 </w:instrText>
          </w:r>
          <w:r>
            <w:rPr>
              <w:szCs w:val="21"/>
            </w:rPr>
            <w:fldChar w:fldCharType="separate"/>
          </w:r>
          <w:r>
            <w:rPr>
              <w:rFonts w:hint="eastAsia" w:ascii="Times New Roman" w:hAnsi="Times New Roman" w:cs="Times New Roman"/>
              <w:bCs/>
              <w:lang w:val="en-US" w:eastAsia="zh-CN"/>
            </w:rPr>
            <w:t>6.加强产业链强链补链延链。</w:t>
          </w:r>
          <w:r>
            <w:tab/>
          </w:r>
          <w:r>
            <w:fldChar w:fldCharType="begin"/>
          </w:r>
          <w:r>
            <w:instrText xml:space="preserve"> PAGEREF _Toc32642 \h </w:instrText>
          </w:r>
          <w:r>
            <w:fldChar w:fldCharType="separate"/>
          </w:r>
          <w:r>
            <w:t>23</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_Toc12642 </w:instrText>
          </w:r>
          <w:r>
            <w:rPr>
              <w:szCs w:val="21"/>
            </w:rPr>
            <w:fldChar w:fldCharType="separate"/>
          </w:r>
          <w:r>
            <w:rPr>
              <w:rFonts w:hint="eastAsia" w:ascii="Times New Roman" w:hAnsi="Times New Roman" w:cs="Times New Roman"/>
              <w:bCs/>
              <w:lang w:val="en-US" w:eastAsia="zh-CN"/>
            </w:rPr>
            <w:t>7.强化产业基础支撑能力</w:t>
          </w:r>
          <w:r>
            <w:tab/>
          </w:r>
          <w:r>
            <w:fldChar w:fldCharType="begin"/>
          </w:r>
          <w:r>
            <w:instrText xml:space="preserve"> PAGEREF _Toc12642 \h </w:instrText>
          </w:r>
          <w:r>
            <w:fldChar w:fldCharType="separate"/>
          </w:r>
          <w:r>
            <w:t>24</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_Toc24275 </w:instrText>
          </w:r>
          <w:r>
            <w:rPr>
              <w:szCs w:val="21"/>
            </w:rPr>
            <w:fldChar w:fldCharType="separate"/>
          </w:r>
          <w:r>
            <w:rPr>
              <w:rFonts w:hint="eastAsia" w:cs="Times New Roman"/>
              <w:bCs w:val="0"/>
              <w:lang w:val="en-US" w:eastAsia="zh-CN"/>
            </w:rPr>
            <w:t>（四）聚焦精准招商，提高招商引资实效</w:t>
          </w:r>
          <w:r>
            <w:tab/>
          </w:r>
          <w:r>
            <w:fldChar w:fldCharType="begin"/>
          </w:r>
          <w:r>
            <w:instrText xml:space="preserve"> PAGEREF _Toc24275 \h </w:instrText>
          </w:r>
          <w:r>
            <w:fldChar w:fldCharType="separate"/>
          </w:r>
          <w:r>
            <w:t>25</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_Toc10433 </w:instrText>
          </w:r>
          <w:r>
            <w:rPr>
              <w:szCs w:val="21"/>
            </w:rPr>
            <w:fldChar w:fldCharType="separate"/>
          </w:r>
          <w:r>
            <w:rPr>
              <w:rFonts w:hint="eastAsia"/>
              <w:bCs w:val="0"/>
              <w:lang w:val="en-US" w:eastAsia="zh-CN"/>
            </w:rPr>
            <w:t>8</w:t>
          </w:r>
          <w:r>
            <w:rPr>
              <w:rFonts w:hint="eastAsia" w:ascii="Times New Roman" w:hAnsi="Times New Roman" w:cs="Times New Roman"/>
              <w:bCs/>
              <w:lang w:val="en-US" w:eastAsia="zh-CN"/>
            </w:rPr>
            <w:t>.</w:t>
          </w:r>
          <w:r>
            <w:rPr>
              <w:rFonts w:hint="default" w:ascii="Times New Roman" w:hAnsi="Times New Roman" w:cs="Times New Roman"/>
              <w:bCs/>
              <w:lang w:val="en-US" w:eastAsia="zh-CN"/>
            </w:rPr>
            <w:t>开展以</w:t>
          </w:r>
          <w:r>
            <w:rPr>
              <w:rFonts w:hint="eastAsia" w:cs="Times New Roman"/>
              <w:bCs/>
              <w:lang w:val="en-US" w:eastAsia="zh-CN"/>
            </w:rPr>
            <w:t>延链补链强链</w:t>
          </w:r>
          <w:r>
            <w:rPr>
              <w:rFonts w:hint="default" w:ascii="Times New Roman" w:hAnsi="Times New Roman" w:cs="Times New Roman"/>
              <w:bCs/>
              <w:lang w:val="en-US" w:eastAsia="zh-CN"/>
            </w:rPr>
            <w:t>为导向的精准招商</w:t>
          </w:r>
          <w:r>
            <w:tab/>
          </w:r>
          <w:r>
            <w:fldChar w:fldCharType="begin"/>
          </w:r>
          <w:r>
            <w:instrText xml:space="preserve"> PAGEREF _Toc10433 \h </w:instrText>
          </w:r>
          <w:r>
            <w:fldChar w:fldCharType="separate"/>
          </w:r>
          <w:r>
            <w:t>25</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_Toc16870 </w:instrText>
          </w:r>
          <w:r>
            <w:rPr>
              <w:szCs w:val="21"/>
            </w:rPr>
            <w:fldChar w:fldCharType="separate"/>
          </w:r>
          <w:r>
            <w:rPr>
              <w:rFonts w:hint="eastAsia" w:cs="Times New Roman"/>
              <w:bCs/>
              <w:lang w:val="en-US" w:eastAsia="zh-CN"/>
            </w:rPr>
            <w:t>9</w:t>
          </w:r>
          <w:r>
            <w:rPr>
              <w:rFonts w:hint="eastAsia" w:ascii="Times New Roman" w:hAnsi="Times New Roman" w:cs="Times New Roman"/>
              <w:bCs/>
              <w:lang w:val="en-US" w:eastAsia="zh-CN"/>
            </w:rPr>
            <w:t>.完善全流程招商工作体系，提升引资质效</w:t>
          </w:r>
          <w:r>
            <w:tab/>
          </w:r>
          <w:r>
            <w:fldChar w:fldCharType="begin"/>
          </w:r>
          <w:r>
            <w:instrText xml:space="preserve"> PAGEREF _Toc16870 \h </w:instrText>
          </w:r>
          <w:r>
            <w:fldChar w:fldCharType="separate"/>
          </w:r>
          <w:r>
            <w:t>26</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_Toc2197 </w:instrText>
          </w:r>
          <w:r>
            <w:rPr>
              <w:szCs w:val="21"/>
            </w:rPr>
            <w:fldChar w:fldCharType="separate"/>
          </w:r>
          <w:r>
            <w:rPr>
              <w:rFonts w:hint="eastAsia" w:cs="Times New Roman"/>
              <w:bCs w:val="0"/>
              <w:lang w:val="en-US" w:eastAsia="zh-CN"/>
            </w:rPr>
            <w:t>（五）聚焦企业培优，做强市场经营主体</w:t>
          </w:r>
          <w:r>
            <w:tab/>
          </w:r>
          <w:r>
            <w:fldChar w:fldCharType="begin"/>
          </w:r>
          <w:r>
            <w:instrText xml:space="preserve"> PAGEREF _Toc2197 \h </w:instrText>
          </w:r>
          <w:r>
            <w:fldChar w:fldCharType="separate"/>
          </w:r>
          <w:r>
            <w:t>27</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_Toc22883 </w:instrText>
          </w:r>
          <w:r>
            <w:rPr>
              <w:szCs w:val="21"/>
            </w:rPr>
            <w:fldChar w:fldCharType="separate"/>
          </w:r>
          <w:r>
            <w:rPr>
              <w:rFonts w:hint="eastAsia" w:ascii="Times New Roman" w:hAnsi="Times New Roman" w:cs="Times New Roman"/>
              <w:bCs/>
              <w:lang w:val="en-US" w:eastAsia="zh-CN"/>
            </w:rPr>
            <w:t>10.实施梯队化企业培育，</w:t>
          </w:r>
          <w:r>
            <w:rPr>
              <w:rFonts w:hint="default" w:ascii="Times New Roman" w:hAnsi="Times New Roman" w:eastAsia="仿宋_GB2312" w:cs="Times New Roman"/>
              <w:bCs/>
              <w:szCs w:val="24"/>
            </w:rPr>
            <w:t>做强市场经营主体</w:t>
          </w:r>
          <w:r>
            <w:tab/>
          </w:r>
          <w:r>
            <w:fldChar w:fldCharType="begin"/>
          </w:r>
          <w:r>
            <w:instrText xml:space="preserve"> PAGEREF _Toc22883 \h </w:instrText>
          </w:r>
          <w:r>
            <w:fldChar w:fldCharType="separate"/>
          </w:r>
          <w:r>
            <w:t>27</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_Toc9950 </w:instrText>
          </w:r>
          <w:r>
            <w:rPr>
              <w:szCs w:val="21"/>
            </w:rPr>
            <w:fldChar w:fldCharType="separate"/>
          </w:r>
          <w:r>
            <w:rPr>
              <w:rFonts w:hint="eastAsia" w:cs="Times New Roman"/>
              <w:bCs/>
              <w:szCs w:val="32"/>
              <w:lang w:val="en-US" w:eastAsia="zh-CN"/>
            </w:rPr>
            <w:t>11</w:t>
          </w:r>
          <w:r>
            <w:rPr>
              <w:rFonts w:hint="default" w:ascii="Times New Roman" w:hAnsi="Times New Roman" w:eastAsia="仿宋_GB2312" w:cs="Times New Roman"/>
              <w:bCs/>
              <w:szCs w:val="32"/>
              <w:lang w:val="en-US" w:eastAsia="zh-CN"/>
            </w:rPr>
            <w:t>.</w:t>
          </w:r>
          <w:r>
            <w:rPr>
              <w:rFonts w:hint="default"/>
              <w:bCs/>
              <w:lang w:val="en-US" w:eastAsia="zh-CN"/>
            </w:rPr>
            <w:t>促进大中小企业融通，凝聚产业发展合力</w:t>
          </w:r>
          <w:r>
            <w:tab/>
          </w:r>
          <w:r>
            <w:fldChar w:fldCharType="begin"/>
          </w:r>
          <w:r>
            <w:instrText xml:space="preserve"> PAGEREF _Toc9950 \h </w:instrText>
          </w:r>
          <w:r>
            <w:fldChar w:fldCharType="separate"/>
          </w:r>
          <w:r>
            <w:t>28</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_Toc13164 </w:instrText>
          </w:r>
          <w:r>
            <w:rPr>
              <w:szCs w:val="21"/>
            </w:rPr>
            <w:fldChar w:fldCharType="separate"/>
          </w:r>
          <w:r>
            <w:rPr>
              <w:rFonts w:hint="eastAsia" w:ascii="Times New Roman" w:hAnsi="Times New Roman" w:eastAsia="楷体_GB2312" w:cs="Times New Roman"/>
              <w:bCs/>
              <w:szCs w:val="24"/>
              <w:lang w:val="en-US" w:eastAsia="zh-CN"/>
            </w:rPr>
            <w:t>（</w:t>
          </w:r>
          <w:r>
            <w:rPr>
              <w:rFonts w:hint="eastAsia" w:cs="Times New Roman"/>
              <w:bCs/>
              <w:szCs w:val="24"/>
              <w:lang w:val="en-US" w:eastAsia="zh-CN"/>
            </w:rPr>
            <w:t>六</w:t>
          </w:r>
          <w:r>
            <w:rPr>
              <w:rFonts w:hint="eastAsia" w:ascii="Times New Roman" w:hAnsi="Times New Roman" w:eastAsia="楷体_GB2312" w:cs="Times New Roman"/>
              <w:bCs/>
              <w:szCs w:val="24"/>
              <w:lang w:val="en-US" w:eastAsia="zh-CN"/>
            </w:rPr>
            <w:t>）</w:t>
          </w:r>
          <w:r>
            <w:rPr>
              <w:rFonts w:hint="eastAsia" w:cs="Times New Roman"/>
              <w:bCs w:val="0"/>
              <w:lang w:val="en-US" w:eastAsia="zh-CN"/>
            </w:rPr>
            <w:t>推动园区跃升，打造集约发展平台</w:t>
          </w:r>
          <w:r>
            <w:tab/>
          </w:r>
          <w:r>
            <w:fldChar w:fldCharType="begin"/>
          </w:r>
          <w:r>
            <w:instrText xml:space="preserve"> PAGEREF _Toc13164 \h </w:instrText>
          </w:r>
          <w:r>
            <w:fldChar w:fldCharType="separate"/>
          </w:r>
          <w:r>
            <w:t>29</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_Toc20660 </w:instrText>
          </w:r>
          <w:r>
            <w:rPr>
              <w:szCs w:val="21"/>
            </w:rPr>
            <w:fldChar w:fldCharType="separate"/>
          </w:r>
          <w:r>
            <w:rPr>
              <w:rFonts w:hint="eastAsia" w:cs="Times New Roman"/>
              <w:bCs/>
              <w:szCs w:val="32"/>
              <w:lang w:val="en-US" w:eastAsia="zh-CN"/>
            </w:rPr>
            <w:t>12</w:t>
          </w:r>
          <w:r>
            <w:rPr>
              <w:rFonts w:hint="default" w:ascii="Times New Roman" w:hAnsi="Times New Roman" w:eastAsia="仿宋_GB2312" w:cs="Times New Roman"/>
              <w:bCs/>
              <w:szCs w:val="32"/>
              <w:lang w:val="en-US" w:eastAsia="zh-CN"/>
            </w:rPr>
            <w:t>.强化园区要素保障能力，支撑园区高质量发展</w:t>
          </w:r>
          <w:r>
            <w:tab/>
          </w:r>
          <w:r>
            <w:fldChar w:fldCharType="begin"/>
          </w:r>
          <w:r>
            <w:instrText xml:space="preserve"> PAGEREF _Toc20660 \h </w:instrText>
          </w:r>
          <w:r>
            <w:fldChar w:fldCharType="separate"/>
          </w:r>
          <w:r>
            <w:t>29</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_Toc2617 </w:instrText>
          </w:r>
          <w:r>
            <w:rPr>
              <w:szCs w:val="21"/>
            </w:rPr>
            <w:fldChar w:fldCharType="separate"/>
          </w:r>
          <w:r>
            <w:rPr>
              <w:rFonts w:hint="default" w:ascii="Times New Roman" w:hAnsi="Times New Roman" w:cs="Times New Roman"/>
              <w:bCs/>
              <w:szCs w:val="32"/>
              <w:lang w:val="en-US" w:eastAsia="zh-CN"/>
            </w:rPr>
            <w:t>13</w:t>
          </w:r>
          <w:r>
            <w:rPr>
              <w:rFonts w:hint="default" w:ascii="Times New Roman" w:hAnsi="Times New Roman" w:eastAsia="仿宋_GB2312" w:cs="Times New Roman"/>
              <w:bCs/>
              <w:szCs w:val="32"/>
              <w:lang w:val="en-US" w:eastAsia="zh-CN"/>
            </w:rPr>
            <w:t>.创新园区运营管理模式，提升园区运营效能</w:t>
          </w:r>
          <w:r>
            <w:tab/>
          </w:r>
          <w:r>
            <w:fldChar w:fldCharType="begin"/>
          </w:r>
          <w:r>
            <w:instrText xml:space="preserve"> PAGEREF _Toc2617 \h </w:instrText>
          </w:r>
          <w:r>
            <w:fldChar w:fldCharType="separate"/>
          </w:r>
          <w:r>
            <w:t>30</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_Toc23296 </w:instrText>
          </w:r>
          <w:r>
            <w:rPr>
              <w:szCs w:val="21"/>
            </w:rPr>
            <w:fldChar w:fldCharType="separate"/>
          </w:r>
          <w:r>
            <w:rPr>
              <w:rFonts w:hint="eastAsia" w:cs="Times New Roman"/>
              <w:bCs/>
              <w:lang w:val="en-US" w:eastAsia="zh-CN"/>
            </w:rPr>
            <w:t>（七）实施</w:t>
          </w:r>
          <w:r>
            <w:rPr>
              <w:rFonts w:hint="eastAsia" w:ascii="Times New Roman" w:hAnsi="Times New Roman" w:cs="Times New Roman"/>
              <w:bCs/>
              <w:lang w:val="en-US" w:eastAsia="zh-CN"/>
            </w:rPr>
            <w:t>绿色转型，</w:t>
          </w:r>
          <w:r>
            <w:rPr>
              <w:rFonts w:hint="eastAsia" w:cs="Times New Roman"/>
              <w:bCs/>
              <w:lang w:val="en-US" w:eastAsia="zh-CN"/>
            </w:rPr>
            <w:t>推进</w:t>
          </w:r>
          <w:r>
            <w:rPr>
              <w:rFonts w:hint="eastAsia" w:ascii="Times New Roman" w:hAnsi="Times New Roman" w:cs="Times New Roman"/>
              <w:bCs/>
              <w:lang w:val="en-US" w:eastAsia="zh-CN"/>
            </w:rPr>
            <w:t>产业</w:t>
          </w:r>
          <w:r>
            <w:rPr>
              <w:rFonts w:hint="eastAsia" w:cs="Times New Roman"/>
              <w:bCs/>
              <w:lang w:val="en-US" w:eastAsia="zh-CN"/>
            </w:rPr>
            <w:t>绿色</w:t>
          </w:r>
          <w:r>
            <w:rPr>
              <w:rFonts w:hint="eastAsia" w:ascii="Times New Roman" w:hAnsi="Times New Roman" w:cs="Times New Roman"/>
              <w:bCs/>
              <w:lang w:val="en-US" w:eastAsia="zh-CN"/>
            </w:rPr>
            <w:t>发展</w:t>
          </w:r>
          <w:r>
            <w:tab/>
          </w:r>
          <w:r>
            <w:fldChar w:fldCharType="begin"/>
          </w:r>
          <w:r>
            <w:instrText xml:space="preserve"> PAGEREF _Toc23296 \h </w:instrText>
          </w:r>
          <w:r>
            <w:fldChar w:fldCharType="separate"/>
          </w:r>
          <w:r>
            <w:t>31</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_Toc7252 </w:instrText>
          </w:r>
          <w:r>
            <w:rPr>
              <w:szCs w:val="21"/>
            </w:rPr>
            <w:fldChar w:fldCharType="separate"/>
          </w:r>
          <w:r>
            <w:rPr>
              <w:rFonts w:hint="eastAsia" w:cs="Times New Roman"/>
              <w:bCs/>
              <w:lang w:val="en-US" w:eastAsia="zh-CN"/>
            </w:rPr>
            <w:t>14</w:t>
          </w:r>
          <w:r>
            <w:rPr>
              <w:rFonts w:hint="eastAsia" w:ascii="Times New Roman" w:hAnsi="Times New Roman" w:cs="Times New Roman"/>
              <w:bCs/>
            </w:rPr>
            <w:t>.以绿色低碳</w:t>
          </w:r>
          <w:r>
            <w:rPr>
              <w:rFonts w:hint="eastAsia" w:ascii="Times New Roman" w:hAnsi="Times New Roman" w:cs="Times New Roman"/>
              <w:bCs/>
              <w:lang w:val="en-US" w:eastAsia="zh-CN"/>
            </w:rPr>
            <w:t>为导向，</w:t>
          </w:r>
          <w:r>
            <w:rPr>
              <w:rFonts w:hint="eastAsia" w:ascii="Times New Roman" w:hAnsi="Times New Roman" w:cs="Times New Roman"/>
              <w:bCs/>
            </w:rPr>
            <w:t>探索</w:t>
          </w:r>
          <w:r>
            <w:rPr>
              <w:rFonts w:hint="eastAsia" w:ascii="Times New Roman" w:hAnsi="Times New Roman" w:cs="Times New Roman"/>
              <w:bCs/>
              <w:lang w:val="en-US" w:eastAsia="zh-CN"/>
            </w:rPr>
            <w:t>产业</w:t>
          </w:r>
          <w:r>
            <w:rPr>
              <w:rFonts w:hint="eastAsia" w:ascii="Times New Roman" w:hAnsi="Times New Roman" w:cs="Times New Roman"/>
              <w:bCs/>
            </w:rPr>
            <w:t>零碳</w:t>
          </w:r>
          <w:r>
            <w:rPr>
              <w:rFonts w:hint="eastAsia" w:ascii="Times New Roman" w:hAnsi="Times New Roman" w:cs="Times New Roman"/>
              <w:bCs/>
              <w:lang w:val="en-US" w:eastAsia="zh-CN"/>
            </w:rPr>
            <w:t>发展</w:t>
          </w:r>
          <w:r>
            <w:rPr>
              <w:rFonts w:hint="eastAsia" w:ascii="Times New Roman" w:hAnsi="Times New Roman" w:cs="Times New Roman"/>
              <w:bCs/>
            </w:rPr>
            <w:t>路径</w:t>
          </w:r>
          <w:r>
            <w:tab/>
          </w:r>
          <w:r>
            <w:fldChar w:fldCharType="begin"/>
          </w:r>
          <w:r>
            <w:instrText xml:space="preserve"> PAGEREF _Toc7252 \h </w:instrText>
          </w:r>
          <w:r>
            <w:fldChar w:fldCharType="separate"/>
          </w:r>
          <w:r>
            <w:t>31</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_Toc31305 </w:instrText>
          </w:r>
          <w:r>
            <w:rPr>
              <w:szCs w:val="21"/>
            </w:rPr>
            <w:fldChar w:fldCharType="separate"/>
          </w:r>
          <w:r>
            <w:rPr>
              <w:rFonts w:hint="eastAsia" w:ascii="Times New Roman" w:hAnsi="Times New Roman" w:cs="Times New Roman"/>
              <w:bCs/>
              <w:lang w:val="en-US" w:eastAsia="zh-CN"/>
            </w:rPr>
            <w:t>1</w:t>
          </w:r>
          <w:r>
            <w:rPr>
              <w:rFonts w:hint="eastAsia" w:cs="Times New Roman"/>
              <w:bCs/>
              <w:lang w:val="en-US" w:eastAsia="zh-CN"/>
            </w:rPr>
            <w:t>5</w:t>
          </w:r>
          <w:r>
            <w:rPr>
              <w:rFonts w:hint="eastAsia" w:ascii="Times New Roman" w:hAnsi="Times New Roman" w:cs="Times New Roman"/>
              <w:bCs/>
              <w:lang w:val="en-US" w:eastAsia="zh-CN"/>
            </w:rPr>
            <w:t>.深化园区绿色低碳转型，夯实制造业高质量绿色发展支撑</w:t>
          </w:r>
          <w:r>
            <w:tab/>
          </w:r>
          <w:r>
            <w:fldChar w:fldCharType="begin"/>
          </w:r>
          <w:r>
            <w:instrText xml:space="preserve"> PAGEREF _Toc31305 \h </w:instrText>
          </w:r>
          <w:r>
            <w:fldChar w:fldCharType="separate"/>
          </w:r>
          <w:r>
            <w:t>31</w:t>
          </w:r>
          <w:r>
            <w:fldChar w:fldCharType="end"/>
          </w:r>
          <w:r>
            <w:rPr>
              <w:color w:val="000000" w:themeColor="text1"/>
              <w:szCs w:val="21"/>
              <w14:textFill>
                <w14:solidFill>
                  <w14:schemeClr w14:val="tx1"/>
                </w14:solidFill>
              </w14:textFill>
            </w:rPr>
            <w:fldChar w:fldCharType="end"/>
          </w:r>
        </w:p>
        <w:p>
          <w:pPr>
            <w:pStyle w:val="19"/>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_Toc968 </w:instrText>
          </w:r>
          <w:r>
            <w:rPr>
              <w:szCs w:val="21"/>
            </w:rPr>
            <w:fldChar w:fldCharType="separate"/>
          </w:r>
          <w:r>
            <w:rPr>
              <w:rFonts w:hint="eastAsia"/>
              <w:bCs/>
              <w:lang w:val="en-US" w:eastAsia="zh-CN"/>
            </w:rPr>
            <w:t>（八）</w:t>
          </w:r>
          <w:r>
            <w:rPr>
              <w:rFonts w:hint="eastAsia"/>
              <w:bCs/>
            </w:rPr>
            <w:t>深化区域协同，拓展开放发展空间</w:t>
          </w:r>
          <w:r>
            <w:tab/>
          </w:r>
          <w:r>
            <w:fldChar w:fldCharType="begin"/>
          </w:r>
          <w:r>
            <w:instrText xml:space="preserve"> PAGEREF _Toc968 \h </w:instrText>
          </w:r>
          <w:r>
            <w:fldChar w:fldCharType="separate"/>
          </w:r>
          <w:r>
            <w:t>32</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_Toc8609 </w:instrText>
          </w:r>
          <w:r>
            <w:rPr>
              <w:szCs w:val="21"/>
            </w:rPr>
            <w:fldChar w:fldCharType="separate"/>
          </w:r>
          <w:r>
            <w:rPr>
              <w:rFonts w:hint="eastAsia"/>
              <w:bCs w:val="0"/>
              <w:lang w:val="en-US" w:eastAsia="zh-CN"/>
            </w:rPr>
            <w:t>16.</w:t>
          </w:r>
          <w:r>
            <w:rPr>
              <w:rFonts w:hint="eastAsia"/>
              <w:bCs w:val="0"/>
            </w:rPr>
            <w:t>深度</w:t>
          </w:r>
          <w:r>
            <w:rPr>
              <w:rFonts w:hint="eastAsia"/>
              <w:bCs w:val="0"/>
              <w:lang w:val="en-US" w:eastAsia="zh-CN"/>
            </w:rPr>
            <w:t>融入</w:t>
          </w:r>
          <w:r>
            <w:rPr>
              <w:rFonts w:hint="eastAsia"/>
              <w:bCs w:val="0"/>
            </w:rPr>
            <w:t>粤港澳大湾区，</w:t>
          </w:r>
          <w:r>
            <w:rPr>
              <w:rFonts w:hint="eastAsia" w:ascii="Times New Roman" w:hAnsi="Times New Roman" w:cs="Times New Roman"/>
              <w:lang w:val="en-US" w:eastAsia="zh-CN"/>
            </w:rPr>
            <w:t>打造粤港澳大湾区产业协同发展承载地</w:t>
          </w:r>
          <w:r>
            <w:tab/>
          </w:r>
          <w:r>
            <w:fldChar w:fldCharType="begin"/>
          </w:r>
          <w:r>
            <w:instrText xml:space="preserve"> PAGEREF _Toc8609 \h </w:instrText>
          </w:r>
          <w:r>
            <w:fldChar w:fldCharType="separate"/>
          </w:r>
          <w:r>
            <w:t>32</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_Toc27593 </w:instrText>
          </w:r>
          <w:r>
            <w:rPr>
              <w:szCs w:val="21"/>
            </w:rPr>
            <w:fldChar w:fldCharType="separate"/>
          </w:r>
          <w:r>
            <w:rPr>
              <w:rFonts w:hint="eastAsia"/>
              <w:bCs w:val="0"/>
              <w:lang w:val="en-US" w:eastAsia="zh-CN"/>
            </w:rPr>
            <w:t>17</w:t>
          </w:r>
          <w:r>
            <w:rPr>
              <w:rFonts w:hint="eastAsia"/>
              <w:bCs w:val="0"/>
            </w:rPr>
            <w:t>.强化深汕合作，</w:t>
          </w:r>
          <w:r>
            <w:rPr>
              <w:rFonts w:hint="eastAsia"/>
              <w:bCs w:val="0"/>
              <w:lang w:val="en-US" w:eastAsia="zh-CN"/>
            </w:rPr>
            <w:t>探索“</w:t>
          </w:r>
          <w:r>
            <w:rPr>
              <w:rFonts w:hint="default"/>
              <w:bCs w:val="0"/>
              <w:lang w:val="en-US"/>
            </w:rPr>
            <w:t>飞地经济</w:t>
          </w:r>
          <w:r>
            <w:rPr>
              <w:rFonts w:hint="eastAsia"/>
              <w:bCs w:val="0"/>
              <w:lang w:val="en-US" w:eastAsia="zh-CN"/>
            </w:rPr>
            <w:t>”</w:t>
          </w:r>
          <w:r>
            <w:rPr>
              <w:rFonts w:hint="default"/>
              <w:bCs w:val="0"/>
              <w:lang w:val="en-US"/>
            </w:rPr>
            <w:t>融合发展新路径</w:t>
          </w:r>
          <w:r>
            <w:tab/>
          </w:r>
          <w:r>
            <w:fldChar w:fldCharType="begin"/>
          </w:r>
          <w:r>
            <w:instrText xml:space="preserve"> PAGEREF _Toc27593 \h </w:instrText>
          </w:r>
          <w:r>
            <w:fldChar w:fldCharType="separate"/>
          </w:r>
          <w:r>
            <w:t>33</w:t>
          </w:r>
          <w:r>
            <w:fldChar w:fldCharType="end"/>
          </w:r>
          <w:r>
            <w:rPr>
              <w:color w:val="000000" w:themeColor="text1"/>
              <w:szCs w:val="21"/>
              <w14:textFill>
                <w14:solidFill>
                  <w14:schemeClr w14:val="tx1"/>
                </w14:solidFill>
              </w14:textFill>
            </w:rPr>
            <w:fldChar w:fldCharType="end"/>
          </w:r>
        </w:p>
        <w:p>
          <w:pPr>
            <w:pStyle w:val="12"/>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_Toc27181 </w:instrText>
          </w:r>
          <w:r>
            <w:rPr>
              <w:szCs w:val="21"/>
            </w:rPr>
            <w:fldChar w:fldCharType="separate"/>
          </w:r>
          <w:r>
            <w:rPr>
              <w:rFonts w:hint="eastAsia"/>
              <w:bCs w:val="0"/>
              <w:lang w:val="en-US" w:eastAsia="zh-CN"/>
            </w:rPr>
            <w:t>18.加强与粤东沿海经济带协同联动，共建共赢发展格局</w:t>
          </w:r>
          <w:r>
            <w:tab/>
          </w:r>
          <w:r>
            <w:fldChar w:fldCharType="begin"/>
          </w:r>
          <w:r>
            <w:instrText xml:space="preserve"> PAGEREF _Toc27181 \h </w:instrText>
          </w:r>
          <w:r>
            <w:fldChar w:fldCharType="separate"/>
          </w:r>
          <w:r>
            <w:t>34</w:t>
          </w:r>
          <w:r>
            <w:fldChar w:fldCharType="end"/>
          </w:r>
          <w:r>
            <w:rPr>
              <w:color w:val="000000" w:themeColor="text1"/>
              <w:szCs w:val="21"/>
              <w14:textFill>
                <w14:solidFill>
                  <w14:schemeClr w14:val="tx1"/>
                </w14:solidFill>
              </w14:textFill>
            </w:rPr>
            <w:fldChar w:fldCharType="end"/>
          </w:r>
        </w:p>
        <w:p>
          <w:pPr>
            <w:pStyle w:val="16"/>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_Toc16540 </w:instrText>
          </w:r>
          <w:r>
            <w:rPr>
              <w:szCs w:val="21"/>
            </w:rPr>
            <w:fldChar w:fldCharType="separate"/>
          </w:r>
          <w:r>
            <w:rPr>
              <w:rFonts w:hint="eastAsia"/>
              <w:lang w:val="en-US" w:eastAsia="zh-CN"/>
            </w:rPr>
            <w:t>五</w:t>
          </w:r>
          <w:r>
            <w:rPr>
              <w:rFonts w:hint="eastAsia"/>
            </w:rPr>
            <w:t>、组织实施</w:t>
          </w:r>
          <w:r>
            <w:tab/>
          </w:r>
          <w:r>
            <w:fldChar w:fldCharType="begin"/>
          </w:r>
          <w:r>
            <w:instrText xml:space="preserve"> PAGEREF _Toc16540 \h </w:instrText>
          </w:r>
          <w:r>
            <w:fldChar w:fldCharType="separate"/>
          </w:r>
          <w:r>
            <w:t>35</w:t>
          </w:r>
          <w:r>
            <w:fldChar w:fldCharType="end"/>
          </w:r>
          <w:r>
            <w:rPr>
              <w:color w:val="000000" w:themeColor="text1"/>
              <w:szCs w:val="21"/>
              <w14:textFill>
                <w14:solidFill>
                  <w14:schemeClr w14:val="tx1"/>
                </w14:solidFill>
              </w14:textFill>
            </w:rPr>
            <w:fldChar w:fldCharType="end"/>
          </w:r>
        </w:p>
        <w:p>
          <w:pPr>
            <w:pStyle w:val="16"/>
            <w:tabs>
              <w:tab w:val="right" w:leader="dot" w:pos="8306"/>
            </w:tabs>
          </w:pPr>
          <w:r>
            <w:rPr>
              <w:color w:val="000000" w:themeColor="text1"/>
              <w:szCs w:val="21"/>
              <w14:textFill>
                <w14:solidFill>
                  <w14:schemeClr w14:val="tx1"/>
                </w14:solidFill>
              </w14:textFill>
            </w:rPr>
            <w:fldChar w:fldCharType="begin"/>
          </w:r>
          <w:r>
            <w:rPr>
              <w:szCs w:val="21"/>
            </w:rPr>
            <w:instrText xml:space="preserve"> HYPERLINK \l _Toc20462 </w:instrText>
          </w:r>
          <w:r>
            <w:rPr>
              <w:szCs w:val="21"/>
            </w:rPr>
            <w:fldChar w:fldCharType="separate"/>
          </w:r>
          <w:r>
            <w:rPr>
              <w:rFonts w:hint="eastAsia" w:ascii="黑体" w:hAnsi="黑体" w:eastAsia="黑体" w:cs="黑体"/>
              <w:lang w:val="en-US" w:eastAsia="zh-CN"/>
            </w:rPr>
            <w:t>附件</w:t>
          </w:r>
          <w:r>
            <w:rPr>
              <w:rFonts w:hint="eastAsia" w:ascii="黑体" w:hAnsi="黑体" w:cs="黑体"/>
              <w:lang w:val="en-US" w:eastAsia="zh-CN"/>
            </w:rPr>
            <w:t>：</w:t>
          </w:r>
          <w:r>
            <w:rPr>
              <w:rFonts w:hint="eastAsia" w:ascii="黑体" w:hAnsi="黑体" w:eastAsia="黑体" w:cs="黑体"/>
              <w:lang w:val="en-US" w:eastAsia="zh-CN"/>
            </w:rPr>
            <w:t>汕尾市重点建设项目计划表</w:t>
          </w:r>
          <w:r>
            <w:tab/>
          </w:r>
          <w:r>
            <w:fldChar w:fldCharType="begin"/>
          </w:r>
          <w:r>
            <w:instrText xml:space="preserve"> PAGEREF _Toc20462 \h </w:instrText>
          </w:r>
          <w:r>
            <w:fldChar w:fldCharType="separate"/>
          </w:r>
          <w:r>
            <w:t>36</w:t>
          </w:r>
          <w:r>
            <w:fldChar w:fldCharType="end"/>
          </w:r>
          <w:r>
            <w:rPr>
              <w:color w:val="000000" w:themeColor="text1"/>
              <w:szCs w:val="21"/>
              <w14:textFill>
                <w14:solidFill>
                  <w14:schemeClr w14:val="tx1"/>
                </w14:solidFill>
              </w14:textFill>
            </w:rPr>
            <w:fldChar w:fldCharType="end"/>
          </w:r>
        </w:p>
        <w:p>
          <w:pPr>
            <w:pStyle w:val="16"/>
            <w:tabs>
              <w:tab w:val="right" w:leader="dot" w:pos="8306"/>
            </w:tabs>
            <w:spacing w:line="240" w:lineRule="auto"/>
            <w:ind w:firstLine="640"/>
            <w:rPr>
              <w:color w:val="000000" w:themeColor="text1"/>
              <w14:textFill>
                <w14:solidFill>
                  <w14:schemeClr w14:val="tx1"/>
                </w14:solidFill>
              </w14:textFill>
            </w:rPr>
          </w:pPr>
          <w:r>
            <w:rPr>
              <w:color w:val="000000" w:themeColor="text1"/>
              <w:szCs w:val="21"/>
              <w14:textFill>
                <w14:solidFill>
                  <w14:schemeClr w14:val="tx1"/>
                </w14:solidFill>
              </w14:textFill>
            </w:rPr>
            <w:fldChar w:fldCharType="end"/>
          </w:r>
        </w:p>
      </w:sdtContent>
    </w:sdt>
    <w:p>
      <w:pPr>
        <w:ind w:firstLine="0" w:firstLineChars="0"/>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p>
    <w:bookmarkEnd w:id="10"/>
    <w:bookmarkEnd w:id="11"/>
    <w:bookmarkEnd w:id="12"/>
    <w:bookmarkEnd w:id="13"/>
    <w:p>
      <w:pPr>
        <w:pStyle w:val="3"/>
        <w:ind w:firstLine="643"/>
        <w:rPr>
          <w:color w:val="000000" w:themeColor="text1"/>
          <w14:textFill>
            <w14:solidFill>
              <w14:schemeClr w14:val="tx1"/>
            </w14:solidFill>
          </w14:textFill>
        </w:rPr>
      </w:pPr>
      <w:bookmarkStart w:id="14" w:name="_Toc6103"/>
      <w:bookmarkStart w:id="15" w:name="_Toc4218"/>
      <w:bookmarkStart w:id="16" w:name="_Toc12428"/>
      <w:bookmarkStart w:id="17" w:name="_Toc21178"/>
      <w:bookmarkStart w:id="18" w:name="_Toc2520"/>
      <w:bookmarkStart w:id="19" w:name="_Toc25127"/>
      <w:bookmarkStart w:id="20" w:name="_Toc25646"/>
      <w:bookmarkStart w:id="21" w:name="_Toc20361"/>
      <w:bookmarkStart w:id="22" w:name="_Toc32395"/>
      <w:bookmarkStart w:id="23" w:name="_Toc27982"/>
      <w:bookmarkStart w:id="24" w:name="_Toc27291"/>
      <w:r>
        <w:rPr>
          <w:rFonts w:hint="eastAsia"/>
          <w:color w:val="000000" w:themeColor="text1"/>
          <w:lang w:val="en-US" w:eastAsia="zh-CN"/>
          <w14:textFill>
            <w14:solidFill>
              <w14:schemeClr w14:val="tx1"/>
            </w14:solidFill>
          </w14:textFill>
        </w:rPr>
        <w:t>一</w:t>
      </w:r>
      <w:r>
        <w:rPr>
          <w:rFonts w:hint="eastAsia"/>
          <w:color w:val="000000" w:themeColor="text1"/>
          <w14:textFill>
            <w14:solidFill>
              <w14:schemeClr w14:val="tx1"/>
            </w14:solidFill>
          </w14:textFill>
        </w:rPr>
        <w:t>、总体要求</w:t>
      </w:r>
      <w:bookmarkEnd w:id="14"/>
      <w:bookmarkEnd w:id="15"/>
      <w:bookmarkEnd w:id="16"/>
      <w:bookmarkEnd w:id="17"/>
      <w:bookmarkEnd w:id="18"/>
      <w:bookmarkEnd w:id="19"/>
      <w:bookmarkEnd w:id="20"/>
      <w:bookmarkEnd w:id="21"/>
      <w:bookmarkEnd w:id="22"/>
      <w:bookmarkEnd w:id="23"/>
      <w:bookmarkEnd w:id="24"/>
    </w:p>
    <w:p>
      <w:pPr>
        <w:pStyle w:val="4"/>
        <w:ind w:firstLine="643"/>
        <w:rPr>
          <w:color w:val="000000" w:themeColor="text1"/>
          <w14:textFill>
            <w14:solidFill>
              <w14:schemeClr w14:val="tx1"/>
            </w14:solidFill>
          </w14:textFill>
        </w:rPr>
      </w:pPr>
      <w:bookmarkStart w:id="25" w:name="_Toc29396"/>
      <w:bookmarkStart w:id="26" w:name="_Toc11081"/>
      <w:bookmarkStart w:id="27" w:name="_Toc23879"/>
      <w:bookmarkStart w:id="28" w:name="_Toc4759"/>
      <w:bookmarkStart w:id="29" w:name="_Toc12935"/>
      <w:bookmarkStart w:id="30" w:name="_Toc11313"/>
      <w:bookmarkStart w:id="31" w:name="_Toc30895"/>
      <w:bookmarkStart w:id="32" w:name="_Toc20330"/>
      <w:bookmarkStart w:id="33" w:name="_Toc29636"/>
      <w:bookmarkStart w:id="34" w:name="_Toc12035"/>
      <w:bookmarkStart w:id="35" w:name="_Toc21770"/>
      <w:r>
        <w:rPr>
          <w:rFonts w:hint="eastAsia"/>
          <w:color w:val="000000" w:themeColor="text1"/>
          <w14:textFill>
            <w14:solidFill>
              <w14:schemeClr w14:val="tx1"/>
            </w14:solidFill>
          </w14:textFill>
        </w:rPr>
        <w:t>（一）指导思想</w:t>
      </w:r>
      <w:bookmarkEnd w:id="25"/>
      <w:bookmarkEnd w:id="26"/>
      <w:bookmarkEnd w:id="27"/>
      <w:bookmarkEnd w:id="28"/>
      <w:bookmarkEnd w:id="29"/>
      <w:bookmarkEnd w:id="30"/>
      <w:bookmarkEnd w:id="31"/>
      <w:bookmarkEnd w:id="32"/>
      <w:bookmarkEnd w:id="33"/>
      <w:bookmarkEnd w:id="34"/>
      <w:bookmarkEnd w:id="35"/>
    </w:p>
    <w:p>
      <w:pPr>
        <w:spacing w:line="580" w:lineRule="exact"/>
        <w:ind w:firstLine="640"/>
        <w:rPr>
          <w:rFonts w:hint="eastAsia" w:eastAsia="仿宋_GB2312"/>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以习近平新时代中国特色社会主义思想为指导，全面贯彻党的二十大和二十届</w:t>
      </w:r>
      <w:r>
        <w:rPr>
          <w:rFonts w:hint="eastAsia"/>
          <w:color w:val="000000" w:themeColor="text1"/>
          <w:lang w:val="en-US" w:eastAsia="zh-CN"/>
          <w14:textFill>
            <w14:solidFill>
              <w14:schemeClr w14:val="tx1"/>
            </w14:solidFill>
          </w14:textFill>
        </w:rPr>
        <w:t>历次</w:t>
      </w:r>
      <w:r>
        <w:rPr>
          <w:rFonts w:hint="eastAsia"/>
          <w:color w:val="000000" w:themeColor="text1"/>
          <w14:textFill>
            <w14:solidFill>
              <w14:schemeClr w14:val="tx1"/>
            </w14:solidFill>
          </w14:textFill>
        </w:rPr>
        <w:t>全会</w:t>
      </w:r>
      <w:r>
        <w:rPr>
          <w:rFonts w:hint="eastAsia"/>
          <w:color w:val="000000" w:themeColor="text1"/>
          <w:lang w:val="en-US" w:eastAsia="zh-CN"/>
          <w14:textFill>
            <w14:solidFill>
              <w14:schemeClr w14:val="tx1"/>
            </w14:solidFill>
          </w14:textFill>
        </w:rPr>
        <w:t>精神以及</w:t>
      </w:r>
      <w:r>
        <w:rPr>
          <w:rFonts w:hint="eastAsia"/>
          <w:color w:val="000000" w:themeColor="text1"/>
          <w:kern w:val="0"/>
          <w:szCs w:val="32"/>
          <w14:textFill>
            <w14:solidFill>
              <w14:schemeClr w14:val="tx1"/>
            </w14:solidFill>
          </w14:textFill>
        </w:rPr>
        <w:t>中央经济工作会议</w:t>
      </w:r>
      <w:r>
        <w:rPr>
          <w:rFonts w:hint="eastAsia"/>
          <w:color w:val="000000" w:themeColor="text1"/>
          <w14:textFill>
            <w14:solidFill>
              <w14:schemeClr w14:val="tx1"/>
            </w14:solidFill>
          </w14:textFill>
        </w:rPr>
        <w:t>精神，深入学习贯彻习近平总书记对广东系列重要讲话和重要指示精神，</w:t>
      </w:r>
      <w:r>
        <w:rPr>
          <w:rFonts w:hint="eastAsia"/>
          <w:color w:val="000000" w:themeColor="text1"/>
          <w:kern w:val="0"/>
          <w:szCs w:val="32"/>
          <w:lang w:val="en-US" w:eastAsia="zh-CN"/>
          <w14:textFill>
            <w14:solidFill>
              <w14:schemeClr w14:val="tx1"/>
            </w14:solidFill>
          </w14:textFill>
        </w:rPr>
        <w:t>全面</w:t>
      </w:r>
      <w:r>
        <w:rPr>
          <w:rFonts w:hint="eastAsia"/>
          <w:color w:val="000000" w:themeColor="text1"/>
          <w14:textFill>
            <w14:solidFill>
              <w14:schemeClr w14:val="tx1"/>
            </w14:solidFill>
          </w14:textFill>
        </w:rPr>
        <w:t>落实广东省委“1310”工作部署</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锚定“做实做强西承东联桥头堡、全力打造东海岸重要支点”总任务，紧扣“再造一个新汕尾”总目标，</w:t>
      </w:r>
      <w:r>
        <w:rPr>
          <w:rFonts w:hint="eastAsia"/>
          <w:color w:val="000000" w:themeColor="text1"/>
          <w:lang w:val="en-US" w:eastAsia="zh-CN"/>
          <w14:textFill>
            <w14:solidFill>
              <w14:schemeClr w14:val="tx1"/>
            </w14:solidFill>
          </w14:textFill>
        </w:rPr>
        <w:t>深入实施</w:t>
      </w:r>
      <w:r>
        <w:rPr>
          <w:rFonts w:hint="eastAsia"/>
          <w:color w:val="000000" w:themeColor="text1"/>
          <w14:textFill>
            <w14:solidFill>
              <w14:schemeClr w14:val="tx1"/>
            </w14:solidFill>
          </w14:textFill>
        </w:rPr>
        <w:t>市委“</w:t>
      </w:r>
      <w:r>
        <w:rPr>
          <w:rFonts w:hint="eastAsia"/>
          <w:color w:val="000000" w:themeColor="text1"/>
          <w:lang w:val="en-US" w:eastAsia="zh-CN"/>
          <w14:textFill>
            <w14:solidFill>
              <w14:schemeClr w14:val="tx1"/>
            </w14:solidFill>
          </w14:textFill>
        </w:rPr>
        <w:t>1233”规划部署</w:t>
      </w:r>
      <w:r>
        <w:rPr>
          <w:rFonts w:hint="eastAsia"/>
          <w:color w:val="000000" w:themeColor="text1"/>
          <w14:textFill>
            <w14:solidFill>
              <w14:schemeClr w14:val="tx1"/>
            </w14:solidFill>
          </w14:textFill>
        </w:rPr>
        <w:t>，坚持制造强市不动摇，紧紧围绕高质量发展首要任务，以深化供给侧结构性改革为主线，以改革创新为根本动力，加快构建以先进制造业为骨干的现代化产业体系，</w:t>
      </w:r>
      <w:r>
        <w:rPr>
          <w:rFonts w:hint="eastAsia"/>
          <w:color w:val="000000" w:themeColor="text1"/>
          <w:lang w:val="en-US" w:eastAsia="zh-CN"/>
          <w14:textFill>
            <w14:solidFill>
              <w14:schemeClr w14:val="tx1"/>
            </w14:solidFill>
          </w14:textFill>
        </w:rPr>
        <w:t>巩固提升</w:t>
      </w:r>
      <w:r>
        <w:rPr>
          <w:color w:val="000000" w:themeColor="text1"/>
          <w:szCs w:val="32"/>
          <w14:textFill>
            <w14:solidFill>
              <w14:schemeClr w14:val="tx1"/>
            </w14:solidFill>
          </w14:textFill>
        </w:rPr>
        <w:t>传统产业</w:t>
      </w:r>
      <w:r>
        <w:rPr>
          <w:rFonts w:hint="eastAsia"/>
          <w:color w:val="000000" w:themeColor="text1"/>
          <w:szCs w:val="32"/>
          <w:lang w:eastAsia="zh-CN"/>
          <w14:textFill>
            <w14:solidFill>
              <w14:schemeClr w14:val="tx1"/>
            </w14:solidFill>
          </w14:textFill>
        </w:rPr>
        <w:t>，</w:t>
      </w:r>
      <w:r>
        <w:rPr>
          <w:rFonts w:hint="eastAsia"/>
          <w:color w:val="000000" w:themeColor="text1"/>
          <w:szCs w:val="32"/>
          <w:lang w:val="en-US" w:eastAsia="zh-CN"/>
          <w14:textFill>
            <w14:solidFill>
              <w14:schemeClr w14:val="tx1"/>
            </w14:solidFill>
          </w14:textFill>
        </w:rPr>
        <w:t>培育壮大新兴</w:t>
      </w:r>
      <w:r>
        <w:rPr>
          <w:color w:val="000000" w:themeColor="text1"/>
          <w:szCs w:val="32"/>
          <w14:textFill>
            <w14:solidFill>
              <w14:schemeClr w14:val="tx1"/>
            </w14:solidFill>
          </w14:textFill>
        </w:rPr>
        <w:t>产业</w:t>
      </w:r>
      <w:r>
        <w:rPr>
          <w:rFonts w:hint="eastAsia"/>
          <w:color w:val="000000" w:themeColor="text1"/>
          <w:szCs w:val="32"/>
          <w:lang w:eastAsia="zh-CN"/>
          <w14:textFill>
            <w14:solidFill>
              <w14:schemeClr w14:val="tx1"/>
            </w14:solidFill>
          </w14:textFill>
        </w:rPr>
        <w:t>，</w:t>
      </w:r>
      <w:r>
        <w:rPr>
          <w:rFonts w:hint="eastAsia"/>
          <w:color w:val="000000" w:themeColor="text1"/>
          <w:szCs w:val="32"/>
          <w:lang w:val="en-US" w:eastAsia="zh-CN"/>
          <w14:textFill>
            <w14:solidFill>
              <w14:schemeClr w14:val="tx1"/>
            </w14:solidFill>
          </w14:textFill>
        </w:rPr>
        <w:t>前瞻布局</w:t>
      </w:r>
      <w:r>
        <w:rPr>
          <w:color w:val="000000" w:themeColor="text1"/>
          <w:szCs w:val="32"/>
          <w14:textFill>
            <w14:solidFill>
              <w14:schemeClr w14:val="tx1"/>
            </w14:solidFill>
          </w14:textFill>
        </w:rPr>
        <w:t>未来产业，</w:t>
      </w:r>
      <w:r>
        <w:rPr>
          <w:rFonts w:hint="eastAsia"/>
          <w:color w:val="000000" w:themeColor="text1"/>
          <w:szCs w:val="32"/>
          <w:lang w:val="en-US" w:eastAsia="zh-CN"/>
          <w14:textFill>
            <w14:solidFill>
              <w14:schemeClr w14:val="tx1"/>
            </w14:solidFill>
          </w14:textFill>
        </w:rPr>
        <w:t>奋力</w:t>
      </w:r>
      <w:r>
        <w:rPr>
          <w:rFonts w:hint="eastAsia"/>
          <w:color w:val="000000" w:themeColor="text1"/>
          <w:szCs w:val="32"/>
          <w:lang w:eastAsia="zh-CN"/>
          <w14:textFill>
            <w14:solidFill>
              <w14:schemeClr w14:val="tx1"/>
            </w14:solidFill>
          </w14:textFill>
        </w:rPr>
        <w:t>推动中国式现代化的汕尾实践取得</w:t>
      </w:r>
      <w:r>
        <w:rPr>
          <w:rFonts w:hint="eastAsia"/>
          <w:color w:val="000000" w:themeColor="text1"/>
          <w:szCs w:val="32"/>
          <w:lang w:val="en-US" w:eastAsia="zh-CN"/>
          <w14:textFill>
            <w14:solidFill>
              <w14:schemeClr w14:val="tx1"/>
            </w14:solidFill>
          </w14:textFill>
        </w:rPr>
        <w:t>新的更大突破</w:t>
      </w:r>
      <w:r>
        <w:rPr>
          <w:rFonts w:hint="eastAsia"/>
          <w:color w:val="000000" w:themeColor="text1"/>
          <w:szCs w:val="32"/>
          <w:lang w:eastAsia="zh-CN"/>
          <w14:textFill>
            <w14:solidFill>
              <w14:schemeClr w14:val="tx1"/>
            </w14:solidFill>
          </w14:textFill>
        </w:rPr>
        <w:t>。</w:t>
      </w:r>
    </w:p>
    <w:p>
      <w:pPr>
        <w:pStyle w:val="4"/>
        <w:ind w:firstLine="643"/>
        <w:rPr>
          <w:rFonts w:hint="eastAsia" w:eastAsia="楷体_GB2312"/>
          <w:color w:val="000000" w:themeColor="text1"/>
          <w:lang w:eastAsia="zh-CN"/>
          <w14:textFill>
            <w14:solidFill>
              <w14:schemeClr w14:val="tx1"/>
            </w14:solidFill>
          </w14:textFill>
        </w:rPr>
      </w:pPr>
      <w:bookmarkStart w:id="36" w:name="_Toc23144"/>
      <w:bookmarkStart w:id="37" w:name="_Toc32558"/>
      <w:bookmarkStart w:id="38" w:name="_Toc15211"/>
      <w:bookmarkStart w:id="39" w:name="_Toc29846"/>
      <w:bookmarkStart w:id="40" w:name="_Toc13400"/>
      <w:bookmarkStart w:id="41" w:name="_Toc23029"/>
      <w:bookmarkStart w:id="42" w:name="_Toc16357"/>
      <w:bookmarkStart w:id="43" w:name="_Toc17162"/>
      <w:bookmarkStart w:id="44" w:name="_Toc12731"/>
      <w:bookmarkStart w:id="45" w:name="_Toc32193"/>
      <w:bookmarkStart w:id="46" w:name="_Toc7426"/>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二</w:t>
      </w:r>
      <w:r>
        <w:rPr>
          <w:rFonts w:hint="eastAsia"/>
          <w:color w:val="000000" w:themeColor="text1"/>
          <w14:textFill>
            <w14:solidFill>
              <w14:schemeClr w14:val="tx1"/>
            </w14:solidFill>
          </w14:textFill>
        </w:rPr>
        <w:t>）发展目标</w:t>
      </w:r>
      <w:bookmarkEnd w:id="36"/>
      <w:bookmarkEnd w:id="37"/>
      <w:bookmarkEnd w:id="38"/>
      <w:bookmarkEnd w:id="39"/>
      <w:bookmarkEnd w:id="40"/>
      <w:bookmarkEnd w:id="41"/>
      <w:bookmarkEnd w:id="42"/>
      <w:bookmarkEnd w:id="43"/>
      <w:bookmarkEnd w:id="44"/>
      <w:bookmarkEnd w:id="45"/>
      <w:bookmarkEnd w:id="46"/>
    </w:p>
    <w:p>
      <w:pPr>
        <w:keepNext w:val="0"/>
        <w:keepLines w:val="0"/>
        <w:widowControl/>
        <w:suppressLineNumbers w:val="0"/>
        <w:spacing w:before="0" w:beforeAutospacing="0" w:after="0" w:afterAutospacing="0" w:line="580" w:lineRule="exact"/>
        <w:ind w:left="0" w:right="0" w:firstLine="640"/>
        <w:rPr>
          <w:rFonts w:hint="eastAsia" w:ascii="Times New Roman" w:hAnsi="Times New Roman" w:cs="Times New Roman"/>
          <w:color w:val="000000" w:themeColor="text1"/>
          <w:sz w:val="32"/>
          <w:szCs w:val="24"/>
          <w:lang w:eastAsia="zh-CN"/>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到2030年，汕尾</w:t>
      </w:r>
      <w:r>
        <w:rPr>
          <w:rFonts w:hint="eastAsia" w:ascii="Times New Roman" w:hAnsi="Times New Roman" w:cs="Times New Roman"/>
          <w:color w:val="000000" w:themeColor="text1"/>
          <w:lang w:val="en-US" w:eastAsia="zh-CN"/>
          <w14:textFill>
            <w14:solidFill>
              <w14:schemeClr w14:val="tx1"/>
            </w14:solidFill>
          </w14:textFill>
        </w:rPr>
        <w:t>市建成陆海统筹、</w:t>
      </w:r>
      <w:r>
        <w:rPr>
          <w:rFonts w:hint="eastAsia" w:ascii="Times New Roman" w:hAnsi="Times New Roman" w:eastAsia="仿宋_GB2312" w:cs="Times New Roman"/>
          <w:color w:val="000000" w:themeColor="text1"/>
          <w:sz w:val="32"/>
          <w:szCs w:val="24"/>
          <w14:textFill>
            <w14:solidFill>
              <w14:schemeClr w14:val="tx1"/>
            </w14:solidFill>
          </w14:textFill>
        </w:rPr>
        <w:t>特色鲜明、优势突出的现代化产业体系</w:t>
      </w:r>
      <w:r>
        <w:rPr>
          <w:rFonts w:hint="eastAsia" w:ascii="Times New Roman" w:hAnsi="Times New Roman" w:cs="Times New Roman"/>
          <w:color w:val="000000" w:themeColor="text1"/>
          <w14:textFill>
            <w14:solidFill>
              <w14:schemeClr w14:val="tx1"/>
            </w14:solidFill>
          </w14:textFill>
        </w:rPr>
        <w:t>，规模质量综合实力显著增强，创新驱动内生动能持续充沛，数智赋能产业转型纵深推进，绿色低碳发展成效全面凸显，融湾开放共享格局加快成型，</w:t>
      </w:r>
      <w:r>
        <w:rPr>
          <w:rFonts w:hint="eastAsia" w:ascii="Times New Roman" w:hAnsi="Times New Roman" w:eastAsia="仿宋_GB2312" w:cs="Times New Roman"/>
          <w:color w:val="000000" w:themeColor="text1"/>
          <w:sz w:val="32"/>
          <w:szCs w:val="24"/>
          <w14:textFill>
            <w14:solidFill>
              <w14:schemeClr w14:val="tx1"/>
            </w14:solidFill>
          </w14:textFill>
        </w:rPr>
        <w:t>制造业价值链稳步迈向中高端，制造业当家地位更加稳固</w:t>
      </w:r>
      <w:r>
        <w:rPr>
          <w:rFonts w:hint="eastAsia" w:ascii="Times New Roman" w:hAnsi="Times New Roman" w:eastAsia="仿宋_GB2312" w:cs="Times New Roman"/>
          <w:color w:val="000000" w:themeColor="text1"/>
          <w:sz w:val="32"/>
          <w:szCs w:val="24"/>
          <w:lang w:eastAsia="zh-CN"/>
          <w14:textFill>
            <w14:solidFill>
              <w14:schemeClr w14:val="tx1"/>
            </w14:solidFill>
          </w14:textFill>
        </w:rPr>
        <w:t>，</w:t>
      </w:r>
      <w:r>
        <w:rPr>
          <w:rFonts w:hint="eastAsia" w:ascii="Times New Roman" w:hAnsi="Times New Roman" w:cs="Times New Roman"/>
          <w:color w:val="000000" w:themeColor="text1"/>
          <w:sz w:val="32"/>
          <w:szCs w:val="24"/>
          <w:lang w:val="en-US" w:eastAsia="zh-CN"/>
          <w14:textFill>
            <w14:solidFill>
              <w14:schemeClr w14:val="tx1"/>
            </w14:solidFill>
          </w14:textFill>
        </w:rPr>
        <w:t>推动汕尾市制造业</w:t>
      </w:r>
      <w:r>
        <w:rPr>
          <w:rFonts w:hint="eastAsia" w:ascii="Times New Roman" w:hAnsi="Times New Roman" w:cs="Times New Roman"/>
          <w:color w:val="000000" w:themeColor="text1"/>
          <w:sz w:val="32"/>
          <w:szCs w:val="24"/>
          <w:lang w:eastAsia="zh-CN"/>
          <w14:textFill>
            <w14:solidFill>
              <w14:schemeClr w14:val="tx1"/>
            </w14:solidFill>
          </w14:textFill>
        </w:rPr>
        <w:t>高质量发展实现新跨越，</w:t>
      </w:r>
      <w:r>
        <w:rPr>
          <w:rFonts w:hint="eastAsia" w:ascii="Times New Roman" w:hAnsi="Times New Roman" w:eastAsia="仿宋_GB2312" w:cs="Times New Roman"/>
          <w:color w:val="000000" w:themeColor="text1"/>
          <w:sz w:val="32"/>
          <w:szCs w:val="24"/>
          <w:lang w:val="en-US" w:eastAsia="zh-CN"/>
          <w14:textFill>
            <w14:solidFill>
              <w14:schemeClr w14:val="tx1"/>
            </w14:solidFill>
          </w14:textFill>
        </w:rPr>
        <w:t>为全市基本实现新型工业化奠定坚实产业基础</w:t>
      </w:r>
      <w:r>
        <w:rPr>
          <w:rFonts w:hint="eastAsia" w:ascii="Times New Roman" w:hAnsi="Times New Roman" w:cs="Times New Roman"/>
          <w:color w:val="000000" w:themeColor="text1"/>
          <w:sz w:val="32"/>
          <w:szCs w:val="24"/>
          <w:lang w:eastAsia="zh-CN"/>
          <w14:textFill>
            <w14:solidFill>
              <w14:schemeClr w14:val="tx1"/>
            </w14:solidFill>
          </w14:textFill>
        </w:rPr>
        <w:t>，</w:t>
      </w:r>
    </w:p>
    <w:p>
      <w:pPr>
        <w:keepNext/>
        <w:widowControl/>
        <w:ind w:firstLine="0" w:firstLineChars="0"/>
        <w:jc w:val="center"/>
        <w:rPr>
          <w:rFonts w:hint="eastAsia" w:ascii="黑体" w:hAnsi="黑体" w:eastAsia="黑体" w:cs="黑体"/>
          <w:color w:val="000000" w:themeColor="text1"/>
          <w:sz w:val="28"/>
          <w:szCs w:val="22"/>
          <w:highlight w:val="none"/>
          <w14:textFill>
            <w14:solidFill>
              <w14:schemeClr w14:val="tx1"/>
            </w14:solidFill>
          </w14:textFill>
        </w:rPr>
      </w:pPr>
      <w:r>
        <w:rPr>
          <w:rFonts w:hint="eastAsia" w:ascii="黑体" w:hAnsi="黑体" w:eastAsia="黑体" w:cs="黑体"/>
          <w:color w:val="000000" w:themeColor="text1"/>
          <w:sz w:val="28"/>
          <w:szCs w:val="22"/>
          <w:highlight w:val="none"/>
          <w14:textFill>
            <w14:solidFill>
              <w14:schemeClr w14:val="tx1"/>
            </w14:solidFill>
          </w14:textFill>
        </w:rPr>
        <w:t>表1 汕尾市“十五五”制造业高质量发展指标</w:t>
      </w:r>
    </w:p>
    <w:tbl>
      <w:tblPr>
        <w:tblStyle w:val="22"/>
        <w:tblW w:w="8197" w:type="dxa"/>
        <w:tblInd w:w="0" w:type="dxa"/>
        <w:tblLayout w:type="fixed"/>
        <w:tblCellMar>
          <w:top w:w="0" w:type="dxa"/>
          <w:left w:w="108" w:type="dxa"/>
          <w:bottom w:w="0" w:type="dxa"/>
          <w:right w:w="108" w:type="dxa"/>
        </w:tblCellMar>
      </w:tblPr>
      <w:tblGrid>
        <w:gridCol w:w="840"/>
        <w:gridCol w:w="545"/>
        <w:gridCol w:w="3183"/>
        <w:gridCol w:w="926"/>
        <w:gridCol w:w="983"/>
        <w:gridCol w:w="1720"/>
      </w:tblGrid>
      <w:tr>
        <w:tblPrEx>
          <w:tblCellMar>
            <w:top w:w="0" w:type="dxa"/>
            <w:left w:w="108" w:type="dxa"/>
            <w:bottom w:w="0" w:type="dxa"/>
            <w:right w:w="108" w:type="dxa"/>
          </w:tblCellMar>
        </w:tblPrEx>
        <w:trPr>
          <w:trHeight w:val="675" w:hRule="atLeast"/>
          <w:tblHeader/>
        </w:trPr>
        <w:tc>
          <w:tcPr>
            <w:tcW w:w="840" w:type="dxa"/>
            <w:tcBorders>
              <w:top w:val="single" w:color="000000" w:sz="4" w:space="0"/>
              <w:left w:val="single" w:color="000000" w:sz="4" w:space="0"/>
              <w:bottom w:val="single" w:color="auto" w:sz="4" w:space="0"/>
              <w:right w:val="single" w:color="000000" w:sz="4" w:space="0"/>
            </w:tcBorders>
            <w:vAlign w:val="center"/>
          </w:tcPr>
          <w:p>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黑体" w:cs="Times New Roman"/>
                <w:b w:val="0"/>
                <w:bCs/>
                <w:color w:val="000000" w:themeColor="text1"/>
                <w:sz w:val="24"/>
                <w:szCs w:val="24"/>
                <w:highlight w:val="none"/>
                <w:u w:val="none"/>
                <w14:textFill>
                  <w14:solidFill>
                    <w14:schemeClr w14:val="tx1"/>
                  </w14:solidFill>
                </w14:textFill>
              </w:rPr>
            </w:pPr>
            <w:r>
              <w:rPr>
                <w:rFonts w:hint="default" w:ascii="Times New Roman" w:hAnsi="Times New Roman" w:eastAsia="黑体" w:cs="Times New Roman"/>
                <w:b w:val="0"/>
                <w:bCs/>
                <w:color w:val="000000" w:themeColor="text1"/>
                <w:kern w:val="0"/>
                <w:sz w:val="24"/>
                <w:szCs w:val="24"/>
                <w:highlight w:val="none"/>
                <w:u w:val="none"/>
                <w:lang w:bidi="ar"/>
                <w14:textFill>
                  <w14:solidFill>
                    <w14:schemeClr w14:val="tx1"/>
                  </w14:solidFill>
                </w14:textFill>
              </w:rPr>
              <w:t>目标定位</w:t>
            </w:r>
          </w:p>
        </w:tc>
        <w:tc>
          <w:tcPr>
            <w:tcW w:w="545" w:type="dxa"/>
            <w:tcBorders>
              <w:top w:val="single" w:color="000000" w:sz="4" w:space="0"/>
              <w:left w:val="single" w:color="000000" w:sz="4" w:space="0"/>
              <w:bottom w:val="single" w:color="auto" w:sz="4" w:space="0"/>
              <w:right w:val="single" w:color="000000" w:sz="4" w:space="0"/>
            </w:tcBorders>
            <w:vAlign w:val="center"/>
          </w:tcPr>
          <w:p>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黑体" w:cs="Times New Roman"/>
                <w:b w:val="0"/>
                <w:bCs/>
                <w:color w:val="000000" w:themeColor="text1"/>
                <w:kern w:val="0"/>
                <w:sz w:val="24"/>
                <w:szCs w:val="24"/>
                <w:highlight w:val="none"/>
                <w:u w:val="none"/>
                <w:lang w:bidi="ar"/>
                <w14:textFill>
                  <w14:solidFill>
                    <w14:schemeClr w14:val="tx1"/>
                  </w14:solidFill>
                </w14:textFill>
              </w:rPr>
            </w:pPr>
            <w:r>
              <w:rPr>
                <w:rFonts w:hint="default" w:ascii="Times New Roman" w:hAnsi="Times New Roman" w:eastAsia="黑体" w:cs="Times New Roman"/>
                <w:b w:val="0"/>
                <w:bCs/>
                <w:color w:val="000000" w:themeColor="text1"/>
                <w:kern w:val="0"/>
                <w:sz w:val="24"/>
                <w:szCs w:val="24"/>
                <w:highlight w:val="none"/>
                <w:u w:val="none"/>
                <w:lang w:bidi="ar"/>
                <w14:textFill>
                  <w14:solidFill>
                    <w14:schemeClr w14:val="tx1"/>
                  </w14:solidFill>
                </w14:textFill>
              </w:rPr>
              <w:t>序号</w:t>
            </w:r>
          </w:p>
        </w:tc>
        <w:tc>
          <w:tcPr>
            <w:tcW w:w="3183" w:type="dxa"/>
            <w:tcBorders>
              <w:top w:val="single" w:color="000000" w:sz="4" w:space="0"/>
              <w:left w:val="single" w:color="000000" w:sz="4" w:space="0"/>
              <w:bottom w:val="single" w:color="auto" w:sz="4" w:space="0"/>
              <w:right w:val="single" w:color="000000" w:sz="4" w:space="0"/>
            </w:tcBorders>
            <w:vAlign w:val="center"/>
          </w:tcPr>
          <w:p>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黑体" w:cs="Times New Roman"/>
                <w:b w:val="0"/>
                <w:bCs/>
                <w:color w:val="000000" w:themeColor="text1"/>
                <w:sz w:val="24"/>
                <w:szCs w:val="24"/>
                <w:highlight w:val="none"/>
                <w:u w:val="none"/>
                <w14:textFill>
                  <w14:solidFill>
                    <w14:schemeClr w14:val="tx1"/>
                  </w14:solidFill>
                </w14:textFill>
              </w:rPr>
            </w:pPr>
            <w:r>
              <w:rPr>
                <w:rFonts w:hint="default" w:ascii="Times New Roman" w:hAnsi="Times New Roman" w:eastAsia="黑体" w:cs="Times New Roman"/>
                <w:b w:val="0"/>
                <w:bCs/>
                <w:color w:val="000000" w:themeColor="text1"/>
                <w:kern w:val="0"/>
                <w:sz w:val="24"/>
                <w:szCs w:val="24"/>
                <w:highlight w:val="none"/>
                <w:u w:val="none"/>
                <w:lang w:bidi="ar"/>
                <w14:textFill>
                  <w14:solidFill>
                    <w14:schemeClr w14:val="tx1"/>
                  </w14:solidFill>
                </w14:textFill>
              </w:rPr>
              <w:t>指标</w:t>
            </w:r>
          </w:p>
        </w:tc>
        <w:tc>
          <w:tcPr>
            <w:tcW w:w="926" w:type="dxa"/>
            <w:tcBorders>
              <w:top w:val="single" w:color="000000" w:sz="4" w:space="0"/>
              <w:left w:val="single" w:color="000000" w:sz="4" w:space="0"/>
              <w:bottom w:val="single" w:color="auto" w:sz="4" w:space="0"/>
              <w:right w:val="single" w:color="000000" w:sz="4" w:space="0"/>
            </w:tcBorders>
            <w:vAlign w:val="center"/>
          </w:tcPr>
          <w:p>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黑体" w:cs="Times New Roman"/>
                <w:b w:val="0"/>
                <w:bCs/>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黑体" w:cs="Times New Roman"/>
                <w:b w:val="0"/>
                <w:bCs/>
                <w:color w:val="000000" w:themeColor="text1"/>
                <w:kern w:val="0"/>
                <w:sz w:val="24"/>
                <w:szCs w:val="24"/>
                <w:highlight w:val="none"/>
                <w:u w:val="none"/>
                <w:lang w:val="en-US" w:eastAsia="zh-CN" w:bidi="ar"/>
                <w14:textFill>
                  <w14:solidFill>
                    <w14:schemeClr w14:val="tx1"/>
                  </w14:solidFill>
                </w14:textFill>
              </w:rPr>
              <w:t>2025年</w:t>
            </w:r>
          </w:p>
        </w:tc>
        <w:tc>
          <w:tcPr>
            <w:tcW w:w="983" w:type="dxa"/>
            <w:tcBorders>
              <w:top w:val="single" w:color="000000" w:sz="4" w:space="0"/>
              <w:left w:val="single" w:color="000000" w:sz="4" w:space="0"/>
              <w:bottom w:val="single" w:color="auto" w:sz="4" w:space="0"/>
              <w:right w:val="single" w:color="000000" w:sz="4" w:space="0"/>
            </w:tcBorders>
            <w:vAlign w:val="center"/>
          </w:tcPr>
          <w:p>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黑体" w:cs="Times New Roman"/>
                <w:b w:val="0"/>
                <w:bCs/>
                <w:color w:val="000000" w:themeColor="text1"/>
                <w:kern w:val="0"/>
                <w:sz w:val="24"/>
                <w:szCs w:val="24"/>
                <w:highlight w:val="none"/>
                <w:u w:val="none"/>
                <w:lang w:bidi="ar"/>
                <w14:textFill>
                  <w14:solidFill>
                    <w14:schemeClr w14:val="tx1"/>
                  </w14:solidFill>
                </w14:textFill>
              </w:rPr>
            </w:pPr>
            <w:r>
              <w:rPr>
                <w:rFonts w:hint="default" w:ascii="Times New Roman" w:hAnsi="Times New Roman" w:eastAsia="黑体" w:cs="Times New Roman"/>
                <w:b w:val="0"/>
                <w:bCs/>
                <w:color w:val="000000" w:themeColor="text1"/>
                <w:kern w:val="0"/>
                <w:sz w:val="24"/>
                <w:szCs w:val="24"/>
                <w:highlight w:val="none"/>
                <w:u w:val="none"/>
                <w:lang w:bidi="ar"/>
                <w14:textFill>
                  <w14:solidFill>
                    <w14:schemeClr w14:val="tx1"/>
                  </w14:solidFill>
                </w14:textFill>
              </w:rPr>
              <w:t>2030年目标</w:t>
            </w:r>
          </w:p>
        </w:tc>
        <w:tc>
          <w:tcPr>
            <w:tcW w:w="1720" w:type="dxa"/>
            <w:tcBorders>
              <w:top w:val="single" w:color="000000" w:sz="4" w:space="0"/>
              <w:left w:val="single" w:color="000000" w:sz="4" w:space="0"/>
              <w:bottom w:val="single" w:color="auto" w:sz="4" w:space="0"/>
              <w:right w:val="single" w:color="000000" w:sz="4" w:space="0"/>
            </w:tcBorders>
            <w:vAlign w:val="center"/>
          </w:tcPr>
          <w:p>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黑体" w:cs="Times New Roman"/>
                <w:b w:val="0"/>
                <w:bCs/>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黑体" w:cs="Times New Roman"/>
                <w:b w:val="0"/>
                <w:bCs/>
                <w:color w:val="000000" w:themeColor="text1"/>
                <w:kern w:val="0"/>
                <w:sz w:val="24"/>
                <w:szCs w:val="24"/>
                <w:highlight w:val="none"/>
                <w:u w:val="none"/>
                <w:lang w:val="en-US" w:eastAsia="zh-CN" w:bidi="ar"/>
                <w14:textFill>
                  <w14:solidFill>
                    <w14:schemeClr w14:val="tx1"/>
                  </w14:solidFill>
                </w14:textFill>
              </w:rPr>
              <w:t>责任部门</w:t>
            </w:r>
          </w:p>
        </w:tc>
      </w:tr>
      <w:tr>
        <w:tblPrEx>
          <w:tblCellMar>
            <w:top w:w="0" w:type="dxa"/>
            <w:left w:w="108" w:type="dxa"/>
            <w:bottom w:w="0" w:type="dxa"/>
            <w:right w:w="108" w:type="dxa"/>
          </w:tblCellMar>
        </w:tblPrEx>
        <w:trPr>
          <w:trHeight w:val="675" w:hRule="atLeast"/>
        </w:trPr>
        <w:tc>
          <w:tcPr>
            <w:tcW w:w="84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sz w:val="24"/>
                <w:szCs w:val="24"/>
                <w:highlight w:val="none"/>
                <w:u w:val="none"/>
                <w14:textFill>
                  <w14:solidFill>
                    <w14:schemeClr w14:val="tx1"/>
                  </w14:solidFill>
                </w14:textFill>
              </w:rPr>
            </w:pPr>
            <w:r>
              <w:rPr>
                <w:rFonts w:hint="default" w:ascii="Times New Roman" w:hAnsi="Times New Roman" w:eastAsia="黑体" w:cs="Times New Roman"/>
                <w:b w:val="0"/>
                <w:bCs w:val="0"/>
                <w:color w:val="000000" w:themeColor="text1"/>
                <w:sz w:val="24"/>
                <w:szCs w:val="24"/>
                <w:highlight w:val="none"/>
                <w:u w:val="none"/>
                <w14:textFill>
                  <w14:solidFill>
                    <w14:schemeClr w14:val="tx1"/>
                  </w14:solidFill>
                </w14:textFill>
              </w:rPr>
              <w:t>规模质量</w:t>
            </w:r>
          </w:p>
        </w:tc>
        <w:tc>
          <w:tcPr>
            <w:tcW w:w="54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1</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制造业增加值占GDP比重（%）</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15.6</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20</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市工业和信息化局</w:t>
            </w:r>
          </w:p>
        </w:tc>
      </w:tr>
      <w:tr>
        <w:tblPrEx>
          <w:tblCellMar>
            <w:top w:w="0" w:type="dxa"/>
            <w:left w:w="108" w:type="dxa"/>
            <w:bottom w:w="0" w:type="dxa"/>
            <w:right w:w="108" w:type="dxa"/>
          </w:tblCellMar>
        </w:tblPrEx>
        <w:trPr>
          <w:trHeight w:val="675"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2</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主导产业集群</w:t>
            </w:r>
            <w:r>
              <w:rPr>
                <w:rFonts w:hint="eastAsia" w:ascii="Times New Roman" w:hAnsi="Times New Roman" w:eastAsia="宋体" w:cs="Times New Roman"/>
                <w:b w:val="0"/>
                <w:bCs w:val="0"/>
                <w:color w:val="000000" w:themeColor="text1"/>
                <w:kern w:val="0"/>
                <w:sz w:val="24"/>
                <w:szCs w:val="24"/>
                <w:highlight w:val="none"/>
                <w:u w:val="none"/>
                <w:lang w:eastAsia="zh-CN" w:bidi="ar"/>
                <w14:textFill>
                  <w14:solidFill>
                    <w14:schemeClr w14:val="tx1"/>
                  </w14:solidFill>
                </w14:textFill>
                <w14:ligatures w14:val="none"/>
              </w:rPr>
              <w:t>规上</w:t>
            </w: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产值规模（亿元）</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667</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1500</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市工业和信息化局</w:t>
            </w:r>
          </w:p>
        </w:tc>
      </w:tr>
      <w:tr>
        <w:tblPrEx>
          <w:tblCellMar>
            <w:top w:w="0" w:type="dxa"/>
            <w:left w:w="108" w:type="dxa"/>
            <w:bottom w:w="0" w:type="dxa"/>
            <w:right w:w="108" w:type="dxa"/>
          </w:tblCellMar>
        </w:tblPrEx>
        <w:trPr>
          <w:trHeight w:val="675"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standardContextual"/>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3</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规模以上工业全员劳动生产率（万元/人）</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33.25</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38.5</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市工业和信息化局</w:t>
            </w:r>
          </w:p>
        </w:tc>
      </w:tr>
      <w:tr>
        <w:tblPrEx>
          <w:tblCellMar>
            <w:top w:w="0" w:type="dxa"/>
            <w:left w:w="108" w:type="dxa"/>
            <w:bottom w:w="0" w:type="dxa"/>
            <w:right w:w="108" w:type="dxa"/>
          </w:tblCellMar>
        </w:tblPrEx>
        <w:trPr>
          <w:trHeight w:val="1008"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pPr>
            <w:r>
              <w:rPr>
                <w:rFonts w:hint="eastAsia" w:eastAsia="宋体" w:cs="Times New Roman"/>
                <w:b w:val="0"/>
                <w:bCs w:val="0"/>
                <w:color w:val="000000" w:themeColor="text1"/>
                <w:kern w:val="0"/>
                <w:sz w:val="24"/>
                <w:szCs w:val="24"/>
                <w:highlight w:val="none"/>
                <w:u w:val="none"/>
                <w:lang w:val="en-US" w:eastAsia="zh-CN" w:bidi="ar"/>
                <w14:textFill>
                  <w14:solidFill>
                    <w14:schemeClr w14:val="tx1"/>
                  </w14:solidFill>
                </w14:textFill>
              </w:rPr>
              <w:t>4</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高技术制造业、先进制造业增加值占规模以上工业增加值比重（%）</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32.3、39</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45、50</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市</w:t>
            </w: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统计局</w:t>
            </w:r>
          </w:p>
        </w:tc>
      </w:tr>
      <w:tr>
        <w:tblPrEx>
          <w:tblCellMar>
            <w:top w:w="0" w:type="dxa"/>
            <w:left w:w="108" w:type="dxa"/>
            <w:bottom w:w="0" w:type="dxa"/>
            <w:right w:w="108" w:type="dxa"/>
          </w:tblCellMar>
        </w:tblPrEx>
        <w:trPr>
          <w:trHeight w:val="837" w:hRule="atLeast"/>
        </w:trPr>
        <w:tc>
          <w:tcPr>
            <w:tcW w:w="84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sz w:val="24"/>
                <w:szCs w:val="24"/>
                <w:highlight w:val="none"/>
                <w:u w:val="none"/>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t>创新驱动</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tabs>
                <w:tab w:val="center" w:pos="344"/>
                <w:tab w:val="left" w:pos="548"/>
              </w:tabs>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5</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规模以上</w:t>
            </w: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工业</w:t>
            </w: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企业研发经费支出占营业收入比重（%）</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X</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2.20</w:t>
            </w:r>
            <w:r>
              <w:rPr>
                <w:rFonts w:hint="default" w:ascii="Times New Roman" w:hAnsi="Times New Roman" w:eastAsia="宋体" w:cs="Times New Roman"/>
                <w:i w:val="0"/>
                <w:color w:val="000000" w:themeColor="text1"/>
                <w:kern w:val="0"/>
                <w:sz w:val="24"/>
                <w:szCs w:val="24"/>
                <w:u w:val="none"/>
                <w:vertAlign w:val="superscript"/>
                <w:lang w:val="en-US" w:eastAsia="zh-CN" w:bidi="ar"/>
                <w14:textFill>
                  <w14:solidFill>
                    <w14:schemeClr w14:val="tx1"/>
                  </w14:solidFill>
                </w14:textFill>
              </w:rPr>
              <w:t>[1]</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请市科技局提供</w:t>
            </w:r>
          </w:p>
        </w:tc>
      </w:tr>
      <w:tr>
        <w:tblPrEx>
          <w:tblCellMar>
            <w:top w:w="0" w:type="dxa"/>
            <w:left w:w="108" w:type="dxa"/>
            <w:bottom w:w="0" w:type="dxa"/>
            <w:right w:w="108" w:type="dxa"/>
          </w:tblCellMar>
        </w:tblPrEx>
        <w:trPr>
          <w:trHeight w:val="675"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6</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规模以上</w:t>
            </w: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工业</w:t>
            </w: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企业</w:t>
            </w:r>
            <w:r>
              <w:rPr>
                <w:rFonts w:hint="eastAsia" w:ascii="Times New Roman" w:hAnsi="Times New Roman" w:eastAsia="宋体" w:cs="Times New Roman"/>
                <w:color w:val="000000" w:themeColor="text1"/>
                <w:kern w:val="0"/>
                <w:sz w:val="24"/>
                <w:szCs w:val="24"/>
                <w:highlight w:val="none"/>
                <w:u w:val="none"/>
                <w:lang w:bidi="ar"/>
                <w14:textFill>
                  <w14:solidFill>
                    <w14:schemeClr w14:val="tx1"/>
                  </w14:solidFill>
                </w14:textFill>
              </w:rPr>
              <w:t>有效发明专利数量</w:t>
            </w:r>
            <w:r>
              <w:rPr>
                <w:rFonts w:hint="eastAsia" w:ascii="Times New Roman" w:hAnsi="Times New Roman" w:eastAsia="宋体" w:cs="Times New Roman"/>
                <w:color w:val="000000" w:themeColor="text1"/>
                <w:kern w:val="0"/>
                <w:sz w:val="24"/>
                <w:szCs w:val="24"/>
                <w:highlight w:val="none"/>
                <w:u w:val="none"/>
                <w:lang w:eastAsia="zh-CN" w:bidi="ar"/>
                <w14:textFill>
                  <w14:solidFill>
                    <w14:schemeClr w14:val="tx1"/>
                  </w14:solidFill>
                </w14:textFill>
              </w:rPr>
              <w:t>（万件）</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X</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eastAsia="宋体" w:cs="Times New Roman"/>
                <w:b w:val="0"/>
                <w:bCs w:val="0"/>
                <w:color w:val="000000" w:themeColor="text1"/>
                <w:kern w:val="0"/>
                <w:sz w:val="24"/>
                <w:szCs w:val="24"/>
                <w:highlight w:val="none"/>
                <w:u w:val="none"/>
                <w:lang w:val="en-US" w:eastAsia="zh-CN" w:bidi="ar"/>
                <w14:textFill>
                  <w14:solidFill>
                    <w14:schemeClr w14:val="tx1"/>
                  </w14:solidFill>
                </w14:textFill>
              </w:rPr>
              <w:t>50</w:t>
            </w:r>
            <w:r>
              <w:rPr>
                <w:rFonts w:hint="default" w:ascii="Times New Roman" w:hAnsi="Times New Roman" w:eastAsia="宋体" w:cs="Times New Roman"/>
                <w:i w:val="0"/>
                <w:color w:val="000000" w:themeColor="text1"/>
                <w:kern w:val="0"/>
                <w:sz w:val="24"/>
                <w:szCs w:val="24"/>
                <w:u w:val="none"/>
                <w:vertAlign w:val="superscript"/>
                <w:lang w:val="en-US" w:eastAsia="zh-CN" w:bidi="ar"/>
                <w14:textFill>
                  <w14:solidFill>
                    <w14:schemeClr w14:val="tx1"/>
                  </w14:solidFill>
                </w14:textFill>
              </w:rPr>
              <w:t>[2]</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i w:val="0"/>
                <w:color w:val="000000" w:themeColor="text1"/>
                <w:kern w:val="0"/>
                <w:sz w:val="24"/>
                <w:szCs w:val="24"/>
                <w:highlight w:val="none"/>
                <w:u w:val="none"/>
                <w:lang w:val="en-US" w:eastAsia="zh-CN" w:bidi="ar"/>
                <w14:textFill>
                  <w14:solidFill>
                    <w14:schemeClr w14:val="tx1"/>
                  </w14:solidFill>
                </w14:textFill>
              </w:rPr>
              <w:t>请市市场监管局提供</w:t>
            </w:r>
          </w:p>
        </w:tc>
      </w:tr>
      <w:tr>
        <w:tblPrEx>
          <w:tblCellMar>
            <w:top w:w="0" w:type="dxa"/>
            <w:left w:w="108" w:type="dxa"/>
            <w:bottom w:w="0" w:type="dxa"/>
            <w:right w:w="108" w:type="dxa"/>
          </w:tblCellMar>
        </w:tblPrEx>
        <w:trPr>
          <w:trHeight w:val="675"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7</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仿宋_GB2312" w:cs="Times New Roman"/>
                <w:b w:val="0"/>
                <w:bCs w:val="0"/>
                <w:color w:val="000000" w:themeColor="text1"/>
                <w:kern w:val="0"/>
                <w:sz w:val="22"/>
                <w:szCs w:val="22"/>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aps w:val="0"/>
                <w:color w:val="000000" w:themeColor="text1"/>
                <w:spacing w:val="0"/>
                <w:kern w:val="0"/>
                <w:sz w:val="24"/>
                <w:szCs w:val="24"/>
                <w:highlight w:val="none"/>
                <w:u w:val="none"/>
                <w:shd w:val="clear"/>
                <w:lang w:bidi="ar"/>
                <w14:textFill>
                  <w14:solidFill>
                    <w14:schemeClr w14:val="tx1"/>
                  </w14:solidFill>
                </w14:textFill>
              </w:rPr>
              <w:t>市级企业研发中心</w:t>
            </w:r>
            <w:r>
              <w:rPr>
                <w:rFonts w:hint="eastAsia" w:ascii="Times New Roman" w:hAnsi="Times New Roman" w:eastAsia="宋体" w:cs="Times New Roman"/>
                <w:i w:val="0"/>
                <w:iCs w:val="0"/>
                <w:caps w:val="0"/>
                <w:color w:val="000000" w:themeColor="text1"/>
                <w:spacing w:val="0"/>
                <w:kern w:val="0"/>
                <w:sz w:val="24"/>
                <w:szCs w:val="24"/>
                <w:highlight w:val="none"/>
                <w:u w:val="none"/>
                <w:shd w:val="clear"/>
                <w:lang w:eastAsia="zh-CN" w:bidi="ar"/>
                <w14:textFill>
                  <w14:solidFill>
                    <w14:schemeClr w14:val="tx1"/>
                  </w14:solidFill>
                </w14:textFill>
              </w:rPr>
              <w:t>（</w:t>
            </w:r>
            <w:r>
              <w:rPr>
                <w:rFonts w:hint="eastAsia" w:ascii="Times New Roman" w:hAnsi="Times New Roman" w:eastAsia="宋体" w:cs="Times New Roman"/>
                <w:i w:val="0"/>
                <w:iCs w:val="0"/>
                <w:caps w:val="0"/>
                <w:color w:val="000000" w:themeColor="text1"/>
                <w:spacing w:val="0"/>
                <w:kern w:val="0"/>
                <w:sz w:val="24"/>
                <w:szCs w:val="24"/>
                <w:highlight w:val="none"/>
                <w:u w:val="none"/>
                <w:shd w:val="clear"/>
                <w:lang w:val="en-US" w:eastAsia="zh-CN" w:bidi="ar"/>
                <w14:textFill>
                  <w14:solidFill>
                    <w14:schemeClr w14:val="tx1"/>
                  </w14:solidFill>
                </w14:textFill>
              </w:rPr>
              <w:t>家）</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val="0"/>
                <w:bCs w:val="0"/>
                <w:color w:val="000000" w:themeColor="text1"/>
                <w:kern w:val="2"/>
                <w:sz w:val="22"/>
                <w:szCs w:val="20"/>
                <w:highlight w:val="none"/>
                <w:u w:val="none"/>
                <w:lang w:val="en-US" w:eastAsia="zh-CN" w:bidi="ar-SA"/>
                <w14:textFill>
                  <w14:solidFill>
                    <w14:schemeClr w14:val="tx1"/>
                  </w14:solidFill>
                </w14:textFill>
              </w:rPr>
            </w:pPr>
            <w:r>
              <w:rPr>
                <w:rFonts w:hint="eastAsia" w:cs="Times New Roman"/>
                <w:b w:val="0"/>
                <w:bCs w:val="0"/>
                <w:color w:val="000000" w:themeColor="text1"/>
                <w:sz w:val="22"/>
                <w:szCs w:val="20"/>
                <w:highlight w:val="none"/>
                <w:u w:val="none"/>
                <w:lang w:val="en-US" w:eastAsia="zh-CN"/>
                <w14:textFill>
                  <w14:solidFill>
                    <w14:schemeClr w14:val="tx1"/>
                  </w14:solidFill>
                </w14:textFill>
              </w:rPr>
              <w:t>20</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仿宋_GB2312" w:cs="Times New Roman"/>
                <w:b w:val="0"/>
                <w:bCs w:val="0"/>
                <w:color w:val="000000" w:themeColor="text1"/>
                <w:kern w:val="0"/>
                <w:sz w:val="22"/>
                <w:szCs w:val="20"/>
                <w:highlight w:val="none"/>
                <w:u w:val="none"/>
                <w:lang w:val="en-US" w:eastAsia="zh-CN" w:bidi="ar"/>
                <w14:textFill>
                  <w14:solidFill>
                    <w14:schemeClr w14:val="tx1"/>
                  </w14:solidFill>
                </w14:textFill>
              </w:rPr>
            </w:pPr>
            <w:r>
              <w:rPr>
                <w:rFonts w:hint="eastAsia" w:ascii="Times New Roman" w:hAnsi="Times New Roman" w:eastAsia="宋体" w:cs="Times New Roman"/>
                <w:i w:val="0"/>
                <w:color w:val="000000" w:themeColor="text1"/>
                <w:kern w:val="0"/>
                <w:sz w:val="24"/>
                <w:szCs w:val="24"/>
                <w:highlight w:val="none"/>
                <w:u w:val="none"/>
                <w:lang w:val="en-US" w:eastAsia="zh-CN" w:bidi="ar"/>
                <w14:textFill>
                  <w14:solidFill>
                    <w14:schemeClr w14:val="tx1"/>
                  </w14:solidFill>
                </w14:textFill>
              </w:rPr>
              <w:t>[X]</w:t>
            </w:r>
            <w:bookmarkStart w:id="369" w:name="_GoBack"/>
            <w:bookmarkEnd w:id="369"/>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仿宋_GB2312" w:cs="Times New Roman"/>
                <w:b w:val="0"/>
                <w:bCs w:val="0"/>
                <w:color w:val="000000" w:themeColor="text1"/>
                <w:kern w:val="0"/>
                <w:sz w:val="22"/>
                <w:szCs w:val="20"/>
                <w:highlight w:val="none"/>
                <w:u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市科技局、市工业和信息化局</w:t>
            </w:r>
          </w:p>
        </w:tc>
      </w:tr>
      <w:tr>
        <w:tblPrEx>
          <w:tblCellMar>
            <w:top w:w="0" w:type="dxa"/>
            <w:left w:w="108" w:type="dxa"/>
            <w:bottom w:w="0" w:type="dxa"/>
            <w:right w:w="108" w:type="dxa"/>
          </w:tblCellMar>
        </w:tblPrEx>
        <w:trPr>
          <w:trHeight w:val="675" w:hRule="atLeast"/>
        </w:trPr>
        <w:tc>
          <w:tcPr>
            <w:tcW w:w="84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highlight w:val="none"/>
                <w:u w:val="none"/>
                <w:lang w:eastAsia="zh-CN" w:bidi="ar"/>
                <w14:textFill>
                  <w14:solidFill>
                    <w14:schemeClr w14:val="tx1"/>
                  </w14:solidFill>
                </w14:textFill>
              </w:rPr>
              <w:t>数智赋能</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8</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实施数字化转型的规上工业企业数量（家）</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179</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260</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市工业和信息化局</w:t>
            </w:r>
          </w:p>
        </w:tc>
      </w:tr>
      <w:tr>
        <w:tblPrEx>
          <w:tblCellMar>
            <w:top w:w="0" w:type="dxa"/>
            <w:left w:w="108" w:type="dxa"/>
            <w:bottom w:w="0" w:type="dxa"/>
            <w:right w:w="108" w:type="dxa"/>
          </w:tblCellMar>
        </w:tblPrEx>
        <w:trPr>
          <w:trHeight w:val="883"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9</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数字经济核心产业增加值占GDP比重</w:t>
            </w:r>
            <w:r>
              <w:rPr>
                <w:rFonts w:hint="eastAsia" w:ascii="Times New Roman" w:hAnsi="Times New Roman" w:eastAsia="宋体" w:cs="Times New Roman"/>
                <w:b w:val="0"/>
                <w:bCs w:val="0"/>
                <w:color w:val="000000" w:themeColor="text1"/>
                <w:kern w:val="0"/>
                <w:sz w:val="24"/>
                <w:szCs w:val="24"/>
                <w:highlight w:val="none"/>
                <w:u w:val="none"/>
                <w:lang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w:t>
            </w:r>
            <w:r>
              <w:rPr>
                <w:rFonts w:hint="eastAsia" w:ascii="Times New Roman" w:hAnsi="Times New Roman" w:eastAsia="宋体" w:cs="Times New Roman"/>
                <w:b w:val="0"/>
                <w:bCs w:val="0"/>
                <w:color w:val="000000" w:themeColor="text1"/>
                <w:kern w:val="0"/>
                <w:sz w:val="24"/>
                <w:szCs w:val="24"/>
                <w:highlight w:val="none"/>
                <w:u w:val="none"/>
                <w:lang w:eastAsia="zh-CN" w:bidi="ar"/>
                <w14:textFill>
                  <w14:solidFill>
                    <w14:schemeClr w14:val="tx1"/>
                  </w14:solidFill>
                </w14:textFill>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9</w:t>
            </w:r>
            <w:r>
              <w:rPr>
                <w:rFonts w:hint="default" w:ascii="Times New Roman" w:hAnsi="Times New Roman" w:eastAsia="宋体" w:cs="Times New Roman"/>
                <w:b w:val="0"/>
                <w:bCs w:val="0"/>
                <w:color w:val="000000" w:themeColor="text1"/>
                <w:sz w:val="24"/>
                <w:szCs w:val="32"/>
                <w:lang w:val="en-US" w:eastAsia="zh-CN"/>
                <w14:textFill>
                  <w14:solidFill>
                    <w14:schemeClr w14:val="tx1"/>
                  </w14:solidFill>
                </w14:textFill>
              </w:rPr>
              <w:t>*</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10</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请</w:t>
            </w:r>
            <w:r>
              <w:rPr>
                <w:rFonts w:ascii="宋体" w:hAnsi="宋体" w:eastAsia="宋体" w:cs="宋体"/>
                <w:color w:val="000000" w:themeColor="text1"/>
                <w:sz w:val="24"/>
                <w:szCs w:val="24"/>
                <w14:textFill>
                  <w14:solidFill>
                    <w14:schemeClr w14:val="tx1"/>
                  </w14:solidFill>
                </w14:textFill>
              </w:rPr>
              <w:t>市工业和信息化局</w:t>
            </w:r>
            <w:r>
              <w:rPr>
                <w:rFonts w:hint="eastAsia" w:ascii="宋体" w:hAnsi="宋体" w:eastAsia="宋体" w:cs="宋体"/>
                <w:color w:val="000000" w:themeColor="text1"/>
                <w:sz w:val="24"/>
                <w:szCs w:val="24"/>
                <w:lang w:val="en-US" w:eastAsia="zh-CN"/>
                <w14:textFill>
                  <w14:solidFill>
                    <w14:schemeClr w14:val="tx1"/>
                  </w14:solidFill>
                </w14:textFill>
              </w:rPr>
              <w:t>提供</w:t>
            </w:r>
          </w:p>
        </w:tc>
      </w:tr>
      <w:tr>
        <w:tblPrEx>
          <w:tblCellMar>
            <w:top w:w="0" w:type="dxa"/>
            <w:left w:w="108" w:type="dxa"/>
            <w:bottom w:w="0" w:type="dxa"/>
            <w:right w:w="108" w:type="dxa"/>
          </w:tblCellMar>
        </w:tblPrEx>
        <w:trPr>
          <w:trHeight w:val="675" w:hRule="atLeast"/>
        </w:trPr>
        <w:tc>
          <w:tcPr>
            <w:tcW w:w="84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t>绿</w:t>
            </w:r>
            <w:r>
              <w:rPr>
                <w:rFonts w:hint="default" w:ascii="Times New Roman" w:hAnsi="Times New Roman" w:eastAsia="黑体" w:cs="Times New Roman"/>
                <w:b w:val="0"/>
                <w:bCs w:val="0"/>
                <w:color w:val="000000" w:themeColor="text1"/>
                <w:kern w:val="0"/>
                <w:sz w:val="24"/>
                <w:szCs w:val="24"/>
                <w:highlight w:val="none"/>
                <w:u w:val="none"/>
                <w:lang w:val="en-US" w:eastAsia="zh-CN" w:bidi="ar"/>
                <w14:textFill>
                  <w14:solidFill>
                    <w14:schemeClr w14:val="tx1"/>
                  </w14:solidFill>
                </w14:textFill>
              </w:rPr>
              <w:t>色发展</w:t>
            </w:r>
          </w:p>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eastAsia="zh-CN"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1</w:t>
            </w: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0</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规模以上工业</w:t>
            </w:r>
            <w:r>
              <w:rPr>
                <w:rFonts w:hint="default" w:ascii="Times New Roman" w:hAnsi="Times New Roman" w:eastAsia="宋体" w:cs="Times New Roman"/>
                <w:b w:val="0"/>
                <w:bCs w:val="0"/>
                <w:color w:val="000000" w:themeColor="text1"/>
                <w:kern w:val="0"/>
                <w:sz w:val="24"/>
                <w:szCs w:val="24"/>
                <w:highlight w:val="none"/>
                <w:u w:val="none"/>
                <w:lang w:eastAsia="zh-CN" w:bidi="ar"/>
                <w14:textFill>
                  <w14:solidFill>
                    <w14:schemeClr w14:val="tx1"/>
                  </w14:solidFill>
                </w14:textFill>
              </w:rPr>
              <w:t>单位</w:t>
            </w: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增加值能耗降低率（%）</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X</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i w:val="0"/>
                <w:color w:val="000000" w:themeColor="text1"/>
                <w:kern w:val="0"/>
                <w:sz w:val="24"/>
                <w:szCs w:val="24"/>
                <w:highlight w:val="none"/>
                <w:u w:val="none"/>
                <w:lang w:val="en-US" w:eastAsia="zh-CN" w:bidi="ar"/>
                <w14:textFill>
                  <w14:solidFill>
                    <w14:schemeClr w14:val="tx1"/>
                  </w14:solidFill>
                </w14:textFill>
              </w:rPr>
              <w:t>[</w:t>
            </w:r>
            <w:r>
              <w:rPr>
                <w:rFonts w:hint="eastAsia" w:eastAsia="宋体" w:cs="Times New Roman"/>
                <w:i w:val="0"/>
                <w:color w:val="000000" w:themeColor="text1"/>
                <w:kern w:val="0"/>
                <w:sz w:val="24"/>
                <w:szCs w:val="24"/>
                <w:highlight w:val="none"/>
                <w:u w:val="none"/>
                <w:lang w:val="en-US" w:eastAsia="zh-CN" w:bidi="ar"/>
                <w14:textFill>
                  <w14:solidFill>
                    <w14:schemeClr w14:val="tx1"/>
                  </w14:solidFill>
                </w14:textFill>
              </w:rPr>
              <w:t>X</w:t>
            </w:r>
            <w:r>
              <w:rPr>
                <w:rFonts w:hint="eastAsia" w:ascii="Times New Roman" w:hAnsi="Times New Roman" w:eastAsia="宋体" w:cs="Times New Roman"/>
                <w:i w:val="0"/>
                <w:color w:val="000000" w:themeColor="text1"/>
                <w:kern w:val="0"/>
                <w:sz w:val="24"/>
                <w:szCs w:val="24"/>
                <w:highlight w:val="none"/>
                <w:u w:val="none"/>
                <w:lang w:val="en-US" w:eastAsia="zh-CN" w:bidi="ar"/>
                <w14:textFill>
                  <w14:solidFill>
                    <w14:schemeClr w14:val="tx1"/>
                  </w14:solidFill>
                </w14:textFill>
              </w:rPr>
              <w:t>]</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请</w:t>
            </w: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市发展改革局</w:t>
            </w: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提供</w:t>
            </w:r>
          </w:p>
        </w:tc>
      </w:tr>
      <w:tr>
        <w:tblPrEx>
          <w:tblCellMar>
            <w:top w:w="0" w:type="dxa"/>
            <w:left w:w="108" w:type="dxa"/>
            <w:bottom w:w="0" w:type="dxa"/>
            <w:right w:w="108" w:type="dxa"/>
          </w:tblCellMar>
        </w:tblPrEx>
        <w:trPr>
          <w:trHeight w:val="675"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standardContextual"/>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11</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规模以上</w:t>
            </w: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工业单位增加值水耗下降（%）</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X</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宋体" w:cs="Times New Roman"/>
                <w:i w:val="0"/>
                <w:color w:val="000000" w:themeColor="text1"/>
                <w:kern w:val="0"/>
                <w:sz w:val="24"/>
                <w:szCs w:val="24"/>
                <w:highlight w:val="none"/>
                <w:u w:val="none"/>
                <w:lang w:val="en-US" w:eastAsia="zh-CN" w:bidi="ar"/>
                <w14:textFill>
                  <w14:solidFill>
                    <w14:schemeClr w14:val="tx1"/>
                  </w14:solidFill>
                </w14:textFill>
              </w:rPr>
              <w:t>[X]</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请市水务局提供</w:t>
            </w:r>
          </w:p>
        </w:tc>
      </w:tr>
      <w:tr>
        <w:tblPrEx>
          <w:tblCellMar>
            <w:top w:w="0" w:type="dxa"/>
            <w:left w:w="108" w:type="dxa"/>
            <w:bottom w:w="0" w:type="dxa"/>
            <w:right w:w="108" w:type="dxa"/>
          </w:tblCellMar>
        </w:tblPrEx>
        <w:trPr>
          <w:trHeight w:val="675"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仿宋_GB2312" w:cs="Times New Roman"/>
                <w:b w:val="0"/>
                <w:bCs w:val="0"/>
                <w:color w:val="000000" w:themeColor="text1"/>
                <w:kern w:val="0"/>
                <w:sz w:val="22"/>
                <w:szCs w:val="22"/>
                <w:highlight w:val="none"/>
                <w:u w:val="no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2"/>
                <w:szCs w:val="22"/>
                <w:highlight w:val="none"/>
                <w:u w:val="none"/>
                <w:lang w:val="en-US" w:eastAsia="zh-CN" w:bidi="ar"/>
                <w14:textFill>
                  <w14:solidFill>
                    <w14:schemeClr w14:val="tx1"/>
                  </w14:solidFill>
                </w14:textFill>
              </w:rPr>
              <w:t>1</w:t>
            </w:r>
            <w:r>
              <w:rPr>
                <w:rFonts w:hint="eastAsia" w:ascii="Times New Roman" w:hAnsi="Times New Roman" w:cs="Times New Roman"/>
                <w:b w:val="0"/>
                <w:bCs w:val="0"/>
                <w:color w:val="000000" w:themeColor="text1"/>
                <w:kern w:val="0"/>
                <w:sz w:val="22"/>
                <w:szCs w:val="22"/>
                <w:highlight w:val="none"/>
                <w:u w:val="none"/>
                <w:lang w:val="en-US" w:eastAsia="zh-CN" w:bidi="ar"/>
                <w14:textFill>
                  <w14:solidFill>
                    <w14:schemeClr w14:val="tx1"/>
                  </w14:solidFill>
                </w14:textFill>
              </w:rPr>
              <w:t>2</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规模以上工业单位增加值二氧化碳排放降低（%）</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napToGrid/>
              <w:spacing w:before="0" w:beforeAutospacing="0" w:after="0" w:afterAutospacing="0" w:line="240" w:lineRule="auto"/>
              <w:ind w:left="0" w:leftChars="0" w:right="0" w:rightChars="0" w:firstLine="0" w:firstLineChars="0"/>
              <w:jc w:val="center"/>
              <w:rPr>
                <w:rFonts w:hint="eastAsia" w:ascii="Times New Roman" w:hAnsi="Times New Roman" w:eastAsia="仿宋_GB2312" w:cs="Times New Roman"/>
                <w:b w:val="0"/>
                <w:bCs w:val="0"/>
                <w:color w:val="000000" w:themeColor="text1"/>
                <w:kern w:val="0"/>
                <w:sz w:val="22"/>
                <w:szCs w:val="20"/>
                <w:highlight w:val="none"/>
                <w:u w:val="none"/>
                <w:lang w:val="en-US" w:eastAsia="zh-CN" w:bidi="ar"/>
                <w14:textFill>
                  <w14:solidFill>
                    <w14:schemeClr w14:val="tx1"/>
                  </w14:solidFill>
                </w14:textFill>
              </w:rPr>
            </w:pPr>
            <w:r>
              <w:rPr>
                <w:rFonts w:hint="eastAsia" w:cs="Times New Roman"/>
                <w:b w:val="0"/>
                <w:bCs w:val="0"/>
                <w:color w:val="000000" w:themeColor="text1"/>
                <w:kern w:val="0"/>
                <w:sz w:val="22"/>
                <w:szCs w:val="20"/>
                <w:highlight w:val="none"/>
                <w:u w:val="none"/>
                <w:lang w:val="en-US" w:eastAsia="zh-CN" w:bidi="ar"/>
                <w14:textFill>
                  <w14:solidFill>
                    <w14:schemeClr w14:val="tx1"/>
                  </w14:solidFill>
                </w14:textFill>
              </w:rPr>
              <w:t>X</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仿宋_GB2312" w:cs="Times New Roman"/>
                <w:b w:val="0"/>
                <w:bCs w:val="0"/>
                <w:color w:val="000000" w:themeColor="text1"/>
                <w:kern w:val="0"/>
                <w:sz w:val="22"/>
                <w:szCs w:val="20"/>
                <w:highlight w:val="none"/>
                <w:u w:val="none"/>
                <w:lang w:val="en-US" w:eastAsia="zh-CN" w:bidi="ar"/>
                <w14:textFill>
                  <w14:solidFill>
                    <w14:schemeClr w14:val="tx1"/>
                  </w14:solidFill>
                </w14:textFill>
              </w:rPr>
            </w:pPr>
            <w:r>
              <w:rPr>
                <w:rFonts w:hint="default" w:ascii="Times New Roman" w:hAnsi="Times New Roman" w:cs="Times New Roman"/>
                <w:i w:val="0"/>
                <w:color w:val="000000" w:themeColor="text1"/>
                <w:kern w:val="0"/>
                <w:sz w:val="22"/>
                <w:szCs w:val="22"/>
                <w:highlight w:val="none"/>
                <w:u w:val="none"/>
                <w:lang w:val="en-US" w:eastAsia="zh-CN" w:bidi="ar"/>
                <w14:textFill>
                  <w14:solidFill>
                    <w14:schemeClr w14:val="tx1"/>
                  </w14:solidFill>
                </w14:textFill>
              </w:rPr>
              <w:t>[</w:t>
            </w:r>
            <w:r>
              <w:rPr>
                <w:rFonts w:hint="eastAsia" w:cs="Times New Roman"/>
                <w:i w:val="0"/>
                <w:color w:val="000000" w:themeColor="text1"/>
                <w:kern w:val="0"/>
                <w:sz w:val="22"/>
                <w:szCs w:val="22"/>
                <w:highlight w:val="none"/>
                <w:u w:val="none"/>
                <w:lang w:val="en-US" w:eastAsia="zh-CN" w:bidi="ar"/>
                <w14:textFill>
                  <w14:solidFill>
                    <w14:schemeClr w14:val="tx1"/>
                  </w14:solidFill>
                </w14:textFill>
              </w:rPr>
              <w:t>X</w:t>
            </w:r>
            <w:r>
              <w:rPr>
                <w:rFonts w:hint="default" w:ascii="Times New Roman" w:hAnsi="Times New Roman" w:cs="Times New Roman"/>
                <w:i w:val="0"/>
                <w:color w:val="000000" w:themeColor="text1"/>
                <w:kern w:val="0"/>
                <w:sz w:val="22"/>
                <w:szCs w:val="22"/>
                <w:highlight w:val="none"/>
                <w:u w:val="none"/>
                <w:lang w:val="en-US" w:eastAsia="zh-CN" w:bidi="ar"/>
                <w14:textFill>
                  <w14:solidFill>
                    <w14:schemeClr w14:val="tx1"/>
                  </w14:solidFill>
                </w14:textFill>
              </w:rPr>
              <w:t>]</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请</w:t>
            </w: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市发展改革局</w:t>
            </w: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t>提供</w:t>
            </w:r>
          </w:p>
        </w:tc>
      </w:tr>
      <w:tr>
        <w:tblPrEx>
          <w:tblCellMar>
            <w:top w:w="0" w:type="dxa"/>
            <w:left w:w="108" w:type="dxa"/>
            <w:bottom w:w="0" w:type="dxa"/>
            <w:right w:w="108" w:type="dxa"/>
          </w:tblCellMar>
        </w:tblPrEx>
        <w:trPr>
          <w:trHeight w:val="408"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eastAsia="zh-CN"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仿宋_GB2312" w:cs="Times New Roman"/>
                <w:b w:val="0"/>
                <w:bCs w:val="0"/>
                <w:color w:val="000000" w:themeColor="text1"/>
                <w:kern w:val="0"/>
                <w:sz w:val="22"/>
                <w:szCs w:val="22"/>
                <w:highlight w:val="none"/>
                <w:u w:val="no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2"/>
                <w:szCs w:val="22"/>
                <w:highlight w:val="none"/>
                <w:u w:val="none"/>
                <w:lang w:val="en-US" w:eastAsia="zh-CN" w:bidi="ar"/>
                <w14:textFill>
                  <w14:solidFill>
                    <w14:schemeClr w14:val="tx1"/>
                  </w14:solidFill>
                </w14:textFill>
              </w:rPr>
              <w:t>1</w:t>
            </w:r>
            <w:r>
              <w:rPr>
                <w:rFonts w:hint="eastAsia" w:ascii="Times New Roman" w:hAnsi="Times New Roman" w:cs="Times New Roman"/>
                <w:b w:val="0"/>
                <w:bCs w:val="0"/>
                <w:color w:val="000000" w:themeColor="text1"/>
                <w:kern w:val="0"/>
                <w:sz w:val="22"/>
                <w:szCs w:val="22"/>
                <w:highlight w:val="none"/>
                <w:u w:val="none"/>
                <w:lang w:val="en-US" w:eastAsia="zh-CN" w:bidi="ar"/>
                <w14:textFill>
                  <w14:solidFill>
                    <w14:schemeClr w14:val="tx1"/>
                  </w14:solidFill>
                </w14:textFill>
              </w:rPr>
              <w:t>3</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清洁能源消费占比（%）</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23.9</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50</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市发展改革局</w:t>
            </w:r>
          </w:p>
        </w:tc>
      </w:tr>
      <w:tr>
        <w:tblPrEx>
          <w:tblCellMar>
            <w:top w:w="0" w:type="dxa"/>
            <w:left w:w="108" w:type="dxa"/>
            <w:bottom w:w="0" w:type="dxa"/>
            <w:right w:w="108" w:type="dxa"/>
          </w:tblCellMar>
        </w:tblPrEx>
        <w:trPr>
          <w:trHeight w:val="1008" w:hRule="atLeast"/>
        </w:trPr>
        <w:tc>
          <w:tcPr>
            <w:tcW w:w="84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t>开放共享</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standardContextual"/>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standardContextual"/>
              </w:rPr>
              <w:t>14</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制造业实际使用外商直接投资额占全</w:t>
            </w:r>
            <w:r>
              <w:rPr>
                <w:rFonts w:hint="eastAsia" w:eastAsia="宋体" w:cs="Times New Roman"/>
                <w:b w:val="0"/>
                <w:bCs w:val="0"/>
                <w:color w:val="000000" w:themeColor="text1"/>
                <w:kern w:val="0"/>
                <w:sz w:val="24"/>
                <w:szCs w:val="24"/>
                <w:highlight w:val="none"/>
                <w:u w:val="none"/>
                <w:lang w:val="en-US" w:eastAsia="zh-CN" w:bidi="ar"/>
                <w14:textFill>
                  <w14:solidFill>
                    <w14:schemeClr w14:val="tx1"/>
                  </w14:solidFill>
                </w14:textFill>
              </w:rPr>
              <w:t>市</w:t>
            </w: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实际使用外商直接投资额的比重</w:t>
            </w:r>
            <w:r>
              <w:rPr>
                <w:rFonts w:hint="eastAsia" w:eastAsia="宋体" w:cs="Times New Roman"/>
                <w:b w:val="0"/>
                <w:bCs w:val="0"/>
                <w:color w:val="000000" w:themeColor="text1"/>
                <w:kern w:val="0"/>
                <w:sz w:val="24"/>
                <w:szCs w:val="24"/>
                <w:highlight w:val="none"/>
                <w:u w:val="none"/>
                <w:lang w:eastAsia="zh-CN" w:bidi="ar"/>
                <w14:textFill>
                  <w14:solidFill>
                    <w14:schemeClr w14:val="tx1"/>
                  </w14:solidFill>
                </w14:textFill>
              </w:rPr>
              <w:t>（</w:t>
            </w:r>
            <w:r>
              <w:rPr>
                <w:rFonts w:hint="eastAsia" w:eastAsia="宋体" w:cs="Times New Roman"/>
                <w:b w:val="0"/>
                <w:bCs w:val="0"/>
                <w:color w:val="000000" w:themeColor="text1"/>
                <w:kern w:val="0"/>
                <w:sz w:val="24"/>
                <w:szCs w:val="24"/>
                <w:highlight w:val="none"/>
                <w:u w:val="none"/>
                <w:lang w:val="en-US" w:eastAsia="zh-CN" w:bidi="ar"/>
                <w14:textFill>
                  <w14:solidFill>
                    <w14:schemeClr w14:val="tx1"/>
                  </w14:solidFill>
                </w14:textFill>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11.2</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20</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市商务局</w:t>
            </w:r>
          </w:p>
        </w:tc>
      </w:tr>
      <w:tr>
        <w:tblPrEx>
          <w:tblCellMar>
            <w:top w:w="0" w:type="dxa"/>
            <w:left w:w="108" w:type="dxa"/>
            <w:bottom w:w="0" w:type="dxa"/>
            <w:right w:w="108" w:type="dxa"/>
          </w:tblCellMar>
        </w:tblPrEx>
        <w:trPr>
          <w:trHeight w:val="675"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eastAsia="zh-CN"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standardContextual"/>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standardContextual"/>
              </w:rPr>
              <w:t>15</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rPr>
              <w:t>高新技术产品出口额占全市外贸出口额的比重（%）</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43.8</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45</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市商务局</w:t>
            </w:r>
          </w:p>
        </w:tc>
      </w:tr>
      <w:tr>
        <w:tblPrEx>
          <w:tblCellMar>
            <w:top w:w="0" w:type="dxa"/>
            <w:left w:w="108" w:type="dxa"/>
            <w:bottom w:w="0" w:type="dxa"/>
            <w:right w:w="108" w:type="dxa"/>
          </w:tblCellMar>
        </w:tblPrEx>
        <w:trPr>
          <w:trHeight w:val="540"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黑体" w:cs="Times New Roman"/>
                <w:b w:val="0"/>
                <w:bCs w:val="0"/>
                <w:color w:val="000000" w:themeColor="text1"/>
                <w:kern w:val="0"/>
                <w:sz w:val="24"/>
                <w:szCs w:val="24"/>
                <w:highlight w:val="none"/>
                <w:u w:val="none"/>
                <w:lang w:bidi="ar"/>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standardContextual"/>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standardContextual"/>
              </w:rPr>
              <w:t>16</w:t>
            </w:r>
          </w:p>
        </w:tc>
        <w:tc>
          <w:tcPr>
            <w:tcW w:w="3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全年货物进出口总额</w:t>
            </w:r>
            <w:r>
              <w:rPr>
                <w:rFonts w:hint="eastAsia" w:ascii="Times New Roman" w:hAnsi="Times New Roman" w:eastAsia="宋体" w:cs="Times New Roman"/>
                <w:b w:val="0"/>
                <w:bCs w:val="0"/>
                <w:color w:val="000000" w:themeColor="text1"/>
                <w:kern w:val="0"/>
                <w:sz w:val="24"/>
                <w:szCs w:val="24"/>
                <w:highlight w:val="none"/>
                <w:u w:val="none"/>
                <w:lang w:eastAsia="zh-CN" w:bidi="ar"/>
                <w14:textFill>
                  <w14:solidFill>
                    <w14:schemeClr w14:val="tx1"/>
                  </w14:solidFill>
                </w14:textFill>
                <w14:ligatures w14:val="none"/>
              </w:rPr>
              <w:t>（</w:t>
            </w: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亿元</w:t>
            </w:r>
            <w:r>
              <w:rPr>
                <w:rFonts w:hint="eastAsia" w:ascii="Times New Roman" w:hAnsi="Times New Roman" w:eastAsia="宋体" w:cs="Times New Roman"/>
                <w:b w:val="0"/>
                <w:bCs w:val="0"/>
                <w:color w:val="000000" w:themeColor="text1"/>
                <w:kern w:val="0"/>
                <w:sz w:val="24"/>
                <w:szCs w:val="24"/>
                <w:highlight w:val="none"/>
                <w:u w:val="none"/>
                <w:lang w:eastAsia="zh-CN" w:bidi="ar"/>
                <w14:textFill>
                  <w14:solidFill>
                    <w14:schemeClr w14:val="tx1"/>
                  </w14:solidFill>
                </w14:textFill>
                <w14:ligatures w14:val="none"/>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163.4</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eastAsia"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t>190</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4"/>
                <w:szCs w:val="24"/>
                <w:highlight w:val="none"/>
                <w:u w:val="none"/>
                <w:lang w:val="en-US" w:eastAsia="zh-CN" w:bidi="ar"/>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szCs w:val="24"/>
                <w:highlight w:val="none"/>
                <w:u w:val="none"/>
                <w:lang w:bidi="ar"/>
                <w14:textFill>
                  <w14:solidFill>
                    <w14:schemeClr w14:val="tx1"/>
                  </w14:solidFill>
                </w14:textFill>
                <w14:ligatures w14:val="none"/>
              </w:rPr>
              <w:t>市商务局</w:t>
            </w:r>
          </w:p>
        </w:tc>
      </w:tr>
    </w:tbl>
    <w:p>
      <w:pPr>
        <w:outlineLvl w:val="9"/>
        <w:rPr>
          <w:rFonts w:hint="default" w:ascii="微软雅黑" w:hAnsi="微软雅黑" w:eastAsia="微软雅黑" w:cs="微软雅黑"/>
          <w:b/>
          <w:bCs/>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32"/>
          <w:lang w:val="en-US" w:eastAsia="zh-CN"/>
          <w14:textFill>
            <w14:solidFill>
              <w14:schemeClr w14:val="tx1"/>
            </w14:solidFill>
          </w14:textFill>
        </w:rPr>
        <w:t>注：①带*的为202</w:t>
      </w:r>
      <w:r>
        <w:rPr>
          <w:rFonts w:hint="eastAsia" w:eastAsia="宋体" w:cs="Times New Roman"/>
          <w:b w:val="0"/>
          <w:bCs w:val="0"/>
          <w:color w:val="000000" w:themeColor="text1"/>
          <w:sz w:val="24"/>
          <w:szCs w:val="32"/>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32"/>
          <w:lang w:val="en-US" w:eastAsia="zh-CN"/>
          <w14:textFill>
            <w14:solidFill>
              <w14:schemeClr w14:val="tx1"/>
            </w14:solidFill>
          </w14:textFill>
        </w:rPr>
        <w:t>年数据</w:t>
      </w:r>
      <w:r>
        <w:rPr>
          <w:rFonts w:hint="eastAsia" w:eastAsia="宋体" w:cs="Times New Roman"/>
          <w:b w:val="0"/>
          <w:bCs w:val="0"/>
          <w:color w:val="000000" w:themeColor="text1"/>
          <w:sz w:val="24"/>
          <w:szCs w:val="32"/>
          <w:lang w:val="en-US" w:eastAsia="zh-CN"/>
          <w14:textFill>
            <w14:solidFill>
              <w14:schemeClr w14:val="tx1"/>
            </w14:solidFill>
          </w14:textFill>
        </w:rPr>
        <w:t>；②</w:t>
      </w:r>
      <w:r>
        <w:rPr>
          <w:rFonts w:hint="default" w:ascii="Times New Roman" w:hAnsi="Times New Roman" w:eastAsia="宋体" w:cs="Times New Roman"/>
          <w:b w:val="0"/>
          <w:bCs w:val="0"/>
          <w:color w:val="000000" w:themeColor="text1"/>
          <w:sz w:val="24"/>
          <w:szCs w:val="32"/>
          <w:lang w:val="en-US" w:eastAsia="zh-CN"/>
          <w14:textFill>
            <w14:solidFill>
              <w14:schemeClr w14:val="tx1"/>
            </w14:solidFill>
          </w14:textFill>
        </w:rPr>
        <w:t>带</w:t>
      </w:r>
      <w:r>
        <w:rPr>
          <w:rFonts w:hint="eastAsia" w:eastAsia="宋体" w:cs="Times New Roman"/>
          <w:b w:val="0"/>
          <w:bCs w:val="0"/>
          <w:color w:val="000000" w:themeColor="text1"/>
          <w:sz w:val="24"/>
          <w:szCs w:val="32"/>
          <w:lang w:val="en-US" w:eastAsia="zh-CN"/>
          <w14:textFill>
            <w14:solidFill>
              <w14:schemeClr w14:val="tx1"/>
            </w14:solidFill>
          </w14:textFill>
        </w:rPr>
        <w:t>[ ]</w:t>
      </w:r>
      <w:r>
        <w:rPr>
          <w:rFonts w:hint="default" w:ascii="Times New Roman" w:hAnsi="Times New Roman" w:eastAsia="宋体" w:cs="Times New Roman"/>
          <w:b w:val="0"/>
          <w:bCs w:val="0"/>
          <w:color w:val="000000" w:themeColor="text1"/>
          <w:sz w:val="24"/>
          <w:szCs w:val="32"/>
          <w:lang w:val="en-US" w:eastAsia="zh-CN"/>
          <w14:textFill>
            <w14:solidFill>
              <w14:schemeClr w14:val="tx1"/>
            </w14:solidFill>
          </w14:textFill>
        </w:rPr>
        <w:t>的</w:t>
      </w:r>
      <w:r>
        <w:rPr>
          <w:rFonts w:hint="eastAsia" w:eastAsia="宋体" w:cs="Times New Roman"/>
          <w:b w:val="0"/>
          <w:bCs w:val="0"/>
          <w:color w:val="000000" w:themeColor="text1"/>
          <w:sz w:val="24"/>
          <w:szCs w:val="32"/>
          <w:lang w:val="en-US" w:eastAsia="zh-CN"/>
          <w14:textFill>
            <w14:solidFill>
              <w14:schemeClr w14:val="tx1"/>
            </w14:solidFill>
          </w14:textFill>
        </w:rPr>
        <w:t>为省工信目标数据；</w:t>
      </w:r>
    </w:p>
    <w:p>
      <w:pPr>
        <w:pStyle w:val="3"/>
        <w:ind w:firstLine="643"/>
        <w:rPr>
          <w:color w:val="000000" w:themeColor="text1"/>
          <w14:textFill>
            <w14:solidFill>
              <w14:schemeClr w14:val="tx1"/>
            </w14:solidFill>
          </w14:textFill>
        </w:rPr>
      </w:pPr>
      <w:bookmarkStart w:id="47" w:name="_Toc18647"/>
      <w:bookmarkStart w:id="48" w:name="_Toc22710"/>
      <w:bookmarkStart w:id="49" w:name="_Toc8320"/>
      <w:bookmarkStart w:id="50" w:name="_Toc14097"/>
      <w:bookmarkStart w:id="51" w:name="_Toc12499"/>
      <w:bookmarkStart w:id="52" w:name="_Toc6737"/>
      <w:bookmarkStart w:id="53" w:name="_Toc17957"/>
      <w:bookmarkStart w:id="54" w:name="_Toc1466"/>
      <w:bookmarkStart w:id="55" w:name="_Toc17115"/>
      <w:bookmarkStart w:id="56" w:name="_Toc24962"/>
      <w:bookmarkStart w:id="57" w:name="_Toc1308"/>
      <w:r>
        <w:rPr>
          <w:rFonts w:hint="eastAsia"/>
          <w:color w:val="000000" w:themeColor="text1"/>
          <w:lang w:val="en-US" w:eastAsia="zh-CN"/>
          <w14:textFill>
            <w14:solidFill>
              <w14:schemeClr w14:val="tx1"/>
            </w14:solidFill>
          </w14:textFill>
        </w:rPr>
        <w:t>二</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产业发展重点</w:t>
      </w:r>
      <w:bookmarkEnd w:id="47"/>
      <w:bookmarkEnd w:id="48"/>
      <w:bookmarkEnd w:id="49"/>
      <w:bookmarkEnd w:id="50"/>
      <w:bookmarkEnd w:id="51"/>
      <w:bookmarkEnd w:id="52"/>
      <w:bookmarkEnd w:id="53"/>
      <w:bookmarkEnd w:id="54"/>
      <w:bookmarkEnd w:id="55"/>
      <w:bookmarkEnd w:id="56"/>
      <w:bookmarkEnd w:id="57"/>
    </w:p>
    <w:p>
      <w:pPr>
        <w:pStyle w:val="4"/>
        <w:ind w:firstLine="643"/>
        <w:rPr>
          <w:color w:val="000000" w:themeColor="text1"/>
          <w14:textFill>
            <w14:solidFill>
              <w14:schemeClr w14:val="tx1"/>
            </w14:solidFill>
          </w14:textFill>
        </w:rPr>
      </w:pPr>
      <w:bookmarkStart w:id="58" w:name="_Toc1697"/>
      <w:bookmarkStart w:id="59" w:name="_Toc29309"/>
      <w:bookmarkStart w:id="60" w:name="_Toc9972"/>
      <w:bookmarkStart w:id="61" w:name="_Toc2892"/>
      <w:bookmarkStart w:id="62" w:name="_Toc13969"/>
      <w:bookmarkStart w:id="63" w:name="_Toc23381"/>
      <w:bookmarkStart w:id="64" w:name="_Toc4272"/>
      <w:bookmarkStart w:id="65" w:name="_Toc28772"/>
      <w:bookmarkStart w:id="66" w:name="_Toc1559"/>
      <w:bookmarkStart w:id="67" w:name="_Toc23196"/>
      <w:bookmarkStart w:id="68" w:name="_Toc856"/>
      <w:r>
        <w:rPr>
          <w:rFonts w:hint="eastAsia"/>
          <w:color w:val="000000" w:themeColor="text1"/>
          <w14:textFill>
            <w14:solidFill>
              <w14:schemeClr w14:val="tx1"/>
            </w14:solidFill>
          </w14:textFill>
        </w:rPr>
        <w:t>（一）</w:t>
      </w:r>
      <w:bookmarkEnd w:id="58"/>
      <w:r>
        <w:rPr>
          <w:rFonts w:hint="eastAsia"/>
          <w:color w:val="000000" w:themeColor="text1"/>
          <w14:textFill>
            <w14:solidFill>
              <w14:schemeClr w14:val="tx1"/>
            </w14:solidFill>
          </w14:textFill>
        </w:rPr>
        <w:t>巩固提升传统产业</w:t>
      </w:r>
      <w:bookmarkEnd w:id="59"/>
      <w:bookmarkEnd w:id="60"/>
      <w:bookmarkEnd w:id="61"/>
      <w:bookmarkEnd w:id="62"/>
      <w:bookmarkEnd w:id="63"/>
      <w:bookmarkEnd w:id="64"/>
      <w:bookmarkEnd w:id="65"/>
      <w:bookmarkEnd w:id="66"/>
      <w:bookmarkEnd w:id="67"/>
      <w:bookmarkEnd w:id="68"/>
    </w:p>
    <w:p>
      <w:pPr>
        <w:pStyle w:val="5"/>
        <w:ind w:firstLine="643"/>
        <w:rPr>
          <w:color w:val="000000" w:themeColor="text1"/>
          <w14:textFill>
            <w14:solidFill>
              <w14:schemeClr w14:val="tx1"/>
            </w14:solidFill>
          </w14:textFill>
        </w:rPr>
      </w:pPr>
      <w:bookmarkStart w:id="69" w:name="_Toc13010"/>
      <w:bookmarkStart w:id="70" w:name="_Toc6137"/>
      <w:bookmarkStart w:id="71" w:name="_Toc2625"/>
      <w:bookmarkStart w:id="72" w:name="_Toc30319"/>
      <w:bookmarkStart w:id="73" w:name="_Toc15944"/>
      <w:bookmarkStart w:id="74" w:name="_Toc29295"/>
      <w:bookmarkStart w:id="75" w:name="_Toc30663"/>
      <w:bookmarkStart w:id="76" w:name="_Toc3861"/>
      <w:bookmarkStart w:id="77" w:name="_Toc1010"/>
      <w:bookmarkStart w:id="78" w:name="_Toc1300"/>
      <w:bookmarkStart w:id="79" w:name="_Toc11034"/>
      <w:r>
        <w:rPr>
          <w:rFonts w:hint="eastAsia"/>
          <w:color w:val="000000" w:themeColor="text1"/>
          <w14:textFill>
            <w14:solidFill>
              <w14:schemeClr w14:val="tx1"/>
            </w14:solidFill>
          </w14:textFill>
        </w:rPr>
        <w:t>1.食品工业</w:t>
      </w:r>
      <w:bookmarkEnd w:id="69"/>
      <w:bookmarkEnd w:id="70"/>
      <w:bookmarkEnd w:id="71"/>
      <w:bookmarkEnd w:id="72"/>
      <w:bookmarkEnd w:id="73"/>
      <w:bookmarkEnd w:id="74"/>
      <w:bookmarkEnd w:id="75"/>
      <w:bookmarkEnd w:id="76"/>
      <w:bookmarkEnd w:id="77"/>
      <w:bookmarkEnd w:id="78"/>
      <w:bookmarkEnd w:id="79"/>
    </w:p>
    <w:p>
      <w:pPr>
        <w:ind w:firstLine="640"/>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深耕特色水产、粮油肉类、茶酒糕点、健康食品领域，推进产品品类创新与功能升级，持续延展农副产品加工产业链、塑造特色食品产业品牌。</w:t>
      </w:r>
    </w:p>
    <w:p>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到2030年，力争食品工业产值达到100亿元。</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29" w:type="dxa"/>
            <w:noWrap w:val="0"/>
            <w:vAlign w:val="top"/>
          </w:tcPr>
          <w:p>
            <w:pPr>
              <w:ind w:firstLineChars="0"/>
              <w:jc w:val="center"/>
              <w:rPr>
                <w:rFonts w:hint="default" w:ascii="Times New Roman" w:hAnsi="Times New Roman" w:eastAsia="黑体" w:cs="Times New Roman"/>
                <w:color w:val="000000" w:themeColor="text1"/>
                <w:kern w:val="0"/>
                <w:sz w:val="28"/>
                <w:szCs w:val="22"/>
                <w:highlight w:val="none"/>
                <w:lang w:eastAsia="zh-CN"/>
                <w14:textFill>
                  <w14:solidFill>
                    <w14:schemeClr w14:val="tx1"/>
                  </w14:solidFill>
                </w14:textFill>
              </w:rPr>
            </w:pPr>
            <w:r>
              <w:rPr>
                <w:rFonts w:ascii="Times New Roman" w:hAnsi="Times New Roman" w:eastAsia="黑体" w:cs="Times New Roman"/>
                <w:color w:val="000000" w:themeColor="text1"/>
                <w:kern w:val="0"/>
                <w:sz w:val="28"/>
                <w:szCs w:val="22"/>
                <w:highlight w:val="none"/>
                <w14:textFill>
                  <w14:solidFill>
                    <w14:schemeClr w14:val="tx1"/>
                  </w14:solidFill>
                </w14:textFill>
              </w:rPr>
              <w:t>专栏</w:t>
            </w:r>
            <w:r>
              <w:rPr>
                <w:rFonts w:hint="default" w:ascii="Times New Roman" w:hAnsi="Times New Roman" w:eastAsia="黑体" w:cs="Times New Roman"/>
                <w:color w:val="000000" w:themeColor="text1"/>
                <w:kern w:val="0"/>
                <w:sz w:val="28"/>
                <w:szCs w:val="22"/>
                <w:highlight w:val="none"/>
                <w14:textFill>
                  <w14:solidFill>
                    <w14:schemeClr w14:val="tx1"/>
                  </w14:solidFill>
                </w14:textFill>
              </w:rPr>
              <w:t>1食品工业</w:t>
            </w:r>
            <w:r>
              <w:rPr>
                <w:rFonts w:hint="default" w:ascii="Times New Roman" w:hAnsi="Times New Roman" w:eastAsia="黑体" w:cs="Times New Roman"/>
                <w:b w:val="0"/>
                <w:bCs w:val="0"/>
                <w:color w:val="000000" w:themeColor="text1"/>
                <w:kern w:val="0"/>
                <w:sz w:val="28"/>
                <w:szCs w:val="22"/>
                <w:highlight w:val="none"/>
                <w14:textFill>
                  <w14:solidFill>
                    <w14:schemeClr w14:val="tx1"/>
                  </w14:solidFill>
                </w14:textFill>
              </w:rPr>
              <w:t>细分领域</w:t>
            </w:r>
          </w:p>
          <w:p>
            <w:pPr>
              <w:widowControl/>
              <w:snapToGrid w:val="0"/>
              <w:spacing w:line="240" w:lineRule="auto"/>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pPr>
            <w:r>
              <w:rPr>
                <w:rFonts w:hint="eastAsia" w:ascii="Times New Roman" w:hAnsi="Times New Roman" w:eastAsia="宋体" w:cs="宋体"/>
                <w:b/>
                <w:bCs/>
                <w:color w:val="000000" w:themeColor="text1"/>
                <w:kern w:val="0"/>
                <w:sz w:val="28"/>
                <w:szCs w:val="28"/>
                <w:highlight w:val="none"/>
                <w:lang w:val="en-US" w:eastAsia="zh-CN"/>
                <w14:textFill>
                  <w14:solidFill>
                    <w14:schemeClr w14:val="tx1"/>
                  </w14:solidFill>
                </w14:textFill>
              </w:rPr>
              <w:t>1.</w:t>
            </w:r>
            <w:r>
              <w:rPr>
                <w:rFonts w:hint="eastAsia" w:ascii="Times New Roman" w:hAnsi="Times New Roman" w:eastAsia="宋体" w:cs="宋体"/>
                <w:b/>
                <w:bCs/>
                <w:color w:val="000000" w:themeColor="text1"/>
                <w:kern w:val="0"/>
                <w:sz w:val="28"/>
                <w:szCs w:val="28"/>
                <w:highlight w:val="none"/>
                <w14:textFill>
                  <w14:solidFill>
                    <w14:schemeClr w14:val="tx1"/>
                  </w14:solidFill>
                </w14:textFill>
              </w:rPr>
              <w:t>水产品。</w:t>
            </w:r>
            <w:r>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t>丰富冻鱼片、冻虾、冻贝肉、冷冻鱼糜及鱼糜制品、冷冻调理产品等产品线布局。鼓励海产品加工向便捷化、快销化方向发展，推动鱼、虾等海产品精深加工，开发石斑鱼、军曹鱼等</w:t>
            </w:r>
            <w:r>
              <w:rPr>
                <w:rFonts w:hint="eastAsia" w:eastAsia="宋体" w:cs="宋体"/>
                <w:b w:val="0"/>
                <w:bCs w:val="0"/>
                <w:color w:val="000000" w:themeColor="text1"/>
                <w:kern w:val="0"/>
                <w:sz w:val="28"/>
                <w:szCs w:val="28"/>
                <w:highlight w:val="none"/>
                <w:lang w:val="en-US" w:eastAsia="zh-CN"/>
                <w14:textFill>
                  <w14:solidFill>
                    <w14:schemeClr w14:val="tx1"/>
                  </w14:solidFill>
                </w14:textFill>
              </w:rPr>
              <w:t>本地特色</w:t>
            </w:r>
            <w:r>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t>品种的速食产品，打造汕尾海产新品牌</w:t>
            </w:r>
            <w:r>
              <w:rPr>
                <w:rFonts w:hint="eastAsia" w:ascii="Times New Roman" w:hAnsi="Times New Roman" w:eastAsia="宋体" w:cs="宋体"/>
                <w:b w:val="0"/>
                <w:bCs w:val="0"/>
                <w:color w:val="000000" w:themeColor="text1"/>
                <w:kern w:val="0"/>
                <w:sz w:val="28"/>
                <w:szCs w:val="28"/>
                <w:highlight w:val="none"/>
                <w:lang w:eastAsia="zh-CN"/>
                <w14:textFill>
                  <w14:solidFill>
                    <w14:schemeClr w14:val="tx1"/>
                  </w14:solidFill>
                </w14:textFill>
              </w:rPr>
              <w:t>。</w:t>
            </w:r>
            <w:r>
              <w:rPr>
                <w:rFonts w:hint="eastAsia" w:ascii="Times New Roman" w:hAnsi="Times New Roman" w:eastAsia="宋体" w:cs="宋体"/>
                <w:b w:val="0"/>
                <w:bCs w:val="0"/>
                <w:color w:val="000000" w:themeColor="text1"/>
                <w:kern w:val="0"/>
                <w:sz w:val="28"/>
                <w:szCs w:val="28"/>
                <w:highlight w:val="none"/>
                <w:lang w:val="en-US" w:eastAsia="zh-CN"/>
                <w14:textFill>
                  <w14:solidFill>
                    <w14:schemeClr w14:val="tx1"/>
                  </w14:solidFill>
                </w14:textFill>
              </w:rPr>
              <w:t>聚焦</w:t>
            </w:r>
            <w:r>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t>仿生食品、功能性食品、风味酶解等核心技术研发，开发适合现代消费需求的干制、预制、方便、休闲等水产新食品</w:t>
            </w:r>
            <w:r>
              <w:rPr>
                <w:rFonts w:hint="eastAsia" w:ascii="Times New Roman" w:hAnsi="Times New Roman" w:eastAsia="宋体" w:cs="宋体"/>
                <w:b w:val="0"/>
                <w:bCs w:val="0"/>
                <w:color w:val="000000" w:themeColor="text1"/>
                <w:kern w:val="0"/>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kern w:val="0"/>
                <w:sz w:val="28"/>
                <w:szCs w:val="28"/>
                <w:highlight w:val="none"/>
                <w14:textFill>
                  <w14:solidFill>
                    <w14:schemeClr w14:val="tx1"/>
                  </w14:solidFill>
                </w14:textFill>
              </w:rPr>
              <w:t>突破深海低值鱼资源化加工技术，向下游延伸仿生制品、水产汤底、特色调味辅料等产品线，拉长产业增值链条。</w:t>
            </w:r>
          </w:p>
          <w:p>
            <w:pPr>
              <w:widowControl/>
              <w:snapToGrid w:val="0"/>
              <w:spacing w:line="240" w:lineRule="auto"/>
              <w:rPr>
                <w:rFonts w:hint="eastAsia" w:ascii="Times New Roman" w:hAnsi="Times New Roman" w:eastAsia="宋体" w:cs="宋体"/>
                <w:b w:val="0"/>
                <w:bCs w:val="0"/>
                <w:color w:val="000000" w:themeColor="text1"/>
                <w:kern w:val="0"/>
                <w:sz w:val="28"/>
                <w:szCs w:val="28"/>
                <w:highlight w:val="none"/>
                <w:lang w:eastAsia="zh-CN"/>
                <w14:textFill>
                  <w14:solidFill>
                    <w14:schemeClr w14:val="tx1"/>
                  </w14:solidFill>
                </w14:textFill>
              </w:rPr>
            </w:pPr>
            <w:r>
              <w:rPr>
                <w:rFonts w:hint="eastAsia" w:ascii="Times New Roman" w:hAnsi="Times New Roman" w:eastAsia="宋体" w:cs="宋体"/>
                <w:b/>
                <w:bCs/>
                <w:color w:val="000000" w:themeColor="text1"/>
                <w:kern w:val="0"/>
                <w:sz w:val="28"/>
                <w:szCs w:val="28"/>
                <w:highlight w:val="none"/>
                <w:lang w:val="en-US" w:eastAsia="zh-CN"/>
                <w14:textFill>
                  <w14:solidFill>
                    <w14:schemeClr w14:val="tx1"/>
                  </w14:solidFill>
                </w14:textFill>
              </w:rPr>
              <w:t>2.</w:t>
            </w:r>
            <w:r>
              <w:rPr>
                <w:rFonts w:hint="eastAsia" w:ascii="Times New Roman" w:hAnsi="Times New Roman" w:eastAsia="宋体" w:cs="宋体"/>
                <w:b/>
                <w:bCs/>
                <w:color w:val="000000" w:themeColor="text1"/>
                <w:kern w:val="0"/>
                <w:sz w:val="28"/>
                <w:szCs w:val="28"/>
                <w:highlight w:val="none"/>
                <w14:textFill>
                  <w14:solidFill>
                    <w14:schemeClr w14:val="tx1"/>
                  </w14:solidFill>
                </w14:textFill>
              </w:rPr>
              <w:t>海洋功能性食品。</w:t>
            </w:r>
            <w:r>
              <w:rPr>
                <w:rFonts w:hint="eastAsia" w:ascii="Times New Roman" w:hAnsi="Times New Roman" w:eastAsia="宋体" w:cs="宋体"/>
                <w:color w:val="000000" w:themeColor="text1"/>
                <w:kern w:val="0"/>
                <w:sz w:val="28"/>
                <w:szCs w:val="28"/>
                <w:highlight w:val="none"/>
                <w14:textFill>
                  <w14:solidFill>
                    <w14:schemeClr w14:val="tx1"/>
                  </w14:solidFill>
                </w14:textFill>
              </w:rPr>
              <w:t>聚焦海洋活性物质提取、海洋药物研发、检测试剂研制方向，</w:t>
            </w:r>
            <w:r>
              <w:rPr>
                <w:rFonts w:hint="eastAsia" w:ascii="Times New Roman" w:hAnsi="Times New Roman" w:eastAsia="宋体" w:cs="宋体"/>
                <w:color w:val="000000" w:themeColor="text1"/>
                <w:kern w:val="0"/>
                <w:sz w:val="28"/>
                <w:szCs w:val="28"/>
                <w:highlight w:val="none"/>
                <w:lang w:val="en-US" w:eastAsia="zh-CN"/>
                <w14:textFill>
                  <w14:solidFill>
                    <w14:schemeClr w14:val="tx1"/>
                  </w14:solidFill>
                </w14:textFill>
              </w:rPr>
              <w:t>开发</w:t>
            </w:r>
            <w:r>
              <w:rPr>
                <w:rFonts w:hint="eastAsia" w:ascii="Times New Roman" w:hAnsi="Times New Roman" w:eastAsia="宋体" w:cs="宋体"/>
                <w:color w:val="000000" w:themeColor="text1"/>
                <w:kern w:val="0"/>
                <w:sz w:val="28"/>
                <w:szCs w:val="28"/>
                <w:highlight w:val="none"/>
                <w14:textFill>
                  <w14:solidFill>
                    <w14:schemeClr w14:val="tx1"/>
                  </w14:solidFill>
                </w14:textFill>
              </w:rPr>
              <w:t>鱼胶原蛋白、海参肽、鱼油、海藻等海洋功能食品，深挖鱼皮等本土水产资源推进药食同源产品研发；延伸海洋多糖、生物活性多肽、特色氨基酸、海洋脂质、壳聚糖等上游精深加工链条，推出膳食增补、便携食补类衍生品</w:t>
            </w:r>
            <w:r>
              <w:rPr>
                <w:rFonts w:hint="eastAsia" w:ascii="Times New Roman" w:hAnsi="Times New Roman" w:eastAsia="宋体" w:cs="宋体"/>
                <w:color w:val="000000" w:themeColor="text1"/>
                <w:kern w:val="0"/>
                <w:sz w:val="28"/>
                <w:szCs w:val="28"/>
                <w:highlight w:val="none"/>
                <w:lang w:eastAsia="zh-CN"/>
                <w14:textFill>
                  <w14:solidFill>
                    <w14:schemeClr w14:val="tx1"/>
                  </w14:solidFill>
                </w14:textFill>
              </w:rPr>
              <w:t>。</w:t>
            </w:r>
          </w:p>
          <w:p>
            <w:pPr>
              <w:widowControl/>
              <w:snapToGrid w:val="0"/>
              <w:spacing w:line="240" w:lineRule="auto"/>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pPr>
            <w:r>
              <w:rPr>
                <w:rFonts w:hint="eastAsia" w:ascii="Times New Roman" w:hAnsi="Times New Roman" w:eastAsia="宋体" w:cs="宋体"/>
                <w:b/>
                <w:bCs/>
                <w:color w:val="000000" w:themeColor="text1"/>
                <w:kern w:val="0"/>
                <w:sz w:val="28"/>
                <w:szCs w:val="28"/>
                <w:highlight w:val="none"/>
                <w:lang w:val="en-US" w:eastAsia="zh-CN"/>
                <w14:textFill>
                  <w14:solidFill>
                    <w14:schemeClr w14:val="tx1"/>
                  </w14:solidFill>
                </w14:textFill>
              </w:rPr>
              <w:t>3.</w:t>
            </w:r>
            <w:r>
              <w:rPr>
                <w:rFonts w:hint="eastAsia" w:ascii="Times New Roman" w:hAnsi="Times New Roman" w:eastAsia="宋体" w:cs="宋体"/>
                <w:b/>
                <w:bCs/>
                <w:color w:val="000000" w:themeColor="text1"/>
                <w:kern w:val="0"/>
                <w:sz w:val="28"/>
                <w:szCs w:val="28"/>
                <w:highlight w:val="none"/>
                <w14:textFill>
                  <w14:solidFill>
                    <w14:schemeClr w14:val="tx1"/>
                  </w14:solidFill>
                </w14:textFill>
              </w:rPr>
              <w:t>粮油、肉类及其他农副产品。</w:t>
            </w:r>
            <w:r>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t>重点发展优质稻米加工品及米面制品产业链，</w:t>
            </w:r>
            <w:r>
              <w:rPr>
                <w:rFonts w:hint="eastAsia" w:ascii="Times New Roman" w:hAnsi="Times New Roman" w:eastAsia="宋体" w:cs="宋体"/>
                <w:b w:val="0"/>
                <w:bCs w:val="0"/>
                <w:color w:val="000000" w:themeColor="text1"/>
                <w:kern w:val="0"/>
                <w:sz w:val="28"/>
                <w:szCs w:val="28"/>
                <w:highlight w:val="none"/>
                <w:lang w:val="en-US" w:eastAsia="zh-CN"/>
                <w14:textFill>
                  <w14:solidFill>
                    <w14:schemeClr w14:val="tx1"/>
                  </w14:solidFill>
                </w14:textFill>
              </w:rPr>
              <w:t>依托</w:t>
            </w:r>
            <w:r>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t>陆丰甘薯、海丰番薯、海丰花生、海丰芝麻等优势作物，做精做优特色薯类和油料加工。以智能化屠宰为重点，巩固提升冷却肉、分割肉等基础生鲜品类，丰富生鲜调理、速冻调理等高附加值产品供给，做强特色肉禽预制菜、休闲熟食等精深加工，持续延链强链。大力推动塔岭粉签、南万咸菜、南万美人芋丝、南万腐竹等特色农副产品规模化、标准化、品牌化发展。</w:t>
            </w:r>
          </w:p>
          <w:p>
            <w:pPr>
              <w:widowControl/>
              <w:snapToGrid w:val="0"/>
              <w:spacing w:line="240" w:lineRule="auto"/>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pPr>
            <w:r>
              <w:rPr>
                <w:rFonts w:hint="eastAsia" w:ascii="Times New Roman" w:hAnsi="Times New Roman" w:eastAsia="宋体" w:cs="宋体"/>
                <w:b/>
                <w:bCs/>
                <w:color w:val="000000" w:themeColor="text1"/>
                <w:kern w:val="0"/>
                <w:sz w:val="28"/>
                <w:szCs w:val="28"/>
                <w:highlight w:val="none"/>
                <w:lang w:val="en-US" w:eastAsia="zh-CN"/>
                <w14:textFill>
                  <w14:solidFill>
                    <w14:schemeClr w14:val="tx1"/>
                  </w14:solidFill>
                </w14:textFill>
              </w:rPr>
              <w:t>4.</w:t>
            </w:r>
            <w:r>
              <w:rPr>
                <w:rFonts w:hint="eastAsia" w:ascii="Times New Roman" w:hAnsi="Times New Roman" w:eastAsia="宋体" w:cs="宋体"/>
                <w:b/>
                <w:bCs/>
                <w:color w:val="000000" w:themeColor="text1"/>
                <w:kern w:val="0"/>
                <w:sz w:val="28"/>
                <w:szCs w:val="28"/>
                <w:highlight w:val="none"/>
                <w14:textFill>
                  <w14:solidFill>
                    <w14:schemeClr w14:val="tx1"/>
                  </w14:solidFill>
                </w14:textFill>
              </w:rPr>
              <w:t>酒、饮料和精制茶</w:t>
            </w:r>
            <w:r>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t>。围绕原料、配方、生产工艺、食用场景、商业模式等方面加强技术革新，着力提升青梅酒、莲花山茶等相关产品质量及品牌效应，以“文化+旅游”的方式促进产业融合发展，提高产品附加值。</w:t>
            </w:r>
          </w:p>
          <w:p>
            <w:pPr>
              <w:pStyle w:val="14"/>
              <w:keepNext w:val="0"/>
              <w:keepLines w:val="0"/>
              <w:pageBreakBefore w:val="0"/>
              <w:tabs>
                <w:tab w:val="left" w:pos="312"/>
                <w:tab w:val="clear" w:pos="4153"/>
                <w:tab w:val="clear" w:pos="8306"/>
              </w:tabs>
              <w:kinsoku/>
              <w:wordWrap/>
              <w:overflowPunct/>
              <w:topLinePunct w:val="0"/>
              <w:autoSpaceDE/>
              <w:autoSpaceDN/>
              <w:bidi w:val="0"/>
              <w:adjustRightInd/>
              <w:snapToGrid w:val="0"/>
              <w:spacing w:line="240" w:lineRule="auto"/>
              <w:ind w:firstLine="562"/>
              <w:jc w:val="both"/>
              <w:textAlignment w:val="auto"/>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pPr>
            <w:r>
              <w:rPr>
                <w:rFonts w:hint="eastAsia" w:ascii="Times New Roman" w:hAnsi="Times New Roman" w:eastAsia="宋体" w:cs="宋体"/>
                <w:b/>
                <w:bCs/>
                <w:color w:val="000000" w:themeColor="text1"/>
                <w:kern w:val="0"/>
                <w:sz w:val="28"/>
                <w:szCs w:val="28"/>
                <w:highlight w:val="none"/>
                <w:lang w:val="en-US" w:eastAsia="zh-CN"/>
                <w14:textFill>
                  <w14:solidFill>
                    <w14:schemeClr w14:val="tx1"/>
                  </w14:solidFill>
                </w14:textFill>
              </w:rPr>
              <w:t>5.</w:t>
            </w:r>
            <w:r>
              <w:rPr>
                <w:rFonts w:hint="eastAsia" w:ascii="Times New Roman" w:hAnsi="Times New Roman" w:eastAsia="宋体" w:cs="宋体"/>
                <w:b/>
                <w:bCs/>
                <w:color w:val="000000" w:themeColor="text1"/>
                <w:kern w:val="0"/>
                <w:sz w:val="28"/>
                <w:szCs w:val="28"/>
                <w:highlight w:val="none"/>
                <w14:textFill>
                  <w14:solidFill>
                    <w14:schemeClr w14:val="tx1"/>
                  </w14:solidFill>
                </w14:textFill>
              </w:rPr>
              <w:t>烘烤糕点、果干蜜饯和健康食品。</w:t>
            </w:r>
            <w:r>
              <w:rPr>
                <w:rFonts w:hint="eastAsia" w:ascii="Times New Roman" w:hAnsi="Times New Roman" w:eastAsia="宋体" w:cs="宋体"/>
                <w:b w:val="0"/>
                <w:bCs w:val="0"/>
                <w:color w:val="000000" w:themeColor="text1"/>
                <w:kern w:val="0"/>
                <w:sz w:val="28"/>
                <w:szCs w:val="28"/>
                <w:highlight w:val="none"/>
                <w:lang w:val="en-US" w:eastAsia="zh-CN"/>
                <w14:textFill>
                  <w14:solidFill>
                    <w14:schemeClr w14:val="tx1"/>
                  </w14:solidFill>
                </w14:textFill>
              </w:rPr>
              <w:t>发挥</w:t>
            </w:r>
            <w:r>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t>毗邻湾区市场的优势，开发港式、粤式烘焙</w:t>
            </w:r>
            <w:r>
              <w:rPr>
                <w:rFonts w:hint="eastAsia" w:ascii="Times New Roman" w:hAnsi="Times New Roman" w:eastAsia="宋体" w:cs="宋体"/>
                <w:b w:val="0"/>
                <w:bCs w:val="0"/>
                <w:color w:val="000000" w:themeColor="text1"/>
                <w:kern w:val="0"/>
                <w:sz w:val="28"/>
                <w:szCs w:val="28"/>
                <w:highlight w:val="none"/>
                <w:lang w:val="en-US" w:eastAsia="zh-CN"/>
                <w14:textFill>
                  <w14:solidFill>
                    <w14:schemeClr w14:val="tx1"/>
                  </w14:solidFill>
                </w14:textFill>
              </w:rPr>
              <w:t>糕点，创新开发兼具传统风味与现代工艺的特色点心</w:t>
            </w:r>
            <w:r>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t>。</w:t>
            </w:r>
            <w:r>
              <w:rPr>
                <w:rFonts w:hint="eastAsia" w:ascii="Times New Roman" w:hAnsi="Times New Roman" w:eastAsia="宋体" w:cs="宋体"/>
                <w:b w:val="0"/>
                <w:bCs w:val="0"/>
                <w:color w:val="000000" w:themeColor="text1"/>
                <w:kern w:val="0"/>
                <w:sz w:val="28"/>
                <w:szCs w:val="28"/>
                <w:highlight w:val="none"/>
                <w:lang w:val="en-US" w:eastAsia="zh-CN"/>
                <w14:textFill>
                  <w14:solidFill>
                    <w14:schemeClr w14:val="tx1"/>
                  </w14:solidFill>
                </w14:textFill>
              </w:rPr>
              <w:t>依托</w:t>
            </w:r>
            <w:r>
              <w:rPr>
                <w:rFonts w:hint="eastAsia" w:ascii="Times New Roman" w:hAnsi="Times New Roman" w:eastAsia="宋体" w:cs="宋体"/>
                <w:b w:val="0"/>
                <w:bCs w:val="0"/>
                <w:color w:val="000000" w:themeColor="text1"/>
                <w:kern w:val="0"/>
                <w:sz w:val="28"/>
                <w:szCs w:val="28"/>
                <w:highlight w:val="none"/>
                <w14:textFill>
                  <w14:solidFill>
                    <w14:schemeClr w14:val="tx1"/>
                  </w14:solidFill>
                </w14:textFill>
              </w:rPr>
              <w:t>汕尾青梅、荔枝、莲雾等优质果蔬资源，加快培育“低糖无添加”“天然食材+个性化定制”果干蜜饯食品。</w:t>
            </w:r>
            <w:r>
              <w:rPr>
                <w:rFonts w:hint="eastAsia" w:ascii="Times New Roman" w:hAnsi="Times New Roman" w:eastAsia="宋体" w:cs="宋体"/>
                <w:color w:val="000000" w:themeColor="text1"/>
                <w:kern w:val="0"/>
                <w:sz w:val="28"/>
                <w:szCs w:val="28"/>
                <w:highlight w:val="none"/>
                <w14:textFill>
                  <w14:solidFill>
                    <w14:schemeClr w14:val="tx1"/>
                  </w14:solidFill>
                </w14:textFill>
              </w:rPr>
              <w:t>紧扣即食便捷、药食同源发展方向，丰富细分多元功能性食品与营养补充剂，针对老年、婴童群体开发专属健康饮品</w:t>
            </w:r>
            <w:r>
              <w:rPr>
                <w:rFonts w:hint="eastAsia" w:ascii="Times New Roman" w:hAnsi="Times New Roman" w:eastAsia="宋体" w:cs="宋体"/>
                <w:color w:val="000000" w:themeColor="text1"/>
                <w:kern w:val="0"/>
                <w:sz w:val="28"/>
                <w:szCs w:val="28"/>
                <w:highlight w:val="none"/>
                <w:lang w:val="en-US" w:eastAsia="zh-CN"/>
                <w14:textFill>
                  <w14:solidFill>
                    <w14:schemeClr w14:val="tx1"/>
                  </w14:solidFill>
                </w14:textFill>
              </w:rPr>
              <w:t>及</w:t>
            </w:r>
            <w:r>
              <w:rPr>
                <w:rFonts w:hint="eastAsia" w:ascii="Times New Roman" w:hAnsi="Times New Roman" w:eastAsia="宋体" w:cs="宋体"/>
                <w:color w:val="000000" w:themeColor="text1"/>
                <w:kern w:val="0"/>
                <w:sz w:val="28"/>
                <w:szCs w:val="28"/>
                <w:highlight w:val="none"/>
                <w14:textFill>
                  <w14:solidFill>
                    <w14:schemeClr w14:val="tx1"/>
                  </w14:solidFill>
                </w14:textFill>
              </w:rPr>
              <w:t>膳食营养补充剂</w:t>
            </w:r>
            <w:r>
              <w:rPr>
                <w:rFonts w:hint="eastAsia" w:ascii="Times New Roman" w:hAnsi="Times New Roman" w:eastAsia="宋体" w:cs="宋体"/>
                <w:b w:val="0"/>
                <w:bCs w:val="0"/>
                <w:color w:val="000000" w:themeColor="text1"/>
                <w:kern w:val="0"/>
                <w:sz w:val="28"/>
                <w:szCs w:val="28"/>
                <w:highlight w:val="none"/>
                <w:lang w:eastAsia="zh-CN"/>
                <w14:textFill>
                  <w14:solidFill>
                    <w14:schemeClr w14:val="tx1"/>
                  </w14:solidFill>
                </w14:textFill>
              </w:rPr>
              <w:t>。</w:t>
            </w:r>
          </w:p>
        </w:tc>
      </w:tr>
    </w:tbl>
    <w:p>
      <w:pPr>
        <w:pStyle w:val="5"/>
        <w:ind w:firstLine="643"/>
        <w:rPr>
          <w:color w:val="000000" w:themeColor="text1"/>
          <w14:textFill>
            <w14:solidFill>
              <w14:schemeClr w14:val="tx1"/>
            </w14:solidFill>
          </w14:textFill>
        </w:rPr>
      </w:pPr>
      <w:bookmarkStart w:id="80" w:name="_Toc31725"/>
      <w:bookmarkStart w:id="81" w:name="_Toc31117"/>
      <w:bookmarkStart w:id="82" w:name="_Toc29701"/>
      <w:bookmarkStart w:id="83" w:name="_Toc25994"/>
      <w:bookmarkStart w:id="84" w:name="_Toc15419"/>
      <w:bookmarkStart w:id="85" w:name="_Toc32340"/>
      <w:bookmarkStart w:id="86" w:name="_Toc16968"/>
      <w:bookmarkStart w:id="87" w:name="_Toc16984"/>
      <w:bookmarkStart w:id="88" w:name="_Toc9501"/>
      <w:bookmarkStart w:id="89" w:name="_Toc10350"/>
      <w:bookmarkStart w:id="90" w:name="_Toc7338"/>
      <w:r>
        <w:rPr>
          <w:rFonts w:hint="eastAsia"/>
          <w:color w:val="000000" w:themeColor="text1"/>
          <w14:textFill>
            <w14:solidFill>
              <w14:schemeClr w14:val="tx1"/>
            </w14:solidFill>
          </w14:textFill>
        </w:rPr>
        <w:t>2.金银首饰珠宝产业</w:t>
      </w:r>
      <w:bookmarkEnd w:id="80"/>
      <w:bookmarkEnd w:id="81"/>
      <w:bookmarkEnd w:id="82"/>
      <w:bookmarkEnd w:id="83"/>
      <w:bookmarkEnd w:id="84"/>
      <w:bookmarkEnd w:id="85"/>
      <w:bookmarkEnd w:id="86"/>
      <w:bookmarkEnd w:id="87"/>
      <w:bookmarkEnd w:id="88"/>
      <w:bookmarkEnd w:id="89"/>
      <w:bookmarkEnd w:id="90"/>
    </w:p>
    <w:p>
      <w:pPr>
        <w:snapToGrid w:val="0"/>
        <w:ind w:firstLine="0"/>
        <w:outlineLvl w:val="9"/>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cs="仿宋_GB2312"/>
          <w:color w:val="000000" w:themeColor="text1"/>
          <w:lang w:val="en-US" w:eastAsia="zh-CN"/>
          <w14:textFill>
            <w14:solidFill>
              <w14:schemeClr w14:val="tx1"/>
            </w14:solidFill>
          </w14:textFill>
        </w:rPr>
        <w:t>重点创新饰品制作传统工艺、探索布局功能性珠宝赛道，赋能产业数字赋能、智能提质、绿色增效。</w:t>
      </w:r>
    </w:p>
    <w:p>
      <w:pPr>
        <w:snapToGrid w:val="0"/>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到2030年，力争</w:t>
      </w:r>
      <w:r>
        <w:rPr>
          <w:rFonts w:hint="eastAsia"/>
          <w:color w:val="000000" w:themeColor="text1"/>
          <w:lang w:val="en-US" w:eastAsia="zh-CN"/>
          <w14:textFill>
            <w14:solidFill>
              <w14:schemeClr w14:val="tx1"/>
            </w14:solidFill>
          </w14:textFill>
        </w:rPr>
        <w:t>金银彩宝</w:t>
      </w:r>
      <w:r>
        <w:rPr>
          <w:rFonts w:hint="eastAsia"/>
          <w:color w:val="000000" w:themeColor="text1"/>
          <w14:textFill>
            <w14:solidFill>
              <w14:schemeClr w14:val="tx1"/>
            </w14:solidFill>
          </w14:textFill>
        </w:rPr>
        <w:t>产业产值达到100亿元。</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numPr>
                <w:ilvl w:val="0"/>
                <w:numId w:val="0"/>
              </w:numPr>
              <w:snapToGrid/>
              <w:spacing w:line="240" w:lineRule="auto"/>
              <w:ind w:firstLine="0" w:firstLineChars="0"/>
              <w:jc w:val="center"/>
              <w:rPr>
                <w:rFonts w:hint="default" w:ascii="Times New Roman" w:hAnsi="Times New Roman" w:eastAsia="黑体" w:cs="Times New Roman"/>
                <w:b w:val="0"/>
                <w:bCs w:val="0"/>
                <w:color w:val="000000" w:themeColor="text1"/>
                <w:kern w:val="0"/>
                <w:sz w:val="28"/>
                <w:szCs w:val="22"/>
                <w:highlight w:val="none"/>
                <w14:textFill>
                  <w14:solidFill>
                    <w14:schemeClr w14:val="tx1"/>
                  </w14:solidFill>
                </w14:textFill>
              </w:rPr>
            </w:pPr>
            <w:r>
              <w:rPr>
                <w:rFonts w:hint="default" w:ascii="Times New Roman" w:hAnsi="Times New Roman" w:eastAsia="黑体" w:cs="Times New Roman"/>
                <w:b w:val="0"/>
                <w:bCs w:val="0"/>
                <w:color w:val="000000" w:themeColor="text1"/>
                <w:kern w:val="0"/>
                <w:sz w:val="28"/>
                <w:szCs w:val="22"/>
                <w:highlight w:val="none"/>
                <w14:textFill>
                  <w14:solidFill>
                    <w14:schemeClr w14:val="tx1"/>
                  </w14:solidFill>
                </w14:textFill>
              </w:rPr>
              <w:t>专栏2 金银首饰珠宝产业细分领域</w:t>
            </w:r>
          </w:p>
          <w:p>
            <w:pPr>
              <w:pStyle w:val="14"/>
              <w:spacing w:line="240" w:lineRule="auto"/>
              <w:ind w:firstLine="562"/>
              <w:rPr>
                <w:rFonts w:hint="eastAsia" w:ascii="宋体" w:hAnsi="宋体" w:eastAsia="宋体" w:cs="宋体"/>
                <w:b w:val="0"/>
                <w:bCs w:val="0"/>
                <w:color w:val="000000" w:themeColor="text1"/>
                <w:kern w:val="0"/>
                <w:sz w:val="28"/>
                <w:szCs w:val="28"/>
                <w:highlight w:val="none"/>
                <w14:textFill>
                  <w14:solidFill>
                    <w14:schemeClr w14:val="tx1"/>
                  </w14:solidFill>
                </w14:textFill>
              </w:rPr>
            </w:pP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1.</w:t>
            </w:r>
            <w:r>
              <w:rPr>
                <w:rFonts w:hint="eastAsia" w:ascii="宋体" w:hAnsi="宋体" w:eastAsia="宋体" w:cs="宋体"/>
                <w:b/>
                <w:bCs/>
                <w:color w:val="000000" w:themeColor="text1"/>
                <w:kern w:val="0"/>
                <w:sz w:val="28"/>
                <w:szCs w:val="28"/>
                <w:highlight w:val="none"/>
                <w14:textFill>
                  <w14:solidFill>
                    <w14:schemeClr w14:val="tx1"/>
                  </w14:solidFill>
                </w14:textFill>
              </w:rPr>
              <w:t>传统工艺创新饰品。</w:t>
            </w:r>
            <w:r>
              <w:rPr>
                <w:rFonts w:hint="eastAsia" w:ascii="宋体" w:hAnsi="宋体" w:eastAsia="宋体" w:cs="宋体"/>
                <w:b w:val="0"/>
                <w:bCs w:val="0"/>
                <w:color w:val="000000" w:themeColor="text1"/>
                <w:kern w:val="0"/>
                <w:sz w:val="28"/>
                <w:szCs w:val="28"/>
                <w:highlight w:val="none"/>
                <w14:textFill>
                  <w14:solidFill>
                    <w14:schemeClr w14:val="tx1"/>
                  </w14:solidFill>
                </w14:textFill>
              </w:rPr>
              <w:t>强化錾刻、累丝、镶嵌等传统金属工艺传承，</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运用</w:t>
            </w:r>
            <w:r>
              <w:rPr>
                <w:rFonts w:hint="eastAsia" w:ascii="宋体" w:hAnsi="宋体" w:eastAsia="宋体" w:cs="宋体"/>
                <w:b w:val="0"/>
                <w:bCs w:val="0"/>
                <w:color w:val="000000" w:themeColor="text1"/>
                <w:kern w:val="0"/>
                <w:sz w:val="28"/>
                <w:szCs w:val="28"/>
                <w:highlight w:val="none"/>
                <w14:textFill>
                  <w14:solidFill>
                    <w14:schemeClr w14:val="tx1"/>
                  </w14:solidFill>
                </w14:textFill>
              </w:rPr>
              <w:t>3D打印蜡模、激光焊接等技术推动工艺升级，加快推进非遗技艺与现代技术融合。深度挖掘海陆丰红色文化、海洋文化、民俗文化等本土文化元素，开发设计“轻非遗”风格日常首饰</w:t>
            </w:r>
            <w:r>
              <w:rPr>
                <w:rFonts w:hint="eastAsia" w:ascii="宋体" w:hAnsi="宋体" w:eastAsia="宋体" w:cs="宋体"/>
                <w:b w:val="0"/>
                <w:bCs w:val="0"/>
                <w:color w:val="000000" w:themeColor="text1"/>
                <w:kern w:val="0"/>
                <w:sz w:val="28"/>
                <w:szCs w:val="28"/>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8"/>
                <w:szCs w:val="28"/>
                <w:highlight w:val="none"/>
                <w14:textFill>
                  <w14:solidFill>
                    <w14:schemeClr w14:val="tx1"/>
                  </w14:solidFill>
                </w14:textFill>
              </w:rPr>
              <w:t>婚嫁类饰品</w:t>
            </w:r>
            <w:r>
              <w:rPr>
                <w:rFonts w:hint="eastAsia" w:ascii="宋体" w:hAnsi="宋体" w:eastAsia="宋体" w:cs="宋体"/>
                <w:b w:val="0"/>
                <w:bCs w:val="0"/>
                <w:color w:val="000000" w:themeColor="text1"/>
                <w:kern w:val="0"/>
                <w:sz w:val="28"/>
                <w:szCs w:val="28"/>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8"/>
                <w:szCs w:val="28"/>
                <w:highlight w:val="none"/>
                <w14:textFill>
                  <w14:solidFill>
                    <w14:schemeClr w14:val="tx1"/>
                  </w14:solidFill>
                </w14:textFill>
              </w:rPr>
              <w:t>文创饰品。</w:t>
            </w:r>
          </w:p>
          <w:p>
            <w:pPr>
              <w:pStyle w:val="14"/>
              <w:spacing w:line="240" w:lineRule="auto"/>
              <w:ind w:firstLine="562"/>
              <w:rPr>
                <w:color w:val="000000" w:themeColor="text1"/>
                <w14:textFill>
                  <w14:solidFill>
                    <w14:schemeClr w14:val="tx1"/>
                  </w14:solidFill>
                </w14:textFill>
              </w:rPr>
            </w:pP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2.</w:t>
            </w:r>
            <w:r>
              <w:rPr>
                <w:rFonts w:hint="eastAsia" w:ascii="宋体" w:hAnsi="宋体" w:eastAsia="宋体" w:cs="宋体"/>
                <w:b/>
                <w:bCs/>
                <w:color w:val="000000" w:themeColor="text1"/>
                <w:kern w:val="0"/>
                <w:sz w:val="28"/>
                <w:szCs w:val="28"/>
                <w:highlight w:val="none"/>
                <w14:textFill>
                  <w14:solidFill>
                    <w14:schemeClr w14:val="tx1"/>
                  </w14:solidFill>
                </w14:textFill>
              </w:rPr>
              <w:t>探索发展功能性珠宝产品。</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推动</w:t>
            </w:r>
            <w:r>
              <w:rPr>
                <w:rFonts w:hint="eastAsia" w:ascii="宋体" w:hAnsi="宋体" w:eastAsia="宋体" w:cs="宋体"/>
                <w:b w:val="0"/>
                <w:bCs w:val="0"/>
                <w:color w:val="000000" w:themeColor="text1"/>
                <w:kern w:val="0"/>
                <w:sz w:val="28"/>
                <w:szCs w:val="28"/>
                <w:highlight w:val="none"/>
                <w14:textFill>
                  <w14:solidFill>
                    <w14:schemeClr w14:val="tx1"/>
                  </w14:solidFill>
                </w14:textFill>
              </w:rPr>
              <w:t>珠宝</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与</w:t>
            </w:r>
            <w:r>
              <w:rPr>
                <w:rFonts w:hint="eastAsia" w:ascii="宋体" w:hAnsi="宋体" w:eastAsia="宋体" w:cs="宋体"/>
                <w:b w:val="0"/>
                <w:bCs w:val="0"/>
                <w:color w:val="000000" w:themeColor="text1"/>
                <w:kern w:val="0"/>
                <w:sz w:val="28"/>
                <w:szCs w:val="28"/>
                <w:highlight w:val="none"/>
                <w14:textFill>
                  <w14:solidFill>
                    <w14:schemeClr w14:val="tx1"/>
                  </w14:solidFill>
                </w14:textFill>
              </w:rPr>
              <w:t>健康</w:t>
            </w:r>
            <w:r>
              <w:rPr>
                <w:rFonts w:hint="eastAsia" w:ascii="宋体" w:hAnsi="宋体" w:eastAsia="宋体" w:cs="宋体"/>
                <w:b w:val="0"/>
                <w:bCs w:val="0"/>
                <w:color w:val="000000" w:themeColor="text1"/>
                <w:kern w:val="0"/>
                <w:sz w:val="28"/>
                <w:szCs w:val="28"/>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8"/>
                <w:szCs w:val="28"/>
                <w:highlight w:val="none"/>
                <w14:textFill>
                  <w14:solidFill>
                    <w14:schemeClr w14:val="tx1"/>
                  </w14:solidFill>
                </w14:textFill>
              </w:rPr>
              <w:t>智能</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领域</w:t>
            </w:r>
            <w:r>
              <w:rPr>
                <w:rFonts w:hint="eastAsia" w:ascii="宋体" w:hAnsi="宋体" w:eastAsia="宋体" w:cs="宋体"/>
                <w:b w:val="0"/>
                <w:bCs w:val="0"/>
                <w:color w:val="000000" w:themeColor="text1"/>
                <w:kern w:val="0"/>
                <w:sz w:val="28"/>
                <w:szCs w:val="28"/>
                <w:highlight w:val="none"/>
                <w14:textFill>
                  <w14:solidFill>
                    <w14:schemeClr w14:val="tx1"/>
                  </w14:solidFill>
                </w14:textFill>
              </w:rPr>
              <w:t>跨界</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融合</w:t>
            </w:r>
            <w:r>
              <w:rPr>
                <w:rFonts w:hint="eastAsia" w:ascii="宋体" w:hAnsi="宋体" w:eastAsia="宋体" w:cs="宋体"/>
                <w:b w:val="0"/>
                <w:bCs w:val="0"/>
                <w:color w:val="000000" w:themeColor="text1"/>
                <w:kern w:val="0"/>
                <w:sz w:val="28"/>
                <w:szCs w:val="28"/>
                <w:highlight w:val="none"/>
                <w14:textFill>
                  <w14:solidFill>
                    <w14:schemeClr w14:val="tx1"/>
                  </w14:solidFill>
                </w14:textFill>
              </w:rPr>
              <w:t>，开发银饰内嵌远红外陶瓷片、黄金镶嵌砭石等养生</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类</w:t>
            </w:r>
            <w:r>
              <w:rPr>
                <w:rFonts w:hint="eastAsia" w:ascii="宋体" w:hAnsi="宋体" w:eastAsia="宋体" w:cs="宋体"/>
                <w:b w:val="0"/>
                <w:bCs w:val="0"/>
                <w:color w:val="000000" w:themeColor="text1"/>
                <w:kern w:val="0"/>
                <w:sz w:val="28"/>
                <w:szCs w:val="28"/>
                <w:highlight w:val="none"/>
                <w14:textFill>
                  <w14:solidFill>
                    <w14:schemeClr w14:val="tx1"/>
                  </w14:solidFill>
                </w14:textFill>
              </w:rPr>
              <w:t>珠宝</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制品</w:t>
            </w:r>
            <w:r>
              <w:rPr>
                <w:rFonts w:hint="eastAsia" w:ascii="宋体" w:hAnsi="宋体" w:eastAsia="宋体" w:cs="宋体"/>
                <w:b w:val="0"/>
                <w:bCs w:val="0"/>
                <w:color w:val="000000" w:themeColor="text1"/>
                <w:kern w:val="0"/>
                <w:sz w:val="28"/>
                <w:szCs w:val="28"/>
                <w:highlight w:val="none"/>
                <w14:textFill>
                  <w14:solidFill>
                    <w14:schemeClr w14:val="tx1"/>
                  </w14:solidFill>
                </w14:textFill>
              </w:rPr>
              <w:t>；</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加强</w:t>
            </w:r>
            <w:r>
              <w:rPr>
                <w:rFonts w:hint="eastAsia" w:ascii="宋体" w:hAnsi="宋体" w:eastAsia="宋体" w:cs="宋体"/>
                <w:b w:val="0"/>
                <w:bCs w:val="0"/>
                <w:color w:val="000000" w:themeColor="text1"/>
                <w:kern w:val="0"/>
                <w:sz w:val="28"/>
                <w:szCs w:val="28"/>
                <w:highlight w:val="none"/>
                <w14:textFill>
                  <w14:solidFill>
                    <w14:schemeClr w14:val="tx1"/>
                  </w14:solidFill>
                </w14:textFill>
              </w:rPr>
              <w:t>与</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电子信息领域的龙头</w:t>
            </w:r>
            <w:r>
              <w:rPr>
                <w:rFonts w:hint="eastAsia" w:ascii="宋体" w:hAnsi="宋体" w:eastAsia="宋体" w:cs="宋体"/>
                <w:b w:val="0"/>
                <w:bCs w:val="0"/>
                <w:color w:val="000000" w:themeColor="text1"/>
                <w:kern w:val="0"/>
                <w:sz w:val="28"/>
                <w:szCs w:val="28"/>
                <w:highlight w:val="none"/>
                <w14:textFill>
                  <w14:solidFill>
                    <w14:schemeClr w14:val="tx1"/>
                  </w14:solidFill>
                </w14:textFill>
              </w:rPr>
              <w:t>企业合作，试点</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研</w:t>
            </w:r>
            <w:r>
              <w:rPr>
                <w:rFonts w:hint="eastAsia" w:ascii="宋体" w:hAnsi="宋体" w:eastAsia="宋体" w:cs="宋体"/>
                <w:b w:val="0"/>
                <w:bCs w:val="0"/>
                <w:color w:val="000000" w:themeColor="text1"/>
                <w:kern w:val="0"/>
                <w:sz w:val="28"/>
                <w:szCs w:val="28"/>
                <w:highlight w:val="none"/>
                <w14:textFill>
                  <w14:solidFill>
                    <w14:schemeClr w14:val="tx1"/>
                  </w14:solidFill>
                </w14:textFill>
              </w:rPr>
              <w:t>发融合心率监测、睡眠监测等功能的智能珠宝，打造装饰</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与</w:t>
            </w:r>
            <w:r>
              <w:rPr>
                <w:rFonts w:hint="eastAsia" w:ascii="宋体" w:hAnsi="宋体" w:eastAsia="宋体" w:cs="宋体"/>
                <w:b w:val="0"/>
                <w:bCs w:val="0"/>
                <w:color w:val="000000" w:themeColor="text1"/>
                <w:kern w:val="0"/>
                <w:sz w:val="28"/>
                <w:szCs w:val="28"/>
                <w:highlight w:val="none"/>
                <w14:textFill>
                  <w14:solidFill>
                    <w14:schemeClr w14:val="tx1"/>
                  </w14:solidFill>
                </w14:textFill>
              </w:rPr>
              <w:t>智能健康</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相结合</w:t>
            </w:r>
            <w:r>
              <w:rPr>
                <w:rFonts w:hint="eastAsia" w:ascii="宋体" w:hAnsi="宋体" w:eastAsia="宋体" w:cs="宋体"/>
                <w:b w:val="0"/>
                <w:bCs w:val="0"/>
                <w:color w:val="000000" w:themeColor="text1"/>
                <w:kern w:val="0"/>
                <w:sz w:val="28"/>
                <w:szCs w:val="28"/>
                <w:highlight w:val="none"/>
                <w14:textFill>
                  <w14:solidFill>
                    <w14:schemeClr w14:val="tx1"/>
                  </w14:solidFill>
                </w14:textFill>
              </w:rPr>
              <w:t>的特色智能穿戴新品类。</w:t>
            </w:r>
          </w:p>
        </w:tc>
      </w:tr>
    </w:tbl>
    <w:p>
      <w:pPr>
        <w:pStyle w:val="5"/>
        <w:ind w:firstLine="643"/>
        <w:rPr>
          <w:rFonts w:hint="default" w:eastAsia="仿宋_GB2312"/>
          <w:color w:val="000000" w:themeColor="text1"/>
          <w:lang w:val="en-US" w:eastAsia="zh-CN"/>
          <w14:textFill>
            <w14:solidFill>
              <w14:schemeClr w14:val="tx1"/>
            </w14:solidFill>
          </w14:textFill>
        </w:rPr>
      </w:pPr>
      <w:bookmarkStart w:id="91" w:name="_Toc32462"/>
      <w:bookmarkStart w:id="92" w:name="_Toc25792"/>
      <w:bookmarkStart w:id="93" w:name="_Toc821"/>
      <w:bookmarkStart w:id="94" w:name="_Toc23635"/>
      <w:bookmarkStart w:id="95" w:name="_Toc18440"/>
      <w:bookmarkStart w:id="96" w:name="_Toc2891"/>
      <w:bookmarkStart w:id="97" w:name="_Toc1707"/>
      <w:bookmarkStart w:id="98" w:name="_Toc22288"/>
      <w:bookmarkStart w:id="99" w:name="_Toc4620"/>
      <w:bookmarkStart w:id="100" w:name="_Toc24363"/>
      <w:bookmarkStart w:id="101" w:name="_Toc19499"/>
      <w:r>
        <w:rPr>
          <w:rFonts w:hint="eastAsia"/>
          <w:color w:val="000000" w:themeColor="text1"/>
          <w14:textFill>
            <w14:solidFill>
              <w14:schemeClr w14:val="tx1"/>
            </w14:solidFill>
          </w14:textFill>
        </w:rPr>
        <w:t>3.纺织服装产业</w:t>
      </w:r>
      <w:bookmarkEnd w:id="91"/>
      <w:bookmarkEnd w:id="92"/>
      <w:bookmarkEnd w:id="93"/>
      <w:bookmarkEnd w:id="94"/>
      <w:bookmarkEnd w:id="95"/>
      <w:bookmarkEnd w:id="96"/>
      <w:bookmarkEnd w:id="97"/>
      <w:bookmarkEnd w:id="98"/>
      <w:bookmarkEnd w:id="99"/>
      <w:bookmarkEnd w:id="100"/>
      <w:bookmarkEnd w:id="101"/>
    </w:p>
    <w:p>
      <w:pPr>
        <w:ind w:firstLine="643"/>
        <w:rPr>
          <w:rFonts w:hint="eastAsia" w:ascii="仿宋_GB2312" w:hAnsi="仿宋_GB2312" w:cs="仿宋_GB2312"/>
          <w:bCs w:val="0"/>
          <w:color w:val="000000" w:themeColor="text1"/>
          <w:kern w:val="2"/>
          <w:sz w:val="32"/>
          <w:szCs w:val="24"/>
          <w:lang w:val="en-US" w:eastAsia="zh-CN" w:bidi="ar-SA"/>
          <w14:textFill>
            <w14:solidFill>
              <w14:schemeClr w14:val="tx1"/>
            </w14:solidFill>
          </w14:textFill>
        </w:rPr>
      </w:pPr>
      <w:r>
        <w:rPr>
          <w:rFonts w:hint="eastAsia" w:ascii="仿宋_GB2312" w:hAnsi="仿宋_GB2312" w:cs="仿宋_GB2312"/>
          <w:bCs w:val="0"/>
          <w:color w:val="000000" w:themeColor="text1"/>
          <w:kern w:val="2"/>
          <w:sz w:val="32"/>
          <w:szCs w:val="24"/>
          <w:lang w:val="en-US" w:eastAsia="zh-CN" w:bidi="ar-SA"/>
          <w14:textFill>
            <w14:solidFill>
              <w14:schemeClr w14:val="tx1"/>
            </w14:solidFill>
          </w14:textFill>
        </w:rPr>
        <w:t>重点围绕纤维新材料与纺织服装产业布局，攻坚纺织智造与面料工艺技术，补齐辅料配套短板、拓宽终端服饰品类，做强特色纺织产业集群、塑造区域产业名片。</w:t>
      </w:r>
    </w:p>
    <w:p>
      <w:pPr>
        <w:ind w:firstLine="64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到2030年，力争纺织服装产业产值达到100亿元。</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numPr>
                <w:ilvl w:val="0"/>
                <w:numId w:val="0"/>
              </w:numPr>
              <w:snapToGrid/>
              <w:spacing w:line="240" w:lineRule="auto"/>
              <w:ind w:firstLine="0" w:firstLineChars="0"/>
              <w:jc w:val="center"/>
              <w:rPr>
                <w:rFonts w:hint="default" w:ascii="Times New Roman" w:hAnsi="Times New Roman" w:eastAsia="黑体" w:cs="Times New Roman"/>
                <w:b w:val="0"/>
                <w:bCs w:val="0"/>
                <w:color w:val="000000" w:themeColor="text1"/>
                <w:kern w:val="0"/>
                <w:sz w:val="28"/>
                <w:szCs w:val="22"/>
                <w:highlight w:val="none"/>
                <w14:textFill>
                  <w14:solidFill>
                    <w14:schemeClr w14:val="tx1"/>
                  </w14:solidFill>
                </w14:textFill>
              </w:rPr>
            </w:pPr>
            <w:r>
              <w:rPr>
                <w:rFonts w:hint="default" w:ascii="Times New Roman" w:hAnsi="Times New Roman" w:eastAsia="黑体" w:cs="Times New Roman"/>
                <w:b w:val="0"/>
                <w:bCs w:val="0"/>
                <w:color w:val="000000" w:themeColor="text1"/>
                <w:kern w:val="0"/>
                <w:sz w:val="28"/>
                <w:szCs w:val="22"/>
                <w:highlight w:val="none"/>
                <w14:textFill>
                  <w14:solidFill>
                    <w14:schemeClr w14:val="tx1"/>
                  </w14:solidFill>
                </w14:textFill>
              </w:rPr>
              <w:t>专栏3 纺织服装产业细分领域</w:t>
            </w:r>
          </w:p>
          <w:p>
            <w:pPr>
              <w:pStyle w:val="14"/>
              <w:spacing w:line="240" w:lineRule="auto"/>
              <w:ind w:firstLine="562"/>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1.纤维和纺织品。</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围绕功能化高性能纤维新材料、高端用纤维及纺织品、前沿纤维新材料、纺织智能制造等重点领域，突破高档面料等工艺技术、纺织废弃物高值化回用工艺难点和堵点，加快提升高性能纤维的质量一致性和批次稳定性，提高织造、非织造与复合成型技术的应用。</w:t>
            </w:r>
          </w:p>
          <w:p>
            <w:pPr>
              <w:pStyle w:val="14"/>
              <w:spacing w:line="240" w:lineRule="auto"/>
              <w:ind w:firstLine="562"/>
              <w:rPr>
                <w:color w:val="000000" w:themeColor="text1"/>
                <w14:textFill>
                  <w14:solidFill>
                    <w14:schemeClr w14:val="tx1"/>
                  </w14:solidFill>
                </w14:textFill>
              </w:rPr>
            </w:pP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2.</w:t>
            </w:r>
            <w:r>
              <w:rPr>
                <w:rFonts w:hint="default" w:ascii="宋体" w:hAnsi="宋体" w:eastAsia="宋体" w:cs="宋体"/>
                <w:b/>
                <w:bCs/>
                <w:color w:val="000000" w:themeColor="text1"/>
                <w:kern w:val="0"/>
                <w:sz w:val="28"/>
                <w:szCs w:val="28"/>
                <w:highlight w:val="none"/>
                <w:lang w:val="en-US" w:eastAsia="zh-CN"/>
                <w14:textFill>
                  <w14:solidFill>
                    <w14:schemeClr w14:val="tx1"/>
                  </w14:solidFill>
                </w14:textFill>
              </w:rPr>
              <w:t>纺织服装及服饰</w:t>
            </w: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w:t>
            </w:r>
            <w:r>
              <w:rPr>
                <w:rFonts w:hint="eastAsia" w:ascii="宋体" w:hAnsi="宋体" w:eastAsia="宋体" w:cs="宋体"/>
                <w:color w:val="000000" w:themeColor="text1"/>
                <w:kern w:val="0"/>
                <w:sz w:val="28"/>
                <w:szCs w:val="28"/>
                <w:highlight w:val="none"/>
                <w14:textFill>
                  <w14:solidFill>
                    <w14:schemeClr w14:val="tx1"/>
                  </w14:solidFill>
                </w14:textFill>
              </w:rPr>
              <w:t>深耕拉链、制线等服装辅料配套细分赛道，完善上下游配套体系</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；重点发展西服、童装、体育运动服装、时尚女装、内衣、家居服、针织品、丝织品、老年服装、特种服装等服装品类，培育壮大“汕尾织造”区域公共品牌。</w:t>
            </w:r>
          </w:p>
        </w:tc>
      </w:tr>
    </w:tbl>
    <w:p>
      <w:pPr>
        <w:pStyle w:val="5"/>
        <w:ind w:firstLine="643"/>
        <w:rPr>
          <w:color w:val="000000" w:themeColor="text1"/>
          <w14:textFill>
            <w14:solidFill>
              <w14:schemeClr w14:val="tx1"/>
            </w14:solidFill>
          </w14:textFill>
        </w:rPr>
      </w:pPr>
      <w:bookmarkStart w:id="102" w:name="_Toc31619"/>
      <w:bookmarkStart w:id="103" w:name="_Toc3836"/>
      <w:bookmarkStart w:id="104" w:name="_Toc13384"/>
      <w:bookmarkStart w:id="105" w:name="_Toc26165"/>
      <w:bookmarkStart w:id="106" w:name="_Toc3857"/>
      <w:bookmarkStart w:id="107" w:name="_Toc8161"/>
      <w:bookmarkStart w:id="108" w:name="_Toc6353"/>
      <w:bookmarkStart w:id="109" w:name="_Toc28953"/>
      <w:bookmarkStart w:id="110" w:name="_Toc8870"/>
      <w:bookmarkStart w:id="111" w:name="_Toc22982"/>
      <w:bookmarkStart w:id="112" w:name="_Toc14858"/>
      <w:r>
        <w:rPr>
          <w:rFonts w:hint="eastAsia"/>
          <w:color w:val="000000" w:themeColor="text1"/>
          <w14:textFill>
            <w14:solidFill>
              <w14:schemeClr w14:val="tx1"/>
            </w14:solidFill>
          </w14:textFill>
        </w:rPr>
        <w:t>4.五金配件产业</w:t>
      </w:r>
      <w:bookmarkEnd w:id="102"/>
      <w:bookmarkEnd w:id="103"/>
      <w:bookmarkEnd w:id="104"/>
      <w:bookmarkEnd w:id="105"/>
      <w:bookmarkEnd w:id="106"/>
      <w:bookmarkEnd w:id="107"/>
      <w:bookmarkEnd w:id="108"/>
      <w:bookmarkEnd w:id="109"/>
      <w:bookmarkEnd w:id="110"/>
      <w:bookmarkEnd w:id="111"/>
      <w:bookmarkEnd w:id="112"/>
    </w:p>
    <w:p>
      <w:pPr>
        <w:ind w:firstLine="643"/>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重点聚焦建筑五金、精密工具、新能源配套五金及五金电镀领域，丰富高端五金产品体系，延伸精密加工产业链条，全面提升五金产业发展水平。</w:t>
      </w:r>
    </w:p>
    <w:p>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到2030年，力争五金产业产值达到100亿元。</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numPr>
                <w:ilvl w:val="0"/>
                <w:numId w:val="0"/>
              </w:numPr>
              <w:snapToGrid/>
              <w:spacing w:line="240" w:lineRule="auto"/>
              <w:ind w:firstLine="0" w:firstLineChars="0"/>
              <w:jc w:val="center"/>
              <w:rPr>
                <w:rFonts w:hint="default" w:eastAsia="黑体"/>
                <w:b w:val="0"/>
                <w:bCs w:val="0"/>
                <w:color w:val="000000" w:themeColor="text1"/>
                <w:kern w:val="0"/>
                <w:sz w:val="28"/>
                <w:szCs w:val="22"/>
                <w:highlight w:val="none"/>
                <w14:textFill>
                  <w14:solidFill>
                    <w14:schemeClr w14:val="tx1"/>
                  </w14:solidFill>
                </w14:textFill>
              </w:rPr>
            </w:pPr>
            <w:r>
              <w:rPr>
                <w:rFonts w:hint="default" w:eastAsia="黑体"/>
                <w:b w:val="0"/>
                <w:bCs w:val="0"/>
                <w:color w:val="000000" w:themeColor="text1"/>
                <w:kern w:val="0"/>
                <w:sz w:val="28"/>
                <w:szCs w:val="22"/>
                <w:highlight w:val="none"/>
                <w14:textFill>
                  <w14:solidFill>
                    <w14:schemeClr w14:val="tx1"/>
                  </w14:solidFill>
                </w14:textFill>
              </w:rPr>
              <w:t>专栏4 五金产业细分领域</w:t>
            </w:r>
          </w:p>
          <w:p>
            <w:pPr>
              <w:snapToGrid w:val="0"/>
              <w:spacing w:line="240" w:lineRule="auto"/>
              <w:ind w:firstLine="643"/>
              <w:rPr>
                <w:rFonts w:hint="eastAsia" w:asciiTheme="minorEastAsia" w:hAnsiTheme="minorEastAsia" w:eastAsiaTheme="minorEastAsia" w:cstheme="minorEastAsia"/>
                <w:b/>
                <w:bCs/>
                <w:color w:val="000000" w:themeColor="text1"/>
                <w:sz w:val="28"/>
                <w:szCs w:val="22"/>
                <w14:textFill>
                  <w14:solidFill>
                    <w14:schemeClr w14:val="tx1"/>
                  </w14:solidFill>
                </w14:textFill>
              </w:rPr>
            </w:pPr>
            <w:r>
              <w:rPr>
                <w:rFonts w:hint="eastAsia" w:asciiTheme="minorEastAsia" w:hAnsiTheme="minorEastAsia" w:eastAsiaTheme="minorEastAsia" w:cstheme="minorEastAsia"/>
                <w:b/>
                <w:bCs/>
                <w:color w:val="000000" w:themeColor="text1"/>
                <w:sz w:val="28"/>
                <w:szCs w:val="22"/>
                <w:lang w:val="en-US" w:eastAsia="zh-CN"/>
                <w14:textFill>
                  <w14:solidFill>
                    <w14:schemeClr w14:val="tx1"/>
                  </w14:solidFill>
                </w14:textFill>
              </w:rPr>
              <w:t>1.</w:t>
            </w:r>
            <w:r>
              <w:rPr>
                <w:rFonts w:hint="eastAsia" w:asciiTheme="minorEastAsia" w:hAnsiTheme="minorEastAsia" w:eastAsiaTheme="minorEastAsia" w:cstheme="minorEastAsia"/>
                <w:b/>
                <w:bCs/>
                <w:color w:val="000000" w:themeColor="text1"/>
                <w:sz w:val="28"/>
                <w:szCs w:val="22"/>
                <w14:textFill>
                  <w14:solidFill>
                    <w14:schemeClr w14:val="tx1"/>
                  </w14:solidFill>
                </w14:textFill>
              </w:rPr>
              <w:t>高端建筑五金</w:t>
            </w:r>
            <w:r>
              <w:rPr>
                <w:rFonts w:hint="eastAsia" w:asciiTheme="minorEastAsia" w:hAnsiTheme="minorEastAsia" w:eastAsiaTheme="minorEastAsia" w:cstheme="minorEastAsia"/>
                <w:b/>
                <w:bCs/>
                <w:color w:val="000000" w:themeColor="text1"/>
                <w:sz w:val="28"/>
                <w:szCs w:val="22"/>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22"/>
                <w14:textFill>
                  <w14:solidFill>
                    <w14:schemeClr w14:val="tx1"/>
                  </w14:solidFill>
                </w14:textFill>
              </w:rPr>
              <w:t>重点发展节能铝合金门窗五金、抗震建筑连接件、智能门锁及装配式建筑预埋五金</w:t>
            </w:r>
            <w:r>
              <w:rPr>
                <w:rFonts w:hint="eastAsia" w:asciiTheme="minorEastAsia" w:hAnsiTheme="minorEastAsia" w:eastAsiaTheme="minorEastAsia" w:cstheme="minorEastAsia"/>
                <w:color w:val="000000" w:themeColor="text1"/>
                <w:sz w:val="28"/>
                <w:szCs w:val="22"/>
                <w:lang w:val="en-US" w:eastAsia="zh-CN"/>
                <w14:textFill>
                  <w14:solidFill>
                    <w14:schemeClr w14:val="tx1"/>
                  </w14:solidFill>
                </w14:textFill>
              </w:rPr>
              <w:t>等</w:t>
            </w:r>
            <w:r>
              <w:rPr>
                <w:rFonts w:hint="eastAsia" w:asciiTheme="minorEastAsia" w:hAnsiTheme="minorEastAsia" w:eastAsiaTheme="minorEastAsia" w:cstheme="minorEastAsia"/>
                <w:color w:val="000000" w:themeColor="text1"/>
                <w:sz w:val="28"/>
                <w:szCs w:val="22"/>
                <w14:textFill>
                  <w14:solidFill>
                    <w14:schemeClr w14:val="tx1"/>
                  </w14:solidFill>
                </w14:textFill>
              </w:rPr>
              <w:t>。</w:t>
            </w:r>
          </w:p>
          <w:p>
            <w:pPr>
              <w:snapToGrid w:val="0"/>
              <w:spacing w:line="240" w:lineRule="auto"/>
              <w:ind w:firstLine="643"/>
              <w:rPr>
                <w:rFonts w:hint="eastAsia" w:asciiTheme="minorEastAsia" w:hAnsiTheme="minorEastAsia" w:eastAsiaTheme="minorEastAsia" w:cstheme="minorEastAsia"/>
                <w:b/>
                <w:bCs/>
                <w:color w:val="000000" w:themeColor="text1"/>
                <w:sz w:val="28"/>
                <w:szCs w:val="22"/>
                <w14:textFill>
                  <w14:solidFill>
                    <w14:schemeClr w14:val="tx1"/>
                  </w14:solidFill>
                </w14:textFill>
              </w:rPr>
            </w:pPr>
            <w:r>
              <w:rPr>
                <w:rFonts w:hint="eastAsia" w:asciiTheme="minorEastAsia" w:hAnsiTheme="minorEastAsia" w:eastAsiaTheme="minorEastAsia" w:cstheme="minorEastAsia"/>
                <w:b/>
                <w:bCs/>
                <w:color w:val="000000" w:themeColor="text1"/>
                <w:sz w:val="28"/>
                <w:szCs w:val="22"/>
                <w:lang w:val="en-US" w:eastAsia="zh-CN"/>
                <w14:textFill>
                  <w14:solidFill>
                    <w14:schemeClr w14:val="tx1"/>
                  </w14:solidFill>
                </w14:textFill>
              </w:rPr>
              <w:t>2.</w:t>
            </w:r>
            <w:r>
              <w:rPr>
                <w:rFonts w:hint="eastAsia" w:asciiTheme="minorEastAsia" w:hAnsiTheme="minorEastAsia" w:eastAsiaTheme="minorEastAsia" w:cstheme="minorEastAsia"/>
                <w:b/>
                <w:bCs/>
                <w:color w:val="000000" w:themeColor="text1"/>
                <w:sz w:val="28"/>
                <w:szCs w:val="22"/>
                <w:lang w:eastAsia="zh-CN"/>
                <w14:textFill>
                  <w14:solidFill>
                    <w14:schemeClr w14:val="tx1"/>
                  </w14:solidFill>
                </w14:textFill>
              </w:rPr>
              <w:t>精密</w:t>
            </w:r>
            <w:r>
              <w:rPr>
                <w:rFonts w:hint="eastAsia" w:asciiTheme="minorEastAsia" w:hAnsiTheme="minorEastAsia" w:eastAsiaTheme="minorEastAsia" w:cstheme="minorEastAsia"/>
                <w:b/>
                <w:bCs/>
                <w:color w:val="000000" w:themeColor="text1"/>
                <w:sz w:val="28"/>
                <w:szCs w:val="22"/>
                <w14:textFill>
                  <w14:solidFill>
                    <w14:schemeClr w14:val="tx1"/>
                  </w14:solidFill>
                </w14:textFill>
              </w:rPr>
              <w:t>工具五金</w:t>
            </w:r>
            <w:r>
              <w:rPr>
                <w:rFonts w:hint="eastAsia" w:asciiTheme="minorEastAsia" w:hAnsiTheme="minorEastAsia" w:eastAsiaTheme="minorEastAsia" w:cstheme="minorEastAsia"/>
                <w:color w:val="000000" w:themeColor="text1"/>
                <w:sz w:val="28"/>
                <w:szCs w:val="22"/>
                <w14:textFill>
                  <w14:solidFill>
                    <w14:schemeClr w14:val="tx1"/>
                  </w14:solidFill>
                </w14:textFill>
              </w:rPr>
              <w:t>。重点发展高精度切削刀具、数控装备功能部件及工业测量工具等。</w:t>
            </w:r>
          </w:p>
          <w:p>
            <w:pPr>
              <w:snapToGrid w:val="0"/>
              <w:spacing w:line="240" w:lineRule="auto"/>
              <w:ind w:firstLine="643"/>
              <w:rPr>
                <w:rFonts w:hint="eastAsia" w:asciiTheme="minorEastAsia" w:hAnsiTheme="minorEastAsia" w:eastAsiaTheme="minorEastAsia" w:cstheme="minorEastAsia"/>
                <w:color w:val="000000" w:themeColor="text1"/>
                <w:sz w:val="28"/>
                <w:szCs w:val="22"/>
                <w14:textFill>
                  <w14:solidFill>
                    <w14:schemeClr w14:val="tx1"/>
                  </w14:solidFill>
                </w14:textFill>
              </w:rPr>
            </w:pPr>
            <w:r>
              <w:rPr>
                <w:rFonts w:hint="eastAsia" w:asciiTheme="minorEastAsia" w:hAnsiTheme="minorEastAsia" w:eastAsiaTheme="minorEastAsia" w:cstheme="minorEastAsia"/>
                <w:b/>
                <w:bCs/>
                <w:color w:val="000000" w:themeColor="text1"/>
                <w:sz w:val="28"/>
                <w:szCs w:val="22"/>
                <w:lang w:val="en-US" w:eastAsia="zh-CN"/>
                <w14:textFill>
                  <w14:solidFill>
                    <w14:schemeClr w14:val="tx1"/>
                  </w14:solidFill>
                </w14:textFill>
              </w:rPr>
              <w:t>3.</w:t>
            </w:r>
            <w:r>
              <w:rPr>
                <w:rFonts w:hint="eastAsia" w:asciiTheme="minorEastAsia" w:hAnsiTheme="minorEastAsia" w:eastAsiaTheme="minorEastAsia" w:cstheme="minorEastAsia"/>
                <w:b/>
                <w:bCs/>
                <w:color w:val="000000" w:themeColor="text1"/>
                <w:sz w:val="28"/>
                <w:szCs w:val="22"/>
                <w14:textFill>
                  <w14:solidFill>
                    <w14:schemeClr w14:val="tx1"/>
                  </w14:solidFill>
                </w14:textFill>
              </w:rPr>
              <w:t>新能源五金配套</w:t>
            </w:r>
            <w:r>
              <w:rPr>
                <w:rFonts w:hint="eastAsia" w:asciiTheme="minorEastAsia" w:hAnsiTheme="minorEastAsia" w:eastAsiaTheme="minorEastAsia" w:cstheme="minorEastAsia"/>
                <w:color w:val="000000" w:themeColor="text1"/>
                <w:sz w:val="28"/>
                <w:szCs w:val="22"/>
                <w14:textFill>
                  <w14:solidFill>
                    <w14:schemeClr w14:val="tx1"/>
                  </w14:solidFill>
                </w14:textFill>
              </w:rPr>
              <w:t>。加快发展风电塔筒高强度紧固件、光伏支架铝合金连接件、储能电池箱体五金件及充电桩精密结构件</w:t>
            </w:r>
            <w:r>
              <w:rPr>
                <w:rFonts w:hint="eastAsia" w:asciiTheme="minorEastAsia" w:hAnsiTheme="minorEastAsia" w:eastAsiaTheme="minorEastAsia" w:cstheme="minorEastAsia"/>
                <w:color w:val="000000" w:themeColor="text1"/>
                <w:sz w:val="28"/>
                <w:szCs w:val="22"/>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22"/>
                <w14:textFill>
                  <w14:solidFill>
                    <w14:schemeClr w14:val="tx1"/>
                  </w14:solidFill>
                </w14:textFill>
              </w:rPr>
              <w:t>推动“原材料—精密加工—整机配套”链条延伸，支持合作开发定制化产品</w:t>
            </w:r>
            <w:r>
              <w:rPr>
                <w:rFonts w:hint="eastAsia" w:asciiTheme="minorEastAsia" w:hAnsiTheme="minorEastAsia" w:eastAsiaTheme="minorEastAsia" w:cstheme="minorEastAsia"/>
                <w:color w:val="000000" w:themeColor="text1"/>
                <w:sz w:val="28"/>
                <w:szCs w:val="22"/>
                <w:lang w:eastAsia="zh-CN"/>
                <w14:textFill>
                  <w14:solidFill>
                    <w14:schemeClr w14:val="tx1"/>
                  </w14:solidFill>
                </w14:textFill>
              </w:rPr>
              <w:t>。承接深莞新能源零部件</w:t>
            </w:r>
            <w:r>
              <w:rPr>
                <w:rFonts w:hint="eastAsia" w:asciiTheme="minorEastAsia" w:hAnsiTheme="minorEastAsia" w:eastAsiaTheme="minorEastAsia" w:cstheme="minorEastAsia"/>
                <w:color w:val="000000" w:themeColor="text1"/>
                <w:sz w:val="28"/>
                <w:szCs w:val="22"/>
                <w:lang w:val="en-US" w:eastAsia="zh-CN"/>
                <w14:textFill>
                  <w14:solidFill>
                    <w14:schemeClr w14:val="tx1"/>
                  </w14:solidFill>
                </w14:textFill>
              </w:rPr>
              <w:t>五金配套</w:t>
            </w:r>
            <w:r>
              <w:rPr>
                <w:rFonts w:hint="eastAsia" w:asciiTheme="minorEastAsia" w:hAnsiTheme="minorEastAsia" w:eastAsiaTheme="minorEastAsia" w:cstheme="minorEastAsia"/>
                <w:color w:val="000000" w:themeColor="text1"/>
                <w:sz w:val="28"/>
                <w:szCs w:val="22"/>
                <w:lang w:eastAsia="zh-CN"/>
                <w14:textFill>
                  <w14:solidFill>
                    <w14:schemeClr w14:val="tx1"/>
                  </w14:solidFill>
                </w14:textFill>
              </w:rPr>
              <w:t>企业有序转移，</w:t>
            </w:r>
            <w:r>
              <w:rPr>
                <w:rFonts w:hint="eastAsia" w:asciiTheme="minorEastAsia" w:hAnsiTheme="minorEastAsia" w:eastAsiaTheme="minorEastAsia" w:cstheme="minorEastAsia"/>
                <w:color w:val="000000" w:themeColor="text1"/>
                <w:sz w:val="28"/>
                <w:szCs w:val="22"/>
                <w14:textFill>
                  <w14:solidFill>
                    <w14:schemeClr w14:val="tx1"/>
                  </w14:solidFill>
                </w14:textFill>
              </w:rPr>
              <w:t>引入真空渗氮、搅拌摩擦焊等先进工艺</w:t>
            </w:r>
            <w:r>
              <w:rPr>
                <w:rFonts w:hint="eastAsia" w:asciiTheme="minorEastAsia" w:hAnsiTheme="minorEastAsia" w:eastAsiaTheme="minorEastAsia" w:cstheme="minorEastAsia"/>
                <w:color w:val="000000" w:themeColor="text1"/>
                <w:sz w:val="28"/>
                <w:szCs w:val="22"/>
                <w:lang w:eastAsia="zh-CN"/>
                <w14:textFill>
                  <w14:solidFill>
                    <w14:schemeClr w14:val="tx1"/>
                  </w14:solidFill>
                </w14:textFill>
              </w:rPr>
              <w:t>，提升产品附加值和本地配套率。</w:t>
            </w:r>
          </w:p>
          <w:p>
            <w:pPr>
              <w:snapToGrid w:val="0"/>
              <w:spacing w:line="240" w:lineRule="auto"/>
              <w:ind w:firstLine="643"/>
              <w:rPr>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sz w:val="28"/>
                <w:szCs w:val="22"/>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8"/>
                <w:szCs w:val="22"/>
                <w14:textFill>
                  <w14:solidFill>
                    <w14:schemeClr w14:val="tx1"/>
                  </w14:solidFill>
                </w14:textFill>
              </w:rPr>
              <w:t>五金配件电镀</w:t>
            </w:r>
            <w:r>
              <w:rPr>
                <w:rFonts w:hint="eastAsia" w:asciiTheme="minorEastAsia" w:hAnsiTheme="minorEastAsia" w:eastAsiaTheme="minorEastAsia" w:cstheme="minorEastAsia"/>
                <w:color w:val="000000" w:themeColor="text1"/>
                <w:sz w:val="28"/>
                <w:szCs w:val="22"/>
                <w14:textFill>
                  <w14:solidFill>
                    <w14:schemeClr w14:val="tx1"/>
                  </w14:solidFill>
                </w14:textFill>
              </w:rPr>
              <w:t>。推进</w:t>
            </w:r>
            <w:r>
              <w:rPr>
                <w:rFonts w:hint="eastAsia" w:asciiTheme="minorEastAsia" w:hAnsiTheme="minorEastAsia" w:eastAsiaTheme="minorEastAsia" w:cstheme="minorEastAsia"/>
                <w:color w:val="000000" w:themeColor="text1"/>
                <w:sz w:val="28"/>
                <w:szCs w:val="22"/>
                <w:lang w:val="en-US" w:eastAsia="zh-CN"/>
                <w14:textFill>
                  <w14:solidFill>
                    <w14:schemeClr w14:val="tx1"/>
                  </w14:solidFill>
                </w14:textFill>
              </w:rPr>
              <w:t>汕尾陆丰产业园三甲五金产业片区</w:t>
            </w:r>
            <w:r>
              <w:rPr>
                <w:rFonts w:hint="eastAsia" w:asciiTheme="minorEastAsia" w:hAnsiTheme="minorEastAsia" w:eastAsiaTheme="minorEastAsia" w:cstheme="minorEastAsia"/>
                <w:color w:val="000000" w:themeColor="text1"/>
                <w:sz w:val="28"/>
                <w:szCs w:val="22"/>
                <w14:textFill>
                  <w14:solidFill>
                    <w14:schemeClr w14:val="tx1"/>
                  </w14:solidFill>
                </w14:textFill>
              </w:rPr>
              <w:t>及电镀万洋众创城建设，整合甲子、甲东、甲西三镇资源，打造研发科创、电镀生产、物流配套一体化园区</w:t>
            </w:r>
            <w:r>
              <w:rPr>
                <w:rFonts w:hint="eastAsia" w:asciiTheme="minorEastAsia" w:hAnsiTheme="minorEastAsia" w:eastAsiaTheme="minorEastAsia" w:cstheme="minorEastAsia"/>
                <w:color w:val="000000" w:themeColor="text1"/>
                <w:sz w:val="28"/>
                <w:szCs w:val="22"/>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依托“</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三甲</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”电镀许可资质，</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主动对接</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大湾区外溢</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电镀企业，精准引进一批优质五金电镀项目。</w:t>
            </w:r>
          </w:p>
        </w:tc>
      </w:tr>
    </w:tbl>
    <w:p>
      <w:pPr>
        <w:pStyle w:val="4"/>
        <w:ind w:firstLine="643"/>
        <w:rPr>
          <w:color w:val="000000" w:themeColor="text1"/>
          <w14:textFill>
            <w14:solidFill>
              <w14:schemeClr w14:val="tx1"/>
            </w14:solidFill>
          </w14:textFill>
        </w:rPr>
      </w:pPr>
      <w:bookmarkStart w:id="113" w:name="_Toc14884"/>
      <w:bookmarkStart w:id="114" w:name="_Toc30596"/>
      <w:bookmarkStart w:id="115" w:name="_Toc21993"/>
      <w:bookmarkStart w:id="116" w:name="_Toc1510"/>
      <w:bookmarkStart w:id="117" w:name="_Toc6270"/>
      <w:bookmarkStart w:id="118" w:name="_Toc21815"/>
      <w:bookmarkStart w:id="119" w:name="_Toc22252"/>
      <w:bookmarkStart w:id="120" w:name="_Toc16554"/>
      <w:bookmarkStart w:id="121" w:name="_Toc14963"/>
      <w:bookmarkStart w:id="122" w:name="_Toc15639"/>
      <w:bookmarkStart w:id="123" w:name="_Toc30650"/>
      <w:r>
        <w:rPr>
          <w:rFonts w:hint="eastAsia"/>
          <w:color w:val="000000" w:themeColor="text1"/>
          <w14:textFill>
            <w14:solidFill>
              <w14:schemeClr w14:val="tx1"/>
            </w14:solidFill>
          </w14:textFill>
        </w:rPr>
        <w:t>（二）</w:t>
      </w:r>
      <w:r>
        <w:rPr>
          <w:rFonts w:ascii="Times New Roman" w:hAnsi="Times New Roman" w:eastAsia="楷体_GB2312" w:cs="Times New Roman"/>
          <w:color w:val="000000" w:themeColor="text1"/>
          <w14:textFill>
            <w14:solidFill>
              <w14:schemeClr w14:val="tx1"/>
            </w14:solidFill>
          </w14:textFill>
        </w:rPr>
        <w:t>培育壮大新兴产业</w:t>
      </w:r>
      <w:bookmarkEnd w:id="113"/>
      <w:bookmarkEnd w:id="114"/>
      <w:bookmarkEnd w:id="115"/>
      <w:bookmarkEnd w:id="116"/>
      <w:bookmarkEnd w:id="117"/>
      <w:bookmarkEnd w:id="118"/>
      <w:bookmarkEnd w:id="119"/>
      <w:bookmarkEnd w:id="120"/>
      <w:bookmarkEnd w:id="121"/>
      <w:bookmarkEnd w:id="122"/>
      <w:bookmarkEnd w:id="123"/>
    </w:p>
    <w:p>
      <w:pPr>
        <w:pStyle w:val="5"/>
        <w:ind w:firstLine="643"/>
        <w:rPr>
          <w:color w:val="000000" w:themeColor="text1"/>
          <w14:textFill>
            <w14:solidFill>
              <w14:schemeClr w14:val="tx1"/>
            </w14:solidFill>
          </w14:textFill>
        </w:rPr>
      </w:pPr>
      <w:bookmarkStart w:id="124" w:name="_Toc30882"/>
      <w:bookmarkStart w:id="125" w:name="_Toc16062"/>
      <w:bookmarkStart w:id="126" w:name="_Toc29915"/>
      <w:bookmarkStart w:id="127" w:name="_Toc1739"/>
      <w:bookmarkStart w:id="128" w:name="_Toc14443"/>
      <w:bookmarkStart w:id="129" w:name="_Toc13040"/>
      <w:bookmarkStart w:id="130" w:name="_Toc13085"/>
      <w:bookmarkStart w:id="131" w:name="_Toc15077"/>
      <w:bookmarkStart w:id="132" w:name="_Toc14474"/>
      <w:bookmarkStart w:id="133" w:name="_Toc11569"/>
      <w:bookmarkStart w:id="134" w:name="_Toc918"/>
      <w:r>
        <w:rPr>
          <w:rFonts w:hint="eastAsia"/>
          <w:color w:val="000000" w:themeColor="text1"/>
          <w14:textFill>
            <w14:solidFill>
              <w14:schemeClr w14:val="tx1"/>
            </w14:solidFill>
          </w14:textFill>
        </w:rPr>
        <w:t>5.新能源汽车产业</w:t>
      </w:r>
      <w:bookmarkEnd w:id="124"/>
      <w:bookmarkEnd w:id="125"/>
      <w:bookmarkEnd w:id="126"/>
      <w:bookmarkEnd w:id="127"/>
      <w:bookmarkEnd w:id="128"/>
      <w:bookmarkEnd w:id="129"/>
      <w:bookmarkEnd w:id="130"/>
      <w:bookmarkEnd w:id="131"/>
      <w:bookmarkEnd w:id="132"/>
      <w:bookmarkEnd w:id="133"/>
      <w:bookmarkEnd w:id="134"/>
    </w:p>
    <w:p>
      <w:pPr>
        <w:ind w:firstLine="640"/>
        <w:rPr>
          <w:rFonts w:hint="eastAsia" w:ascii="Times New Roman" w:hAnsi="Times New Roman"/>
          <w:color w:val="000000" w:themeColor="text1"/>
          <w:sz w:val="32"/>
          <w14:textFill>
            <w14:solidFill>
              <w14:schemeClr w14:val="tx1"/>
            </w14:solidFill>
          </w14:textFill>
        </w:rPr>
      </w:pPr>
      <w:r>
        <w:rPr>
          <w:rFonts w:hint="eastAsia" w:ascii="Times New Roman" w:hAnsi="Times New Roman"/>
          <w:color w:val="000000" w:themeColor="text1"/>
          <w:sz w:val="32"/>
          <w14:textFill>
            <w14:solidFill>
              <w14:schemeClr w14:val="tx1"/>
            </w14:solidFill>
          </w14:textFill>
        </w:rPr>
        <w:t>壮大汽车零部件配套体系，深耕新能源商用车与专用车细分赛道，攻坚“三电”核心系统关键技术，拓展“三智”前沿领域融合应用，引导新能源汽车产业向规模化、高端化、智能化、绿色化转型。</w:t>
      </w:r>
    </w:p>
    <w:p>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到2030年，力争新能源汽车产业产值达1000亿元。</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widowControl/>
              <w:numPr>
                <w:ilvl w:val="0"/>
                <w:numId w:val="0"/>
              </w:numPr>
              <w:suppressLineNumbers w:val="0"/>
              <w:snapToGrid/>
              <w:spacing w:line="240" w:lineRule="auto"/>
              <w:ind w:firstLine="0" w:firstLineChars="0"/>
              <w:jc w:val="center"/>
              <w:rPr>
                <w:rFonts w:hint="default" w:eastAsia="黑体"/>
                <w:b w:val="0"/>
                <w:bCs w:val="0"/>
                <w:color w:val="000000" w:themeColor="text1"/>
                <w:kern w:val="0"/>
                <w:sz w:val="28"/>
                <w:szCs w:val="22"/>
                <w:highlight w:val="none"/>
                <w14:textFill>
                  <w14:solidFill>
                    <w14:schemeClr w14:val="tx1"/>
                  </w14:solidFill>
                </w14:textFill>
              </w:rPr>
            </w:pPr>
            <w:r>
              <w:rPr>
                <w:rFonts w:hint="default" w:eastAsia="黑体"/>
                <w:b w:val="0"/>
                <w:bCs w:val="0"/>
                <w:color w:val="000000" w:themeColor="text1"/>
                <w:kern w:val="0"/>
                <w:sz w:val="28"/>
                <w:szCs w:val="22"/>
                <w:highlight w:val="none"/>
                <w14:textFill>
                  <w14:solidFill>
                    <w14:schemeClr w14:val="tx1"/>
                  </w14:solidFill>
                </w14:textFill>
              </w:rPr>
              <w:t>专栏5 新能源汽车产业细分领域</w:t>
            </w:r>
          </w:p>
          <w:p>
            <w:pPr>
              <w:pStyle w:val="14"/>
              <w:keepNext w:val="0"/>
              <w:keepLines w:val="0"/>
              <w:widowControl/>
              <w:suppressLineNumbers w:val="0"/>
              <w:spacing w:line="240" w:lineRule="auto"/>
              <w:ind w:firstLine="562"/>
              <w:jc w:val="left"/>
              <w:rPr>
                <w:rFonts w:hint="eastAsia" w:ascii="宋体" w:hAnsi="宋体" w:eastAsia="宋体" w:cs="宋体"/>
                <w:color w:val="000000" w:themeColor="text1"/>
                <w:kern w:val="0"/>
                <w:sz w:val="28"/>
                <w:szCs w:val="28"/>
                <w:highlight w:val="none"/>
                <w14:textFill>
                  <w14:solidFill>
                    <w14:schemeClr w14:val="tx1"/>
                  </w14:solidFill>
                </w14:textFill>
              </w:rPr>
            </w:pP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1.汽车零部件。</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依托红海湾绿色制造产业园，加快KD件生产线扩产升级，打造面向全球</w:t>
            </w:r>
            <w:r>
              <w:rPr>
                <w:rFonts w:hint="eastAsia" w:ascii="宋体" w:hAnsi="宋体" w:eastAsia="宋体" w:cs="宋体"/>
                <w:b w:val="0"/>
                <w:bCs w:val="0"/>
                <w:color w:val="000000" w:themeColor="text1"/>
                <w:kern w:val="0"/>
                <w:sz w:val="28"/>
                <w:szCs w:val="28"/>
                <w:highlight w:val="none"/>
                <w14:textFill>
                  <w14:solidFill>
                    <w14:schemeClr w14:val="tx1"/>
                  </w14:solidFill>
                </w14:textFill>
              </w:rPr>
              <w:t>的零部件规模化出口载体</w:t>
            </w:r>
            <w:r>
              <w:rPr>
                <w:rFonts w:hint="eastAsia" w:ascii="宋体" w:hAnsi="宋体" w:eastAsia="宋体" w:cs="宋体"/>
                <w:b w:val="0"/>
                <w:bCs w:val="0"/>
                <w:color w:val="000000" w:themeColor="text1"/>
                <w:kern w:val="0"/>
                <w:sz w:val="28"/>
                <w:szCs w:val="28"/>
                <w:highlight w:val="none"/>
                <w:lang w:val="en-US" w:eastAsia="zh-CN" w:bidi="ar"/>
                <w14:textFill>
                  <w14:solidFill>
                    <w14:schemeClr w14:val="tx1"/>
                  </w14:solidFill>
                </w14:textFill>
              </w:rPr>
              <w:t>。支持骨干企业深耕车载显示终端、集成触控模组、车用电子仪表、传感器等</w:t>
            </w:r>
            <w:r>
              <w:rPr>
                <w:rFonts w:hint="eastAsia" w:ascii="宋体" w:hAnsi="宋体" w:eastAsia="宋体" w:cs="宋体"/>
                <w:b w:val="0"/>
                <w:bCs w:val="0"/>
                <w:color w:val="000000" w:themeColor="text1"/>
                <w:kern w:val="0"/>
                <w:sz w:val="28"/>
                <w:szCs w:val="28"/>
                <w:highlight w:val="none"/>
                <w14:textFill>
                  <w14:solidFill>
                    <w14:schemeClr w14:val="tx1"/>
                  </w14:solidFill>
                </w14:textFill>
              </w:rPr>
              <w:t>车载电子零部件</w:t>
            </w:r>
            <w:r>
              <w:rPr>
                <w:rFonts w:hint="eastAsia" w:ascii="宋体" w:hAnsi="宋体" w:eastAsia="宋体" w:cs="宋体"/>
                <w:b w:val="0"/>
                <w:bCs w:val="0"/>
                <w:color w:val="000000" w:themeColor="text1"/>
                <w:kern w:val="0"/>
                <w:sz w:val="28"/>
                <w:szCs w:val="28"/>
                <w:highlight w:val="none"/>
                <w:lang w:val="en-US" w:eastAsia="zh-CN" w:bidi="ar"/>
                <w14:textFill>
                  <w14:solidFill>
                    <w14:schemeClr w14:val="tx1"/>
                  </w14:solidFill>
                </w14:textFill>
              </w:rPr>
              <w:t>，拓展电动门窗、电子防盗、中控锁等车身电子产品布局，引进电池材料、车身结构件、智能座椅等关键配套环节，</w:t>
            </w:r>
            <w:r>
              <w:rPr>
                <w:rFonts w:hint="eastAsia" w:ascii="宋体" w:hAnsi="宋体" w:eastAsia="宋体" w:cs="宋体"/>
                <w:b w:val="0"/>
                <w:bCs w:val="0"/>
                <w:color w:val="000000" w:themeColor="text1"/>
                <w:kern w:val="0"/>
                <w:sz w:val="28"/>
                <w:szCs w:val="28"/>
                <w:highlight w:val="none"/>
                <w14:textFill>
                  <w14:solidFill>
                    <w14:schemeClr w14:val="tx1"/>
                  </w14:solidFill>
                </w14:textFill>
              </w:rPr>
              <w:t>持续</w:t>
            </w:r>
            <w:r>
              <w:rPr>
                <w:rFonts w:hint="eastAsia" w:ascii="宋体" w:hAnsi="宋体" w:eastAsia="宋体" w:cs="宋体"/>
                <w:b w:val="0"/>
                <w:bCs w:val="0"/>
                <w:color w:val="000000" w:themeColor="text1"/>
                <w:kern w:val="0"/>
                <w:sz w:val="28"/>
                <w:szCs w:val="28"/>
                <w:highlight w:val="none"/>
                <w:lang w:val="en-US" w:eastAsia="zh-CN" w:bidi="ar"/>
                <w14:textFill>
                  <w14:solidFill>
                    <w14:schemeClr w14:val="tx1"/>
                  </w14:solidFill>
                </w14:textFill>
              </w:rPr>
              <w:t>提升本地配套率与核心竞争力。推进</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动力电池、储能电池的回收</w:t>
            </w:r>
            <w:r>
              <w:rPr>
                <w:rFonts w:hint="eastAsia" w:ascii="宋体" w:hAnsi="宋体" w:eastAsia="宋体" w:cs="宋体"/>
                <w:b w:val="0"/>
                <w:bCs w:val="0"/>
                <w:color w:val="000000" w:themeColor="text1"/>
                <w:kern w:val="0"/>
                <w:sz w:val="28"/>
                <w:szCs w:val="28"/>
                <w:highlight w:val="none"/>
                <w:lang w:val="en-US" w:eastAsia="zh-CN" w:bidi="ar"/>
                <w14:textFill>
                  <w14:solidFill>
                    <w14:schemeClr w14:val="tx1"/>
                  </w14:solidFill>
                </w14:textFill>
              </w:rPr>
              <w:t>及梯次利用，构建“生产—应用—回收”绿色循环链条。</w:t>
            </w:r>
          </w:p>
          <w:p>
            <w:pPr>
              <w:pStyle w:val="14"/>
              <w:spacing w:line="240" w:lineRule="auto"/>
              <w:ind w:firstLine="562"/>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2.新能源汽车商用车与专用车。</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重点布局纯电动、混合动力等多元新能源技术路线，聚焦长途物流、城市配送、城市公交、工程建设等应用场景，规模化生产新能源物流车、城市配送车、环卫车、工程专用车，同步拓展冷链运输、应急保障等细分专用车型，推动产业规模化、专业化发展。依托现有整车资质与改装基础，招引头部专用车企业在汕尾设立生产基地，通过“定制化生产+本地化配套”发展模式，持续扩大整车产能规模、提升市场占有率。</w:t>
            </w:r>
          </w:p>
          <w:p>
            <w:pPr>
              <w:pStyle w:val="14"/>
              <w:spacing w:line="240" w:lineRule="auto"/>
              <w:ind w:firstLine="562"/>
              <w:rPr>
                <w:rFonts w:hint="default" w:ascii="宋体" w:hAnsi="宋体" w:eastAsia="宋体" w:cs="宋体"/>
                <w:b w:val="0"/>
                <w:bCs w:val="0"/>
                <w:color w:val="000000" w:themeColor="text1"/>
                <w:kern w:val="0"/>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3.</w:t>
            </w:r>
            <w:r>
              <w:rPr>
                <w:rFonts w:hint="eastAsia" w:ascii="宋体" w:hAnsi="宋体" w:eastAsia="宋体" w:cs="宋体"/>
                <w:b/>
                <w:bCs/>
                <w:color w:val="000000" w:themeColor="text1"/>
                <w:kern w:val="0"/>
                <w:sz w:val="28"/>
                <w:szCs w:val="28"/>
                <w:highlight w:val="none"/>
                <w14:textFill>
                  <w14:solidFill>
                    <w14:schemeClr w14:val="tx1"/>
                  </w14:solidFill>
                </w14:textFill>
              </w:rPr>
              <w:t>新能源汽车“三电”核心系统。</w:t>
            </w:r>
            <w:r>
              <w:rPr>
                <w:rFonts w:hint="eastAsia" w:ascii="宋体" w:hAnsi="宋体" w:eastAsia="宋体" w:cs="宋体"/>
                <w:color w:val="000000" w:themeColor="text1"/>
                <w:kern w:val="0"/>
                <w:sz w:val="28"/>
                <w:szCs w:val="28"/>
                <w:highlight w:val="none"/>
                <w14:textFill>
                  <w14:solidFill>
                    <w14:schemeClr w14:val="tx1"/>
                  </w14:solidFill>
                </w14:textFill>
              </w:rPr>
              <w:t>动力电池方面，重点发展锂离子电池正负极、隔膜、电解液等基础关键材料，布局高镍三元、硅基负极、固态电解质等前沿材料，延伸布局模组组装、电池包集成环节；驱动电机方面，重点发展高功率、轻量化驱动电机及配套控制器，推进电机、电控、减速器“三合一”集成化生产，提升电机系统集成能力与整车适配水平；电控系统方面，布局整车控制器、电机控制器、电池管理系统，完善传感控制模块配套供给，持续增强电控系统本地配套供给能力。</w:t>
            </w:r>
          </w:p>
          <w:p>
            <w:pPr>
              <w:pStyle w:val="14"/>
              <w:spacing w:line="240" w:lineRule="auto"/>
              <w:ind w:firstLine="562"/>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4.新能源汽车“三智”前沿系统</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w:t>
            </w:r>
            <w:r>
              <w:rPr>
                <w:rFonts w:hint="eastAsia" w:ascii="宋体" w:hAnsi="宋体" w:eastAsia="宋体" w:cs="宋体"/>
                <w:color w:val="000000" w:themeColor="text1"/>
                <w:kern w:val="0"/>
                <w:sz w:val="28"/>
                <w:szCs w:val="28"/>
                <w:highlight w:val="none"/>
                <w14:textFill>
                  <w14:solidFill>
                    <w14:schemeClr w14:val="tx1"/>
                  </w14:solidFill>
                </w14:textFill>
              </w:rPr>
              <w:t>立足现有车载显示、触控集成产业基础，研发车载显示屏、全液晶仪表、AR-HUD等产品，打造集智能中控、语音交互、场景联动于一体的一体化座舱解决方案，增强专用车、改装车的差异化竞争优势</w:t>
            </w:r>
            <w:r>
              <w:rPr>
                <w:rFonts w:hint="eastAsia" w:ascii="宋体" w:hAnsi="宋体" w:eastAsia="宋体" w:cs="宋体"/>
                <w:color w:val="000000" w:themeColor="text1"/>
                <w:kern w:val="0"/>
                <w:sz w:val="28"/>
                <w:szCs w:val="28"/>
                <w:highlight w:val="none"/>
                <w:lang w:eastAsia="zh-CN"/>
                <w14:textFill>
                  <w14:solidFill>
                    <w14:schemeClr w14:val="tx1"/>
                  </w14:solidFill>
                </w14:textFill>
              </w:rPr>
              <w:t>；</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在</w:t>
            </w:r>
            <w:r>
              <w:rPr>
                <w:rFonts w:hint="eastAsia" w:ascii="宋体" w:hAnsi="宋体" w:eastAsia="宋体" w:cs="宋体"/>
                <w:color w:val="000000" w:themeColor="text1"/>
                <w:kern w:val="0"/>
                <w:sz w:val="28"/>
                <w:szCs w:val="28"/>
                <w:highlight w:val="none"/>
                <w14:textFill>
                  <w14:solidFill>
                    <w14:schemeClr w14:val="tx1"/>
                  </w14:solidFill>
                </w14:textFill>
              </w:rPr>
              <w:t>智能驾驶</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方面，</w:t>
            </w:r>
            <w:r>
              <w:rPr>
                <w:rFonts w:hint="eastAsia" w:ascii="宋体" w:hAnsi="宋体" w:eastAsia="宋体" w:cs="宋体"/>
                <w:color w:val="000000" w:themeColor="text1"/>
                <w:kern w:val="0"/>
                <w:sz w:val="28"/>
                <w:szCs w:val="28"/>
                <w:highlight w:val="none"/>
                <w14:textFill>
                  <w14:solidFill>
                    <w14:schemeClr w14:val="tx1"/>
                  </w14:solidFill>
                </w14:textFill>
              </w:rPr>
              <w:t>发展车载摄像头、视觉感知传感器等硬件，推进高阶辅助驾驶系统在本地专用车、园区物流车上的集成应用，分阶段实现园区物流、港口转运等</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特定</w:t>
            </w:r>
            <w:r>
              <w:rPr>
                <w:rFonts w:hint="eastAsia" w:ascii="宋体" w:hAnsi="宋体" w:eastAsia="宋体" w:cs="宋体"/>
                <w:color w:val="000000" w:themeColor="text1"/>
                <w:kern w:val="0"/>
                <w:sz w:val="28"/>
                <w:szCs w:val="28"/>
                <w:highlight w:val="none"/>
                <w14:textFill>
                  <w14:solidFill>
                    <w14:schemeClr w14:val="tx1"/>
                  </w14:solidFill>
                </w14:textFill>
              </w:rPr>
              <w:t>场景自动驾驶</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示范应用</w:t>
            </w:r>
            <w:r>
              <w:rPr>
                <w:rFonts w:hint="eastAsia" w:ascii="宋体" w:hAnsi="宋体" w:eastAsia="宋体" w:cs="宋体"/>
                <w:color w:val="000000" w:themeColor="text1"/>
                <w:kern w:val="0"/>
                <w:sz w:val="28"/>
                <w:szCs w:val="28"/>
                <w:highlight w:val="none"/>
                <w14:textFill>
                  <w14:solidFill>
                    <w14:schemeClr w14:val="tx1"/>
                  </w14:solidFill>
                </w14:textFill>
              </w:rPr>
              <w:t>；</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在</w:t>
            </w:r>
            <w:r>
              <w:rPr>
                <w:rFonts w:hint="eastAsia" w:ascii="宋体" w:hAnsi="宋体" w:eastAsia="宋体" w:cs="宋体"/>
                <w:color w:val="000000" w:themeColor="text1"/>
                <w:kern w:val="0"/>
                <w:sz w:val="28"/>
                <w:szCs w:val="28"/>
                <w:highlight w:val="none"/>
                <w14:textFill>
                  <w14:solidFill>
                    <w14:schemeClr w14:val="tx1"/>
                  </w14:solidFill>
                </w14:textFill>
              </w:rPr>
              <w:t>智能网联</w:t>
            </w:r>
            <w:r>
              <w:rPr>
                <w:rFonts w:hint="eastAsia" w:ascii="宋体" w:hAnsi="宋体" w:eastAsia="宋体" w:cs="宋体"/>
                <w:color w:val="000000" w:themeColor="text1"/>
                <w:kern w:val="0"/>
                <w:sz w:val="28"/>
                <w:szCs w:val="28"/>
                <w:highlight w:val="none"/>
                <w:lang w:val="en-US" w:eastAsia="zh-CN"/>
                <w14:textFill>
                  <w14:solidFill>
                    <w14:schemeClr w14:val="tx1"/>
                  </w14:solidFill>
                </w14:textFill>
              </w:rPr>
              <w:t>方面，</w:t>
            </w:r>
            <w:r>
              <w:rPr>
                <w:rFonts w:hint="eastAsia" w:ascii="宋体" w:hAnsi="宋体" w:eastAsia="宋体" w:cs="宋体"/>
                <w:color w:val="000000" w:themeColor="text1"/>
                <w:kern w:val="0"/>
                <w:sz w:val="28"/>
                <w:szCs w:val="28"/>
                <w:highlight w:val="none"/>
                <w14:textFill>
                  <w14:solidFill>
                    <w14:schemeClr w14:val="tx1"/>
                  </w14:solidFill>
                </w14:textFill>
              </w:rPr>
              <w:t>布局车载通信模块、车云终端，加快车机互联、数据互通与基础车路协同配套建设。</w:t>
            </w:r>
          </w:p>
        </w:tc>
      </w:tr>
    </w:tbl>
    <w:p>
      <w:pPr>
        <w:pStyle w:val="5"/>
        <w:ind w:firstLine="643"/>
        <w:rPr>
          <w:color w:val="000000" w:themeColor="text1"/>
          <w14:textFill>
            <w14:solidFill>
              <w14:schemeClr w14:val="tx1"/>
            </w14:solidFill>
          </w14:textFill>
        </w:rPr>
      </w:pPr>
      <w:bookmarkStart w:id="135" w:name="_Toc23774"/>
      <w:bookmarkStart w:id="136" w:name="_Toc26132"/>
      <w:bookmarkStart w:id="137" w:name="_Toc4997"/>
      <w:bookmarkStart w:id="138" w:name="_Toc25140"/>
      <w:bookmarkStart w:id="139" w:name="_Toc13656"/>
      <w:bookmarkStart w:id="140" w:name="_Toc30689"/>
      <w:bookmarkStart w:id="141" w:name="_Toc24792"/>
      <w:bookmarkStart w:id="142" w:name="_Toc31451"/>
      <w:bookmarkStart w:id="143" w:name="_Toc22114"/>
      <w:bookmarkStart w:id="144" w:name="_Toc26334"/>
      <w:bookmarkStart w:id="145" w:name="_Toc10284"/>
      <w:r>
        <w:rPr>
          <w:rFonts w:hint="eastAsia"/>
          <w:color w:val="000000" w:themeColor="text1"/>
          <w14:textFill>
            <w14:solidFill>
              <w14:schemeClr w14:val="tx1"/>
            </w14:solidFill>
          </w14:textFill>
        </w:rPr>
        <w:t>6.新一代电子信息产业</w:t>
      </w:r>
      <w:bookmarkEnd w:id="135"/>
      <w:bookmarkEnd w:id="136"/>
      <w:bookmarkEnd w:id="137"/>
      <w:bookmarkEnd w:id="138"/>
      <w:bookmarkEnd w:id="139"/>
      <w:bookmarkEnd w:id="140"/>
      <w:bookmarkEnd w:id="141"/>
      <w:bookmarkEnd w:id="142"/>
      <w:bookmarkEnd w:id="143"/>
      <w:bookmarkEnd w:id="144"/>
      <w:bookmarkEnd w:id="145"/>
    </w:p>
    <w:p>
      <w:pPr>
        <w:ind w:firstLine="643"/>
        <w:rPr>
          <w:rFonts w:hint="eastAsia" w:ascii="仿宋_GB2312" w:hAnsi="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重点围绕新型显示器件发展布局，攻坚光电子元器件技术，拓展半导体分立器件场景应用，引导下游电子信息终端产品向高端化</w:t>
      </w:r>
      <w:r>
        <w:rPr>
          <w:rFonts w:hint="eastAsia" w:ascii="仿宋_GB2312" w:hAnsi="仿宋_GB2312" w:cs="仿宋_GB2312"/>
          <w:color w:val="000000" w:themeColor="text1"/>
          <w:lang w:val="en-US" w:eastAsia="zh-CN"/>
          <w14:textFill>
            <w14:solidFill>
              <w14:schemeClr w14:val="tx1"/>
            </w14:solidFill>
          </w14:textFill>
        </w:rPr>
        <w:t>和</w:t>
      </w:r>
      <w:r>
        <w:rPr>
          <w:rFonts w:hint="eastAsia" w:ascii="仿宋_GB2312" w:hAnsi="仿宋_GB2312" w:eastAsia="仿宋_GB2312" w:cs="仿宋_GB2312"/>
          <w:color w:val="000000" w:themeColor="text1"/>
          <w:lang w:val="en-US" w:eastAsia="zh-CN"/>
          <w14:textFill>
            <w14:solidFill>
              <w14:schemeClr w14:val="tx1"/>
            </w14:solidFill>
          </w14:textFill>
        </w:rPr>
        <w:t>智能化转型</w:t>
      </w:r>
      <w:r>
        <w:rPr>
          <w:rFonts w:hint="eastAsia" w:ascii="仿宋_GB2312" w:hAnsi="仿宋_GB2312" w:cs="仿宋_GB2312"/>
          <w:color w:val="000000" w:themeColor="text1"/>
          <w:lang w:val="en-US" w:eastAsia="zh-CN"/>
          <w14:textFill>
            <w14:solidFill>
              <w14:schemeClr w14:val="tx1"/>
            </w14:solidFill>
          </w14:textFill>
        </w:rPr>
        <w:t>。</w:t>
      </w:r>
    </w:p>
    <w:p>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到2030年，力争电子信息产业产值达500亿元。</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widowControl/>
              <w:numPr>
                <w:ilvl w:val="0"/>
                <w:numId w:val="0"/>
              </w:numPr>
              <w:snapToGrid/>
              <w:spacing w:line="240" w:lineRule="auto"/>
              <w:ind w:firstLine="0" w:firstLineChars="0"/>
              <w:jc w:val="center"/>
              <w:rPr>
                <w:rFonts w:hint="default" w:eastAsia="黑体"/>
                <w:b w:val="0"/>
                <w:bCs w:val="0"/>
                <w:color w:val="000000" w:themeColor="text1"/>
                <w:kern w:val="0"/>
                <w:sz w:val="28"/>
                <w:szCs w:val="22"/>
                <w:highlight w:val="none"/>
                <w14:textFill>
                  <w14:solidFill>
                    <w14:schemeClr w14:val="tx1"/>
                  </w14:solidFill>
                </w14:textFill>
              </w:rPr>
            </w:pPr>
            <w:bookmarkStart w:id="146" w:name="_Toc3705"/>
            <w:bookmarkStart w:id="147" w:name="_Toc24443"/>
            <w:bookmarkStart w:id="148" w:name="_Toc22539"/>
            <w:bookmarkStart w:id="149" w:name="_Toc12981"/>
            <w:bookmarkStart w:id="150" w:name="_Toc2695"/>
            <w:bookmarkStart w:id="151" w:name="_Toc13142"/>
            <w:bookmarkStart w:id="152" w:name="_Toc9553"/>
            <w:bookmarkStart w:id="153" w:name="_Toc5347"/>
            <w:bookmarkStart w:id="154" w:name="_Toc13115"/>
            <w:r>
              <w:rPr>
                <w:rFonts w:hint="default" w:eastAsia="黑体"/>
                <w:b w:val="0"/>
                <w:bCs w:val="0"/>
                <w:color w:val="000000" w:themeColor="text1"/>
                <w:kern w:val="0"/>
                <w:sz w:val="28"/>
                <w:szCs w:val="22"/>
                <w:highlight w:val="none"/>
                <w14:textFill>
                  <w14:solidFill>
                    <w14:schemeClr w14:val="tx1"/>
                  </w14:solidFill>
                </w14:textFill>
              </w:rPr>
              <w:t>专栏6 新一代电子信息产业细分领域</w:t>
            </w:r>
          </w:p>
          <w:p>
            <w:pPr>
              <w:widowControl/>
              <w:snapToGrid w:val="0"/>
              <w:spacing w:line="240" w:lineRule="auto"/>
              <w:ind w:firstLine="482" w:firstLineChars="0"/>
              <w:rPr>
                <w:rFonts w:hint="default" w:ascii="Times New Roman" w:hAnsi="Times New Roman" w:eastAsia="宋体" w:cs="Times New Roman"/>
                <w:color w:val="000000" w:themeColor="text1"/>
                <w:kern w:val="2"/>
                <w:sz w:val="28"/>
                <w:szCs w:val="28"/>
                <w:highlight w:val="none"/>
                <w14:textFill>
                  <w14:solidFill>
                    <w14:schemeClr w14:val="tx1"/>
                  </w14:solidFill>
                </w14:textFill>
              </w:rPr>
            </w:pPr>
            <w:r>
              <w:rPr>
                <w:rFonts w:hint="default" w:ascii="Times New Roman" w:hAnsi="Times New Roman" w:eastAsia="宋体" w:cs="Times New Roman"/>
                <w:b/>
                <w:bCs/>
                <w:color w:val="000000" w:themeColor="text1"/>
                <w:kern w:val="2"/>
                <w:sz w:val="28"/>
                <w:szCs w:val="28"/>
                <w:highlight w:val="none"/>
                <w:lang w:val="en-US" w:eastAsia="zh-CN"/>
                <w14:textFill>
                  <w14:solidFill>
                    <w14:schemeClr w14:val="tx1"/>
                  </w14:solidFill>
                </w14:textFill>
              </w:rPr>
              <w:t>1.新型显示器件。</w:t>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t>做优做大LCD成熟面板产能，依托毗邻深圳科创资源攻关OLED量产工艺，突破超薄玻璃减薄、触控一体化核心加工工艺；做强中大尺寸车载显示面板，配套新能源汽车智能座舱产业发展，培育手机、工业触控显示及摄像头模组等核心配套部件，健全新型显示全产业链布局</w:t>
            </w:r>
            <w:r>
              <w:rPr>
                <w:rFonts w:hint="default" w:ascii="Times New Roman" w:hAnsi="Times New Roman" w:eastAsia="宋体" w:cs="Times New Roman"/>
                <w:color w:val="000000" w:themeColor="text1"/>
                <w:kern w:val="2"/>
                <w:sz w:val="28"/>
                <w:szCs w:val="28"/>
                <w:highlight w:val="none"/>
                <w14:textFill>
                  <w14:solidFill>
                    <w14:schemeClr w14:val="tx1"/>
                  </w14:solidFill>
                </w14:textFill>
              </w:rPr>
              <w:t>。</w:t>
            </w:r>
          </w:p>
          <w:p>
            <w:pPr>
              <w:pStyle w:val="14"/>
              <w:spacing w:line="240" w:lineRule="auto"/>
              <w:ind w:firstLine="562"/>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8"/>
                <w:szCs w:val="28"/>
                <w:highlight w:val="none"/>
                <w:lang w:val="en-US" w:eastAsia="zh-CN"/>
                <w14:textFill>
                  <w14:solidFill>
                    <w14:schemeClr w14:val="tx1"/>
                  </w14:solidFill>
                </w14:textFill>
              </w:rPr>
              <w:t>2.光电子元器件。</w:t>
            </w:r>
            <w:r>
              <w:rPr>
                <w:rFonts w:hint="default" w:ascii="Times New Roman" w:hAnsi="Times New Roman" w:eastAsia="宋体" w:cs="Times New Roman"/>
                <w:b w:val="0"/>
                <w:bCs w:val="0"/>
                <w:color w:val="000000" w:themeColor="text1"/>
                <w:kern w:val="2"/>
                <w:sz w:val="28"/>
                <w:szCs w:val="28"/>
                <w:highlight w:val="none"/>
                <w:lang w:val="en-US" w:eastAsia="zh-CN"/>
                <w14:textFill>
                  <w14:solidFill>
                    <w14:schemeClr w14:val="tx1"/>
                  </w14:solidFill>
                </w14:textFill>
              </w:rPr>
              <w:t>鼓励骨干企业做强光通信器件、连接类元器件，重点布局光芯片、激光器、探测器、调制器、光电池器件、半导体发光器件及</w:t>
            </w:r>
            <w:r>
              <w:rPr>
                <w:rFonts w:hint="eastAsia" w:ascii="Times New Roman" w:hAnsi="Times New Roman" w:eastAsia="宋体" w:cs="Times New Roman"/>
                <w:b w:val="0"/>
                <w:bCs w:val="0"/>
                <w:color w:val="000000" w:themeColor="text1"/>
                <w:kern w:val="2"/>
                <w:sz w:val="28"/>
                <w:szCs w:val="28"/>
                <w:highlight w:val="none"/>
                <w:lang w:val="en-US" w:eastAsia="zh-CN"/>
                <w14:textFill>
                  <w14:solidFill>
                    <w14:schemeClr w14:val="tx1"/>
                  </w14:solidFill>
                </w14:textFill>
              </w:rPr>
              <w:t>光电子</w:t>
            </w:r>
            <w:r>
              <w:rPr>
                <w:rFonts w:hint="default" w:ascii="Times New Roman" w:hAnsi="Times New Roman" w:eastAsia="宋体" w:cs="Times New Roman"/>
                <w:b w:val="0"/>
                <w:bCs w:val="0"/>
                <w:color w:val="000000" w:themeColor="text1"/>
                <w:kern w:val="2"/>
                <w:sz w:val="28"/>
                <w:szCs w:val="28"/>
                <w:highlight w:val="none"/>
                <w:lang w:val="en-US" w:eastAsia="zh-CN"/>
                <w14:textFill>
                  <w14:solidFill>
                    <w14:schemeClr w14:val="tx1"/>
                  </w14:solidFill>
                </w14:textFill>
              </w:rPr>
              <w:t>器件，推动光电子器件向高速率、小型化、集成化升级，提升上下游配套与供应链自主可控能力</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w:t>
            </w:r>
          </w:p>
          <w:p>
            <w:pPr>
              <w:pStyle w:val="14"/>
              <w:spacing w:line="240" w:lineRule="auto"/>
              <w:ind w:firstLine="562"/>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8"/>
                <w:szCs w:val="28"/>
                <w:highlight w:val="none"/>
                <w:lang w:val="en-US" w:eastAsia="zh-CN"/>
                <w14:textFill>
                  <w14:solidFill>
                    <w14:schemeClr w14:val="tx1"/>
                  </w14:solidFill>
                </w14:textFill>
              </w:rPr>
              <w:t>3.拓展发展半导体分立器件。</w:t>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t>持续发展中低压MOSFET、肖特基二极管、快恢复二极管、稳压二极管、整流桥以及小功率三极管等优势产品，前瞻布局SiC二极管、SiC MOSFET等宽禁带器件，补齐芯片设计、封装测试产业链环节，推动分立器件在新能源、智能电网、汽车电子、AR/VR等场景领域落地应用。</w:t>
            </w:r>
          </w:p>
        </w:tc>
      </w:tr>
    </w:tbl>
    <w:p>
      <w:pPr>
        <w:pStyle w:val="5"/>
        <w:ind w:firstLine="643"/>
        <w:rPr>
          <w:rFonts w:hint="default" w:eastAsia="仿宋_GB2312"/>
          <w:color w:val="000000" w:themeColor="text1"/>
          <w:lang w:val="en-US" w:eastAsia="zh-CN"/>
          <w14:textFill>
            <w14:solidFill>
              <w14:schemeClr w14:val="tx1"/>
            </w14:solidFill>
          </w14:textFill>
        </w:rPr>
      </w:pPr>
      <w:bookmarkStart w:id="155" w:name="_Toc7448"/>
      <w:bookmarkStart w:id="156" w:name="_Toc9346"/>
      <w:r>
        <w:rPr>
          <w:rFonts w:hint="eastAsia"/>
          <w:color w:val="000000" w:themeColor="text1"/>
          <w14:textFill>
            <w14:solidFill>
              <w14:schemeClr w14:val="tx1"/>
            </w14:solidFill>
          </w14:textFill>
        </w:rPr>
        <w:t>7.低碳新能源产业</w:t>
      </w:r>
      <w:bookmarkEnd w:id="146"/>
      <w:bookmarkEnd w:id="147"/>
      <w:bookmarkEnd w:id="148"/>
      <w:bookmarkEnd w:id="149"/>
      <w:bookmarkEnd w:id="150"/>
      <w:bookmarkEnd w:id="151"/>
      <w:bookmarkEnd w:id="152"/>
      <w:bookmarkEnd w:id="153"/>
      <w:bookmarkEnd w:id="154"/>
      <w:bookmarkEnd w:id="155"/>
      <w:bookmarkEnd w:id="156"/>
    </w:p>
    <w:p>
      <w:pPr>
        <w:spacing w:line="580" w:lineRule="exact"/>
        <w:ind w:firstLine="643"/>
        <w:rPr>
          <w:rFonts w:hint="eastAsia" w:ascii="仿宋_GB2312" w:hAnsi="仿宋_GB2312" w:cs="仿宋_GB2312"/>
          <w:b w:val="0"/>
          <w:bCs w:val="0"/>
          <w:color w:val="000000" w:themeColor="text1"/>
          <w:lang w:eastAsia="zh-CN"/>
          <w14:textFill>
            <w14:solidFill>
              <w14:schemeClr w14:val="tx1"/>
            </w14:solidFill>
          </w14:textFill>
        </w:rPr>
      </w:pPr>
      <w:r>
        <w:rPr>
          <w:rFonts w:hint="eastAsia" w:ascii="仿宋_GB2312" w:hAnsi="仿宋_GB2312" w:eastAsia="仿宋_GB2312" w:cs="仿宋_GB2312"/>
          <w:b w:val="0"/>
          <w:bCs w:val="0"/>
          <w:color w:val="000000" w:themeColor="text1"/>
          <w14:textFill>
            <w14:solidFill>
              <w14:schemeClr w14:val="tx1"/>
            </w14:solidFill>
          </w14:textFill>
        </w:rPr>
        <w:t>推动海上风电规模化</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和</w:t>
      </w:r>
      <w:r>
        <w:rPr>
          <w:rFonts w:hint="eastAsia" w:ascii="仿宋_GB2312" w:hAnsi="仿宋_GB2312" w:eastAsia="仿宋_GB2312" w:cs="仿宋_GB2312"/>
          <w:b w:val="0"/>
          <w:bCs w:val="0"/>
          <w:color w:val="000000" w:themeColor="text1"/>
          <w14:textFill>
            <w14:solidFill>
              <w14:schemeClr w14:val="tx1"/>
            </w14:solidFill>
          </w14:textFill>
        </w:rPr>
        <w:t>融合化发展</w:t>
      </w:r>
      <w:r>
        <w:rPr>
          <w:rFonts w:hint="eastAsia" w:ascii="仿宋_GB2312" w:hAnsi="仿宋_GB2312" w:eastAsia="仿宋_GB2312" w:cs="仿宋_GB2312"/>
          <w:b w:val="0"/>
          <w:bCs w:val="0"/>
          <w:color w:val="000000" w:themeColor="text1"/>
          <w:lang w:eastAsia="zh-CN"/>
          <w14:textFill>
            <w14:solidFill>
              <w14:schemeClr w14:val="tx1"/>
            </w14:solidFill>
          </w14:textFill>
        </w:rPr>
        <w:t>，</w:t>
      </w:r>
      <w:r>
        <w:rPr>
          <w:rFonts w:hint="eastAsia" w:ascii="仿宋_GB2312" w:hAnsi="仿宋_GB2312" w:eastAsia="仿宋_GB2312" w:cs="仿宋_GB2312"/>
          <w:b w:val="0"/>
          <w:bCs w:val="0"/>
          <w:color w:val="000000" w:themeColor="text1"/>
          <w14:textFill>
            <w14:solidFill>
              <w14:schemeClr w14:val="tx1"/>
            </w14:solidFill>
          </w14:textFill>
        </w:rPr>
        <w:t>支持</w:t>
      </w:r>
      <w:r>
        <w:rPr>
          <w:rFonts w:hint="eastAsia" w:ascii="仿宋_GB2312" w:hAnsi="仿宋_GB2312" w:cs="仿宋_GB2312"/>
          <w:b w:val="0"/>
          <w:bCs w:val="0"/>
          <w:color w:val="000000" w:themeColor="text1"/>
          <w:lang w:val="en-US" w:eastAsia="zh-CN"/>
          <w14:textFill>
            <w14:solidFill>
              <w14:schemeClr w14:val="tx1"/>
            </w14:solidFill>
          </w14:textFill>
        </w:rPr>
        <w:t>太阳能、</w:t>
      </w:r>
      <w:r>
        <w:rPr>
          <w:rFonts w:hint="eastAsia" w:ascii="仿宋_GB2312" w:hAnsi="仿宋_GB2312" w:eastAsia="仿宋_GB2312" w:cs="仿宋_GB2312"/>
          <w:b w:val="0"/>
          <w:bCs w:val="0"/>
          <w:color w:val="000000" w:themeColor="text1"/>
          <w14:textFill>
            <w14:solidFill>
              <w14:schemeClr w14:val="tx1"/>
            </w14:solidFill>
          </w14:textFill>
        </w:rPr>
        <w:t>核电</w:t>
      </w:r>
      <w:r>
        <w:rPr>
          <w:rFonts w:hint="eastAsia" w:ascii="仿宋_GB2312" w:hAnsi="仿宋_GB2312" w:eastAsia="仿宋_GB2312" w:cs="仿宋_GB2312"/>
          <w:b w:val="0"/>
          <w:bCs w:val="0"/>
          <w:color w:val="000000" w:themeColor="text1"/>
          <w:lang w:eastAsia="zh-CN"/>
          <w14:textFill>
            <w14:solidFill>
              <w14:schemeClr w14:val="tx1"/>
            </w14:solidFill>
          </w14:textFill>
        </w:rPr>
        <w:t>、</w:t>
      </w:r>
      <w:r>
        <w:rPr>
          <w:rFonts w:hint="eastAsia" w:ascii="仿宋_GB2312" w:hAnsi="仿宋_GB2312" w:cs="仿宋_GB2312"/>
          <w:b w:val="0"/>
          <w:bCs w:val="0"/>
          <w:color w:val="000000" w:themeColor="text1"/>
          <w:lang w:val="en-US" w:eastAsia="zh-CN"/>
          <w14:textFill>
            <w14:solidFill>
              <w14:schemeClr w14:val="tx1"/>
            </w14:solidFill>
          </w14:textFill>
        </w:rPr>
        <w:t>先进核能、</w:t>
      </w:r>
      <w:r>
        <w:rPr>
          <w:rFonts w:hint="eastAsia" w:ascii="仿宋_GB2312" w:hAnsi="仿宋_GB2312" w:eastAsia="仿宋_GB2312" w:cs="仿宋_GB2312"/>
          <w:b w:val="0"/>
          <w:bCs w:val="0"/>
          <w:color w:val="000000" w:themeColor="text1"/>
          <w14:textFill>
            <w14:solidFill>
              <w14:schemeClr w14:val="tx1"/>
            </w14:solidFill>
          </w14:textFill>
        </w:rPr>
        <w:t>储能</w:t>
      </w:r>
      <w:r>
        <w:rPr>
          <w:rFonts w:hint="eastAsia" w:ascii="仿宋_GB2312" w:hAnsi="仿宋_GB2312" w:cs="仿宋_GB2312"/>
          <w:b w:val="0"/>
          <w:bCs w:val="0"/>
          <w:color w:val="000000" w:themeColor="text1"/>
          <w:lang w:val="en-US" w:eastAsia="zh-CN"/>
          <w14:textFill>
            <w14:solidFill>
              <w14:schemeClr w14:val="tx1"/>
            </w14:solidFill>
          </w14:textFill>
        </w:rPr>
        <w:t>等清洁能源</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发展，</w:t>
      </w:r>
      <w:r>
        <w:rPr>
          <w:rFonts w:hint="eastAsia" w:ascii="仿宋_GB2312" w:hAnsi="仿宋_GB2312" w:eastAsia="仿宋_GB2312" w:cs="仿宋_GB2312"/>
          <w:b w:val="0"/>
          <w:bCs w:val="0"/>
          <w:color w:val="000000" w:themeColor="text1"/>
          <w14:textFill>
            <w14:solidFill>
              <w14:schemeClr w14:val="tx1"/>
            </w14:solidFill>
          </w14:textFill>
        </w:rPr>
        <w:t>加快智能电网与综合能源服务体系建设</w:t>
      </w:r>
      <w:r>
        <w:rPr>
          <w:rFonts w:hint="eastAsia" w:ascii="仿宋_GB2312" w:hAnsi="仿宋_GB2312" w:cs="仿宋_GB2312"/>
          <w:b w:val="0"/>
          <w:bCs w:val="0"/>
          <w:color w:val="000000" w:themeColor="text1"/>
          <w:lang w:eastAsia="zh-CN"/>
          <w14:textFill>
            <w14:solidFill>
              <w14:schemeClr w14:val="tx1"/>
            </w14:solidFill>
          </w14:textFill>
        </w:rPr>
        <w:t>。</w:t>
      </w:r>
    </w:p>
    <w:p>
      <w:pPr>
        <w:spacing w:line="560" w:lineRule="exact"/>
        <w:ind w:firstLine="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到2030年，力争全市电力总装机规模达到3000万千瓦，清洁能源占比将超50%</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trPr>
        <w:tc>
          <w:tcPr>
            <w:tcW w:w="5000" w:type="pct"/>
          </w:tcPr>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黑体"/>
                <w:b w:val="0"/>
                <w:bCs w:val="0"/>
                <w:color w:val="000000" w:themeColor="text1"/>
                <w:kern w:val="0"/>
                <w:sz w:val="28"/>
                <w:szCs w:val="22"/>
                <w:highlight w:val="none"/>
                <w:lang w:val="en-US" w:eastAsia="zh-CN"/>
                <w14:textFill>
                  <w14:solidFill>
                    <w14:schemeClr w14:val="tx1"/>
                  </w14:solidFill>
                </w14:textFill>
              </w:rPr>
            </w:pPr>
            <w:r>
              <w:rPr>
                <w:rFonts w:hint="default" w:eastAsia="黑体"/>
                <w:b w:val="0"/>
                <w:bCs w:val="0"/>
                <w:color w:val="000000" w:themeColor="text1"/>
                <w:kern w:val="0"/>
                <w:sz w:val="28"/>
                <w:szCs w:val="22"/>
                <w:highlight w:val="none"/>
                <w14:textFill>
                  <w14:solidFill>
                    <w14:schemeClr w14:val="tx1"/>
                  </w14:solidFill>
                </w14:textFill>
              </w:rPr>
              <w:t>专栏7 低碳新能源产业细分领域</w:t>
            </w:r>
          </w:p>
          <w:p>
            <w:pPr>
              <w:pStyle w:val="14"/>
              <w:spacing w:line="240" w:lineRule="auto"/>
              <w:ind w:firstLine="562"/>
              <w:jc w:val="both"/>
              <w:rPr>
                <w:rFonts w:hint="eastAsia" w:ascii="宋体" w:hAnsi="宋体" w:eastAsia="宋体" w:cs="宋体"/>
                <w:color w:val="000000" w:themeColor="text1"/>
                <w:kern w:val="0"/>
                <w:sz w:val="30"/>
                <w:szCs w:val="30"/>
                <w:highlight w:val="none"/>
                <w:lang w:eastAsia="zh-CN"/>
                <w14:textFill>
                  <w14:solidFill>
                    <w14:schemeClr w14:val="tx1"/>
                  </w14:solidFill>
                </w14:textFill>
              </w:rPr>
            </w:pPr>
            <w:r>
              <w:rPr>
                <w:rFonts w:hint="eastAsia" w:ascii="宋体" w:hAnsi="宋体" w:eastAsia="宋体" w:cs="宋体"/>
                <w:b/>
                <w:bCs/>
                <w:color w:val="000000" w:themeColor="text1"/>
                <w:kern w:val="0"/>
                <w:sz w:val="30"/>
                <w:szCs w:val="30"/>
                <w:highlight w:val="none"/>
                <w:lang w:val="en-US" w:eastAsia="zh-CN"/>
                <w14:textFill>
                  <w14:solidFill>
                    <w14:schemeClr w14:val="tx1"/>
                  </w14:solidFill>
                </w14:textFill>
              </w:rPr>
              <w:t>1.风能。</w:t>
            </w:r>
            <w:r>
              <w:rPr>
                <w:rFonts w:hint="eastAsia" w:ascii="宋体" w:hAnsi="宋体" w:eastAsia="宋体" w:cs="宋体"/>
                <w:b w:val="0"/>
                <w:bCs w:val="0"/>
                <w:color w:val="000000" w:themeColor="text1"/>
                <w:kern w:val="0"/>
                <w:sz w:val="30"/>
                <w:szCs w:val="30"/>
                <w:highlight w:val="none"/>
                <w:lang w:val="en-US" w:eastAsia="zh-CN"/>
                <w14:textFill>
                  <w14:solidFill>
                    <w14:schemeClr w14:val="tx1"/>
                  </w14:solidFill>
                </w14:textFill>
              </w:rPr>
              <w:t>推进红海湾海上风电项目落地建设，攻关深远海、漂浮式风电前沿技术；有序开展国管海域海上风电示范工程，全力推进粤东海上风电基地汕尾第二、三批示范项目申报。培育风电运维、检测认证等生产性配套服务业，打造“资源开发—装备制造—运维服务”一体化风电全链条产业集群。</w:t>
            </w:r>
          </w:p>
          <w:p>
            <w:pPr>
              <w:pStyle w:val="14"/>
              <w:spacing w:line="240" w:lineRule="auto"/>
              <w:ind w:firstLine="562"/>
              <w:jc w:val="both"/>
              <w:rPr>
                <w:rFonts w:hint="eastAsia" w:ascii="宋体" w:hAnsi="宋体" w:eastAsia="宋体" w:cs="宋体"/>
                <w:b w:val="0"/>
                <w:bCs w:val="0"/>
                <w:color w:val="000000" w:themeColor="text1"/>
                <w:kern w:val="0"/>
                <w:sz w:val="30"/>
                <w:szCs w:val="30"/>
                <w:highlight w:val="none"/>
                <w:lang w:val="en-US" w:eastAsia="zh-CN"/>
                <w14:textFill>
                  <w14:solidFill>
                    <w14:schemeClr w14:val="tx1"/>
                  </w14:solidFill>
                </w14:textFill>
              </w:rPr>
            </w:pPr>
            <w:r>
              <w:rPr>
                <w:rFonts w:hint="eastAsia" w:ascii="宋体" w:hAnsi="宋体" w:eastAsia="宋体" w:cs="宋体"/>
                <w:b/>
                <w:bCs/>
                <w:color w:val="000000" w:themeColor="text1"/>
                <w:kern w:val="0"/>
                <w:sz w:val="30"/>
                <w:szCs w:val="30"/>
                <w:highlight w:val="none"/>
                <w:lang w:val="en-US" w:eastAsia="zh-CN"/>
                <w14:textFill>
                  <w14:solidFill>
                    <w14:schemeClr w14:val="tx1"/>
                  </w14:solidFill>
                </w14:textFill>
              </w:rPr>
              <w:t>2.太阳能。</w:t>
            </w:r>
            <w:r>
              <w:rPr>
                <w:rFonts w:hint="eastAsia" w:ascii="宋体" w:hAnsi="宋体" w:eastAsia="宋体" w:cs="宋体"/>
                <w:b w:val="0"/>
                <w:bCs w:val="0"/>
                <w:color w:val="000000" w:themeColor="text1"/>
                <w:kern w:val="0"/>
                <w:sz w:val="30"/>
                <w:szCs w:val="30"/>
                <w:highlight w:val="none"/>
                <w:lang w:val="en-US" w:eastAsia="zh-CN"/>
                <w14:textFill>
                  <w14:solidFill>
                    <w14:schemeClr w14:val="tx1"/>
                  </w14:solidFill>
                </w14:textFill>
              </w:rPr>
              <w:t>鼓励发展高效光伏组件、光伏系统集成、智能运维等技术产品，探索布局海上漂浮式光伏电站、光伏建筑一体化（BIPV）等创新应用场景，推动光伏产业创新发展。</w:t>
            </w:r>
          </w:p>
          <w:p>
            <w:pPr>
              <w:pStyle w:val="14"/>
              <w:spacing w:line="240" w:lineRule="auto"/>
              <w:ind w:firstLine="562"/>
              <w:jc w:val="both"/>
              <w:rPr>
                <w:rFonts w:hint="eastAsia" w:ascii="宋体" w:hAnsi="宋体" w:eastAsia="宋体" w:cs="宋体"/>
                <w:b w:val="0"/>
                <w:bCs w:val="0"/>
                <w:color w:val="000000" w:themeColor="text1"/>
                <w:kern w:val="0"/>
                <w:sz w:val="30"/>
                <w:szCs w:val="30"/>
                <w:highlight w:val="none"/>
                <w:lang w:val="en-US" w:eastAsia="zh-CN"/>
                <w14:textFill>
                  <w14:solidFill>
                    <w14:schemeClr w14:val="tx1"/>
                  </w14:solidFill>
                </w14:textFill>
              </w:rPr>
            </w:pPr>
            <w:r>
              <w:rPr>
                <w:rFonts w:hint="eastAsia" w:ascii="宋体" w:hAnsi="宋体" w:eastAsia="宋体" w:cs="宋体"/>
                <w:b/>
                <w:bCs/>
                <w:color w:val="000000" w:themeColor="text1"/>
                <w:kern w:val="0"/>
                <w:sz w:val="30"/>
                <w:szCs w:val="30"/>
                <w:highlight w:val="none"/>
                <w:lang w:val="en-US" w:eastAsia="zh-CN"/>
                <w14:textFill>
                  <w14:solidFill>
                    <w14:schemeClr w14:val="tx1"/>
                  </w14:solidFill>
                </w14:textFill>
              </w:rPr>
              <w:t>3.先进核能。</w:t>
            </w:r>
            <w:r>
              <w:rPr>
                <w:rFonts w:hint="eastAsia" w:ascii="宋体" w:hAnsi="宋体" w:eastAsia="宋体" w:cs="宋体"/>
                <w:b w:val="0"/>
                <w:bCs w:val="0"/>
                <w:color w:val="000000" w:themeColor="text1"/>
                <w:kern w:val="0"/>
                <w:sz w:val="30"/>
                <w:szCs w:val="30"/>
                <w:highlight w:val="none"/>
                <w:lang w:val="en-US" w:eastAsia="zh-CN"/>
                <w14:textFill>
                  <w14:solidFill>
                    <w14:schemeClr w14:val="tx1"/>
                  </w14:solidFill>
                </w14:textFill>
              </w:rPr>
              <w:t>加快建设陆丰核电1、2号、5、6号机组，推动陆丰核电3、4号机组核准开工建设</w:t>
            </w:r>
            <w:r>
              <w:rPr>
                <w:rFonts w:hint="eastAsia" w:ascii="宋体" w:hAnsi="宋体" w:eastAsia="宋体" w:cs="宋体"/>
                <w:color w:val="000000" w:themeColor="text1"/>
                <w:kern w:val="0"/>
                <w:sz w:val="30"/>
                <w:szCs w:val="30"/>
                <w:highlight w:val="none"/>
                <w14:textFill>
                  <w14:solidFill>
                    <w14:schemeClr w14:val="tx1"/>
                  </w14:solidFill>
                </w14:textFill>
              </w:rPr>
              <w:t>；依托第四代核电研发基础，攻关海上小型堆、铅基快堆等核心技术；拓展核电运维、工程调试、核能综合利用业务，谋划落地涉核装备制造产业。</w:t>
            </w:r>
          </w:p>
          <w:p>
            <w:pPr>
              <w:pStyle w:val="14"/>
              <w:spacing w:line="240" w:lineRule="auto"/>
              <w:ind w:firstLine="562"/>
              <w:jc w:val="both"/>
              <w:rPr>
                <w:rFonts w:hint="default" w:ascii="宋体" w:hAnsi="宋体" w:eastAsia="宋体" w:cs="宋体"/>
                <w:b w:val="0"/>
                <w:bCs w:val="0"/>
                <w:color w:val="000000" w:themeColor="text1"/>
                <w:kern w:val="0"/>
                <w:sz w:val="30"/>
                <w:szCs w:val="30"/>
                <w:highlight w:val="none"/>
                <w:lang w:val="en-US" w:eastAsia="zh-CN"/>
                <w14:textFill>
                  <w14:solidFill>
                    <w14:schemeClr w14:val="tx1"/>
                  </w14:solidFill>
                </w14:textFill>
              </w:rPr>
            </w:pPr>
            <w:r>
              <w:rPr>
                <w:rFonts w:hint="eastAsia" w:ascii="宋体" w:hAnsi="宋体" w:eastAsia="宋体" w:cs="宋体"/>
                <w:b/>
                <w:bCs/>
                <w:color w:val="000000" w:themeColor="text1"/>
                <w:kern w:val="0"/>
                <w:sz w:val="30"/>
                <w:szCs w:val="30"/>
                <w:highlight w:val="none"/>
                <w:lang w:val="en-US" w:eastAsia="zh-CN"/>
                <w14:textFill>
                  <w14:solidFill>
                    <w14:schemeClr w14:val="tx1"/>
                  </w14:solidFill>
                </w14:textFill>
              </w:rPr>
              <w:t>4.储能。</w:t>
            </w:r>
            <w:r>
              <w:rPr>
                <w:rFonts w:hint="eastAsia" w:ascii="宋体" w:hAnsi="宋体" w:eastAsia="宋体" w:cs="宋体"/>
                <w:b w:val="0"/>
                <w:bCs w:val="0"/>
                <w:color w:val="000000" w:themeColor="text1"/>
                <w:kern w:val="0"/>
                <w:sz w:val="30"/>
                <w:szCs w:val="30"/>
                <w:highlight w:val="none"/>
                <w:lang w:val="en-US" w:eastAsia="zh-CN"/>
                <w14:textFill>
                  <w14:solidFill>
                    <w14:schemeClr w14:val="tx1"/>
                  </w14:solidFill>
                </w14:textFill>
              </w:rPr>
              <w:t>培育储能电池制造、系统集成等产业链环节，构建“发电—储能—输配”一体化能源体系。加快汕尾高新区200MW/800MWh锂钠新型储能、陆丰集中式电化学储能电站等项目建设，推进区域新型储能发展。</w:t>
            </w:r>
          </w:p>
        </w:tc>
      </w:tr>
    </w:tbl>
    <w:p>
      <w:pPr>
        <w:pStyle w:val="5"/>
        <w:ind w:firstLine="643"/>
        <w:rPr>
          <w:color w:val="000000" w:themeColor="text1"/>
          <w14:textFill>
            <w14:solidFill>
              <w14:schemeClr w14:val="tx1"/>
            </w14:solidFill>
          </w14:textFill>
        </w:rPr>
      </w:pPr>
      <w:bookmarkStart w:id="157" w:name="_Toc14424"/>
      <w:bookmarkStart w:id="158" w:name="_Toc10925"/>
      <w:bookmarkStart w:id="159" w:name="_Toc2882"/>
      <w:bookmarkStart w:id="160" w:name="_Toc14323"/>
      <w:bookmarkStart w:id="161" w:name="_Toc5007"/>
      <w:bookmarkStart w:id="162" w:name="_Toc29645"/>
      <w:bookmarkStart w:id="163" w:name="_Toc27730"/>
      <w:bookmarkStart w:id="164" w:name="_Toc25909"/>
      <w:bookmarkStart w:id="165" w:name="_Toc19757"/>
      <w:bookmarkStart w:id="166" w:name="_Toc23257"/>
      <w:bookmarkStart w:id="167" w:name="_Toc25718"/>
      <w:r>
        <w:rPr>
          <w:rFonts w:hint="eastAsia"/>
          <w:color w:val="000000" w:themeColor="text1"/>
          <w14:textFill>
            <w14:solidFill>
              <w14:schemeClr w14:val="tx1"/>
            </w14:solidFill>
          </w14:textFill>
        </w:rPr>
        <w:t>8.高端装备制造产业</w:t>
      </w:r>
      <w:bookmarkEnd w:id="157"/>
      <w:bookmarkEnd w:id="158"/>
      <w:bookmarkEnd w:id="159"/>
      <w:bookmarkEnd w:id="160"/>
      <w:bookmarkEnd w:id="161"/>
      <w:bookmarkEnd w:id="162"/>
      <w:bookmarkEnd w:id="163"/>
      <w:bookmarkEnd w:id="164"/>
      <w:bookmarkEnd w:id="165"/>
      <w:bookmarkEnd w:id="166"/>
      <w:bookmarkEnd w:id="167"/>
    </w:p>
    <w:p>
      <w:pPr>
        <w:ind w:firstLine="643"/>
        <w:rPr>
          <w:rFonts w:hint="eastAsia" w:ascii="仿宋_GB2312" w:hAnsi="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重点发展海洋工程装备</w:t>
      </w:r>
      <w:r>
        <w:rPr>
          <w:rFonts w:hint="eastAsia" w:ascii="仿宋_GB2312" w:hAnsi="仿宋_GB2312" w:cs="仿宋_GB2312"/>
          <w:b w:val="0"/>
          <w:bCs w:val="0"/>
          <w:color w:val="000000" w:themeColor="text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高技术船舶，壮大智能制造装备，探索发展通用航空器及无人机装备，夯实核心零部件配套基础。</w:t>
      </w:r>
    </w:p>
    <w:p>
      <w:pPr>
        <w:ind w:firstLine="643"/>
        <w:rPr>
          <w:color w:val="000000" w:themeColor="text1"/>
          <w14:textFill>
            <w14:solidFill>
              <w14:schemeClr w14:val="tx1"/>
            </w14:solidFill>
          </w14:textFill>
        </w:rPr>
      </w:pPr>
      <w:r>
        <w:rPr>
          <w:rFonts w:hint="eastAsia"/>
          <w:color w:val="000000" w:themeColor="text1"/>
          <w14:textFill>
            <w14:solidFill>
              <w14:schemeClr w14:val="tx1"/>
            </w14:solidFill>
          </w14:textFill>
        </w:rPr>
        <w:t>到2030年，力争高端装备制造产业集群产值达到500亿元。</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黑体"/>
                <w:b w:val="0"/>
                <w:bCs w:val="0"/>
                <w:color w:val="000000" w:themeColor="text1"/>
                <w:kern w:val="0"/>
                <w:sz w:val="28"/>
                <w:szCs w:val="22"/>
                <w:highlight w:val="none"/>
                <w14:textFill>
                  <w14:solidFill>
                    <w14:schemeClr w14:val="tx1"/>
                  </w14:solidFill>
                </w14:textFill>
              </w:rPr>
            </w:pPr>
            <w:r>
              <w:rPr>
                <w:rFonts w:hint="default" w:eastAsia="黑体"/>
                <w:b w:val="0"/>
                <w:bCs w:val="0"/>
                <w:color w:val="000000" w:themeColor="text1"/>
                <w:kern w:val="0"/>
                <w:sz w:val="28"/>
                <w:szCs w:val="22"/>
                <w:highlight w:val="none"/>
                <w14:textFill>
                  <w14:solidFill>
                    <w14:schemeClr w14:val="tx1"/>
                  </w14:solidFill>
                </w14:textFill>
              </w:rPr>
              <w:t>专栏8 高端装备制造产业细分领域</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562" w:firstLineChars="200"/>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kern w:val="2"/>
                <w:sz w:val="28"/>
                <w:szCs w:val="22"/>
                <w:lang w:val="en-US" w:eastAsia="zh-CN" w:bidi="ar-SA"/>
                <w14:textFill>
                  <w14:solidFill>
                    <w14:schemeClr w14:val="tx1"/>
                  </w14:solidFill>
                </w14:textFill>
              </w:rPr>
              <w:t>1.</w:t>
            </w:r>
            <w:r>
              <w:rPr>
                <w:rFonts w:hint="eastAsia" w:ascii="宋体" w:hAnsi="宋体" w:eastAsia="宋体" w:cs="宋体"/>
                <w:b/>
                <w:bCs/>
                <w:color w:val="000000" w:themeColor="text1"/>
                <w:sz w:val="28"/>
                <w:szCs w:val="22"/>
                <w:lang w:val="en-US" w:eastAsia="zh-CN"/>
                <w14:textFill>
                  <w14:solidFill>
                    <w14:schemeClr w14:val="tx1"/>
                  </w14:solidFill>
                </w14:textFill>
              </w:rPr>
              <w:t>海洋工程装备</w:t>
            </w:r>
            <w:r>
              <w:rPr>
                <w:rFonts w:hint="eastAsia" w:ascii="宋体" w:hAnsi="宋体" w:eastAsia="宋体" w:cs="宋体"/>
                <w:b/>
                <w:bCs/>
                <w:color w:val="000000" w:themeColor="text1"/>
                <w:sz w:val="28"/>
                <w:szCs w:val="22"/>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加快推进</w:t>
            </w:r>
            <w:r>
              <w:rPr>
                <w:rFonts w:hint="default" w:ascii="宋体" w:hAnsi="宋体" w:eastAsia="宋体" w:cs="宋体"/>
                <w:color w:val="000000" w:themeColor="text1"/>
                <w:sz w:val="28"/>
                <w:szCs w:val="28"/>
                <w14:textFill>
                  <w14:solidFill>
                    <w14:schemeClr w14:val="tx1"/>
                  </w14:solidFill>
                </w14:textFill>
              </w:rPr>
              <w:t>汕尾海上风电装备制造及工程基地</w:t>
            </w:r>
            <w:r>
              <w:rPr>
                <w:rFonts w:hint="eastAsia" w:ascii="宋体" w:hAnsi="宋体" w:eastAsia="宋体" w:cs="宋体"/>
                <w:color w:val="000000" w:themeColor="text1"/>
                <w:sz w:val="28"/>
                <w:szCs w:val="28"/>
                <w:lang w:val="en-US" w:eastAsia="zh-CN"/>
                <w14:textFill>
                  <w14:solidFill>
                    <w14:schemeClr w14:val="tx1"/>
                  </w14:solidFill>
                </w14:textFill>
              </w:rPr>
              <w:t>建设，重点研发</w:t>
            </w:r>
            <w:r>
              <w:rPr>
                <w:rFonts w:hint="eastAsia" w:ascii="宋体" w:hAnsi="宋体" w:eastAsia="宋体" w:cs="宋体"/>
                <w:color w:val="000000" w:themeColor="text1"/>
                <w:sz w:val="28"/>
                <w:szCs w:val="28"/>
                <w14:textFill>
                  <w14:solidFill>
                    <w14:schemeClr w14:val="tx1"/>
                  </w14:solidFill>
                </w14:textFill>
              </w:rPr>
              <w:t>制造10兆瓦级</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15</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20兆瓦级的风电机组，</w:t>
            </w:r>
            <w:r>
              <w:rPr>
                <w:rFonts w:hint="eastAsia" w:ascii="宋体" w:hAnsi="宋体" w:eastAsia="宋体" w:cs="宋体"/>
                <w:color w:val="000000" w:themeColor="text1"/>
                <w:sz w:val="28"/>
                <w:szCs w:val="28"/>
                <w:lang w:val="en-US" w:eastAsia="zh-CN"/>
                <w14:textFill>
                  <w14:solidFill>
                    <w14:schemeClr w14:val="tx1"/>
                  </w14:solidFill>
                </w14:textFill>
              </w:rPr>
              <w:t>做强</w:t>
            </w:r>
            <w:r>
              <w:rPr>
                <w:rFonts w:hint="eastAsia" w:ascii="宋体" w:hAnsi="宋体" w:eastAsia="宋体" w:cs="宋体"/>
                <w:color w:val="000000" w:themeColor="text1"/>
                <w:sz w:val="28"/>
                <w:szCs w:val="28"/>
                <w14:textFill>
                  <w14:solidFill>
                    <w14:schemeClr w14:val="tx1"/>
                  </w14:solidFill>
                </w14:textFill>
              </w:rPr>
              <w:t>超大型风机总装集成能力，重点发展叶片、塔筒、导管架、海底电缆等大型结构件</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补齐发电机、齿轮箱、控制系统等关键部件配套</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鼓励发展</w:t>
            </w:r>
            <w:r>
              <w:rPr>
                <w:rFonts w:hint="eastAsia" w:ascii="宋体" w:hAnsi="宋体" w:eastAsia="宋体" w:cs="宋体"/>
                <w:color w:val="000000" w:themeColor="text1"/>
                <w:sz w:val="28"/>
                <w:szCs w:val="28"/>
                <w14:textFill>
                  <w14:solidFill>
                    <w14:schemeClr w14:val="tx1"/>
                  </w14:solidFill>
                </w14:textFill>
              </w:rPr>
              <w:t>“海上风电+电解水制氢”一体化装备，突破海上浮式制氢平台、高效质子交换膜电解槽等关键技术</w:t>
            </w:r>
            <w:r>
              <w:rPr>
                <w:rFonts w:hint="eastAsia" w:ascii="宋体" w:hAnsi="宋体" w:eastAsia="宋体" w:cs="宋体"/>
                <w:color w:val="000000" w:themeColor="text1"/>
                <w:sz w:val="28"/>
                <w:szCs w:val="28"/>
                <w:lang w:eastAsia="zh-CN"/>
                <w14:textFill>
                  <w14:solidFill>
                    <w14:schemeClr w14:val="tx1"/>
                  </w14:solidFill>
                </w14:textFill>
              </w:rPr>
              <w:t>，推动建设海上能源综合示范项目。</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562" w:firstLineChars="200"/>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kern w:val="2"/>
                <w:sz w:val="28"/>
                <w:szCs w:val="28"/>
                <w:lang w:val="en-US" w:eastAsia="zh-CN" w:bidi="ar-SA"/>
                <w14:textFill>
                  <w14:solidFill>
                    <w14:schemeClr w14:val="tx1"/>
                  </w14:solidFill>
                </w14:textFill>
              </w:rPr>
              <w:t>2.</w:t>
            </w:r>
            <w:r>
              <w:rPr>
                <w:rFonts w:hint="eastAsia" w:ascii="宋体" w:hAnsi="宋体" w:eastAsia="宋体" w:cs="宋体"/>
                <w:b/>
                <w:bCs/>
                <w:color w:val="000000" w:themeColor="text1"/>
                <w:sz w:val="28"/>
                <w:szCs w:val="22"/>
                <w:lang w:val="en-US" w:eastAsia="zh-CN"/>
                <w14:textFill>
                  <w14:solidFill>
                    <w14:schemeClr w14:val="tx1"/>
                  </w14:solidFill>
                </w14:textFill>
              </w:rPr>
              <w:t>高技术船舶。</w:t>
            </w:r>
            <w:r>
              <w:rPr>
                <w:rFonts w:hint="eastAsia" w:ascii="宋体" w:hAnsi="宋体" w:eastAsia="宋体" w:cs="宋体"/>
                <w:color w:val="000000" w:themeColor="text1"/>
                <w:sz w:val="28"/>
                <w:szCs w:val="28"/>
                <w:lang w:val="en-US" w:eastAsia="zh-CN"/>
                <w14:textFill>
                  <w14:solidFill>
                    <w14:schemeClr w14:val="tx1"/>
                  </w14:solidFill>
                </w14:textFill>
              </w:rPr>
              <w:t>以现代化海洋牧场为牵引，</w:t>
            </w:r>
            <w:r>
              <w:rPr>
                <w:rFonts w:hint="eastAsia" w:ascii="宋体" w:hAnsi="宋体" w:eastAsia="宋体" w:cs="宋体"/>
                <w:color w:val="000000" w:themeColor="text1"/>
                <w:sz w:val="28"/>
                <w:szCs w:val="28"/>
                <w14:textFill>
                  <w14:solidFill>
                    <w14:schemeClr w14:val="tx1"/>
                  </w14:solidFill>
                </w14:textFill>
              </w:rPr>
              <w:t>研发新型深远海养殖平台、鱼类自动分级系统等</w:t>
            </w:r>
            <w:r>
              <w:rPr>
                <w:rFonts w:hint="eastAsia" w:ascii="宋体" w:hAnsi="宋体" w:eastAsia="宋体" w:cs="宋体"/>
                <w:color w:val="000000" w:themeColor="text1"/>
                <w:sz w:val="28"/>
                <w:szCs w:val="28"/>
                <w:lang w:val="en-US" w:eastAsia="zh-CN"/>
                <w14:textFill>
                  <w14:solidFill>
                    <w14:schemeClr w14:val="tx1"/>
                  </w14:solidFill>
                </w14:textFill>
              </w:rPr>
              <w:t>重型</w:t>
            </w:r>
            <w:r>
              <w:rPr>
                <w:rFonts w:hint="eastAsia" w:ascii="宋体" w:hAnsi="宋体" w:eastAsia="宋体" w:cs="宋体"/>
                <w:color w:val="000000" w:themeColor="text1"/>
                <w:sz w:val="28"/>
                <w:szCs w:val="28"/>
                <w14:textFill>
                  <w14:solidFill>
                    <w14:schemeClr w14:val="tx1"/>
                  </w14:solidFill>
                </w14:textFill>
              </w:rPr>
              <w:t>装备</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配套发展船载智能终端、海洋监测通信与导航雷达，布局新能源船舶及</w:t>
            </w:r>
            <w:r>
              <w:rPr>
                <w:rFonts w:hint="eastAsia" w:ascii="宋体" w:hAnsi="宋体" w:eastAsia="宋体" w:cs="宋体"/>
                <w:color w:val="000000" w:themeColor="text1"/>
                <w:sz w:val="28"/>
                <w:szCs w:val="28"/>
                <w14:textFill>
                  <w14:solidFill>
                    <w14:schemeClr w14:val="tx1"/>
                  </w14:solidFill>
                </w14:textFill>
              </w:rPr>
              <w:t>智驱高性能深远海养殖辅助船</w:t>
            </w:r>
            <w:r>
              <w:rPr>
                <w:rFonts w:hint="eastAsia" w:ascii="宋体" w:hAnsi="宋体" w:eastAsia="宋体" w:cs="宋体"/>
                <w:color w:val="000000" w:themeColor="text1"/>
                <w:sz w:val="28"/>
                <w:szCs w:val="28"/>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562" w:firstLineChars="200"/>
              <w:textAlignment w:val="auto"/>
              <w:rPr>
                <w:rFonts w:hint="eastAsia" w:ascii="宋体" w:hAnsi="宋体" w:eastAsia="宋体" w:cs="宋体"/>
                <w:b w:val="0"/>
                <w:bCs w:val="0"/>
                <w:color w:val="000000" w:themeColor="text1"/>
                <w:sz w:val="28"/>
                <w:szCs w:val="22"/>
                <w:lang w:val="en-US" w:eastAsia="zh-CN"/>
                <w14:textFill>
                  <w14:solidFill>
                    <w14:schemeClr w14:val="tx1"/>
                  </w14:solidFill>
                </w14:textFill>
              </w:rPr>
            </w:pPr>
            <w:r>
              <w:rPr>
                <w:rFonts w:hint="eastAsia" w:ascii="宋体" w:hAnsi="宋体" w:eastAsia="宋体" w:cs="宋体"/>
                <w:b/>
                <w:bCs/>
                <w:color w:val="000000" w:themeColor="text1"/>
                <w:sz w:val="28"/>
                <w:szCs w:val="22"/>
                <w:lang w:val="en-US" w:eastAsia="zh-CN"/>
                <w14:textFill>
                  <w14:solidFill>
                    <w14:schemeClr w14:val="tx1"/>
                  </w14:solidFill>
                </w14:textFill>
              </w:rPr>
              <w:t>3.智能制造装备。</w:t>
            </w:r>
            <w:r>
              <w:rPr>
                <w:rFonts w:hint="eastAsia" w:ascii="宋体" w:hAnsi="宋体" w:eastAsia="宋体" w:cs="宋体"/>
                <w:b w:val="0"/>
                <w:bCs w:val="0"/>
                <w:color w:val="000000" w:themeColor="text1"/>
                <w:sz w:val="28"/>
                <w:szCs w:val="22"/>
                <w:lang w:val="en-US" w:eastAsia="zh-CN"/>
                <w14:textFill>
                  <w14:solidFill>
                    <w14:schemeClr w14:val="tx1"/>
                  </w14:solidFill>
                </w14:textFill>
              </w:rPr>
              <w:t>在工业机器人领域，鼓励发展精密装配机器人、分拣搬运机器人、协作机器人，推进产线自动化改造；在智能检测装备领域，发展机器视觉表面缺陷检测设备、在线尺寸检测装备、高精度几何测量仪器，适配制造业全流程质检环节，提升产品良率与质量稳定性；在高端数控机床装备领域，研发精密数控磨床、多轴精密加工中心及专用数控切削机床，提升本地数控设备加工精度与运行稳定性。</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562" w:firstLineChars="200"/>
              <w:textAlignment w:val="auto"/>
              <w:rPr>
                <w:rFonts w:hint="default" w:ascii="宋体" w:hAnsi="宋体" w:eastAsia="宋体" w:cs="宋体"/>
                <w:b w:val="0"/>
                <w:bCs w:val="0"/>
                <w:color w:val="000000" w:themeColor="text1"/>
                <w:sz w:val="28"/>
                <w:szCs w:val="22"/>
                <w:lang w:val="en-US" w:eastAsia="zh-CN"/>
                <w14:textFill>
                  <w14:solidFill>
                    <w14:schemeClr w14:val="tx1"/>
                  </w14:solidFill>
                </w14:textFill>
              </w:rPr>
            </w:pPr>
            <w:r>
              <w:rPr>
                <w:rFonts w:hint="eastAsia" w:ascii="宋体" w:hAnsi="宋体" w:eastAsia="宋体" w:cs="宋体"/>
                <w:b/>
                <w:bCs/>
                <w:color w:val="000000" w:themeColor="text1"/>
                <w:sz w:val="28"/>
                <w:szCs w:val="22"/>
                <w:lang w:val="en-US" w:eastAsia="zh-CN"/>
                <w14:textFill>
                  <w14:solidFill>
                    <w14:schemeClr w14:val="tx1"/>
                  </w14:solidFill>
                </w14:textFill>
              </w:rPr>
              <w:t>4.通用航空器及无人机装备。</w:t>
            </w:r>
            <w:r>
              <w:rPr>
                <w:rFonts w:hint="eastAsia" w:ascii="宋体" w:hAnsi="宋体" w:eastAsia="宋体" w:cs="宋体"/>
                <w:color w:val="000000" w:themeColor="text1"/>
                <w:sz w:val="28"/>
                <w:szCs w:val="22"/>
                <w14:textFill>
                  <w14:solidFill>
                    <w14:schemeClr w14:val="tx1"/>
                  </w14:solidFill>
                </w14:textFill>
              </w:rPr>
              <w:t>重点发展轻型运动飞机、直升机旋翼系统</w:t>
            </w:r>
            <w:r>
              <w:rPr>
                <w:rFonts w:hint="eastAsia" w:ascii="宋体" w:hAnsi="宋体" w:eastAsia="宋体" w:cs="宋体"/>
                <w:color w:val="000000" w:themeColor="text1"/>
                <w:sz w:val="28"/>
                <w:szCs w:val="22"/>
                <w:lang w:eastAsia="zh-CN"/>
                <w14:textFill>
                  <w14:solidFill>
                    <w14:schemeClr w14:val="tx1"/>
                  </w14:solidFill>
                </w14:textFill>
              </w:rPr>
              <w:t>以及</w:t>
            </w:r>
            <w:r>
              <w:rPr>
                <w:rFonts w:hint="eastAsia" w:ascii="宋体" w:hAnsi="宋体" w:eastAsia="宋体" w:cs="宋体"/>
                <w:color w:val="000000" w:themeColor="text1"/>
                <w:sz w:val="28"/>
                <w:szCs w:val="22"/>
                <w14:textFill>
                  <w14:solidFill>
                    <w14:schemeClr w14:val="tx1"/>
                  </w14:solidFill>
                </w14:textFill>
              </w:rPr>
              <w:t>通用航空发动机</w:t>
            </w:r>
            <w:r>
              <w:rPr>
                <w:rFonts w:hint="eastAsia" w:ascii="宋体" w:hAnsi="宋体" w:eastAsia="宋体" w:cs="宋体"/>
                <w:color w:val="000000" w:themeColor="text1"/>
                <w:sz w:val="28"/>
                <w:szCs w:val="22"/>
                <w:lang w:eastAsia="zh-CN"/>
                <w14:textFill>
                  <w14:solidFill>
                    <w14:schemeClr w14:val="tx1"/>
                  </w14:solidFill>
                </w14:textFill>
              </w:rPr>
              <w:t>核心部件；</w:t>
            </w:r>
            <w:r>
              <w:rPr>
                <w:rFonts w:hint="eastAsia" w:ascii="宋体" w:hAnsi="宋体" w:eastAsia="宋体" w:cs="宋体"/>
                <w:color w:val="000000" w:themeColor="text1"/>
                <w:sz w:val="28"/>
                <w:szCs w:val="22"/>
                <w:lang w:val="en-US" w:eastAsia="zh-CN"/>
                <w14:textFill>
                  <w14:solidFill>
                    <w14:schemeClr w14:val="tx1"/>
                  </w14:solidFill>
                </w14:textFill>
              </w:rPr>
              <w:t>布局</w:t>
            </w:r>
            <w:r>
              <w:rPr>
                <w:rFonts w:hint="eastAsia" w:ascii="宋体" w:hAnsi="宋体" w:eastAsia="宋体" w:cs="宋体"/>
                <w:color w:val="000000" w:themeColor="text1"/>
                <w:sz w:val="28"/>
                <w:szCs w:val="22"/>
                <w14:textFill>
                  <w14:solidFill>
                    <w14:schemeClr w14:val="tx1"/>
                  </w14:solidFill>
                </w14:textFill>
              </w:rPr>
              <w:t>长航时多旋翼无人机、垂直起降固定翼无人机</w:t>
            </w:r>
            <w:r>
              <w:rPr>
                <w:rFonts w:hint="eastAsia" w:ascii="宋体" w:hAnsi="宋体" w:eastAsia="宋体" w:cs="宋体"/>
                <w:color w:val="000000" w:themeColor="text1"/>
                <w:sz w:val="28"/>
                <w:szCs w:val="22"/>
                <w:lang w:eastAsia="zh-CN"/>
                <w14:textFill>
                  <w14:solidFill>
                    <w14:schemeClr w14:val="tx1"/>
                  </w14:solidFill>
                </w14:textFill>
              </w:rPr>
              <w:t>以及</w:t>
            </w:r>
            <w:r>
              <w:rPr>
                <w:rFonts w:hint="eastAsia" w:ascii="宋体" w:hAnsi="宋体" w:eastAsia="宋体" w:cs="宋体"/>
                <w:color w:val="000000" w:themeColor="text1"/>
                <w:sz w:val="28"/>
                <w:szCs w:val="22"/>
                <w14:textFill>
                  <w14:solidFill>
                    <w14:schemeClr w14:val="tx1"/>
                  </w14:solidFill>
                </w14:textFill>
              </w:rPr>
              <w:t>无人机智能飞控系统，开发海洋监测、港口物流、农业植保、电力巡检等场景专用无人机。</w:t>
            </w:r>
          </w:p>
          <w:p>
            <w:pPr>
              <w:keepNext w:val="0"/>
              <w:keepLines w:val="0"/>
              <w:pageBreakBefore w:val="0"/>
              <w:widowControl w:val="0"/>
              <w:kinsoku/>
              <w:wordWrap/>
              <w:overflowPunct/>
              <w:topLinePunct w:val="0"/>
              <w:autoSpaceDE/>
              <w:autoSpaceDN/>
              <w:bidi w:val="0"/>
              <w:adjustRightInd/>
              <w:snapToGrid w:val="0"/>
              <w:spacing w:line="240" w:lineRule="auto"/>
              <w:ind w:firstLine="562" w:firstLineChars="200"/>
              <w:textAlignment w:val="auto"/>
              <w:rPr>
                <w:color w:val="000000" w:themeColor="text1"/>
                <w14:textFill>
                  <w14:solidFill>
                    <w14:schemeClr w14:val="tx1"/>
                  </w14:solidFill>
                </w14:textFill>
              </w:rPr>
            </w:pPr>
            <w:r>
              <w:rPr>
                <w:rFonts w:hint="eastAsia" w:ascii="宋体" w:hAnsi="宋体" w:eastAsia="宋体" w:cs="宋体"/>
                <w:b/>
                <w:bCs/>
                <w:color w:val="000000" w:themeColor="text1"/>
                <w:sz w:val="28"/>
                <w:szCs w:val="22"/>
                <w:lang w:val="en-US" w:eastAsia="zh-CN"/>
                <w14:textFill>
                  <w14:solidFill>
                    <w14:schemeClr w14:val="tx1"/>
                  </w14:solidFill>
                </w14:textFill>
              </w:rPr>
              <w:t>5.高端装备核心零部件。</w:t>
            </w:r>
            <w:r>
              <w:rPr>
                <w:rFonts w:hint="eastAsia" w:ascii="宋体" w:hAnsi="宋体" w:eastAsia="宋体" w:cs="宋体"/>
                <w:color w:val="000000" w:themeColor="text1"/>
                <w:sz w:val="28"/>
                <w:szCs w:val="28"/>
                <w14:textFill>
                  <w14:solidFill>
                    <w14:schemeClr w14:val="tx1"/>
                  </w14:solidFill>
                </w14:textFill>
              </w:rPr>
              <w:t>围绕海工装备、智能装备及通航等核心产业需求，</w:t>
            </w:r>
            <w:r>
              <w:rPr>
                <w:rFonts w:hint="eastAsia" w:ascii="宋体" w:hAnsi="宋体" w:eastAsia="宋体" w:cs="宋体"/>
                <w:color w:val="000000" w:themeColor="text1"/>
                <w:sz w:val="28"/>
                <w:szCs w:val="28"/>
                <w:lang w:eastAsia="zh-CN"/>
                <w14:textFill>
                  <w14:solidFill>
                    <w14:schemeClr w14:val="tx1"/>
                  </w14:solidFill>
                </w14:textFill>
              </w:rPr>
              <w:t>夯实精密铸件、高端轴承、液压件、密封件及特种电缆等通用基础件配套能力；</w:t>
            </w:r>
            <w:r>
              <w:rPr>
                <w:rFonts w:hint="eastAsia" w:ascii="宋体" w:hAnsi="宋体" w:eastAsia="宋体" w:cs="宋体"/>
                <w:color w:val="000000" w:themeColor="text1"/>
                <w:sz w:val="28"/>
                <w:szCs w:val="28"/>
                <w:lang w:val="en-US" w:eastAsia="zh-CN"/>
                <w14:textFill>
                  <w14:solidFill>
                    <w14:schemeClr w14:val="tx1"/>
                  </w14:solidFill>
                </w14:textFill>
              </w:rPr>
              <w:t>鼓励发展深水系泊系统、水下生产系统、智能船舶控制系统及绿色动力系统等专用核心系统</w:t>
            </w:r>
            <w:r>
              <w:rPr>
                <w:rFonts w:hint="eastAsia" w:ascii="宋体" w:hAnsi="宋体" w:eastAsia="宋体" w:cs="宋体"/>
                <w:color w:val="000000" w:themeColor="text1"/>
                <w:sz w:val="28"/>
                <w:szCs w:val="28"/>
                <w:lang w:eastAsia="zh-CN"/>
                <w14:textFill>
                  <w14:solidFill>
                    <w14:schemeClr w14:val="tx1"/>
                  </w14:solidFill>
                </w14:textFill>
              </w:rPr>
              <w:t>；聚焦发动机、变流器、升降锁紧系统、靠泊系统、导航定位系统等瓶颈</w:t>
            </w:r>
            <w:r>
              <w:rPr>
                <w:rFonts w:hint="eastAsia" w:ascii="宋体" w:hAnsi="宋体" w:eastAsia="宋体" w:cs="宋体"/>
                <w:color w:val="000000" w:themeColor="text1"/>
                <w:sz w:val="28"/>
                <w:szCs w:val="28"/>
                <w:lang w:val="en-US" w:eastAsia="zh-CN"/>
                <w14:textFill>
                  <w14:solidFill>
                    <w14:schemeClr w14:val="tx1"/>
                  </w14:solidFill>
                </w14:textFill>
              </w:rPr>
              <w:t>技术</w:t>
            </w:r>
            <w:r>
              <w:rPr>
                <w:rFonts w:hint="eastAsia" w:ascii="宋体" w:hAnsi="宋体" w:eastAsia="宋体" w:cs="宋体"/>
                <w:color w:val="000000" w:themeColor="text1"/>
                <w:sz w:val="28"/>
                <w:szCs w:val="28"/>
                <w:lang w:eastAsia="zh-CN"/>
                <w14:textFill>
                  <w14:solidFill>
                    <w14:schemeClr w14:val="tx1"/>
                  </w14:solidFill>
                </w14:textFill>
              </w:rPr>
              <w:t>，加强核心技术攻关与成果转化</w:t>
            </w:r>
            <w:r>
              <w:rPr>
                <w:rFonts w:hint="eastAsia" w:ascii="宋体" w:hAnsi="宋体" w:eastAsia="宋体" w:cs="宋体"/>
                <w:color w:val="000000" w:themeColor="text1"/>
                <w:sz w:val="28"/>
                <w:szCs w:val="22"/>
                <w14:textFill>
                  <w14:solidFill>
                    <w14:schemeClr w14:val="tx1"/>
                  </w14:solidFill>
                </w14:textFill>
              </w:rPr>
              <w:t>。</w:t>
            </w:r>
          </w:p>
        </w:tc>
      </w:tr>
    </w:tbl>
    <w:p>
      <w:pPr>
        <w:pStyle w:val="5"/>
        <w:keepNext/>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color w:val="000000" w:themeColor="text1"/>
          <w14:textFill>
            <w14:solidFill>
              <w14:schemeClr w14:val="tx1"/>
            </w14:solidFill>
          </w14:textFill>
        </w:rPr>
      </w:pPr>
      <w:bookmarkStart w:id="168" w:name="_Toc7051"/>
      <w:bookmarkStart w:id="169" w:name="_Toc3563"/>
      <w:bookmarkStart w:id="170" w:name="_Toc15962"/>
      <w:bookmarkStart w:id="171" w:name="_Toc24148"/>
      <w:bookmarkStart w:id="172" w:name="_Toc28482"/>
      <w:bookmarkStart w:id="173" w:name="_Toc27126"/>
      <w:bookmarkStart w:id="174" w:name="_Toc13261"/>
      <w:bookmarkStart w:id="175" w:name="_Toc31099"/>
      <w:bookmarkStart w:id="176" w:name="_Toc20996"/>
      <w:bookmarkStart w:id="177" w:name="_Toc10647"/>
      <w:bookmarkStart w:id="178" w:name="_Toc24622"/>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安全应急与环保新材料产业</w:t>
      </w:r>
      <w:bookmarkEnd w:id="168"/>
      <w:bookmarkEnd w:id="169"/>
      <w:bookmarkEnd w:id="170"/>
      <w:bookmarkEnd w:id="171"/>
      <w:bookmarkEnd w:id="172"/>
      <w:bookmarkEnd w:id="173"/>
      <w:bookmarkEnd w:id="174"/>
      <w:bookmarkEnd w:id="175"/>
      <w:bookmarkEnd w:id="176"/>
      <w:bookmarkEnd w:id="177"/>
      <w:bookmarkEnd w:id="178"/>
    </w:p>
    <w:p>
      <w:pPr>
        <w:pStyle w:val="2"/>
        <w:rPr>
          <w:rFonts w:hint="eastAsia"/>
          <w:color w:val="000000" w:themeColor="text1"/>
          <w:lang w:eastAsia="zh-CN"/>
          <w14:textFill>
            <w14:solidFill>
              <w14:schemeClr w14:val="tx1"/>
            </w14:solidFill>
          </w14:textFill>
        </w:rPr>
      </w:pPr>
      <w:r>
        <w:rPr>
          <w:rFonts w:hint="eastAsia" w:ascii="仿宋_GB2312" w:hAnsi="仿宋_GB2312" w:eastAsia="仿宋_GB2312" w:cs="仿宋_GB2312"/>
          <w:b w:val="0"/>
          <w:bCs w:val="0"/>
          <w:color w:val="000000" w:themeColor="text1"/>
          <w:szCs w:val="32"/>
          <w:lang w:val="en-US" w:eastAsia="zh-CN"/>
          <w14:textFill>
            <w14:solidFill>
              <w14:schemeClr w14:val="tx1"/>
            </w14:solidFill>
          </w14:textFill>
        </w:rPr>
        <w:t>重点</w:t>
      </w:r>
      <w:r>
        <w:rPr>
          <w:rFonts w:hint="eastAsia" w:ascii="仿宋_GB2312" w:hAnsi="仿宋_GB2312" w:eastAsia="仿宋_GB2312" w:cs="仿宋_GB2312"/>
          <w:b w:val="0"/>
          <w:bCs w:val="0"/>
          <w:color w:val="000000" w:themeColor="text1"/>
          <w:szCs w:val="32"/>
          <w14:textFill>
            <w14:solidFill>
              <w14:schemeClr w14:val="tx1"/>
            </w14:solidFill>
          </w14:textFill>
        </w:rPr>
        <w:t>提升安</w:t>
      </w:r>
      <w:r>
        <w:rPr>
          <w:rFonts w:hint="eastAsia" w:ascii="Times New Roman" w:hAnsi="Times New Roman" w:eastAsia="仿宋_GB2312" w:cs="Times New Roman"/>
          <w:color w:val="000000" w:themeColor="text1"/>
          <w:kern w:val="2"/>
          <w:sz w:val="32"/>
          <w:szCs w:val="24"/>
          <w:lang w:val="en-US" w:eastAsia="zh-CN" w:bidi="ar-SA"/>
          <w14:textFill>
            <w14:solidFill>
              <w14:schemeClr w14:val="tx1"/>
            </w14:solidFill>
          </w14:textFill>
        </w:rPr>
        <w:t>全应急与环保产业供给能力和质量，加快发展特种防护、新能源、新一代电子信息、先进金属、玻璃等高端新材料，拓展绿色精细化工与环保新材料应用，持续夯实安全应急与环保新材料产业支撑能力。</w:t>
      </w:r>
    </w:p>
    <w:p>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到2030年，力争安全应急与环保新材料产业集群产值达到100亿元。</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eastAsia="黑体"/>
                <w:b w:val="0"/>
                <w:bCs w:val="0"/>
                <w:color w:val="000000" w:themeColor="text1"/>
                <w:kern w:val="0"/>
                <w:sz w:val="28"/>
                <w:szCs w:val="22"/>
                <w:highlight w:val="none"/>
                <w:lang w:val="en-US" w:eastAsia="zh-CN"/>
                <w14:textFill>
                  <w14:solidFill>
                    <w14:schemeClr w14:val="tx1"/>
                  </w14:solidFill>
                </w14:textFill>
              </w:rPr>
            </w:pPr>
            <w:r>
              <w:rPr>
                <w:rFonts w:hint="eastAsia" w:eastAsia="黑体"/>
                <w:b w:val="0"/>
                <w:bCs w:val="0"/>
                <w:color w:val="000000" w:themeColor="text1"/>
                <w:kern w:val="0"/>
                <w:sz w:val="28"/>
                <w:szCs w:val="22"/>
                <w:highlight w:val="none"/>
                <w14:textFill>
                  <w14:solidFill>
                    <w14:schemeClr w14:val="tx1"/>
                  </w14:solidFill>
                </w14:textFill>
              </w:rPr>
              <w:t>专栏9 安全应急与环保新材料产业细分领域</w:t>
            </w:r>
          </w:p>
          <w:p>
            <w:pPr>
              <w:keepNext w:val="0"/>
              <w:keepLines w:val="0"/>
              <w:widowControl w:val="0"/>
              <w:suppressLineNumbers w:val="0"/>
              <w:snapToGrid w:val="0"/>
              <w:spacing w:line="240" w:lineRule="auto"/>
              <w:ind w:firstLine="643"/>
              <w:jc w:val="left"/>
              <w:rPr>
                <w:rFonts w:hint="default" w:ascii="宋体" w:hAnsi="宋体" w:eastAsia="宋体" w:cs="宋体"/>
                <w:color w:val="000000" w:themeColor="text1"/>
                <w:sz w:val="28"/>
                <w:szCs w:val="28"/>
                <w:lang w:val="en-US" w:eastAsia="zh-CN" w:bidi="ar"/>
                <w14:textFill>
                  <w14:solidFill>
                    <w14:schemeClr w14:val="tx1"/>
                  </w14:solidFill>
                </w14:textFill>
              </w:rPr>
            </w:pPr>
            <w:r>
              <w:rPr>
                <w:rFonts w:hint="eastAsia" w:ascii="宋体" w:hAnsi="宋体" w:eastAsia="宋体" w:cs="宋体"/>
                <w:b/>
                <w:bCs/>
                <w:color w:val="000000" w:themeColor="text1"/>
                <w:kern w:val="2"/>
                <w:sz w:val="28"/>
                <w:szCs w:val="28"/>
                <w:lang w:val="en-US" w:eastAsia="zh-CN" w:bidi="ar"/>
                <w14:textFill>
                  <w14:solidFill>
                    <w14:schemeClr w14:val="tx1"/>
                  </w14:solidFill>
                </w14:textFill>
              </w:rPr>
              <w:t>1.特种防护材料。</w:t>
            </w:r>
            <w:r>
              <w:rPr>
                <w:rFonts w:hint="eastAsia" w:ascii="宋体" w:hAnsi="宋体" w:eastAsia="宋体" w:cs="宋体"/>
                <w:b w:val="0"/>
                <w:bCs w:val="0"/>
                <w:color w:val="000000" w:themeColor="text1"/>
                <w:kern w:val="2"/>
                <w:sz w:val="28"/>
                <w:szCs w:val="28"/>
                <w:lang w:val="en-US" w:eastAsia="zh-CN" w:bidi="ar"/>
                <w14:textFill>
                  <w14:solidFill>
                    <w14:schemeClr w14:val="tx1"/>
                  </w14:solidFill>
                </w14:textFill>
              </w:rPr>
              <w:t>攻坚耐高温、抗静电、防生化功能面料制备技术；培育核应急屏蔽铅硼聚乙烯、防辐射硫酸钡复合材料，发展消防膨胀阻燃涂层、耐高温隔热材料，水域救援高强耐磨复合面料、抗老化漂浮基材，全面适配核电、消防救援、海上搜救等安全应急应用场景。</w:t>
            </w:r>
          </w:p>
          <w:p>
            <w:pPr>
              <w:keepNext w:val="0"/>
              <w:keepLines w:val="0"/>
              <w:pageBreakBefore w:val="0"/>
              <w:widowControl w:val="0"/>
              <w:kinsoku/>
              <w:wordWrap/>
              <w:overflowPunct/>
              <w:topLinePunct w:val="0"/>
              <w:autoSpaceDE/>
              <w:autoSpaceDN/>
              <w:bidi w:val="0"/>
              <w:adjustRightInd/>
              <w:snapToGrid w:val="0"/>
              <w:spacing w:line="240" w:lineRule="auto"/>
              <w:ind w:firstLine="643"/>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2.</w:t>
            </w:r>
            <w:r>
              <w:rPr>
                <w:rFonts w:hint="eastAsia" w:ascii="宋体" w:hAnsi="宋体" w:eastAsia="宋体" w:cs="宋体"/>
                <w:b/>
                <w:bCs/>
                <w:color w:val="000000" w:themeColor="text1"/>
                <w:sz w:val="28"/>
                <w:szCs w:val="28"/>
                <w14:textFill>
                  <w14:solidFill>
                    <w14:schemeClr w14:val="tx1"/>
                  </w14:solidFill>
                </w14:textFill>
              </w:rPr>
              <w:t>新能源材料</w:t>
            </w:r>
            <w:r>
              <w:rPr>
                <w:rFonts w:hint="eastAsia" w:ascii="宋体" w:hAnsi="宋体" w:eastAsia="宋体" w:cs="宋体"/>
                <w:color w:val="000000" w:themeColor="text1"/>
                <w:sz w:val="28"/>
                <w:szCs w:val="28"/>
                <w14:textFill>
                  <w14:solidFill>
                    <w14:schemeClr w14:val="tx1"/>
                  </w14:solidFill>
                </w14:textFill>
              </w:rPr>
              <w:t>。加快布局研发中心与生产基地，重点</w:t>
            </w:r>
            <w:r>
              <w:rPr>
                <w:rFonts w:hint="eastAsia" w:ascii="宋体" w:hAnsi="宋体" w:eastAsia="宋体" w:cs="宋体"/>
                <w:color w:val="000000" w:themeColor="text1"/>
                <w:sz w:val="28"/>
                <w:szCs w:val="28"/>
                <w:lang w:val="en-US" w:eastAsia="zh-CN"/>
                <w14:textFill>
                  <w14:solidFill>
                    <w14:schemeClr w14:val="tx1"/>
                  </w14:solidFill>
                </w14:textFill>
              </w:rPr>
              <w:t>发展</w:t>
            </w:r>
            <w:r>
              <w:rPr>
                <w:rFonts w:hint="eastAsia" w:ascii="宋体" w:hAnsi="宋体" w:eastAsia="宋体" w:cs="宋体"/>
                <w:color w:val="000000" w:themeColor="text1"/>
                <w:sz w:val="28"/>
                <w:szCs w:val="28"/>
                <w14:textFill>
                  <w14:solidFill>
                    <w14:schemeClr w14:val="tx1"/>
                  </w14:solidFill>
                </w14:textFill>
              </w:rPr>
              <w:t>风电叶片复合材料、光伏高效电池材料、新型电解液、燃料电池质子交换膜等产品</w:t>
            </w:r>
            <w:r>
              <w:rPr>
                <w:rFonts w:hint="eastAsia" w:ascii="宋体" w:hAnsi="宋体" w:eastAsia="宋体" w:cs="宋体"/>
                <w:color w:val="000000" w:themeColor="text1"/>
                <w:kern w:val="0"/>
                <w:sz w:val="28"/>
                <w:szCs w:val="28"/>
                <w:highlight w:val="none"/>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推动“材料</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部件</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整机”全链条协同。</w:t>
            </w:r>
          </w:p>
          <w:p>
            <w:pPr>
              <w:keepNext w:val="0"/>
              <w:keepLines w:val="0"/>
              <w:pageBreakBefore w:val="0"/>
              <w:widowControl w:val="0"/>
              <w:kinsoku/>
              <w:wordWrap/>
              <w:overflowPunct/>
              <w:topLinePunct w:val="0"/>
              <w:autoSpaceDE/>
              <w:autoSpaceDN/>
              <w:bidi w:val="0"/>
              <w:adjustRightInd/>
              <w:snapToGrid w:val="0"/>
              <w:spacing w:line="240" w:lineRule="auto"/>
              <w:ind w:firstLine="643"/>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3.</w:t>
            </w:r>
            <w:r>
              <w:rPr>
                <w:rFonts w:hint="eastAsia" w:ascii="宋体" w:hAnsi="宋体" w:eastAsia="宋体" w:cs="宋体"/>
                <w:b/>
                <w:bCs/>
                <w:color w:val="000000" w:themeColor="text1"/>
                <w:sz w:val="28"/>
                <w:szCs w:val="28"/>
                <w14:textFill>
                  <w14:solidFill>
                    <w14:schemeClr w14:val="tx1"/>
                  </w14:solidFill>
                </w14:textFill>
              </w:rPr>
              <w:t>新一代电子信息材料</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鼓励攻关半导体BT树脂、陶瓷封装基板，</w:t>
            </w:r>
            <w:r>
              <w:rPr>
                <w:rFonts w:hint="eastAsia" w:ascii="宋体" w:hAnsi="宋体" w:eastAsia="宋体" w:cs="宋体"/>
                <w:color w:val="000000" w:themeColor="text1"/>
                <w:sz w:val="28"/>
                <w:szCs w:val="28"/>
                <w14:textFill>
                  <w14:solidFill>
                    <w14:schemeClr w14:val="tx1"/>
                  </w14:solidFill>
                </w14:textFill>
              </w:rPr>
              <w:t>柔性OLED用聚酰亚胺（PI）薄膜、高频高速LCP/MPI覆铜板等关键电子材料</w:t>
            </w:r>
            <w:r>
              <w:rPr>
                <w:rFonts w:hint="eastAsia" w:ascii="宋体" w:hAnsi="宋体" w:eastAsia="宋体" w:cs="宋体"/>
                <w:color w:val="000000" w:themeColor="text1"/>
                <w:sz w:val="28"/>
                <w:szCs w:val="28"/>
                <w:lang w:eastAsia="zh-CN"/>
                <w14:textFill>
                  <w14:solidFill>
                    <w14:schemeClr w14:val="tx1"/>
                  </w14:solidFill>
                </w14:textFill>
              </w:rPr>
              <w:t>；搭建</w:t>
            </w:r>
            <w:r>
              <w:rPr>
                <w:rFonts w:hint="eastAsia" w:ascii="宋体" w:hAnsi="宋体" w:eastAsia="宋体" w:cs="宋体"/>
                <w:color w:val="000000" w:themeColor="text1"/>
                <w:sz w:val="28"/>
                <w:szCs w:val="28"/>
                <w14:textFill>
                  <w14:solidFill>
                    <w14:schemeClr w14:val="tx1"/>
                  </w14:solidFill>
                </w14:textFill>
              </w:rPr>
              <w:t>精密涂布、微纳加工公共技术服务平台，提升材料国产化替代</w:t>
            </w:r>
            <w:r>
              <w:rPr>
                <w:rFonts w:hint="eastAsia" w:ascii="宋体" w:hAnsi="宋体" w:eastAsia="宋体" w:cs="宋体"/>
                <w:color w:val="000000" w:themeColor="text1"/>
                <w:sz w:val="28"/>
                <w:szCs w:val="28"/>
                <w:lang w:val="en-US" w:eastAsia="zh-CN"/>
                <w14:textFill>
                  <w14:solidFill>
                    <w14:schemeClr w14:val="tx1"/>
                  </w14:solidFill>
                </w14:textFill>
              </w:rPr>
              <w:t>水平</w:t>
            </w:r>
            <w:r>
              <w:rPr>
                <w:rFonts w:hint="eastAsia" w:ascii="宋体" w:hAnsi="宋体" w:eastAsia="宋体" w:cs="宋体"/>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240" w:lineRule="auto"/>
              <w:ind w:firstLine="643"/>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4.</w:t>
            </w:r>
            <w:r>
              <w:rPr>
                <w:rFonts w:hint="eastAsia" w:ascii="宋体" w:hAnsi="宋体" w:eastAsia="宋体" w:cs="宋体"/>
                <w:b/>
                <w:bCs/>
                <w:color w:val="000000" w:themeColor="text1"/>
                <w:sz w:val="28"/>
                <w:szCs w:val="28"/>
                <w14:textFill>
                  <w14:solidFill>
                    <w14:schemeClr w14:val="tx1"/>
                  </w14:solidFill>
                </w14:textFill>
              </w:rPr>
              <w:t>先进金属与结构材料</w:t>
            </w:r>
            <w:r>
              <w:rPr>
                <w:rFonts w:hint="eastAsia" w:ascii="宋体" w:hAnsi="宋体" w:eastAsia="宋体" w:cs="宋体"/>
                <w:color w:val="000000" w:themeColor="text1"/>
                <w:sz w:val="28"/>
                <w:szCs w:val="28"/>
                <w14:textFill>
                  <w14:solidFill>
                    <w14:schemeClr w14:val="tx1"/>
                  </w14:solidFill>
                </w14:textFill>
              </w:rPr>
              <w:t>。攻关先进金属制备、深加工核心工艺，重点发展新能源汽车高强铝合金、轻量化镁合金，海工装备专用耐蚀特种不锈钢；前瞻布局高温合金、金属基复合材料、高性能稀土功能材料、高频软磁非晶合金，全方位配套新能源、海洋工程、电子信息产业发展。</w:t>
            </w:r>
          </w:p>
          <w:p>
            <w:pPr>
              <w:keepNext w:val="0"/>
              <w:keepLines w:val="0"/>
              <w:pageBreakBefore w:val="0"/>
              <w:widowControl w:val="0"/>
              <w:kinsoku/>
              <w:wordWrap/>
              <w:overflowPunct/>
              <w:topLinePunct w:val="0"/>
              <w:autoSpaceDE/>
              <w:autoSpaceDN/>
              <w:bidi w:val="0"/>
              <w:adjustRightInd/>
              <w:snapToGrid w:val="0"/>
              <w:spacing w:line="240" w:lineRule="auto"/>
              <w:ind w:firstLine="643"/>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5.</w:t>
            </w:r>
            <w:r>
              <w:rPr>
                <w:rFonts w:hint="eastAsia" w:ascii="宋体" w:hAnsi="宋体" w:eastAsia="宋体" w:cs="宋体"/>
                <w:b/>
                <w:bCs/>
                <w:color w:val="000000" w:themeColor="text1"/>
                <w:sz w:val="28"/>
                <w:szCs w:val="28"/>
                <w14:textFill>
                  <w14:solidFill>
                    <w14:schemeClr w14:val="tx1"/>
                  </w14:solidFill>
                </w14:textFill>
              </w:rPr>
              <w:t>玻璃</w:t>
            </w:r>
            <w:r>
              <w:rPr>
                <w:rFonts w:hint="eastAsia" w:ascii="宋体" w:hAnsi="宋体" w:eastAsia="宋体" w:cs="宋体"/>
                <w:b/>
                <w:bCs/>
                <w:color w:val="000000" w:themeColor="text1"/>
                <w:sz w:val="28"/>
                <w:szCs w:val="28"/>
                <w:lang w:val="en-US" w:eastAsia="zh-CN"/>
                <w14:textFill>
                  <w14:solidFill>
                    <w14:schemeClr w14:val="tx1"/>
                  </w14:solidFill>
                </w14:textFill>
              </w:rPr>
              <w:t>新材料</w:t>
            </w:r>
            <w:r>
              <w:rPr>
                <w:rFonts w:hint="eastAsia" w:ascii="宋体" w:hAnsi="宋体" w:eastAsia="宋体" w:cs="宋体"/>
                <w:b/>
                <w:bCs/>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highlight w:val="none"/>
                <w14:textFill>
                  <w14:solidFill>
                    <w14:schemeClr w14:val="tx1"/>
                  </w14:solidFill>
                </w14:textFill>
              </w:rPr>
              <w:t>做强新型显示超薄玻璃深加工，突破减薄、触控一体化等先进工艺。对接深莞建筑节能玻璃产能转移，</w:t>
            </w:r>
            <w:r>
              <w:rPr>
                <w:rFonts w:hint="eastAsia" w:ascii="宋体" w:hAnsi="宋体" w:eastAsia="宋体" w:cs="宋体"/>
                <w:color w:val="000000" w:themeColor="text1"/>
                <w:sz w:val="28"/>
                <w:szCs w:val="28"/>
                <w14:textFill>
                  <w14:solidFill>
                    <w14:schemeClr w14:val="tx1"/>
                  </w14:solidFill>
                </w14:textFill>
              </w:rPr>
              <w:t>布局</w:t>
            </w:r>
            <w:r>
              <w:rPr>
                <w:rFonts w:hint="eastAsia" w:ascii="宋体" w:hAnsi="宋体" w:eastAsia="宋体" w:cs="宋体"/>
                <w:color w:val="000000" w:themeColor="text1"/>
                <w:sz w:val="28"/>
                <w:szCs w:val="28"/>
                <w:highlight w:val="none"/>
                <w14:textFill>
                  <w14:solidFill>
                    <w14:schemeClr w14:val="tx1"/>
                  </w14:solidFill>
                </w14:textFill>
              </w:rPr>
              <w:t>LOW-E节能玻璃、光伏镀膜玻璃等深加工产品</w:t>
            </w:r>
            <w:r>
              <w:rPr>
                <w:rFonts w:hint="eastAsia" w:ascii="宋体" w:hAnsi="宋体" w:eastAsia="宋体" w:cs="宋体"/>
                <w:color w:val="000000" w:themeColor="text1"/>
                <w:sz w:val="28"/>
                <w:szCs w:val="28"/>
                <w:lang w:eastAsia="zh-CN"/>
                <w14:textFill>
                  <w14:solidFill>
                    <w14:schemeClr w14:val="tx1"/>
                  </w14:solidFill>
                </w14:textFill>
              </w:rPr>
              <w:t>；拓展废玻璃高值化循环利用，开发玻璃微珠、保温棉等再生产品，打造玻璃新材料绿色循环产业链</w:t>
            </w:r>
            <w:r>
              <w:rPr>
                <w:rFonts w:hint="eastAsia" w:ascii="宋体" w:hAnsi="宋体" w:eastAsia="宋体" w:cs="宋体"/>
                <w:color w:val="000000" w:themeColor="text1"/>
                <w:sz w:val="28"/>
                <w:szCs w:val="28"/>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240" w:lineRule="auto"/>
              <w:ind w:firstLine="643"/>
              <w:textAlignment w:val="auto"/>
              <w:rPr>
                <w:rFonts w:hint="eastAsia" w:eastAsia="宋体"/>
                <w:color w:val="000000" w:themeColor="text1"/>
                <w:lang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6.绿色精细化工</w:t>
            </w:r>
            <w:r>
              <w:rPr>
                <w:rFonts w:hint="eastAsia" w:ascii="宋体" w:hAnsi="宋体" w:eastAsia="宋体" w:cs="宋体"/>
                <w:b/>
                <w:bCs/>
                <w:color w:val="000000" w:themeColor="text1"/>
                <w:sz w:val="28"/>
                <w:szCs w:val="28"/>
                <w14:textFill>
                  <w14:solidFill>
                    <w14:schemeClr w14:val="tx1"/>
                  </w14:solidFill>
                </w14:textFill>
              </w:rPr>
              <w:t>与环保</w:t>
            </w:r>
            <w:r>
              <w:rPr>
                <w:rFonts w:hint="eastAsia" w:ascii="宋体" w:hAnsi="宋体" w:eastAsia="宋体" w:cs="宋体"/>
                <w:b/>
                <w:bCs/>
                <w:color w:val="000000" w:themeColor="text1"/>
                <w:sz w:val="28"/>
                <w:szCs w:val="28"/>
                <w:lang w:val="en-US" w:eastAsia="zh-CN"/>
                <w14:textFill>
                  <w14:solidFill>
                    <w14:schemeClr w14:val="tx1"/>
                  </w14:solidFill>
                </w14:textFill>
              </w:rPr>
              <w:t>新</w:t>
            </w:r>
            <w:r>
              <w:rPr>
                <w:rFonts w:hint="eastAsia" w:ascii="宋体" w:hAnsi="宋体" w:eastAsia="宋体" w:cs="宋体"/>
                <w:b/>
                <w:bCs/>
                <w:color w:val="000000" w:themeColor="text1"/>
                <w:sz w:val="28"/>
                <w:szCs w:val="28"/>
                <w14:textFill>
                  <w14:solidFill>
                    <w14:schemeClr w14:val="tx1"/>
                  </w14:solidFill>
                </w14:textFill>
              </w:rPr>
              <w:t>材料</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把握红海湾临港</w:t>
            </w:r>
            <w:r>
              <w:rPr>
                <w:rFonts w:hint="eastAsia" w:ascii="宋体" w:hAnsi="宋体" w:eastAsia="宋体" w:cs="宋体"/>
                <w:color w:val="000000" w:themeColor="text1"/>
                <w:sz w:val="28"/>
                <w:szCs w:val="28"/>
                <w:highlight w:val="none"/>
                <w:lang w:val="en-US" w:eastAsia="zh-CN"/>
                <w14:textFill>
                  <w14:solidFill>
                    <w14:schemeClr w14:val="tx1"/>
                  </w14:solidFill>
                </w14:textFill>
              </w:rPr>
              <w:t>化工</w:t>
            </w:r>
            <w:r>
              <w:rPr>
                <w:rFonts w:hint="eastAsia" w:ascii="宋体" w:hAnsi="宋体" w:eastAsia="宋体" w:cs="宋体"/>
                <w:color w:val="000000" w:themeColor="text1"/>
                <w:sz w:val="28"/>
                <w:szCs w:val="28"/>
                <w:lang w:val="en-US" w:eastAsia="zh-CN"/>
                <w14:textFill>
                  <w14:solidFill>
                    <w14:schemeClr w14:val="tx1"/>
                  </w14:solidFill>
                </w14:textFill>
              </w:rPr>
              <w:t>产业园规划建设的</w:t>
            </w:r>
            <w:r>
              <w:rPr>
                <w:rFonts w:hint="eastAsia" w:ascii="宋体" w:hAnsi="宋体" w:eastAsia="宋体" w:cs="宋体"/>
                <w:color w:val="000000" w:themeColor="text1"/>
                <w:sz w:val="28"/>
                <w:szCs w:val="28"/>
                <w:highlight w:val="none"/>
                <w:lang w:val="en-US" w:eastAsia="zh-CN"/>
                <w14:textFill>
                  <w14:solidFill>
                    <w14:schemeClr w14:val="tx1"/>
                  </w14:solidFill>
                </w14:textFill>
              </w:rPr>
              <w:t>机遇</w:t>
            </w:r>
            <w:r>
              <w:rPr>
                <w:rFonts w:hint="eastAsia" w:ascii="宋体" w:hAnsi="宋体" w:eastAsia="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发展生物降解聚酯（PBAT</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PBS）、环保型助剂、再生塑料改性、竹纤维复合包装材料等绿色低碳产品</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联动</w:t>
            </w:r>
            <w:r>
              <w:rPr>
                <w:rFonts w:hint="eastAsia" w:ascii="宋体" w:hAnsi="宋体" w:eastAsia="宋体" w:cs="宋体"/>
                <w:color w:val="000000" w:themeColor="text1"/>
                <w:sz w:val="28"/>
                <w:szCs w:val="28"/>
                <w:lang w:val="en-US" w:eastAsia="zh-CN"/>
                <w14:textFill>
                  <w14:solidFill>
                    <w14:schemeClr w14:val="tx1"/>
                  </w14:solidFill>
                </w14:textFill>
              </w:rPr>
              <w:t>推进</w:t>
            </w:r>
            <w:r>
              <w:rPr>
                <w:rFonts w:hint="eastAsia" w:ascii="宋体" w:hAnsi="宋体" w:eastAsia="宋体" w:cs="宋体"/>
                <w:color w:val="000000" w:themeColor="text1"/>
                <w:sz w:val="28"/>
                <w:szCs w:val="28"/>
                <w14:textFill>
                  <w14:solidFill>
                    <w14:schemeClr w14:val="tx1"/>
                  </w14:solidFill>
                </w14:textFill>
              </w:rPr>
              <w:t>甘蔗渣、秸秆</w:t>
            </w:r>
            <w:r>
              <w:rPr>
                <w:rFonts w:hint="eastAsia" w:ascii="宋体" w:hAnsi="宋体" w:eastAsia="宋体" w:cs="宋体"/>
                <w:color w:val="000000" w:themeColor="text1"/>
                <w:sz w:val="28"/>
                <w:szCs w:val="28"/>
                <w:lang w:val="en-US" w:eastAsia="zh-CN"/>
                <w14:textFill>
                  <w14:solidFill>
                    <w14:schemeClr w14:val="tx1"/>
                  </w14:solidFill>
                </w14:textFill>
              </w:rPr>
              <w:t>等</w:t>
            </w:r>
            <w:r>
              <w:rPr>
                <w:rFonts w:hint="eastAsia" w:ascii="宋体" w:hAnsi="宋体" w:eastAsia="宋体" w:cs="宋体"/>
                <w:color w:val="000000" w:themeColor="text1"/>
                <w:sz w:val="28"/>
                <w:szCs w:val="28"/>
                <w14:textFill>
                  <w14:solidFill>
                    <w14:schemeClr w14:val="tx1"/>
                  </w14:solidFill>
                </w14:textFill>
              </w:rPr>
              <w:t>农业废弃物资源化利用，谋划建设循环经济产业园，着力培育</w:t>
            </w:r>
            <w:r>
              <w:rPr>
                <w:rFonts w:hint="eastAsia" w:ascii="宋体" w:hAnsi="宋体" w:eastAsia="宋体" w:cs="宋体"/>
                <w:color w:val="000000" w:themeColor="text1"/>
                <w:sz w:val="28"/>
                <w:szCs w:val="28"/>
                <w:lang w:val="en-US" w:eastAsia="zh-CN"/>
                <w14:textFill>
                  <w14:solidFill>
                    <w14:schemeClr w14:val="tx1"/>
                  </w14:solidFill>
                </w14:textFill>
              </w:rPr>
              <w:t>汕尾</w:t>
            </w:r>
            <w:r>
              <w:rPr>
                <w:rFonts w:hint="eastAsia" w:ascii="宋体" w:hAnsi="宋体" w:eastAsia="宋体" w:cs="宋体"/>
                <w:color w:val="000000" w:themeColor="text1"/>
                <w:sz w:val="28"/>
                <w:szCs w:val="28"/>
                <w14:textFill>
                  <w14:solidFill>
                    <w14:schemeClr w14:val="tx1"/>
                  </w14:solidFill>
                </w14:textFill>
              </w:rPr>
              <w:t>绿色材料品牌</w:t>
            </w:r>
            <w:r>
              <w:rPr>
                <w:rFonts w:hint="eastAsia" w:ascii="宋体" w:hAnsi="宋体" w:eastAsia="宋体" w:cs="宋体"/>
                <w:color w:val="000000" w:themeColor="text1"/>
                <w:sz w:val="28"/>
                <w:szCs w:val="28"/>
                <w:lang w:eastAsia="zh-CN"/>
                <w14:textFill>
                  <w14:solidFill>
                    <w14:schemeClr w14:val="tx1"/>
                  </w14:solidFill>
                </w14:textFill>
              </w:rPr>
              <w:t>。</w:t>
            </w:r>
          </w:p>
        </w:tc>
      </w:tr>
    </w:tbl>
    <w:p>
      <w:pPr>
        <w:pStyle w:val="4"/>
        <w:ind w:firstLine="643"/>
        <w:rPr>
          <w:color w:val="000000" w:themeColor="text1"/>
          <w14:textFill>
            <w14:solidFill>
              <w14:schemeClr w14:val="tx1"/>
            </w14:solidFill>
          </w14:textFill>
        </w:rPr>
      </w:pPr>
      <w:bookmarkStart w:id="179" w:name="_Toc16050"/>
      <w:bookmarkStart w:id="180" w:name="_Toc32236"/>
      <w:bookmarkStart w:id="181" w:name="_Toc15987"/>
      <w:bookmarkStart w:id="182" w:name="_Toc3365"/>
      <w:bookmarkStart w:id="183" w:name="_Toc20493"/>
      <w:bookmarkStart w:id="184" w:name="_Toc3774"/>
      <w:bookmarkStart w:id="185" w:name="_Toc8876"/>
      <w:bookmarkStart w:id="186" w:name="_Toc17637"/>
      <w:bookmarkStart w:id="187" w:name="_Toc23441"/>
      <w:bookmarkStart w:id="188" w:name="_Toc24418"/>
      <w:bookmarkStart w:id="189" w:name="_Toc16315"/>
      <w:r>
        <w:rPr>
          <w:rFonts w:hint="eastAsia"/>
          <w:color w:val="000000" w:themeColor="text1"/>
          <w14:textFill>
            <w14:solidFill>
              <w14:schemeClr w14:val="tx1"/>
            </w14:solidFill>
          </w14:textFill>
        </w:rPr>
        <w:t>（三）</w:t>
      </w:r>
      <w:bookmarkEnd w:id="179"/>
      <w:r>
        <w:rPr>
          <w:rFonts w:hint="eastAsia"/>
          <w:color w:val="000000" w:themeColor="text1"/>
          <w14:textFill>
            <w14:solidFill>
              <w14:schemeClr w14:val="tx1"/>
            </w14:solidFill>
          </w14:textFill>
        </w:rPr>
        <w:t>前瞻布局未来产业</w:t>
      </w:r>
      <w:bookmarkEnd w:id="180"/>
      <w:bookmarkEnd w:id="181"/>
      <w:bookmarkEnd w:id="182"/>
      <w:bookmarkEnd w:id="183"/>
      <w:bookmarkEnd w:id="184"/>
      <w:bookmarkEnd w:id="185"/>
      <w:bookmarkEnd w:id="186"/>
      <w:bookmarkEnd w:id="187"/>
      <w:bookmarkEnd w:id="188"/>
      <w:bookmarkEnd w:id="189"/>
    </w:p>
    <w:p>
      <w:pPr>
        <w:keepNext/>
        <w:keepLines w:val="0"/>
        <w:pageBreakBefore w:val="0"/>
        <w:widowControl w:val="0"/>
        <w:kinsoku/>
        <w:wordWrap/>
        <w:overflowPunct/>
        <w:topLinePunct w:val="0"/>
        <w:autoSpaceDE/>
        <w:autoSpaceDN/>
        <w:bidi w:val="0"/>
        <w:adjustRightInd w:val="0"/>
        <w:snapToGrid w:val="0"/>
        <w:ind w:firstLine="643"/>
        <w:textAlignment w:val="auto"/>
        <w:outlineLvl w:val="9"/>
        <w:rPr>
          <w:rFonts w:hint="eastAsia" w:ascii="Times New Roman" w:hAnsi="Times New Roman"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顺应新一轮科技革命和产业变革趋势，瞄准重点前沿领域，探索布局通用智能、合成生物、绿色氢能、低空经济等未来产业，以场景应用牵引产业化进程，深度融入粤港澳大湾区创新网络，培育形成新质生产力重要增长极。</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8" w:type="dxa"/>
            <w:noWrap w:val="0"/>
            <w:vAlign w:val="top"/>
          </w:tcPr>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黑体"/>
                <w:b w:val="0"/>
                <w:bCs w:val="0"/>
                <w:color w:val="000000" w:themeColor="text1"/>
                <w:kern w:val="0"/>
                <w:sz w:val="28"/>
                <w:szCs w:val="22"/>
                <w:highlight w:val="none"/>
                <w14:textFill>
                  <w14:solidFill>
                    <w14:schemeClr w14:val="tx1"/>
                  </w14:solidFill>
                </w14:textFill>
              </w:rPr>
            </w:pPr>
            <w:r>
              <w:rPr>
                <w:rFonts w:hint="default" w:eastAsia="黑体"/>
                <w:b w:val="0"/>
                <w:bCs w:val="0"/>
                <w:color w:val="000000" w:themeColor="text1"/>
                <w:kern w:val="0"/>
                <w:sz w:val="28"/>
                <w:szCs w:val="22"/>
                <w:highlight w:val="none"/>
                <w14:textFill>
                  <w14:solidFill>
                    <w14:schemeClr w14:val="tx1"/>
                  </w14:solidFill>
                </w14:textFill>
              </w:rPr>
              <w:t>专栏</w:t>
            </w:r>
            <w:r>
              <w:rPr>
                <w:rFonts w:hint="eastAsia" w:eastAsia="黑体"/>
                <w:b w:val="0"/>
                <w:bCs w:val="0"/>
                <w:color w:val="000000" w:themeColor="text1"/>
                <w:kern w:val="0"/>
                <w:sz w:val="28"/>
                <w:szCs w:val="22"/>
                <w:highlight w:val="none"/>
                <w:lang w:val="en-US" w:eastAsia="zh-CN"/>
                <w14:textFill>
                  <w14:solidFill>
                    <w14:schemeClr w14:val="tx1"/>
                  </w14:solidFill>
                </w14:textFill>
              </w:rPr>
              <w:t xml:space="preserve">10 </w:t>
            </w:r>
            <w:r>
              <w:rPr>
                <w:rFonts w:hint="default" w:eastAsia="黑体"/>
                <w:b w:val="0"/>
                <w:bCs w:val="0"/>
                <w:color w:val="000000" w:themeColor="text1"/>
                <w:kern w:val="0"/>
                <w:sz w:val="28"/>
                <w:szCs w:val="22"/>
                <w:highlight w:val="none"/>
                <w14:textFill>
                  <w14:solidFill>
                    <w14:schemeClr w14:val="tx1"/>
                  </w14:solidFill>
                </w14:textFill>
              </w:rPr>
              <w:t>未来产业细分领域</w:t>
            </w:r>
          </w:p>
          <w:p>
            <w:pPr>
              <w:keepNext w:val="0"/>
              <w:keepLines w:val="0"/>
              <w:widowControl/>
              <w:numPr>
                <w:ilvl w:val="0"/>
                <w:numId w:val="0"/>
              </w:numPr>
              <w:suppressLineNumbers w:val="0"/>
              <w:snapToGrid w:val="0"/>
              <w:spacing w:before="0" w:beforeAutospacing="0" w:after="0" w:afterAutospacing="0" w:line="240" w:lineRule="auto"/>
              <w:ind w:left="0" w:right="0" w:firstLine="562"/>
              <w:jc w:val="left"/>
              <w:rPr>
                <w:rFonts w:hint="default" w:ascii="Times New Roman" w:hAnsi="Times New Roman" w:eastAsia="宋体" w:cs="Times New Roman"/>
                <w:color w:val="000000" w:themeColor="text1"/>
                <w:sz w:val="28"/>
                <w:szCs w:val="28"/>
                <w:highlight w:val="none"/>
                <w:lang w:bidi="ar"/>
                <w14:textFill>
                  <w14:solidFill>
                    <w14:schemeClr w14:val="tx1"/>
                  </w14:solidFill>
                </w14:textFill>
              </w:rPr>
            </w:pPr>
            <w:r>
              <w:rPr>
                <w:rFonts w:hint="default" w:ascii="Times New Roman" w:hAnsi="Times New Roman" w:eastAsia="宋体" w:cs="Times New Roman"/>
                <w:b/>
                <w:bCs/>
                <w:color w:val="000000" w:themeColor="text1"/>
                <w:sz w:val="28"/>
                <w:szCs w:val="28"/>
                <w:highlight w:val="none"/>
                <w:lang w:bidi="ar"/>
                <w14:textFill>
                  <w14:solidFill>
                    <w14:schemeClr w14:val="tx1"/>
                  </w14:solidFill>
                </w14:textFill>
              </w:rPr>
              <w:t>1</w:t>
            </w:r>
            <w:bookmarkStart w:id="190" w:name="_Toc19722"/>
            <w:bookmarkStart w:id="191" w:name="_Toc7100"/>
            <w:bookmarkStart w:id="192" w:name="_Toc4077"/>
            <w:bookmarkStart w:id="193" w:name="_Toc12085"/>
            <w:bookmarkStart w:id="194" w:name="_Toc13159"/>
            <w:bookmarkStart w:id="195" w:name="_Toc31055"/>
            <w:bookmarkStart w:id="196" w:name="_Toc11701"/>
            <w:bookmarkStart w:id="197" w:name="_Toc4767"/>
            <w:r>
              <w:rPr>
                <w:rFonts w:hint="eastAsia" w:eastAsia="宋体" w:cs="Times New Roman"/>
                <w:b/>
                <w:bCs/>
                <w:color w:val="000000" w:themeColor="text1"/>
                <w:sz w:val="28"/>
                <w:szCs w:val="28"/>
                <w:highlight w:val="none"/>
                <w:lang w:val="en-US" w:eastAsia="zh-CN" w:bidi="ar"/>
                <w14:textFill>
                  <w14:solidFill>
                    <w14:schemeClr w14:val="tx1"/>
                  </w14:solidFill>
                </w14:textFill>
              </w:rPr>
              <w:t>.</w:t>
            </w:r>
            <w:r>
              <w:rPr>
                <w:rFonts w:hint="eastAsia" w:ascii="Times New Roman" w:hAnsi="Times New Roman" w:eastAsia="宋体" w:cs="Times New Roman"/>
                <w:b/>
                <w:bCs/>
                <w:color w:val="000000" w:themeColor="text1"/>
                <w:sz w:val="28"/>
                <w:szCs w:val="28"/>
                <w:highlight w:val="none"/>
                <w:lang w:bidi="ar"/>
                <w14:textFill>
                  <w14:solidFill>
                    <w14:schemeClr w14:val="tx1"/>
                  </w14:solidFill>
                </w14:textFill>
              </w:rPr>
              <w:t>通用智能</w:t>
            </w:r>
            <w:bookmarkEnd w:id="190"/>
            <w:bookmarkEnd w:id="191"/>
            <w:bookmarkEnd w:id="192"/>
            <w:bookmarkEnd w:id="193"/>
            <w:bookmarkEnd w:id="194"/>
            <w:bookmarkEnd w:id="195"/>
            <w:bookmarkEnd w:id="196"/>
            <w:bookmarkEnd w:id="197"/>
            <w:r>
              <w:rPr>
                <w:rFonts w:hint="eastAsia" w:ascii="Times New Roman" w:hAnsi="Times New Roman" w:eastAsia="宋体" w:cs="Times New Roman"/>
                <w:b/>
                <w:bCs/>
                <w:color w:val="000000" w:themeColor="text1"/>
                <w:sz w:val="28"/>
                <w:szCs w:val="28"/>
                <w:highlight w:val="none"/>
                <w:lang w:eastAsia="zh-CN" w:bidi="ar"/>
                <w14:textFill>
                  <w14:solidFill>
                    <w14:schemeClr w14:val="tx1"/>
                  </w14:solidFill>
                </w14:textFill>
              </w:rPr>
              <w:t>。</w:t>
            </w:r>
            <w:r>
              <w:rPr>
                <w:rFonts w:hint="eastAsia" w:eastAsia="宋体" w:cs="Times New Roman"/>
                <w:b w:val="0"/>
                <w:bCs w:val="0"/>
                <w:color w:val="000000" w:themeColor="text1"/>
                <w:sz w:val="28"/>
                <w:szCs w:val="28"/>
                <w:highlight w:val="none"/>
                <w:lang w:val="en-US" w:eastAsia="zh-CN" w:bidi="ar"/>
                <w14:textFill>
                  <w14:solidFill>
                    <w14:schemeClr w14:val="tx1"/>
                  </w14:solidFill>
                </w14:textFill>
              </w:rPr>
              <w:t>提升</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算力统筹整合</w:t>
            </w:r>
            <w:r>
              <w:rPr>
                <w:rFonts w:hint="eastAsia" w:ascii="Times New Roman" w:hAnsi="Times New Roman" w:eastAsia="宋体" w:cs="Times New Roman"/>
                <w:color w:val="000000" w:themeColor="text1"/>
                <w:sz w:val="28"/>
                <w:szCs w:val="28"/>
                <w:highlight w:val="none"/>
                <w:lang w:val="en-US" w:eastAsia="zh-CN" w:bidi="ar"/>
                <w14:textFill>
                  <w14:solidFill>
                    <w14:schemeClr w14:val="tx1"/>
                  </w14:solidFill>
                </w14:textFill>
              </w:rPr>
              <w:t>能力</w:t>
            </w:r>
            <w:r>
              <w:rPr>
                <w:rFonts w:hint="eastAsia" w:ascii="Times New Roman" w:hAnsi="Times New Roman" w:eastAsia="宋体" w:cs="Times New Roman"/>
                <w:color w:val="000000" w:themeColor="text1"/>
                <w:sz w:val="28"/>
                <w:szCs w:val="28"/>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8"/>
                <w:szCs w:val="28"/>
                <w:highlight w:val="none"/>
                <w:lang w:val="en-US" w:eastAsia="zh-CN" w:bidi="ar"/>
                <w14:textFill>
                  <w14:solidFill>
                    <w14:schemeClr w14:val="tx1"/>
                  </w14:solidFill>
                </w14:textFill>
              </w:rPr>
              <w:t>积极</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打造智算设施高效协同、智算要素自主可控、智算应用融合泛在、绿色智算效能突出、智算生态安全开放的智能算力支撑体系。加快发展智能无人系统</w:t>
            </w:r>
            <w:r>
              <w:rPr>
                <w:rFonts w:hint="eastAsia" w:eastAsia="宋体" w:cs="Times New Roman"/>
                <w:color w:val="000000" w:themeColor="text1"/>
                <w:sz w:val="28"/>
                <w:szCs w:val="28"/>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依托低空经济示范区建设，发展无人机物流、巡检及海洋测绘应用，突破高精度导航、长续航动力技术，配套建设低空通信导航网络和监管平台。探索布局类脑智能</w:t>
            </w:r>
            <w:r>
              <w:rPr>
                <w:rFonts w:hint="eastAsia" w:ascii="Times New Roman" w:hAnsi="Times New Roman" w:eastAsia="宋体" w:cs="Times New Roman"/>
                <w:color w:val="000000" w:themeColor="text1"/>
                <w:sz w:val="28"/>
                <w:szCs w:val="28"/>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依托新一代电子信息产业基础，开展类脑芯片等前沿研究，</w:t>
            </w:r>
            <w:r>
              <w:rPr>
                <w:rFonts w:hint="eastAsia" w:eastAsia="宋体" w:cs="Times New Roman"/>
                <w:color w:val="000000" w:themeColor="text1"/>
                <w:sz w:val="28"/>
                <w:szCs w:val="28"/>
                <w:highlight w:val="none"/>
                <w:lang w:val="en-US" w:eastAsia="zh-CN" w:bidi="ar"/>
                <w14:textFill>
                  <w14:solidFill>
                    <w14:schemeClr w14:val="tx1"/>
                  </w14:solidFill>
                </w14:textFill>
              </w:rPr>
              <w:t>探索</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突破类脑感知器件等技术，推动类脑计算在智能安防、医疗影像分析等领域的应用验证。</w:t>
            </w:r>
          </w:p>
          <w:p>
            <w:pPr>
              <w:keepNext w:val="0"/>
              <w:keepLines w:val="0"/>
              <w:widowControl/>
              <w:numPr>
                <w:ilvl w:val="0"/>
                <w:numId w:val="0"/>
              </w:numPr>
              <w:suppressLineNumbers w:val="0"/>
              <w:snapToGrid w:val="0"/>
              <w:spacing w:before="0" w:beforeAutospacing="0" w:after="0" w:afterAutospacing="0" w:line="240" w:lineRule="auto"/>
              <w:ind w:left="0" w:right="0" w:firstLine="562"/>
              <w:jc w:val="left"/>
              <w:rPr>
                <w:rFonts w:hint="eastAsia" w:ascii="Times New Roman" w:hAnsi="Times New Roman" w:eastAsia="宋体" w:cs="Times New Roman"/>
                <w:color w:val="000000" w:themeColor="text1"/>
                <w:sz w:val="28"/>
                <w:szCs w:val="28"/>
                <w:highlight w:val="none"/>
                <w:lang w:bidi="ar"/>
                <w14:textFill>
                  <w14:solidFill>
                    <w14:schemeClr w14:val="tx1"/>
                  </w14:solidFill>
                </w14:textFill>
              </w:rPr>
            </w:pPr>
            <w:r>
              <w:rPr>
                <w:rFonts w:hint="eastAsia" w:eastAsia="宋体" w:cs="Times New Roman"/>
                <w:b/>
                <w:bCs/>
                <w:color w:val="000000" w:themeColor="text1"/>
                <w:sz w:val="28"/>
                <w:szCs w:val="28"/>
                <w:highlight w:val="none"/>
                <w:lang w:val="en-US" w:eastAsia="zh-CN" w:bidi="ar"/>
                <w14:textFill>
                  <w14:solidFill>
                    <w14:schemeClr w14:val="tx1"/>
                  </w14:solidFill>
                </w14:textFill>
              </w:rPr>
              <w:t>2.合成生物。</w:t>
            </w:r>
            <w:r>
              <w:rPr>
                <w:rFonts w:hint="eastAsia" w:eastAsia="宋体" w:cs="Times New Roman"/>
                <w:color w:val="000000" w:themeColor="text1"/>
                <w:sz w:val="28"/>
                <w:szCs w:val="28"/>
                <w:highlight w:val="none"/>
                <w:lang w:val="en-US" w:eastAsia="zh-CN" w:bidi="ar"/>
                <w14:textFill>
                  <w14:solidFill>
                    <w14:schemeClr w14:val="tx1"/>
                  </w14:solidFill>
                </w14:textFill>
              </w:rPr>
              <w:t>聚焦</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海洋生物医药与合成生物制品开发</w:t>
            </w:r>
            <w:r>
              <w:rPr>
                <w:rFonts w:hint="eastAsia" w:eastAsia="宋体" w:cs="Times New Roman"/>
                <w:color w:val="000000" w:themeColor="text1"/>
                <w:sz w:val="28"/>
                <w:szCs w:val="28"/>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开展人工细胞设计、基因编辑、生物合成等前沿技术研究，推动合成生物技术赋能医疗健康、食品营养、绿色农业、海洋酶制剂等领域迭代升级</w:t>
            </w:r>
            <w:r>
              <w:rPr>
                <w:rFonts w:hint="eastAsia" w:eastAsia="宋体" w:cs="Times New Roman"/>
                <w:color w:val="000000" w:themeColor="text1"/>
                <w:sz w:val="28"/>
                <w:szCs w:val="28"/>
                <w:highlight w:val="none"/>
                <w:lang w:eastAsia="zh-CN" w:bidi="ar"/>
                <w14:textFill>
                  <w14:solidFill>
                    <w14:schemeClr w14:val="tx1"/>
                  </w14:solidFill>
                </w14:textFill>
              </w:rPr>
              <w:t>。深挖海洋生物资源潜力，研发抗肿瘤、抗炎、神经保护类海洋活性药物，依托合成生物工艺制备稀有氨基酸、萜类香料等高附加值产物，开发海洋功能饮品、抗氧化胶囊、护肤面膜等特色产品。</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前瞻布局生物制造与绿色生物基材料</w:t>
            </w:r>
            <w:r>
              <w:rPr>
                <w:rFonts w:hint="eastAsia" w:eastAsia="宋体" w:cs="Times New Roman"/>
                <w:color w:val="000000" w:themeColor="text1"/>
                <w:sz w:val="28"/>
                <w:szCs w:val="28"/>
                <w:highlight w:val="none"/>
                <w:lang w:eastAsia="zh-CN" w:bidi="ar"/>
                <w14:textFill>
                  <w14:solidFill>
                    <w14:schemeClr w14:val="tx1"/>
                  </w14:solidFill>
                </w14:textFill>
              </w:rPr>
              <w:t>，</w:t>
            </w:r>
            <w:r>
              <w:rPr>
                <w:rFonts w:hint="eastAsia" w:eastAsia="宋体" w:cs="Times New Roman"/>
                <w:color w:val="000000" w:themeColor="text1"/>
                <w:sz w:val="28"/>
                <w:szCs w:val="28"/>
                <w:highlight w:val="none"/>
                <w:lang w:val="en-US" w:eastAsia="zh-CN" w:bidi="ar"/>
                <w14:textFill>
                  <w14:solidFill>
                    <w14:schemeClr w14:val="tx1"/>
                  </w14:solidFill>
                </w14:textFill>
              </w:rPr>
              <w:t>有序发展</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生物乙醇、生物柴油等生物燃料</w:t>
            </w:r>
            <w:r>
              <w:rPr>
                <w:rFonts w:hint="eastAsia" w:eastAsia="宋体" w:cs="Times New Roman"/>
                <w:color w:val="000000" w:themeColor="text1"/>
                <w:sz w:val="28"/>
                <w:szCs w:val="28"/>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聚乳酸</w:t>
            </w:r>
            <w:r>
              <w:rPr>
                <w:rFonts w:hint="eastAsia" w:eastAsia="宋体" w:cs="Times New Roman"/>
                <w:color w:val="000000" w:themeColor="text1"/>
                <w:sz w:val="28"/>
                <w:szCs w:val="28"/>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8"/>
                <w:szCs w:val="28"/>
                <w:highlight w:val="none"/>
                <w:lang w:bidi="ar"/>
                <w14:textFill>
                  <w14:solidFill>
                    <w14:schemeClr w14:val="tx1"/>
                  </w14:solidFill>
                </w14:textFill>
              </w:rPr>
              <w:t>PHA等可降解生物基材料及耐高温淀粉酶、脂肪酶等工业酶制剂。</w:t>
            </w:r>
          </w:p>
          <w:p>
            <w:pPr>
              <w:keepNext w:val="0"/>
              <w:keepLines w:val="0"/>
              <w:widowControl/>
              <w:numPr>
                <w:ilvl w:val="0"/>
                <w:numId w:val="0"/>
              </w:numPr>
              <w:suppressLineNumbers w:val="0"/>
              <w:snapToGrid w:val="0"/>
              <w:spacing w:before="0" w:beforeAutospacing="0" w:after="0" w:afterAutospacing="0" w:line="240" w:lineRule="auto"/>
              <w:ind w:left="0" w:right="0" w:firstLine="562"/>
              <w:jc w:val="left"/>
              <w:rPr>
                <w:rFonts w:hint="eastAsia" w:ascii="Times New Roman" w:hAnsi="Times New Roman" w:eastAsia="宋体" w:cs="Times New Roman"/>
                <w:color w:val="000000" w:themeColor="text1"/>
                <w:sz w:val="28"/>
                <w:szCs w:val="28"/>
                <w:highlight w:val="none"/>
                <w:lang w:val="en-US" w:eastAsia="zh-CN" w:bidi="ar"/>
                <w14:textFill>
                  <w14:solidFill>
                    <w14:schemeClr w14:val="tx1"/>
                  </w14:solidFill>
                </w14:textFill>
              </w:rPr>
            </w:pPr>
            <w:bookmarkStart w:id="198" w:name="_Toc19523"/>
            <w:bookmarkStart w:id="199" w:name="_Toc12608"/>
            <w:bookmarkStart w:id="200" w:name="_Toc2634"/>
            <w:bookmarkStart w:id="201" w:name="_Toc20933"/>
            <w:bookmarkStart w:id="202" w:name="_Toc26534"/>
            <w:bookmarkStart w:id="203" w:name="_Toc27160"/>
            <w:bookmarkStart w:id="204" w:name="_Toc20742"/>
            <w:bookmarkStart w:id="205" w:name="_Toc28170"/>
            <w:r>
              <w:rPr>
                <w:rFonts w:hint="eastAsia" w:eastAsia="宋体" w:cs="Times New Roman"/>
                <w:b/>
                <w:bCs/>
                <w:color w:val="000000" w:themeColor="text1"/>
                <w:kern w:val="2"/>
                <w:sz w:val="28"/>
                <w:szCs w:val="28"/>
                <w:highlight w:val="none"/>
                <w:lang w:val="en-US" w:eastAsia="zh-CN" w:bidi="ar"/>
                <w14:textFill>
                  <w14:solidFill>
                    <w14:schemeClr w14:val="tx1"/>
                  </w14:solidFill>
                </w14:textFill>
              </w:rPr>
              <w:t>3.</w:t>
            </w:r>
            <w:r>
              <w:rPr>
                <w:rFonts w:hint="eastAsia" w:ascii="Times New Roman" w:hAnsi="Times New Roman" w:eastAsia="宋体" w:cs="Times New Roman"/>
                <w:b/>
                <w:bCs/>
                <w:color w:val="000000" w:themeColor="text1"/>
                <w:kern w:val="2"/>
                <w:sz w:val="28"/>
                <w:szCs w:val="28"/>
                <w:highlight w:val="none"/>
                <w:lang w:val="en-US" w:eastAsia="zh-CN" w:bidi="ar"/>
                <w14:textFill>
                  <w14:solidFill>
                    <w14:schemeClr w14:val="tx1"/>
                  </w14:solidFill>
                </w14:textFill>
              </w:rPr>
              <w:t>绿色氢能</w:t>
            </w:r>
            <w:bookmarkEnd w:id="198"/>
            <w:bookmarkEnd w:id="199"/>
            <w:bookmarkEnd w:id="200"/>
            <w:bookmarkEnd w:id="201"/>
            <w:bookmarkEnd w:id="202"/>
            <w:bookmarkEnd w:id="203"/>
            <w:bookmarkEnd w:id="204"/>
            <w:bookmarkEnd w:id="205"/>
            <w:r>
              <w:rPr>
                <w:rFonts w:hint="eastAsia" w:ascii="Times New Roman" w:hAnsi="Times New Roman" w:eastAsia="宋体" w:cs="Times New Roman"/>
                <w:b/>
                <w:bCs/>
                <w:color w:val="000000" w:themeColor="text1"/>
                <w:kern w:val="2"/>
                <w:sz w:val="28"/>
                <w:szCs w:val="28"/>
                <w:highlight w:val="none"/>
                <w:lang w:val="en-US" w:eastAsia="zh-CN" w:bidi="ar"/>
                <w14:textFill>
                  <w14:solidFill>
                    <w14:schemeClr w14:val="tx1"/>
                  </w14:solidFill>
                </w14:textFill>
              </w:rPr>
              <w:t>。</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积极发展可再生能源制氢</w:t>
            </w:r>
            <w:r>
              <w:rPr>
                <w:rFonts w:hint="eastAsia" w:eastAsia="宋体" w:cs="Times New Roman"/>
                <w:b w:val="0"/>
                <w:color w:val="000000" w:themeColor="text1"/>
                <w:kern w:val="2"/>
                <w:sz w:val="28"/>
                <w:szCs w:val="28"/>
                <w:highlight w:val="none"/>
                <w:lang w:val="en-US" w:eastAsia="zh-CN" w:bidi="ar"/>
                <w14:textFill>
                  <w14:solidFill>
                    <w14:schemeClr w14:val="tx1"/>
                  </w14:solidFill>
                </w14:textFill>
              </w:rPr>
              <w:t>，</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依托</w:t>
            </w:r>
            <w:r>
              <w:rPr>
                <w:rFonts w:hint="eastAsia" w:ascii="宋体" w:hAnsi="宋体" w:eastAsia="宋体" w:cs="宋体"/>
                <w:b w:val="0"/>
                <w:bCs w:val="0"/>
                <w:color w:val="000000" w:themeColor="text1"/>
                <w:kern w:val="0"/>
                <w:sz w:val="28"/>
                <w:szCs w:val="28"/>
                <w:highlight w:val="none"/>
                <w:lang w:val="en-US" w:eastAsia="zh-CN"/>
                <w14:textFill>
                  <w14:solidFill>
                    <w14:schemeClr w14:val="tx1"/>
                  </w14:solidFill>
                </w14:textFill>
              </w:rPr>
              <w:t>海上综合能源岛项目</w:t>
            </w:r>
            <w:r>
              <w:rPr>
                <w:rFonts w:hint="eastAsia" w:eastAsia="宋体" w:cs="Times New Roman"/>
                <w:b w:val="0"/>
                <w:color w:val="000000" w:themeColor="text1"/>
                <w:kern w:val="2"/>
                <w:sz w:val="28"/>
                <w:szCs w:val="28"/>
                <w:highlight w:val="none"/>
                <w:lang w:val="en-US" w:eastAsia="zh-CN" w:bidi="ar"/>
                <w14:textFill>
                  <w14:solidFill>
                    <w14:schemeClr w14:val="tx1"/>
                  </w14:solidFill>
                </w14:textFill>
              </w:rPr>
              <w:t>，</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重点攻关</w:t>
            </w:r>
            <w:r>
              <w:rPr>
                <w:rFonts w:hint="eastAsia" w:eastAsia="宋体" w:cs="Times New Roman"/>
                <w:b w:val="0"/>
                <w:color w:val="000000" w:themeColor="text1"/>
                <w:kern w:val="2"/>
                <w:sz w:val="28"/>
                <w:szCs w:val="28"/>
                <w:highlight w:val="none"/>
                <w:lang w:val="en-US" w:eastAsia="zh-CN" w:bidi="ar"/>
                <w14:textFill>
                  <w14:solidFill>
                    <w14:schemeClr w14:val="tx1"/>
                  </w14:solidFill>
                </w14:textFill>
              </w:rPr>
              <w:t>海水</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淡化制氢</w:t>
            </w:r>
            <w:r>
              <w:rPr>
                <w:rFonts w:hint="eastAsia" w:eastAsia="宋体" w:cs="Times New Roman"/>
                <w:b w:val="0"/>
                <w:color w:val="000000" w:themeColor="text1"/>
                <w:kern w:val="2"/>
                <w:sz w:val="28"/>
                <w:szCs w:val="28"/>
                <w:highlight w:val="none"/>
                <w:lang w:val="en-US" w:eastAsia="zh-CN" w:bidi="ar"/>
                <w14:textFill>
                  <w14:solidFill>
                    <w14:schemeClr w14:val="tx1"/>
                  </w14:solidFill>
                </w14:textFill>
              </w:rPr>
              <w:t>、</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风光储耦合制氢系统集成</w:t>
            </w:r>
            <w:r>
              <w:rPr>
                <w:rFonts w:ascii="宋体" w:hAnsi="宋体" w:eastAsia="宋体" w:cs="宋体"/>
                <w:color w:val="000000" w:themeColor="text1"/>
                <w:sz w:val="28"/>
                <w:szCs w:val="28"/>
                <w14:textFill>
                  <w14:solidFill>
                    <w14:schemeClr w14:val="tx1"/>
                  </w14:solidFill>
                </w14:textFill>
              </w:rPr>
              <w:t>技术</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w:t>
            </w:r>
            <w:r>
              <w:rPr>
                <w:rFonts w:hint="eastAsia" w:eastAsia="宋体" w:cs="Times New Roman"/>
                <w:b w:val="0"/>
                <w:color w:val="000000" w:themeColor="text1"/>
                <w:kern w:val="2"/>
                <w:sz w:val="28"/>
                <w:szCs w:val="28"/>
                <w:highlight w:val="none"/>
                <w:lang w:val="en-US" w:eastAsia="zh-CN" w:bidi="ar"/>
                <w14:textFill>
                  <w14:solidFill>
                    <w14:schemeClr w14:val="tx1"/>
                  </w14:solidFill>
                </w14:textFill>
              </w:rPr>
              <w:t>布</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局氢燃料电池、固态储氢等核心领域，建设氢能装备中试基地。</w:t>
            </w:r>
            <w:r>
              <w:rPr>
                <w:rFonts w:ascii="宋体" w:hAnsi="宋体" w:eastAsia="宋体" w:cs="宋体"/>
                <w:color w:val="000000" w:themeColor="text1"/>
                <w:sz w:val="28"/>
                <w:szCs w:val="28"/>
                <w14:textFill>
                  <w14:solidFill>
                    <w14:schemeClr w14:val="tx1"/>
                  </w14:solidFill>
                </w14:textFill>
              </w:rPr>
              <w:t>统筹推进</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集中式和分布式可再生能源制氢并举，加快突破氢电耦合、系统集成与集群控制等关键技术</w:t>
            </w:r>
            <w:r>
              <w:rPr>
                <w:rFonts w:hint="eastAsia" w:eastAsia="宋体" w:cs="Times New Roman"/>
                <w:b w:val="0"/>
                <w:color w:val="000000" w:themeColor="text1"/>
                <w:kern w:val="2"/>
                <w:sz w:val="28"/>
                <w:szCs w:val="28"/>
                <w:highlight w:val="none"/>
                <w:lang w:val="en-US" w:eastAsia="zh-CN" w:bidi="ar"/>
                <w14:textFill>
                  <w14:solidFill>
                    <w14:schemeClr w14:val="tx1"/>
                  </w14:solidFill>
                </w14:textFill>
              </w:rPr>
              <w:t>；</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完善高压气态与液态储运氢关键装备布局</w:t>
            </w:r>
            <w:r>
              <w:rPr>
                <w:rFonts w:hint="eastAsia" w:eastAsia="宋体" w:cs="Times New Roman"/>
                <w:b w:val="0"/>
                <w:color w:val="000000" w:themeColor="text1"/>
                <w:kern w:val="2"/>
                <w:sz w:val="28"/>
                <w:szCs w:val="28"/>
                <w:highlight w:val="none"/>
                <w:lang w:val="en-US" w:eastAsia="zh-CN" w:bidi="ar"/>
                <w14:textFill>
                  <w14:solidFill>
                    <w14:schemeClr w14:val="tx1"/>
                  </w14:solidFill>
                </w14:textFill>
              </w:rPr>
              <w:t>，</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重点发展Ⅲ型/Ⅳ型高压储氢瓶、液氢储罐、加氢站核心设备</w:t>
            </w:r>
            <w:r>
              <w:rPr>
                <w:rFonts w:ascii="宋体" w:hAnsi="宋体" w:eastAsia="宋体" w:cs="宋体"/>
                <w:color w:val="000000" w:themeColor="text1"/>
                <w:sz w:val="28"/>
                <w:szCs w:val="28"/>
                <w14:textFill>
                  <w14:solidFill>
                    <w14:schemeClr w14:val="tx1"/>
                  </w14:solidFill>
                </w14:textFill>
              </w:rPr>
              <w:t>，构建可再生能源制氢全产业链。</w:t>
            </w:r>
          </w:p>
          <w:p>
            <w:pPr>
              <w:keepNext w:val="0"/>
              <w:keepLines w:val="0"/>
              <w:widowControl/>
              <w:numPr>
                <w:ilvl w:val="0"/>
                <w:numId w:val="0"/>
              </w:numPr>
              <w:suppressLineNumbers w:val="0"/>
              <w:snapToGrid w:val="0"/>
              <w:spacing w:before="0" w:beforeAutospacing="0" w:after="0" w:afterAutospacing="0" w:line="240" w:lineRule="auto"/>
              <w:ind w:left="0" w:right="0" w:firstLine="562"/>
              <w:jc w:val="left"/>
              <w:rPr>
                <w:rFonts w:hint="eastAsia" w:ascii="Times New Roman" w:hAnsi="Times New Roman" w:eastAsia="宋体" w:cs="Times New Roman"/>
                <w:b/>
                <w:bCs/>
                <w:color w:val="000000" w:themeColor="text1"/>
                <w:sz w:val="28"/>
                <w:szCs w:val="28"/>
                <w:highlight w:val="none"/>
                <w:lang w:val="en-US" w:eastAsia="zh-CN" w:bidi="ar"/>
                <w14:textFill>
                  <w14:solidFill>
                    <w14:schemeClr w14:val="tx1"/>
                  </w14:solidFill>
                </w14:textFill>
              </w:rPr>
            </w:pPr>
            <w:r>
              <w:rPr>
                <w:rFonts w:hint="eastAsia" w:eastAsia="宋体" w:cs="Times New Roman"/>
                <w:b/>
                <w:bCs/>
                <w:color w:val="000000" w:themeColor="text1"/>
                <w:kern w:val="2"/>
                <w:sz w:val="28"/>
                <w:szCs w:val="28"/>
                <w:highlight w:val="none"/>
                <w:lang w:val="en-US" w:eastAsia="zh-CN" w:bidi="ar"/>
                <w14:textFill>
                  <w14:solidFill>
                    <w14:schemeClr w14:val="tx1"/>
                  </w14:solidFill>
                </w14:textFill>
              </w:rPr>
              <w:t>4</w:t>
            </w:r>
            <w:r>
              <w:rPr>
                <w:rFonts w:hint="eastAsia" w:ascii="Times New Roman" w:hAnsi="Times New Roman" w:eastAsia="宋体" w:cs="Times New Roman"/>
                <w:b/>
                <w:bCs/>
                <w:color w:val="000000" w:themeColor="text1"/>
                <w:kern w:val="2"/>
                <w:sz w:val="28"/>
                <w:szCs w:val="28"/>
                <w:highlight w:val="none"/>
                <w:lang w:val="en-US" w:eastAsia="zh-CN" w:bidi="ar"/>
                <w14:textFill>
                  <w14:solidFill>
                    <w14:schemeClr w14:val="tx1"/>
                  </w14:solidFill>
                </w14:textFill>
              </w:rPr>
              <w:t>.低空经济。</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围绕低空航空器相关的电池系统、飞行控制系统、航电系统、动力系统、燃油系统、智能避障、航空监管、反制以及抗干扰等核心技术开展技术攻关，推进与大数据、人工智能等新技术融合创新，促进关键共性技术研发、系统集成和工程化应用</w:t>
            </w:r>
            <w:r>
              <w:rPr>
                <w:rFonts w:hint="eastAsia" w:eastAsia="宋体" w:cs="Times New Roman"/>
                <w:b w:val="0"/>
                <w:color w:val="000000" w:themeColor="text1"/>
                <w:kern w:val="2"/>
                <w:sz w:val="28"/>
                <w:szCs w:val="28"/>
                <w:highlight w:val="none"/>
                <w:lang w:val="en-US" w:eastAsia="zh-CN" w:bidi="ar"/>
                <w14:textFill>
                  <w14:solidFill>
                    <w14:schemeClr w14:val="tx1"/>
                  </w14:solidFill>
                </w14:textFill>
              </w:rPr>
              <w:t>；完善甚高频基站、ADS-B地面站</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、无人机试飞测试、从业培训、科普研学等</w:t>
            </w:r>
            <w:r>
              <w:rPr>
                <w:rFonts w:hint="eastAsia" w:eastAsia="宋体" w:cs="Times New Roman"/>
                <w:b w:val="0"/>
                <w:color w:val="000000" w:themeColor="text1"/>
                <w:kern w:val="2"/>
                <w:sz w:val="28"/>
                <w:szCs w:val="28"/>
                <w:highlight w:val="none"/>
                <w:lang w:val="en-US" w:eastAsia="zh-CN" w:bidi="ar"/>
                <w14:textFill>
                  <w14:solidFill>
                    <w14:schemeClr w14:val="tx1"/>
                  </w14:solidFill>
                </w14:textFill>
              </w:rPr>
              <w:t>低空经济</w:t>
            </w:r>
            <w:r>
              <w:rPr>
                <w:rFonts w:hint="eastAsia" w:ascii="Times New Roman" w:hAnsi="Times New Roman" w:eastAsia="宋体" w:cs="Times New Roman"/>
                <w:b w:val="0"/>
                <w:color w:val="000000" w:themeColor="text1"/>
                <w:kern w:val="2"/>
                <w:sz w:val="28"/>
                <w:szCs w:val="28"/>
                <w:highlight w:val="none"/>
                <w:lang w:val="en-US" w:eastAsia="zh-CN" w:bidi="ar"/>
                <w14:textFill>
                  <w14:solidFill>
                    <w14:schemeClr w14:val="tx1"/>
                  </w14:solidFill>
                </w14:textFill>
              </w:rPr>
              <w:t>基础设施建设。立足汕尾海洋资源优势，布局海洋牧场低空应用场景，开展海域无人机试验示范，推广无人机定点投饵、生态监测、污染源追踪等智能化作业。</w:t>
            </w:r>
          </w:p>
        </w:tc>
      </w:tr>
    </w:tbl>
    <w:p>
      <w:pPr>
        <w:pStyle w:val="3"/>
        <w:numPr>
          <w:ilvl w:val="-1"/>
          <w:numId w:val="0"/>
        </w:numPr>
        <w:ind w:firstLine="643"/>
        <w:rPr>
          <w:rFonts w:hint="eastAsia"/>
          <w:color w:val="000000" w:themeColor="text1"/>
          <w14:textFill>
            <w14:solidFill>
              <w14:schemeClr w14:val="tx1"/>
            </w14:solidFill>
          </w14:textFill>
        </w:rPr>
      </w:pPr>
      <w:bookmarkStart w:id="206" w:name="_Toc31049"/>
      <w:bookmarkStart w:id="207" w:name="_Toc6144"/>
      <w:bookmarkStart w:id="208" w:name="_Toc31067"/>
      <w:bookmarkStart w:id="209" w:name="_Toc31880"/>
      <w:bookmarkStart w:id="210" w:name="_Toc7227"/>
      <w:bookmarkStart w:id="211" w:name="_Toc23225"/>
      <w:bookmarkStart w:id="212" w:name="_Toc5359"/>
      <w:bookmarkStart w:id="213" w:name="_Toc27996"/>
      <w:bookmarkStart w:id="214" w:name="_Toc9237"/>
      <w:bookmarkStart w:id="215" w:name="_Toc10780"/>
      <w:bookmarkStart w:id="216" w:name="_Toc15745"/>
      <w:r>
        <w:rPr>
          <w:rFonts w:hint="eastAsia"/>
          <w:color w:val="000000" w:themeColor="text1"/>
          <w:lang w:val="en-US" w:eastAsia="zh-CN"/>
          <w14:textFill>
            <w14:solidFill>
              <w14:schemeClr w14:val="tx1"/>
            </w14:solidFill>
          </w14:textFill>
        </w:rPr>
        <w:t>三、</w:t>
      </w:r>
      <w:r>
        <w:rPr>
          <w:rFonts w:hint="eastAsia"/>
          <w:color w:val="000000" w:themeColor="text1"/>
          <w14:textFill>
            <w14:solidFill>
              <w14:schemeClr w14:val="tx1"/>
            </w14:solidFill>
          </w14:textFill>
        </w:rPr>
        <w:t>空间布局</w:t>
      </w:r>
      <w:bookmarkEnd w:id="206"/>
      <w:bookmarkEnd w:id="207"/>
      <w:bookmarkEnd w:id="208"/>
      <w:bookmarkEnd w:id="209"/>
      <w:bookmarkEnd w:id="210"/>
      <w:bookmarkEnd w:id="211"/>
      <w:bookmarkEnd w:id="212"/>
      <w:bookmarkEnd w:id="213"/>
      <w:bookmarkEnd w:id="214"/>
      <w:bookmarkEnd w:id="215"/>
      <w:bookmarkEnd w:id="216"/>
    </w:p>
    <w:p>
      <w:pPr>
        <w:pStyle w:val="4"/>
        <w:ind w:firstLine="643"/>
        <w:rPr>
          <w:color w:val="000000" w:themeColor="text1"/>
          <w14:textFill>
            <w14:solidFill>
              <w14:schemeClr w14:val="tx1"/>
            </w14:solidFill>
          </w14:textFill>
        </w:rPr>
      </w:pPr>
      <w:bookmarkStart w:id="217" w:name="_Toc10405"/>
      <w:bookmarkStart w:id="218" w:name="_Toc6757"/>
      <w:bookmarkStart w:id="219" w:name="_Toc306"/>
      <w:bookmarkStart w:id="220" w:name="_Toc11514"/>
      <w:bookmarkStart w:id="221" w:name="_Toc26612"/>
      <w:bookmarkStart w:id="222" w:name="_Toc22449"/>
      <w:bookmarkStart w:id="223" w:name="_Toc13430"/>
      <w:bookmarkStart w:id="224" w:name="_Toc17537"/>
      <w:bookmarkStart w:id="225" w:name="_Toc17324"/>
      <w:bookmarkStart w:id="226" w:name="_Toc29466"/>
      <w:bookmarkStart w:id="227" w:name="_Toc24544"/>
      <w:r>
        <w:rPr>
          <w:rFonts w:hint="eastAsia"/>
          <w:color w:val="000000" w:themeColor="text1"/>
          <w14:textFill>
            <w14:solidFill>
              <w14:schemeClr w14:val="tx1"/>
            </w14:solidFill>
          </w14:textFill>
        </w:rPr>
        <w:t>（一）打造“一核</w:t>
      </w:r>
      <w:r>
        <w:rPr>
          <w:rFonts w:hint="eastAsia"/>
          <w:color w:val="000000" w:themeColor="text1"/>
          <w:lang w:val="en-US" w:eastAsia="zh-CN"/>
          <w14:textFill>
            <w14:solidFill>
              <w14:schemeClr w14:val="tx1"/>
            </w14:solidFill>
          </w14:textFill>
        </w:rPr>
        <w:t>一</w:t>
      </w:r>
      <w:r>
        <w:rPr>
          <w:rFonts w:hint="eastAsia"/>
          <w:color w:val="000000" w:themeColor="text1"/>
          <w14:textFill>
            <w14:solidFill>
              <w14:schemeClr w14:val="tx1"/>
            </w14:solidFill>
          </w14:textFill>
        </w:rPr>
        <w:t>带</w:t>
      </w:r>
      <w:r>
        <w:rPr>
          <w:rFonts w:hint="eastAsia"/>
          <w:color w:val="000000" w:themeColor="text1"/>
          <w:lang w:val="en-US" w:eastAsia="zh-CN"/>
          <w14:textFill>
            <w14:solidFill>
              <w14:schemeClr w14:val="tx1"/>
            </w14:solidFill>
          </w14:textFill>
        </w:rPr>
        <w:t>两湾四组团</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产业</w:t>
      </w:r>
      <w:r>
        <w:rPr>
          <w:rFonts w:hint="eastAsia"/>
          <w:color w:val="000000" w:themeColor="text1"/>
          <w14:textFill>
            <w14:solidFill>
              <w14:schemeClr w14:val="tx1"/>
            </w14:solidFill>
          </w14:textFill>
        </w:rPr>
        <w:t>空间布局</w:t>
      </w:r>
      <w:bookmarkEnd w:id="217"/>
      <w:bookmarkEnd w:id="218"/>
      <w:bookmarkEnd w:id="219"/>
      <w:bookmarkEnd w:id="220"/>
      <w:bookmarkEnd w:id="221"/>
      <w:bookmarkEnd w:id="222"/>
      <w:bookmarkEnd w:id="223"/>
      <w:bookmarkEnd w:id="224"/>
      <w:bookmarkEnd w:id="225"/>
      <w:bookmarkEnd w:id="226"/>
      <w:bookmarkEnd w:id="227"/>
    </w:p>
    <w:p>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加快推进产业“聚链成群”，着力构建全市“一核一带</w:t>
      </w:r>
      <w:r>
        <w:rPr>
          <w:rFonts w:hint="eastAsia"/>
          <w:color w:val="000000" w:themeColor="text1"/>
          <w:lang w:val="en-US" w:eastAsia="zh-CN"/>
          <w14:textFill>
            <w14:solidFill>
              <w14:schemeClr w14:val="tx1"/>
            </w14:solidFill>
          </w14:textFill>
        </w:rPr>
        <w:t>两</w:t>
      </w:r>
      <w:r>
        <w:rPr>
          <w:rFonts w:hint="eastAsia"/>
          <w:color w:val="000000" w:themeColor="text1"/>
          <w14:textFill>
            <w14:solidFill>
              <w14:schemeClr w14:val="tx1"/>
            </w14:solidFill>
          </w14:textFill>
        </w:rPr>
        <w:t>湾四组团”产业空间布局，打造具有强大竞争力的产业集聚平台。</w:t>
      </w:r>
    </w:p>
    <w:p>
      <w:pPr>
        <w:rPr>
          <w:rFonts w:hint="eastAsia"/>
          <w:color w:val="000000" w:themeColor="text1"/>
          <w:sz w:val="32"/>
          <w:szCs w:val="32"/>
          <w:lang w:val="en-US" w:eastAsia="zh-CN"/>
          <w14:textFill>
            <w14:solidFill>
              <w14:schemeClr w14:val="tx1"/>
            </w14:solidFill>
          </w14:textFill>
        </w:rPr>
      </w:pPr>
      <w:r>
        <w:rPr>
          <w:rFonts w:hint="eastAsia"/>
          <w:b/>
          <w:bCs/>
          <w:color w:val="000000" w:themeColor="text1"/>
          <w:sz w:val="32"/>
          <w:szCs w:val="32"/>
          <w:lang w:eastAsia="zh-CN"/>
          <w14:textFill>
            <w14:solidFill>
              <w14:schemeClr w14:val="tx1"/>
            </w14:solidFill>
          </w14:textFill>
        </w:rPr>
        <w:t>一核：</w:t>
      </w:r>
      <w:r>
        <w:rPr>
          <w:rFonts w:hint="eastAsia"/>
          <w:b/>
          <w:bCs/>
          <w:color w:val="000000" w:themeColor="text1"/>
          <w:sz w:val="32"/>
          <w:szCs w:val="32"/>
          <w:lang w:val="en-US" w:eastAsia="zh-CN"/>
          <w14:textFill>
            <w14:solidFill>
              <w14:schemeClr w14:val="tx1"/>
            </w14:solidFill>
          </w14:textFill>
        </w:rPr>
        <w:t>高新技术创智核。</w:t>
      </w:r>
      <w:r>
        <w:rPr>
          <w:rFonts w:hint="eastAsia"/>
          <w:color w:val="000000" w:themeColor="text1"/>
          <w:sz w:val="32"/>
          <w:szCs w:val="32"/>
          <w:lang w:val="en-US" w:eastAsia="zh-CN"/>
          <w14:textFill>
            <w14:solidFill>
              <w14:schemeClr w14:val="tx1"/>
            </w14:solidFill>
          </w14:textFill>
        </w:rPr>
        <w:t>以汕尾高新区红草片区为核心载体，聚力打造现代产业集聚高地与科技创新策源地，强化高端要素资源集聚与配置功能，构筑全市制造业高质量发展的核心引擎。</w:t>
      </w:r>
    </w:p>
    <w:p>
      <w:pPr>
        <w:pStyle w:val="20"/>
        <w:keepNext w:val="0"/>
        <w:keepLines w:val="0"/>
        <w:widowControl/>
        <w:suppressLineNumbers w:val="0"/>
        <w:kinsoku/>
        <w:wordWrap/>
        <w:overflowPunct/>
        <w:bidi w:val="0"/>
        <w:spacing w:before="0" w:beforeAutospacing="0" w:after="0" w:afterAutospacing="0"/>
        <w:ind w:left="0" w:right="0" w:firstLine="634"/>
        <w:jc w:val="both"/>
        <w:rPr>
          <w:rFonts w:hint="eastAsia" w:eastAsia="仿宋_GB2312"/>
          <w:color w:val="000000" w:themeColor="text1"/>
          <w:lang w:eastAsia="zh-CN"/>
          <w14:textFill>
            <w14:solidFill>
              <w14:schemeClr w14:val="tx1"/>
            </w14:solidFill>
          </w14:textFill>
        </w:rPr>
      </w:pPr>
      <w:r>
        <w:rPr>
          <w:rFonts w:hint="eastAsia" w:ascii="仿宋_GB2312" w:cs="Times New Roman"/>
          <w:b/>
          <w:bCs/>
          <w:color w:val="000000" w:themeColor="text1"/>
          <w:kern w:val="2"/>
          <w:sz w:val="32"/>
          <w:szCs w:val="32"/>
          <w:lang w:val="en-US" w:eastAsia="zh-CN"/>
          <w14:textFill>
            <w14:solidFill>
              <w14:schemeClr w14:val="tx1"/>
            </w14:solidFill>
          </w14:textFill>
        </w:rPr>
        <w:t>一带：先进制造业发展带。</w:t>
      </w:r>
      <w:r>
        <w:rPr>
          <w:rFonts w:hint="eastAsia" w:ascii="仿宋_GB2312" w:hAnsi="Times New Roman" w:eastAsia="仿宋_GB2312" w:cs="Times New Roman"/>
          <w:color w:val="000000" w:themeColor="text1"/>
          <w:kern w:val="2"/>
          <w:sz w:val="32"/>
          <w:szCs w:val="32"/>
          <w14:textFill>
            <w14:solidFill>
              <w14:schemeClr w14:val="tx1"/>
            </w14:solidFill>
          </w14:textFill>
        </w:rPr>
        <w:t>立足汕尾西承东联的区位，依托</w:t>
      </w:r>
      <w:r>
        <w:rPr>
          <w:rFonts w:hint="eastAsia" w:ascii="Times New Roman" w:hAnsi="Times New Roman" w:eastAsia="仿宋_GB2312" w:cs="Times New Roman"/>
          <w:color w:val="000000" w:themeColor="text1"/>
          <w:kern w:val="2"/>
          <w:sz w:val="32"/>
          <w:szCs w:val="32"/>
          <w14:textFill>
            <w14:solidFill>
              <w14:schemeClr w14:val="tx1"/>
            </w14:solidFill>
          </w14:textFill>
        </w:rPr>
        <w:t>G324、G228</w:t>
      </w:r>
      <w:r>
        <w:rPr>
          <w:rFonts w:hint="eastAsia" w:ascii="仿宋_GB2312" w:hAnsi="Times New Roman" w:eastAsia="仿宋_GB2312" w:cs="Times New Roman"/>
          <w:color w:val="000000" w:themeColor="text1"/>
          <w:kern w:val="2"/>
          <w:sz w:val="32"/>
          <w:szCs w:val="32"/>
          <w14:textFill>
            <w14:solidFill>
              <w14:schemeClr w14:val="tx1"/>
            </w14:solidFill>
          </w14:textFill>
        </w:rPr>
        <w:t>国道、深汕高铁立体化交通廊道，叠加新能源汽车、新一代电子信息等成熟产业</w:t>
      </w:r>
      <w:r>
        <w:rPr>
          <w:rFonts w:hint="eastAsia" w:ascii="仿宋_GB2312" w:hAnsi="Times New Roman" w:cs="Times New Roman"/>
          <w:color w:val="000000" w:themeColor="text1"/>
          <w:kern w:val="2"/>
          <w:sz w:val="32"/>
          <w:szCs w:val="32"/>
          <w:lang w:val="en-US" w:eastAsia="zh-CN"/>
          <w14:textFill>
            <w14:solidFill>
              <w14:schemeClr w14:val="tx1"/>
            </w14:solidFill>
          </w14:textFill>
        </w:rPr>
        <w:t>基础</w:t>
      </w:r>
      <w:r>
        <w:rPr>
          <w:rFonts w:hint="eastAsia" w:ascii="仿宋_GB2312" w:hAnsi="Times New Roman" w:eastAsia="仿宋_GB2312" w:cs="Times New Roman"/>
          <w:color w:val="000000" w:themeColor="text1"/>
          <w:kern w:val="2"/>
          <w:sz w:val="32"/>
          <w:szCs w:val="32"/>
          <w14:textFill>
            <w14:solidFill>
              <w14:schemeClr w14:val="tx1"/>
            </w14:solidFill>
          </w14:textFill>
        </w:rPr>
        <w:t>，聚力打造横贯市域东西的先进制造业发展带，构筑全市产业高质量发展活力主廊道。</w:t>
      </w:r>
    </w:p>
    <w:p>
      <w:pPr>
        <w:pStyle w:val="20"/>
        <w:keepNext w:val="0"/>
        <w:keepLines w:val="0"/>
        <w:widowControl/>
        <w:suppressLineNumbers w:val="0"/>
        <w:kinsoku/>
        <w:wordWrap/>
        <w:overflowPunct/>
        <w:bidi w:val="0"/>
        <w:spacing w:before="0" w:beforeAutospacing="0" w:after="0" w:afterAutospacing="0"/>
        <w:ind w:left="0" w:right="0" w:firstLine="634"/>
        <w:jc w:val="both"/>
        <w:rPr>
          <w:rFonts w:hint="eastAsia" w:eastAsia="仿宋_GB2312"/>
          <w:color w:val="000000" w:themeColor="text1"/>
          <w:lang w:eastAsia="zh-CN"/>
          <w14:textFill>
            <w14:solidFill>
              <w14:schemeClr w14:val="tx1"/>
            </w14:solidFill>
          </w14:textFill>
        </w:rPr>
      </w:pPr>
      <w:r>
        <w:rPr>
          <w:rFonts w:hint="eastAsia" w:ascii="仿宋_GB2312" w:eastAsia="仿宋_GB2312" w:cs="Times New Roman"/>
          <w:b/>
          <w:bCs/>
          <w:color w:val="000000" w:themeColor="text1"/>
          <w:kern w:val="2"/>
          <w:sz w:val="32"/>
          <w:szCs w:val="32"/>
          <w:lang w:eastAsia="zh-CN"/>
          <w14:textFill>
            <w14:solidFill>
              <w14:schemeClr w14:val="tx1"/>
            </w14:solidFill>
          </w14:textFill>
        </w:rPr>
        <w:t>两湾：</w:t>
      </w:r>
      <w:r>
        <w:rPr>
          <w:rFonts w:hint="eastAsia" w:cs="Times New Roman"/>
          <w:b/>
          <w:bCs/>
          <w:color w:val="000000" w:themeColor="text1"/>
          <w:kern w:val="2"/>
          <w:sz w:val="32"/>
          <w:szCs w:val="32"/>
          <w:lang w:val="en-US" w:eastAsia="zh-CN" w:bidi="ar-SA"/>
          <w14:textFill>
            <w14:solidFill>
              <w14:schemeClr w14:val="tx1"/>
            </w14:solidFill>
          </w14:textFill>
        </w:rPr>
        <w:t>红海绿能智造湾和揭石临港产业湾</w:t>
      </w:r>
      <w:r>
        <w:rPr>
          <w:rFonts w:hint="eastAsia" w:cs="Times New Roman"/>
          <w:color w:val="000000" w:themeColor="text1"/>
          <w:kern w:val="2"/>
          <w:sz w:val="32"/>
          <w:szCs w:val="32"/>
          <w:lang w:val="en-US" w:eastAsia="zh-CN" w:bidi="ar-SA"/>
          <w14:textFill>
            <w14:solidFill>
              <w14:schemeClr w14:val="tx1"/>
            </w14:solidFill>
          </w14:textFill>
        </w:rPr>
        <w:t>。</w:t>
      </w:r>
      <w:r>
        <w:rPr>
          <w:rFonts w:hint="eastAsia" w:ascii="仿宋_GB2312" w:cs="Times New Roman"/>
          <w:color w:val="000000" w:themeColor="text1"/>
          <w:kern w:val="2"/>
          <w:sz w:val="32"/>
          <w:szCs w:val="32"/>
          <w:lang w:val="en-US" w:eastAsia="zh-CN"/>
          <w14:textFill>
            <w14:solidFill>
              <w14:schemeClr w14:val="tx1"/>
            </w14:solidFill>
          </w14:textFill>
        </w:rPr>
        <w:t>充分发挥红海湾、碣石湾的地理与产业优势，重点发展新能源汽车、新一代电子信息、港口物流、低碳新能源发电及配套、食品加工、海洋生物科技、海洋能源、海洋牧场、海工装备等产业，加快发展红海绿能智造湾与碣石临港产业湾。</w:t>
      </w:r>
    </w:p>
    <w:p>
      <w:pPr>
        <w:pStyle w:val="20"/>
        <w:keepNext w:val="0"/>
        <w:keepLines w:val="0"/>
        <w:widowControl/>
        <w:suppressLineNumbers w:val="0"/>
        <w:kinsoku/>
        <w:wordWrap/>
        <w:overflowPunct/>
        <w:bidi w:val="0"/>
        <w:spacing w:before="0" w:beforeAutospacing="0" w:after="0" w:afterAutospacing="0"/>
        <w:ind w:left="0" w:right="0" w:firstLine="634"/>
        <w:jc w:val="both"/>
        <w:rPr>
          <w:rFonts w:hint="eastAsia" w:cs="Times New Roman"/>
          <w:color w:val="000000" w:themeColor="text1"/>
          <w:kern w:val="2"/>
          <w:sz w:val="32"/>
          <w:szCs w:val="32"/>
          <w:lang w:val="en-US" w:eastAsia="zh-CN" w:bidi="ar-SA"/>
          <w14:textFill>
            <w14:solidFill>
              <w14:schemeClr w14:val="tx1"/>
            </w14:solidFill>
          </w14:textFill>
        </w:rPr>
        <w:sectPr>
          <w:footerReference r:id="rId11" w:type="default"/>
          <w:pgSz w:w="11906" w:h="16838"/>
          <w:pgMar w:top="1440" w:right="1800" w:bottom="1440" w:left="1800" w:header="851" w:footer="992" w:gutter="0"/>
          <w:pgNumType w:start="1"/>
          <w:cols w:space="425" w:num="1"/>
          <w:docGrid w:type="lines" w:linePitch="312" w:charSpace="0"/>
        </w:sectPr>
      </w:pPr>
      <w:r>
        <w:rPr>
          <w:rFonts w:hint="eastAsia" w:ascii="仿宋_GB2312" w:eastAsia="仿宋_GB2312" w:cs="Times New Roman"/>
          <w:b/>
          <w:bCs/>
          <w:color w:val="000000" w:themeColor="text1"/>
          <w:kern w:val="2"/>
          <w:sz w:val="32"/>
          <w:szCs w:val="32"/>
          <w:lang w:val="en-US" w:eastAsia="zh-CN"/>
          <w14:textFill>
            <w14:solidFill>
              <w14:schemeClr w14:val="tx1"/>
            </w14:solidFill>
          </w14:textFill>
        </w:rPr>
        <w:t>四</w:t>
      </w:r>
      <w:r>
        <w:rPr>
          <w:rFonts w:hint="eastAsia" w:ascii="仿宋_GB2312" w:cs="Times New Roman"/>
          <w:b/>
          <w:bCs/>
          <w:color w:val="000000" w:themeColor="text1"/>
          <w:kern w:val="2"/>
          <w:sz w:val="32"/>
          <w:szCs w:val="32"/>
          <w:lang w:val="en-US" w:eastAsia="zh-CN"/>
          <w14:textFill>
            <w14:solidFill>
              <w14:schemeClr w14:val="tx1"/>
            </w14:solidFill>
          </w14:textFill>
        </w:rPr>
        <w:t>组团</w:t>
      </w:r>
      <w:r>
        <w:rPr>
          <w:rFonts w:hint="eastAsia" w:ascii="仿宋_GB2312" w:eastAsia="仿宋_GB2312" w:cs="Times New Roman"/>
          <w:b/>
          <w:bCs/>
          <w:color w:val="000000" w:themeColor="text1"/>
          <w:kern w:val="2"/>
          <w:sz w:val="32"/>
          <w:szCs w:val="32"/>
          <w:lang w:val="en-US" w:eastAsia="zh-CN"/>
          <w14:textFill>
            <w14:solidFill>
              <w14:schemeClr w14:val="tx1"/>
            </w14:solidFill>
          </w14:textFill>
        </w:rPr>
        <w:t>：</w:t>
      </w:r>
      <w:r>
        <w:rPr>
          <w:rFonts w:hint="eastAsia" w:ascii="仿宋_GB2312" w:cs="Times New Roman"/>
          <w:b/>
          <w:bCs/>
          <w:color w:val="000000" w:themeColor="text1"/>
          <w:kern w:val="2"/>
          <w:sz w:val="32"/>
          <w:szCs w:val="32"/>
          <w:lang w:val="en-US" w:eastAsia="zh-CN"/>
          <w14:textFill>
            <w14:solidFill>
              <w14:schemeClr w14:val="tx1"/>
            </w14:solidFill>
          </w14:textFill>
        </w:rPr>
        <w:t>东部海工装备组团、南部科创服务组团、西部珠宝时尚组团、北部绿色制造组团。</w:t>
      </w:r>
      <w:r>
        <w:rPr>
          <w:rFonts w:hint="eastAsia" w:cs="Times New Roman"/>
          <w:color w:val="000000" w:themeColor="text1"/>
          <w:kern w:val="2"/>
          <w:sz w:val="32"/>
          <w:szCs w:val="32"/>
          <w:lang w:val="en-US" w:eastAsia="zh-CN" w:bidi="ar-SA"/>
          <w14:textFill>
            <w14:solidFill>
              <w14:schemeClr w14:val="tx1"/>
            </w14:solidFill>
          </w14:textFill>
        </w:rPr>
        <w:t>依托陆丰县海工装备、低碳新能源等产业基础，加快发展东部海工装备组团；</w:t>
      </w:r>
      <w:r>
        <w:rPr>
          <w:rFonts w:hint="eastAsia" w:ascii="仿宋_GB2312" w:cs="Times New Roman"/>
          <w:b w:val="0"/>
          <w:bCs w:val="0"/>
          <w:color w:val="000000" w:themeColor="text1"/>
          <w:kern w:val="2"/>
          <w:sz w:val="32"/>
          <w:szCs w:val="32"/>
          <w:lang w:val="en-US" w:eastAsia="zh-CN"/>
          <w14:textFill>
            <w14:solidFill>
              <w14:schemeClr w14:val="tx1"/>
            </w14:solidFill>
          </w14:textFill>
        </w:rPr>
        <w:t>依托城区在金融、科创与商贸等方面的核心功能，系统提升</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南部科创服务</w:t>
      </w:r>
      <w:r>
        <w:rPr>
          <w:rFonts w:hint="eastAsia" w:cs="Times New Roman"/>
          <w:b w:val="0"/>
          <w:bCs w:val="0"/>
          <w:color w:val="000000" w:themeColor="text1"/>
          <w:kern w:val="2"/>
          <w:sz w:val="32"/>
          <w:szCs w:val="32"/>
          <w:lang w:val="en-US" w:eastAsia="zh-CN" w:bidi="ar-SA"/>
          <w14:textFill>
            <w14:solidFill>
              <w14:schemeClr w14:val="tx1"/>
            </w14:solidFill>
          </w14:textFill>
        </w:rPr>
        <w:t>组团的综合服务能力；依托海丰县</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可塘</w:t>
      </w:r>
      <w:r>
        <w:rPr>
          <w:rFonts w:hint="eastAsia" w:cs="Times New Roman"/>
          <w:b w:val="0"/>
          <w:bCs w:val="0"/>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梅陇</w:t>
      </w:r>
      <w:r>
        <w:rPr>
          <w:rFonts w:hint="eastAsia" w:cs="Times New Roman"/>
          <w:b w:val="0"/>
          <w:bCs w:val="0"/>
          <w:color w:val="000000" w:themeColor="text1"/>
          <w:kern w:val="2"/>
          <w:sz w:val="32"/>
          <w:szCs w:val="32"/>
          <w:lang w:val="en-US" w:eastAsia="zh-CN" w:bidi="ar-SA"/>
          <w14:textFill>
            <w14:solidFill>
              <w14:schemeClr w14:val="tx1"/>
            </w14:solidFill>
          </w14:textFill>
        </w:rPr>
        <w:t>、公平三镇在</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金银</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珠宝首饰、</w:t>
      </w:r>
      <w:r>
        <w:rPr>
          <w:rFonts w:hint="eastAsia" w:cs="Times New Roman"/>
          <w:color w:val="000000" w:themeColor="text1"/>
          <w:kern w:val="2"/>
          <w:sz w:val="32"/>
          <w:szCs w:val="32"/>
          <w:lang w:val="en-US" w:eastAsia="zh-CN" w:bidi="ar-SA"/>
          <w14:textFill>
            <w14:solidFill>
              <w14:schemeClr w14:val="tx1"/>
            </w14:solidFill>
          </w14:textFill>
        </w:rPr>
        <w:t>纺织服装等领域的产业基础与优势，重点壮大西部珠宝时尚组团；依托陆河县在新一代电子信息产业与新能源汽车产业等重点项目的集聚优势，培育发展北部绿色制造组团。</w:t>
      </w:r>
    </w:p>
    <w:p>
      <w:pPr>
        <w:keepNext w:val="0"/>
        <w:keepLines w:val="0"/>
        <w:widowControl w:val="0"/>
        <w:suppressLineNumbers w:val="0"/>
        <w:kinsoku/>
        <w:wordWrap/>
        <w:overflowPunct/>
        <w:bidi w:val="0"/>
        <w:spacing w:before="0" w:beforeAutospacing="0" w:after="0" w:afterAutospacing="0" w:line="240" w:lineRule="auto"/>
        <w:ind w:left="0" w:right="0" w:firstLine="0" w:firstLineChars="0"/>
        <w:jc w:val="center"/>
        <w:rPr>
          <w:rFonts w:hint="eastAsia" w:eastAsia="仿宋_GB2312"/>
          <w:color w:val="000000" w:themeColor="text1"/>
          <w:lang w:eastAsia="zh-CN"/>
          <w14:textFill>
            <w14:solidFill>
              <w14:schemeClr w14:val="tx1"/>
            </w14:solidFill>
          </w14:textFill>
        </w:rPr>
      </w:pPr>
      <w:r>
        <w:rPr>
          <w:rFonts w:hint="eastAsia" w:eastAsia="仿宋_GB2312"/>
          <w:color w:val="000000" w:themeColor="text1"/>
          <w:lang w:eastAsia="zh-CN"/>
          <w14:textFill>
            <w14:solidFill>
              <w14:schemeClr w14:val="tx1"/>
            </w14:solidFill>
          </w14:textFill>
        </w:rPr>
        <w:drawing>
          <wp:inline distT="0" distB="0" distL="114300" distR="114300">
            <wp:extent cx="7062470" cy="4824730"/>
            <wp:effectExtent l="9525" t="9525" r="14605" b="13970"/>
            <wp:docPr id="4" name="图片 4" descr="汕尾园区_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汕尾园区_01"/>
                    <pic:cNvPicPr>
                      <a:picLocks noChangeAspect="true"/>
                    </pic:cNvPicPr>
                  </pic:nvPicPr>
                  <pic:blipFill>
                    <a:blip r:embed="rId14"/>
                    <a:stretch>
                      <a:fillRect/>
                    </a:stretch>
                  </pic:blipFill>
                  <pic:spPr>
                    <a:xfrm>
                      <a:off x="0" y="0"/>
                      <a:ext cx="7062470" cy="4824730"/>
                    </a:xfrm>
                    <a:prstGeom prst="rect">
                      <a:avLst/>
                    </a:prstGeom>
                    <a:ln>
                      <a:solidFill>
                        <a:schemeClr val="tx1"/>
                      </a:solidFill>
                    </a:ln>
                  </pic:spPr>
                </pic:pic>
              </a:graphicData>
            </a:graphic>
          </wp:inline>
        </w:drawing>
      </w:r>
    </w:p>
    <w:p>
      <w:pPr>
        <w:keepNext w:val="0"/>
        <w:keepLines w:val="0"/>
        <w:widowControl w:val="0"/>
        <w:suppressLineNumbers w:val="0"/>
        <w:kinsoku/>
        <w:wordWrap/>
        <w:overflowPunct/>
        <w:bidi w:val="0"/>
        <w:spacing w:before="0" w:beforeAutospacing="0" w:after="0" w:afterAutospacing="0" w:line="240" w:lineRule="auto"/>
        <w:ind w:left="0" w:right="0" w:firstLine="0" w:firstLineChars="0"/>
        <w:jc w:val="center"/>
        <w:rPr>
          <w:color w:val="000000" w:themeColor="text1"/>
          <w14:textFill>
            <w14:solidFill>
              <w14:schemeClr w14:val="tx1"/>
            </w14:solidFill>
          </w14:textFill>
        </w:rPr>
      </w:pPr>
      <w:r>
        <w:rPr>
          <w:rFonts w:hint="eastAsia" w:ascii="黑体" w:hAnsi="黑体" w:eastAsia="黑体" w:cs="黑体"/>
          <w:color w:val="000000" w:themeColor="text1"/>
          <w:sz w:val="28"/>
          <w:szCs w:val="22"/>
          <w14:textFill>
            <w14:solidFill>
              <w14:schemeClr w14:val="tx1"/>
            </w14:solidFill>
          </w14:textFill>
        </w:rPr>
        <w:t>图1 汕尾制造业发展总体空间布局</w:t>
      </w:r>
    </w:p>
    <w:p>
      <w:pPr>
        <w:keepNext w:val="0"/>
        <w:keepLines w:val="0"/>
        <w:widowControl w:val="0"/>
        <w:suppressLineNumbers w:val="0"/>
        <w:kinsoku/>
        <w:wordWrap/>
        <w:overflowPunct/>
        <w:bidi w:val="0"/>
        <w:spacing w:before="0" w:beforeAutospacing="0" w:after="0" w:afterAutospacing="0" w:line="240" w:lineRule="auto"/>
        <w:ind w:left="0" w:right="0" w:firstLine="0" w:firstLineChars="0"/>
        <w:jc w:val="both"/>
        <w:rPr>
          <w:rFonts w:hint="eastAsia"/>
          <w:color w:val="000000" w:themeColor="text1"/>
          <w:lang w:val="en-US" w:eastAsia="zh-CN"/>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pPr>
        <w:pStyle w:val="4"/>
        <w:ind w:firstLine="643"/>
        <w:rPr>
          <w:rFonts w:hint="eastAsia"/>
          <w:color w:val="000000" w:themeColor="text1"/>
          <w14:textFill>
            <w14:solidFill>
              <w14:schemeClr w14:val="tx1"/>
            </w14:solidFill>
          </w14:textFill>
        </w:rPr>
      </w:pPr>
      <w:bookmarkStart w:id="228" w:name="_Toc8081"/>
      <w:bookmarkStart w:id="229" w:name="_Toc23343"/>
      <w:bookmarkStart w:id="230" w:name="_Toc4682"/>
      <w:bookmarkStart w:id="231" w:name="_Toc10047"/>
      <w:bookmarkStart w:id="232" w:name="_Toc12691"/>
      <w:bookmarkStart w:id="233" w:name="_Toc30664"/>
      <w:bookmarkStart w:id="234" w:name="_Toc17095"/>
      <w:r>
        <w:rPr>
          <w:rFonts w:hint="eastAsia"/>
          <w:color w:val="000000" w:themeColor="text1"/>
          <w14:textFill>
            <w14:solidFill>
              <w14:schemeClr w14:val="tx1"/>
            </w14:solidFill>
          </w14:textFill>
        </w:rPr>
        <w:t>（二）统筹各区（县、市）产业分工布局</w:t>
      </w:r>
      <w:bookmarkEnd w:id="228"/>
      <w:bookmarkEnd w:id="229"/>
      <w:bookmarkEnd w:id="230"/>
      <w:bookmarkEnd w:id="231"/>
      <w:bookmarkEnd w:id="232"/>
      <w:bookmarkEnd w:id="233"/>
      <w:bookmarkEnd w:id="234"/>
    </w:p>
    <w:p>
      <w:pPr>
        <w:ind w:firstLine="643"/>
        <w:rPr>
          <w:rFonts w:hint="eastAsia"/>
          <w:color w:val="000000" w:themeColor="text1"/>
          <w:lang w:eastAsia="zh-CN"/>
          <w14:textFill>
            <w14:solidFill>
              <w14:schemeClr w14:val="tx1"/>
            </w14:solidFill>
          </w14:textFill>
        </w:rPr>
      </w:pPr>
      <w:r>
        <w:rPr>
          <w:rFonts w:hint="eastAsia"/>
          <w:b/>
          <w:bCs/>
          <w:color w:val="000000" w:themeColor="text1"/>
          <w14:textFill>
            <w14:solidFill>
              <w14:schemeClr w14:val="tx1"/>
            </w14:solidFill>
          </w14:textFill>
        </w:rPr>
        <w:t>城区：</w:t>
      </w:r>
      <w:r>
        <w:rPr>
          <w:rFonts w:hint="eastAsia"/>
          <w:color w:val="000000" w:themeColor="text1"/>
          <w14:textFill>
            <w14:solidFill>
              <w14:schemeClr w14:val="tx1"/>
            </w14:solidFill>
          </w14:textFill>
        </w:rPr>
        <w:t>依托红海湾产业园区、汕尾高新区、光明</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城区结对共建产业园等重点产业园区，完善“芯—屏—端”全链条产业布局</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深耕新型显示超薄玻璃、半导体封装基板等新一代电子信息细分赛道；</w:t>
      </w:r>
      <w:r>
        <w:rPr>
          <w:rFonts w:hint="eastAsia"/>
          <w:color w:val="000000" w:themeColor="text1"/>
          <w:lang w:val="en-US" w:eastAsia="zh-CN"/>
          <w14:textFill>
            <w14:solidFill>
              <w14:schemeClr w14:val="tx1"/>
            </w14:solidFill>
          </w14:textFill>
        </w:rPr>
        <w:t>重点</w:t>
      </w:r>
      <w:r>
        <w:rPr>
          <w:rFonts w:hint="eastAsia"/>
          <w:color w:val="000000" w:themeColor="text1"/>
          <w14:textFill>
            <w14:solidFill>
              <w14:schemeClr w14:val="tx1"/>
            </w14:solidFill>
          </w14:textFill>
        </w:rPr>
        <w:t>发展新能源汽车KD散件出口、新能源汽车核心零部件垂直配套</w:t>
      </w:r>
      <w:r>
        <w:rPr>
          <w:rFonts w:hint="eastAsia"/>
          <w:color w:val="000000" w:themeColor="text1"/>
          <w:lang w:eastAsia="zh-CN"/>
          <w14:textFill>
            <w14:solidFill>
              <w14:schemeClr w14:val="tx1"/>
            </w14:solidFill>
          </w14:textFill>
        </w:rPr>
        <w:t>。</w:t>
      </w:r>
    </w:p>
    <w:p>
      <w:pPr>
        <w:pStyle w:val="2"/>
        <w:rPr>
          <w:rFonts w:hint="eastAsia" w:ascii="Times New Roman" w:hAnsi="Times New Roman" w:eastAsia="仿宋_GB2312" w:cs="Times New Roman"/>
          <w:color w:val="000000" w:themeColor="text1"/>
          <w:sz w:val="32"/>
          <w:szCs w:val="24"/>
          <w14:textFill>
            <w14:solidFill>
              <w14:schemeClr w14:val="tx1"/>
            </w14:solidFill>
          </w14:textFill>
        </w:rPr>
      </w:pPr>
      <w:r>
        <w:rPr>
          <w:rFonts w:hint="eastAsia"/>
          <w:b/>
          <w:bCs/>
          <w:color w:val="000000" w:themeColor="text1"/>
          <w14:textFill>
            <w14:solidFill>
              <w14:schemeClr w14:val="tx1"/>
            </w14:solidFill>
          </w14:textFill>
        </w:rPr>
        <w:t>海丰县：</w:t>
      </w:r>
      <w:r>
        <w:rPr>
          <w:rFonts w:hint="eastAsia"/>
          <w:color w:val="000000" w:themeColor="text1"/>
          <w14:textFill>
            <w14:solidFill>
              <w14:schemeClr w14:val="tx1"/>
            </w14:solidFill>
          </w14:textFill>
        </w:rPr>
        <w:t>依托深汕合作拓展区、海丰产业园区、星都</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可塘合作共建产业园等重点产业园区，</w:t>
      </w:r>
      <w:r>
        <w:rPr>
          <w:rFonts w:hint="eastAsia" w:ascii="Times New Roman" w:hAnsi="Times New Roman" w:eastAsia="仿宋_GB2312" w:cs="Times New Roman"/>
          <w:color w:val="000000" w:themeColor="text1"/>
          <w:sz w:val="32"/>
          <w:szCs w:val="24"/>
          <w14:textFill>
            <w14:solidFill>
              <w14:schemeClr w14:val="tx1"/>
            </w14:solidFill>
          </w14:textFill>
        </w:rPr>
        <w:t>做强珠宝首饰特色产业，推动纺织服装数字化转型升级；</w:t>
      </w:r>
      <w:r>
        <w:rPr>
          <w:rFonts w:hint="eastAsia"/>
          <w:color w:val="000000" w:themeColor="text1"/>
          <w:lang w:val="en-US" w:eastAsia="zh-CN"/>
          <w14:textFill>
            <w14:solidFill>
              <w14:schemeClr w14:val="tx1"/>
            </w14:solidFill>
          </w14:textFill>
        </w:rPr>
        <w:t>聚焦</w:t>
      </w:r>
      <w:r>
        <w:rPr>
          <w:rFonts w:hint="eastAsia" w:ascii="Times New Roman" w:hAnsi="Times New Roman" w:eastAsia="仿宋_GB2312" w:cs="Times New Roman"/>
          <w:color w:val="000000" w:themeColor="text1"/>
          <w:sz w:val="32"/>
          <w:szCs w:val="24"/>
          <w14:textFill>
            <w14:solidFill>
              <w14:schemeClr w14:val="tx1"/>
            </w14:solidFill>
          </w14:textFill>
        </w:rPr>
        <w:t>汽车电镀构件、动力电池配套等新能源汽车细分领域；</w:t>
      </w:r>
      <w:r>
        <w:rPr>
          <w:rFonts w:hint="eastAsia" w:ascii="Times New Roman" w:hAnsi="Times New Roman" w:cs="Times New Roman"/>
          <w:color w:val="000000" w:themeColor="text1"/>
          <w:sz w:val="32"/>
          <w:szCs w:val="24"/>
          <w14:textFill>
            <w14:solidFill>
              <w14:schemeClr w14:val="tx1"/>
            </w14:solidFill>
          </w14:textFill>
        </w:rPr>
        <w:t>依托深圳对口帮扶，前瞻布局通用航空、无人机等低空</w:t>
      </w:r>
      <w:r>
        <w:rPr>
          <w:rFonts w:hint="eastAsia" w:ascii="Times New Roman" w:hAnsi="Times New Roman" w:cs="Times New Roman"/>
          <w:color w:val="000000" w:themeColor="text1"/>
          <w:sz w:val="32"/>
          <w:szCs w:val="24"/>
          <w:lang w:val="en-US" w:eastAsia="zh-CN"/>
          <w14:textFill>
            <w14:solidFill>
              <w14:schemeClr w14:val="tx1"/>
            </w14:solidFill>
          </w14:textFill>
        </w:rPr>
        <w:t>经济</w:t>
      </w:r>
      <w:r>
        <w:rPr>
          <w:rFonts w:hint="eastAsia" w:ascii="Times New Roman" w:hAnsi="Times New Roman" w:cs="Times New Roman"/>
          <w:color w:val="000000" w:themeColor="text1"/>
          <w:sz w:val="32"/>
          <w:szCs w:val="24"/>
          <w14:textFill>
            <w14:solidFill>
              <w14:schemeClr w14:val="tx1"/>
            </w14:solidFill>
          </w14:textFill>
        </w:rPr>
        <w:t>产业</w:t>
      </w:r>
      <w:r>
        <w:rPr>
          <w:rFonts w:hint="eastAsia" w:ascii="Times New Roman" w:hAnsi="Times New Roman" w:eastAsia="仿宋_GB2312" w:cs="Times New Roman"/>
          <w:color w:val="000000" w:themeColor="text1"/>
          <w:sz w:val="32"/>
          <w:szCs w:val="24"/>
          <w14:textFill>
            <w14:solidFill>
              <w14:schemeClr w14:val="tx1"/>
            </w14:solidFill>
          </w14:textFill>
        </w:rPr>
        <w:t>。</w:t>
      </w:r>
    </w:p>
    <w:p>
      <w:pPr>
        <w:pStyle w:val="2"/>
        <w:rPr>
          <w:rFonts w:hint="eastAsia" w:ascii="Times New Roman" w:hAnsi="Times New Roman" w:eastAsia="仿宋_GB2312" w:cs="Times New Roman"/>
          <w:b w:val="0"/>
          <w:bCs w:val="0"/>
          <w:color w:val="000000" w:themeColor="text1"/>
          <w:sz w:val="32"/>
          <w:szCs w:val="24"/>
          <w:lang w:eastAsia="zh-CN"/>
          <w14:textFill>
            <w14:solidFill>
              <w14:schemeClr w14:val="tx1"/>
            </w14:solidFill>
          </w14:textFill>
        </w:rPr>
      </w:pPr>
      <w:r>
        <w:rPr>
          <w:rFonts w:hint="eastAsia"/>
          <w:b/>
          <w:bCs/>
          <w:color w:val="000000" w:themeColor="text1"/>
          <w14:textFill>
            <w14:solidFill>
              <w14:schemeClr w14:val="tx1"/>
            </w14:solidFill>
          </w14:textFill>
        </w:rPr>
        <w:t>陆丰市：</w:t>
      </w:r>
      <w:r>
        <w:rPr>
          <w:rFonts w:hint="eastAsia"/>
          <w:color w:val="000000" w:themeColor="text1"/>
          <w14:textFill>
            <w14:solidFill>
              <w14:schemeClr w14:val="tx1"/>
            </w14:solidFill>
          </w14:textFill>
        </w:rPr>
        <w:t>依托陆丰产业园区、陆丰三甲五金配件产业园等重点产业园区，</w:t>
      </w:r>
      <w:r>
        <w:rPr>
          <w:rFonts w:hint="eastAsia" w:ascii="Times New Roman" w:hAnsi="Times New Roman" w:eastAsia="仿宋_GB2312" w:cs="Times New Roman"/>
          <w:color w:val="000000" w:themeColor="text1"/>
          <w:sz w:val="32"/>
          <w:szCs w:val="24"/>
          <w14:textFill>
            <w14:solidFill>
              <w14:schemeClr w14:val="tx1"/>
            </w14:solidFill>
          </w14:textFill>
        </w:rPr>
        <w:t>立足滨海临港资源禀赋，重点发展海上风电、海上绿氢</w:t>
      </w:r>
      <w:r>
        <w:rPr>
          <w:rFonts w:hint="eastAsia" w:ascii="Times New Roman" w:hAnsi="Times New Roman" w:cs="Times New Roman"/>
          <w:color w:val="000000" w:themeColor="text1"/>
          <w:sz w:val="32"/>
          <w:szCs w:val="24"/>
          <w:lang w:eastAsia="zh-CN"/>
          <w14:textFill>
            <w14:solidFill>
              <w14:schemeClr w14:val="tx1"/>
            </w14:solidFill>
          </w14:textFill>
        </w:rPr>
        <w:t>、</w:t>
      </w:r>
      <w:r>
        <w:rPr>
          <w:rFonts w:hint="eastAsia" w:ascii="Times New Roman" w:hAnsi="Times New Roman" w:eastAsia="仿宋_GB2312" w:cs="Times New Roman"/>
          <w:color w:val="000000" w:themeColor="text1"/>
          <w:sz w:val="32"/>
          <w:szCs w:val="24"/>
          <w14:textFill>
            <w14:solidFill>
              <w14:schemeClr w14:val="tx1"/>
            </w14:solidFill>
          </w14:textFill>
        </w:rPr>
        <w:t>核电等低碳新能源赛道</w:t>
      </w:r>
      <w:r>
        <w:rPr>
          <w:rFonts w:hint="eastAsia" w:ascii="Times New Roman" w:hAnsi="Times New Roman" w:cs="Times New Roman"/>
          <w:b w:val="0"/>
          <w:bCs w:val="0"/>
          <w:color w:val="000000" w:themeColor="text1"/>
          <w:sz w:val="32"/>
          <w:szCs w:val="24"/>
          <w:lang w:eastAsia="zh-CN"/>
          <w14:textFill>
            <w14:solidFill>
              <w14:schemeClr w14:val="tx1"/>
            </w14:solidFill>
          </w14:textFill>
        </w:rPr>
        <w:t>，</w:t>
      </w:r>
      <w:r>
        <w:rPr>
          <w:rFonts w:hint="eastAsia" w:ascii="Times New Roman" w:hAnsi="Times New Roman" w:eastAsia="仿宋_GB2312" w:cs="Times New Roman"/>
          <w:color w:val="000000" w:themeColor="text1"/>
          <w:sz w:val="32"/>
          <w:szCs w:val="24"/>
          <w14:textFill>
            <w14:solidFill>
              <w14:schemeClr w14:val="tx1"/>
            </w14:solidFill>
          </w14:textFill>
        </w:rPr>
        <w:t>攻坚海上风电装备、现代化养殖船舶等海洋工程装备；培育五金精密铸件、电镀、线路板配套产业，同步布局新一代电子信息、安全应急与环保新材料、海洋特色食品产业</w:t>
      </w:r>
      <w:r>
        <w:rPr>
          <w:rFonts w:hint="eastAsia" w:ascii="Times New Roman" w:hAnsi="Times New Roman" w:cs="Times New Roman"/>
          <w:b w:val="0"/>
          <w:bCs w:val="0"/>
          <w:color w:val="000000" w:themeColor="text1"/>
          <w:sz w:val="32"/>
          <w:szCs w:val="24"/>
          <w:lang w:eastAsia="zh-CN"/>
          <w14:textFill>
            <w14:solidFill>
              <w14:schemeClr w14:val="tx1"/>
            </w14:solidFill>
          </w14:textFill>
        </w:rPr>
        <w:t>。</w:t>
      </w:r>
    </w:p>
    <w:p>
      <w:pPr>
        <w:pStyle w:val="2"/>
        <w:rPr>
          <w:color w:val="000000" w:themeColor="text1"/>
          <w14:textFill>
            <w14:solidFill>
              <w14:schemeClr w14:val="tx1"/>
            </w14:solidFill>
          </w14:textFill>
        </w:rPr>
      </w:pPr>
      <w:r>
        <w:rPr>
          <w:rFonts w:hint="eastAsia"/>
          <w:b/>
          <w:bCs/>
          <w:color w:val="000000" w:themeColor="text1"/>
          <w14:textFill>
            <w14:solidFill>
              <w14:schemeClr w14:val="tx1"/>
            </w14:solidFill>
          </w14:textFill>
        </w:rPr>
        <w:t>陆河县</w:t>
      </w:r>
      <w:r>
        <w:rPr>
          <w:rFonts w:hint="eastAsia"/>
          <w:b/>
          <w:bCs/>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依托陆河产业园区、富民兴村产业园等重点产业园区</w:t>
      </w:r>
      <w:r>
        <w:rPr>
          <w:rFonts w:hint="eastAsia"/>
          <w:color w:val="000000" w:themeColor="text1"/>
          <w:lang w:val="en-US" w:eastAsia="zh-CN"/>
          <w14:textFill>
            <w14:solidFill>
              <w14:schemeClr w14:val="tx1"/>
            </w14:solidFill>
          </w14:textFill>
        </w:rPr>
        <w:t>及项目</w:t>
      </w:r>
      <w:r>
        <w:rPr>
          <w:rFonts w:hint="eastAsia"/>
          <w:color w:val="000000" w:themeColor="text1"/>
          <w14:textFill>
            <w14:solidFill>
              <w14:schemeClr w14:val="tx1"/>
            </w14:solidFill>
          </w14:textFill>
        </w:rPr>
        <w:t>，</w:t>
      </w:r>
      <w:r>
        <w:rPr>
          <w:rFonts w:hint="eastAsia" w:ascii="Times New Roman" w:hAnsi="Times New Roman" w:eastAsia="仿宋_GB2312" w:cs="Times New Roman"/>
          <w:b w:val="0"/>
          <w:bCs w:val="0"/>
          <w:color w:val="000000" w:themeColor="text1"/>
          <w:sz w:val="32"/>
          <w:szCs w:val="24"/>
          <w:lang w:val="en-US" w:eastAsia="zh-CN"/>
          <w14:textFill>
            <w14:solidFill>
              <w14:schemeClr w14:val="tx1"/>
            </w14:solidFill>
          </w14:textFill>
        </w:rPr>
        <w:t>聚焦新能源电池全产业链建设</w:t>
      </w:r>
      <w:r>
        <w:rPr>
          <w:rFonts w:hint="eastAsia" w:ascii="Times New Roman" w:hAnsi="Times New Roman" w:eastAsia="仿宋_GB2312" w:cs="Times New Roman"/>
          <w:color w:val="000000" w:themeColor="text1"/>
          <w:sz w:val="32"/>
          <w:szCs w:val="24"/>
          <w14:textFill>
            <w14:solidFill>
              <w14:schemeClr w14:val="tx1"/>
            </w14:solidFill>
          </w14:textFill>
        </w:rPr>
        <w:t>，布局新能源汽车轻量化金属结构件；培育电声元器件、智能音响组件等新一代电子信息配套产品</w:t>
      </w:r>
      <w:r>
        <w:rPr>
          <w:rFonts w:hint="eastAsia" w:ascii="Times New Roman" w:hAnsi="Times New Roman" w:eastAsia="仿宋_GB2312" w:cs="Times New Roman"/>
          <w:color w:val="000000" w:themeColor="text1"/>
          <w:kern w:val="2"/>
          <w:sz w:val="32"/>
          <w:szCs w:val="24"/>
          <w:lang w:val="en-US" w:eastAsia="zh-CN" w:bidi="ar"/>
          <w14:textFill>
            <w14:solidFill>
              <w14:schemeClr w14:val="tx1"/>
            </w14:solidFill>
          </w14:textFill>
        </w:rPr>
        <w:t>；</w:t>
      </w:r>
      <w:r>
        <w:rPr>
          <w:rFonts w:hint="eastAsia" w:ascii="Times New Roman" w:hAnsi="Times New Roman" w:eastAsia="仿宋_GB2312" w:cs="Times New Roman"/>
          <w:color w:val="000000" w:themeColor="text1"/>
          <w:sz w:val="32"/>
          <w:szCs w:val="24"/>
          <w14:textFill>
            <w14:solidFill>
              <w14:schemeClr w14:val="tx1"/>
            </w14:solidFill>
          </w14:textFill>
        </w:rPr>
        <w:t>提质升级纺织服装、食品加工产业，推动</w:t>
      </w:r>
      <w:r>
        <w:rPr>
          <w:rFonts w:hint="eastAsia" w:ascii="Times New Roman" w:hAnsi="Times New Roman" w:cs="Times New Roman"/>
          <w:color w:val="000000" w:themeColor="text1"/>
          <w:sz w:val="32"/>
          <w:szCs w:val="24"/>
          <w:lang w:eastAsia="zh-CN"/>
          <w14:textFill>
            <w14:solidFill>
              <w14:schemeClr w14:val="tx1"/>
            </w14:solidFill>
          </w14:textFill>
        </w:rPr>
        <w:t>“</w:t>
      </w:r>
      <w:r>
        <w:rPr>
          <w:rFonts w:hint="eastAsia" w:ascii="Times New Roman" w:hAnsi="Times New Roman" w:eastAsia="仿宋_GB2312" w:cs="Times New Roman"/>
          <w:color w:val="000000" w:themeColor="text1"/>
          <w:sz w:val="32"/>
          <w:szCs w:val="24"/>
          <w14:textFill>
            <w14:solidFill>
              <w14:schemeClr w14:val="tx1"/>
            </w14:solidFill>
          </w14:textFill>
        </w:rPr>
        <w:t>陆河青梅</w:t>
      </w:r>
      <w:r>
        <w:rPr>
          <w:rFonts w:hint="eastAsia" w:ascii="Times New Roman" w:hAnsi="Times New Roman" w:cs="Times New Roman"/>
          <w:color w:val="000000" w:themeColor="text1"/>
          <w:sz w:val="32"/>
          <w:szCs w:val="24"/>
          <w:lang w:eastAsia="zh-CN"/>
          <w14:textFill>
            <w14:solidFill>
              <w14:schemeClr w14:val="tx1"/>
            </w14:solidFill>
          </w14:textFill>
        </w:rPr>
        <w:t>”</w:t>
      </w:r>
      <w:r>
        <w:rPr>
          <w:rFonts w:hint="eastAsia" w:ascii="Times New Roman" w:hAnsi="Times New Roman" w:cs="Times New Roman"/>
          <w:color w:val="000000" w:themeColor="text1"/>
          <w:sz w:val="32"/>
          <w:szCs w:val="24"/>
          <w:lang w:val="en-US" w:eastAsia="zh-CN"/>
          <w14:textFill>
            <w14:solidFill>
              <w14:schemeClr w14:val="tx1"/>
            </w14:solidFill>
          </w14:textFill>
        </w:rPr>
        <w:t>等</w:t>
      </w:r>
      <w:r>
        <w:rPr>
          <w:rFonts w:hint="eastAsia" w:ascii="Times New Roman" w:hAnsi="Times New Roman" w:eastAsia="仿宋_GB2312" w:cs="Times New Roman"/>
          <w:color w:val="000000" w:themeColor="text1"/>
          <w:sz w:val="32"/>
          <w:szCs w:val="24"/>
          <w14:textFill>
            <w14:solidFill>
              <w14:schemeClr w14:val="tx1"/>
            </w14:solidFill>
          </w14:textFill>
        </w:rPr>
        <w:t>本土食品品牌化发展。</w:t>
      </w:r>
    </w:p>
    <w:p>
      <w:pPr>
        <w:pStyle w:val="4"/>
        <w:ind w:firstLine="643"/>
        <w:rPr>
          <w:color w:val="000000" w:themeColor="text1"/>
          <w14:textFill>
            <w14:solidFill>
              <w14:schemeClr w14:val="tx1"/>
            </w14:solidFill>
          </w14:textFill>
        </w:rPr>
      </w:pPr>
      <w:bookmarkStart w:id="235" w:name="_Toc27686"/>
      <w:bookmarkStart w:id="236" w:name="_Toc24280"/>
      <w:bookmarkStart w:id="237" w:name="_Toc29131"/>
      <w:bookmarkStart w:id="238" w:name="_Toc9236"/>
      <w:bookmarkStart w:id="239" w:name="_Toc6308"/>
      <w:bookmarkStart w:id="240" w:name="_Toc6867"/>
      <w:bookmarkStart w:id="241" w:name="_Toc8782"/>
      <w:bookmarkStart w:id="242" w:name="_Toc31500"/>
      <w:bookmarkStart w:id="243" w:name="_Toc15755"/>
      <w:bookmarkStart w:id="244" w:name="_Toc5483"/>
      <w:bookmarkStart w:id="245" w:name="_Toc10004"/>
      <w:r>
        <w:rPr>
          <w:rFonts w:hint="eastAsia"/>
          <w:color w:val="000000" w:themeColor="text1"/>
          <w14:textFill>
            <w14:solidFill>
              <w14:schemeClr w14:val="tx1"/>
            </w14:solidFill>
          </w14:textFill>
        </w:rPr>
        <w:t>（三）构建“1+4+N”</w:t>
      </w:r>
      <w:r>
        <w:rPr>
          <w:rFonts w:hint="eastAsia"/>
          <w:color w:val="000000" w:themeColor="text1"/>
          <w:lang w:val="en-US" w:eastAsia="zh-CN"/>
          <w14:textFill>
            <w14:solidFill>
              <w14:schemeClr w14:val="tx1"/>
            </w14:solidFill>
          </w14:textFill>
        </w:rPr>
        <w:t>的</w:t>
      </w:r>
      <w:r>
        <w:rPr>
          <w:rFonts w:hint="eastAsia"/>
          <w:color w:val="000000" w:themeColor="text1"/>
          <w14:textFill>
            <w14:solidFill>
              <w14:schemeClr w14:val="tx1"/>
            </w14:solidFill>
          </w14:textFill>
        </w:rPr>
        <w:t>园区体系</w:t>
      </w:r>
      <w:bookmarkEnd w:id="235"/>
      <w:bookmarkEnd w:id="236"/>
      <w:bookmarkEnd w:id="237"/>
      <w:bookmarkEnd w:id="238"/>
      <w:bookmarkEnd w:id="239"/>
      <w:bookmarkEnd w:id="240"/>
      <w:bookmarkEnd w:id="241"/>
      <w:bookmarkEnd w:id="242"/>
      <w:bookmarkEnd w:id="243"/>
      <w:bookmarkEnd w:id="244"/>
      <w:bookmarkEnd w:id="245"/>
    </w:p>
    <w:p>
      <w:pPr>
        <w:ind w:firstLine="640"/>
        <w:rPr>
          <w:rFonts w:hint="eastAsia" w:ascii="仿宋_GB2312" w:hAnsi="仿宋_GB2312" w:cs="仿宋_GB2312"/>
          <w:color w:val="000000" w:themeColor="text1"/>
          <w:szCs w:val="32"/>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color w:val="000000" w:themeColor="text1"/>
          <w14:textFill>
            <w14:solidFill>
              <w14:schemeClr w14:val="tx1"/>
            </w14:solidFill>
          </w14:textFill>
        </w:rPr>
        <w:t>以“万亩千亿”级产业平台建设为核心抓手，拓展园区经济新空间和国土空间开发格局，着力构建</w:t>
      </w:r>
      <w:r>
        <w:rPr>
          <w:rFonts w:hint="eastAsia"/>
          <w:b/>
          <w:bCs/>
          <w:color w:val="000000" w:themeColor="text1"/>
          <w14:textFill>
            <w14:solidFill>
              <w14:schemeClr w14:val="tx1"/>
            </w14:solidFill>
          </w14:textFill>
        </w:rPr>
        <w:t>“1+4+N”</w:t>
      </w:r>
      <w:r>
        <w:rPr>
          <w:rFonts w:hint="eastAsia"/>
          <w:b w:val="0"/>
          <w:bCs w:val="0"/>
          <w:color w:val="000000" w:themeColor="text1"/>
          <w:lang w:val="en-US" w:eastAsia="zh-CN"/>
          <w14:textFill>
            <w14:solidFill>
              <w14:schemeClr w14:val="tx1"/>
            </w14:solidFill>
          </w14:textFill>
        </w:rPr>
        <w:t>的</w:t>
      </w:r>
      <w:r>
        <w:rPr>
          <w:rFonts w:hint="eastAsia"/>
          <w:color w:val="000000" w:themeColor="text1"/>
          <w14:textFill>
            <w14:solidFill>
              <w14:schemeClr w14:val="tx1"/>
            </w14:solidFill>
          </w14:textFill>
        </w:rPr>
        <w:t>园区体系，</w:t>
      </w:r>
      <w:r>
        <w:rPr>
          <w:rFonts w:hint="eastAsia"/>
          <w:color w:val="000000" w:themeColor="text1"/>
          <w:szCs w:val="32"/>
          <w14:textFill>
            <w14:solidFill>
              <w14:schemeClr w14:val="tx1"/>
            </w14:solidFill>
          </w14:textFill>
        </w:rPr>
        <w:t>即“</w:t>
      </w:r>
      <w:r>
        <w:rPr>
          <w:rFonts w:hint="eastAsia"/>
          <w:b/>
          <w:bCs/>
          <w:color w:val="000000" w:themeColor="text1"/>
          <w:szCs w:val="32"/>
          <w14:textFill>
            <w14:solidFill>
              <w14:schemeClr w14:val="tx1"/>
            </w14:solidFill>
          </w14:textFill>
        </w:rPr>
        <w:t>汕尾市承接产业有序转移主平台</w:t>
      </w:r>
      <w:r>
        <w:rPr>
          <w:rFonts w:hint="eastAsia"/>
          <w:color w:val="000000" w:themeColor="text1"/>
          <w:szCs w:val="32"/>
          <w14:textFill>
            <w14:solidFill>
              <w14:schemeClr w14:val="tx1"/>
            </w14:solidFill>
          </w14:textFill>
        </w:rPr>
        <w:t>+</w:t>
      </w:r>
      <w:r>
        <w:rPr>
          <w:rFonts w:hint="eastAsia"/>
          <w:b/>
          <w:bCs/>
          <w:color w:val="000000" w:themeColor="text1"/>
          <w:szCs w:val="32"/>
          <w14:textFill>
            <w14:solidFill>
              <w14:schemeClr w14:val="tx1"/>
            </w14:solidFill>
          </w14:textFill>
        </w:rPr>
        <w:t>四个省级产业园区</w:t>
      </w:r>
      <w:r>
        <w:rPr>
          <w:rFonts w:hint="eastAsia"/>
          <w:color w:val="000000" w:themeColor="text1"/>
          <w:szCs w:val="32"/>
          <w14:textFill>
            <w14:solidFill>
              <w14:schemeClr w14:val="tx1"/>
            </w14:solidFill>
          </w14:textFill>
        </w:rPr>
        <w:t>+</w:t>
      </w:r>
      <w:r>
        <w:rPr>
          <w:rFonts w:hint="eastAsia"/>
          <w:b/>
          <w:bCs/>
          <w:color w:val="000000" w:themeColor="text1"/>
          <w:szCs w:val="32"/>
          <w14:textFill>
            <w14:solidFill>
              <w14:schemeClr w14:val="tx1"/>
            </w14:solidFill>
          </w14:textFill>
        </w:rPr>
        <w:t>N个其他重点园区</w:t>
      </w:r>
      <w:r>
        <w:rPr>
          <w:rFonts w:hint="eastAsia"/>
          <w:color w:val="000000" w:themeColor="text1"/>
          <w:szCs w:val="32"/>
          <w14:textFill>
            <w14:solidFill>
              <w14:schemeClr w14:val="tx1"/>
            </w14:solidFill>
          </w14:textFill>
        </w:rPr>
        <w:t>”。统筹完善交通物流、生产服务</w:t>
      </w:r>
      <w:r>
        <w:rPr>
          <w:rFonts w:hint="eastAsia"/>
          <w:color w:val="000000" w:themeColor="text1"/>
          <w:szCs w:val="32"/>
          <w:lang w:val="en-US" w:eastAsia="zh-CN"/>
          <w14:textFill>
            <w14:solidFill>
              <w14:schemeClr w14:val="tx1"/>
            </w14:solidFill>
          </w14:textFill>
        </w:rPr>
        <w:t>及</w:t>
      </w:r>
      <w:r>
        <w:rPr>
          <w:rFonts w:hint="eastAsia"/>
          <w:color w:val="000000" w:themeColor="text1"/>
          <w:szCs w:val="32"/>
          <w14:textFill>
            <w14:solidFill>
              <w14:schemeClr w14:val="tx1"/>
            </w14:solidFill>
          </w14:textFill>
        </w:rPr>
        <w:t>产业联动等协同机制，</w:t>
      </w:r>
      <w:r>
        <w:rPr>
          <w:rFonts w:hint="eastAsia" w:ascii="仿宋_GB2312" w:hAnsi="仿宋_GB2312" w:cs="仿宋_GB2312"/>
          <w:color w:val="000000" w:themeColor="text1"/>
          <w:szCs w:val="32"/>
          <w:highlight w:val="none"/>
          <w14:textFill>
            <w14:solidFill>
              <w14:schemeClr w14:val="tx1"/>
            </w14:solidFill>
          </w14:textFill>
        </w:rPr>
        <w:t>推动各园区优势互补</w:t>
      </w:r>
      <w:r>
        <w:rPr>
          <w:rFonts w:hint="eastAsia" w:ascii="仿宋_GB2312" w:hAnsi="仿宋_GB2312" w:cs="仿宋_GB2312"/>
          <w:color w:val="000000" w:themeColor="text1"/>
          <w:szCs w:val="32"/>
          <w:highlight w:val="none"/>
          <w:lang w:eastAsia="zh-CN"/>
          <w14:textFill>
            <w14:solidFill>
              <w14:schemeClr w14:val="tx1"/>
            </w14:solidFill>
          </w14:textFill>
        </w:rPr>
        <w:t>、</w:t>
      </w:r>
      <w:r>
        <w:rPr>
          <w:rFonts w:hint="eastAsia" w:ascii="仿宋_GB2312" w:hAnsi="仿宋_GB2312" w:cs="仿宋_GB2312"/>
          <w:color w:val="000000" w:themeColor="text1"/>
          <w:szCs w:val="32"/>
          <w:highlight w:val="none"/>
          <w14:textFill>
            <w14:solidFill>
              <w14:schemeClr w14:val="tx1"/>
            </w14:solidFill>
          </w14:textFill>
        </w:rPr>
        <w:t>协同发展</w:t>
      </w:r>
      <w:r>
        <w:rPr>
          <w:rFonts w:hint="eastAsia" w:ascii="仿宋_GB2312" w:hAnsi="仿宋_GB2312" w:cs="仿宋_GB2312"/>
          <w:color w:val="000000" w:themeColor="text1"/>
          <w:szCs w:val="32"/>
          <w:highlight w:val="none"/>
          <w:lang w:eastAsia="zh-CN"/>
          <w14:textFill>
            <w14:solidFill>
              <w14:schemeClr w14:val="tx1"/>
            </w14:solidFill>
          </w14:textFill>
        </w:rPr>
        <w:t>。</w:t>
      </w:r>
      <w:r>
        <w:rPr>
          <w:rFonts w:hint="eastAsia" w:ascii="仿宋_GB2312" w:hAnsi="仿宋_GB2312" w:cs="仿宋_GB2312"/>
          <w:color w:val="000000" w:themeColor="text1"/>
          <w:szCs w:val="32"/>
          <w14:textFill>
            <w14:solidFill>
              <w14:schemeClr w14:val="tx1"/>
            </w14:solidFill>
          </w14:textFill>
        </w:rPr>
        <w:t>主动承接深圳先行示范区</w:t>
      </w:r>
      <w:r>
        <w:rPr>
          <w:rFonts w:hint="eastAsia" w:ascii="仿宋_GB2312" w:hAnsi="仿宋_GB2312" w:cs="仿宋_GB2312"/>
          <w:color w:val="000000" w:themeColor="text1"/>
          <w:szCs w:val="32"/>
          <w:lang w:val="en-US" w:eastAsia="zh-CN"/>
          <w14:textFill>
            <w14:solidFill>
              <w14:schemeClr w14:val="tx1"/>
            </w14:solidFill>
          </w14:textFill>
        </w:rPr>
        <w:t>等</w:t>
      </w:r>
      <w:r>
        <w:rPr>
          <w:rFonts w:hint="eastAsia" w:ascii="仿宋_GB2312" w:hAnsi="仿宋_GB2312" w:cs="仿宋_GB2312"/>
          <w:color w:val="000000" w:themeColor="text1"/>
          <w:szCs w:val="32"/>
          <w14:textFill>
            <w14:solidFill>
              <w14:schemeClr w14:val="tx1"/>
            </w14:solidFill>
          </w14:textFill>
        </w:rPr>
        <w:t>粤港澳大湾区产业外溢与功能延伸，</w:t>
      </w:r>
      <w:r>
        <w:rPr>
          <w:rFonts w:hint="eastAsia" w:ascii="仿宋_GB2312" w:hAnsi="仿宋_GB2312" w:cs="仿宋_GB2312"/>
          <w:color w:val="000000" w:themeColor="text1"/>
          <w:szCs w:val="32"/>
          <w:lang w:val="en-US" w:eastAsia="zh-CN"/>
          <w14:textFill>
            <w14:solidFill>
              <w14:schemeClr w14:val="tx1"/>
            </w14:solidFill>
          </w14:textFill>
        </w:rPr>
        <w:t>培育</w:t>
      </w:r>
      <w:r>
        <w:rPr>
          <w:rFonts w:hint="eastAsia" w:ascii="仿宋_GB2312" w:hAnsi="仿宋_GB2312" w:cs="仿宋_GB2312"/>
          <w:b/>
          <w:bCs/>
          <w:color w:val="000000" w:themeColor="text1"/>
          <w:szCs w:val="32"/>
          <w14:textFill>
            <w14:solidFill>
              <w14:schemeClr w14:val="tx1"/>
            </w14:solidFill>
          </w14:textFill>
        </w:rPr>
        <w:t>新能源汽车、新一代电子信息、低碳新能源、高端装备制造、安全应急与环保新材料</w:t>
      </w:r>
      <w:r>
        <w:rPr>
          <w:rFonts w:hint="eastAsia" w:ascii="仿宋_GB2312" w:hAnsi="仿宋_GB2312" w:cs="仿宋_GB2312"/>
          <w:color w:val="000000" w:themeColor="text1"/>
          <w:szCs w:val="32"/>
          <w14:textFill>
            <w14:solidFill>
              <w14:schemeClr w14:val="tx1"/>
            </w14:solidFill>
          </w14:textFill>
        </w:rPr>
        <w:t>五大战略性主导产业集群，推动食品工业、金银首饰珠宝、纺织</w:t>
      </w:r>
      <w:r>
        <w:rPr>
          <w:rFonts w:hint="eastAsia" w:ascii="仿宋_GB2312" w:hAnsi="仿宋_GB2312" w:cs="仿宋_GB2312"/>
          <w:color w:val="000000" w:themeColor="text1"/>
          <w:szCs w:val="32"/>
          <w:lang w:eastAsia="zh-CN"/>
          <w14:textFill>
            <w14:solidFill>
              <w14:schemeClr w14:val="tx1"/>
            </w14:solidFill>
          </w14:textFill>
        </w:rPr>
        <w:t>服装、</w:t>
      </w:r>
      <w:r>
        <w:rPr>
          <w:rFonts w:hint="eastAsia" w:ascii="仿宋_GB2312" w:hAnsi="仿宋_GB2312" w:cs="仿宋_GB2312"/>
          <w:color w:val="000000" w:themeColor="text1"/>
          <w:szCs w:val="32"/>
          <w14:textFill>
            <w14:solidFill>
              <w14:schemeClr w14:val="tx1"/>
            </w14:solidFill>
          </w14:textFill>
        </w:rPr>
        <w:t>五金等传统优势产业转型升级，前瞻布局通用智能、合成生物、绿色氢能、低空经济等未来产业。</w:t>
      </w:r>
    </w:p>
    <w:p>
      <w:pPr>
        <w:spacing w:line="240" w:lineRule="auto"/>
        <w:ind w:firstLine="0" w:firstLineChars="0"/>
        <w:jc w:val="center"/>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 w:val="32"/>
          <w:szCs w:val="32"/>
          <w:lang w:val="en-US" w:eastAsia="zh-CN"/>
          <w14:textFill>
            <w14:solidFill>
              <w14:schemeClr w14:val="tx1"/>
            </w14:solidFill>
          </w14:textFill>
        </w:rPr>
        <w:drawing>
          <wp:inline distT="0" distB="0" distL="114300" distR="114300">
            <wp:extent cx="7355840" cy="4732655"/>
            <wp:effectExtent l="0" t="0" r="6985" b="1270"/>
            <wp:docPr id="9" name="图片 9" descr="汕尾产业规划_05(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汕尾产业规划_05(1)"/>
                    <pic:cNvPicPr>
                      <a:picLocks noChangeAspect="true"/>
                    </pic:cNvPicPr>
                  </pic:nvPicPr>
                  <pic:blipFill>
                    <a:blip r:embed="rId15"/>
                    <a:srcRect l="8030" t="4334" r="8324"/>
                    <a:stretch>
                      <a:fillRect/>
                    </a:stretch>
                  </pic:blipFill>
                  <pic:spPr>
                    <a:xfrm>
                      <a:off x="0" y="0"/>
                      <a:ext cx="7355840" cy="4732655"/>
                    </a:xfrm>
                    <a:prstGeom prst="rect">
                      <a:avLst/>
                    </a:prstGeom>
                  </pic:spPr>
                </pic:pic>
              </a:graphicData>
            </a:graphic>
          </wp:inline>
        </w:drawing>
      </w:r>
    </w:p>
    <w:p>
      <w:pPr>
        <w:spacing w:line="240" w:lineRule="auto"/>
        <w:ind w:firstLine="0" w:firstLineChars="0"/>
        <w:jc w:val="center"/>
        <w:rPr>
          <w:rFonts w:hint="eastAsia" w:ascii="仿宋_GB2312" w:hAnsi="仿宋_GB2312" w:cs="仿宋_GB2312"/>
          <w:color w:val="000000" w:themeColor="text1"/>
          <w:szCs w:val="32"/>
          <w14:textFill>
            <w14:solidFill>
              <w14:schemeClr w14:val="tx1"/>
            </w14:solidFill>
          </w14:textFill>
        </w:rPr>
      </w:pPr>
      <w:r>
        <w:rPr>
          <w:rFonts w:hint="eastAsia" w:ascii="黑体" w:hAnsi="黑体" w:eastAsia="黑体" w:cs="黑体"/>
          <w:color w:val="000000" w:themeColor="text1"/>
          <w:sz w:val="28"/>
          <w:szCs w:val="22"/>
          <w14:textFill>
            <w14:solidFill>
              <w14:schemeClr w14:val="tx1"/>
            </w14:solidFill>
          </w14:textFill>
        </w:rPr>
        <w:t>图</w:t>
      </w:r>
      <w:r>
        <w:rPr>
          <w:rFonts w:hint="eastAsia" w:ascii="黑体" w:hAnsi="黑体" w:eastAsia="黑体" w:cs="黑体"/>
          <w:color w:val="000000" w:themeColor="text1"/>
          <w:sz w:val="28"/>
          <w:szCs w:val="22"/>
          <w:lang w:val="en-US" w:eastAsia="zh-CN"/>
          <w14:textFill>
            <w14:solidFill>
              <w14:schemeClr w14:val="tx1"/>
            </w14:solidFill>
          </w14:textFill>
        </w:rPr>
        <w:t>2</w:t>
      </w:r>
      <w:r>
        <w:rPr>
          <w:rFonts w:hint="eastAsia" w:ascii="黑体" w:hAnsi="黑体" w:eastAsia="黑体" w:cs="黑体"/>
          <w:color w:val="000000" w:themeColor="text1"/>
          <w:sz w:val="28"/>
          <w:szCs w:val="22"/>
          <w14:textFill>
            <w14:solidFill>
              <w14:schemeClr w14:val="tx1"/>
            </w14:solidFill>
          </w14:textFill>
        </w:rPr>
        <w:t xml:space="preserve"> </w:t>
      </w:r>
      <w:r>
        <w:rPr>
          <w:rFonts w:hint="eastAsia" w:ascii="黑体" w:hAnsi="黑体" w:eastAsia="黑体" w:cs="黑体"/>
          <w:color w:val="000000" w:themeColor="text1"/>
          <w:sz w:val="28"/>
          <w:szCs w:val="22"/>
          <w:lang w:eastAsia="zh-CN"/>
          <w14:textFill>
            <w14:solidFill>
              <w14:schemeClr w14:val="tx1"/>
            </w14:solidFill>
          </w14:textFill>
        </w:rPr>
        <w:t>汕尾市产业园区1+4+N空间载体示意图</w:t>
      </w:r>
    </w:p>
    <w:p>
      <w:pPr>
        <w:ind w:firstLine="0" w:firstLineChars="0"/>
        <w:rPr>
          <w:rFonts w:hint="eastAsia" w:ascii="仿宋_GB2312" w:hAnsi="仿宋_GB2312" w:cs="仿宋_GB2312"/>
          <w:color w:val="000000" w:themeColor="text1"/>
          <w:szCs w:val="32"/>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pPr>
        <w:pStyle w:val="5"/>
        <w:ind w:firstLine="643"/>
        <w:rPr>
          <w:color w:val="000000" w:themeColor="text1"/>
          <w14:textFill>
            <w14:solidFill>
              <w14:schemeClr w14:val="tx1"/>
            </w14:solidFill>
          </w14:textFill>
        </w:rPr>
      </w:pPr>
      <w:bookmarkStart w:id="246" w:name="_Toc4506"/>
      <w:bookmarkStart w:id="247" w:name="_Toc31207"/>
      <w:bookmarkStart w:id="248" w:name="_Toc20046"/>
      <w:bookmarkStart w:id="249" w:name="_Toc25902"/>
      <w:bookmarkStart w:id="250" w:name="_Toc7523"/>
      <w:bookmarkStart w:id="251" w:name="_Toc28867"/>
      <w:bookmarkStart w:id="252" w:name="_Toc16681"/>
      <w:bookmarkStart w:id="253" w:name="_Toc4987"/>
      <w:bookmarkStart w:id="254" w:name="_Toc18510"/>
      <w:bookmarkStart w:id="255" w:name="_Toc18009"/>
      <w:bookmarkStart w:id="256" w:name="_Toc19929"/>
      <w:r>
        <w:rPr>
          <w:rFonts w:hint="eastAsia"/>
          <w:color w:val="000000" w:themeColor="text1"/>
          <w14:textFill>
            <w14:solidFill>
              <w14:schemeClr w14:val="tx1"/>
            </w14:solidFill>
          </w14:textFill>
        </w:rPr>
        <w:t>1.汕尾市承接产业有序转移主平台</w:t>
      </w:r>
      <w:bookmarkEnd w:id="246"/>
      <w:bookmarkEnd w:id="247"/>
      <w:bookmarkEnd w:id="248"/>
      <w:bookmarkEnd w:id="249"/>
      <w:bookmarkEnd w:id="250"/>
      <w:bookmarkEnd w:id="251"/>
      <w:bookmarkEnd w:id="252"/>
      <w:bookmarkEnd w:id="253"/>
      <w:bookmarkEnd w:id="254"/>
      <w:bookmarkEnd w:id="255"/>
      <w:bookmarkEnd w:id="256"/>
    </w:p>
    <w:p>
      <w:pPr>
        <w:ind w:firstLine="640"/>
        <w:rPr>
          <w:color w:val="000000" w:themeColor="text1"/>
          <w:szCs w:val="32"/>
          <w14:textFill>
            <w14:solidFill>
              <w14:schemeClr w14:val="tx1"/>
            </w14:solidFill>
          </w14:textFill>
        </w:rPr>
      </w:pPr>
      <w:r>
        <w:rPr>
          <w:color w:val="000000" w:themeColor="text1"/>
          <w14:textFill>
            <w14:solidFill>
              <w14:schemeClr w14:val="tx1"/>
            </w14:solidFill>
          </w14:textFill>
        </w:rPr>
        <w:t>立足汕尾市资源禀赋和产业基础，主动承接粤港澳大湾区</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深圳先行示范区产业</w:t>
      </w:r>
      <w:r>
        <w:rPr>
          <w:rFonts w:hint="eastAsia"/>
          <w:color w:val="000000" w:themeColor="text1"/>
          <w:lang w:val="en-US" w:eastAsia="zh-CN"/>
          <w14:textFill>
            <w14:solidFill>
              <w14:schemeClr w14:val="tx1"/>
            </w14:solidFill>
          </w14:textFill>
        </w:rPr>
        <w:t>外溢与</w:t>
      </w:r>
      <w:r>
        <w:rPr>
          <w:color w:val="000000" w:themeColor="text1"/>
          <w14:textFill>
            <w14:solidFill>
              <w14:schemeClr w14:val="tx1"/>
            </w14:solidFill>
          </w14:textFill>
        </w:rPr>
        <w:t>功能</w:t>
      </w:r>
      <w:r>
        <w:rPr>
          <w:rFonts w:hint="eastAsia"/>
          <w:color w:val="000000" w:themeColor="text1"/>
          <w14:textFill>
            <w14:solidFill>
              <w14:schemeClr w14:val="tx1"/>
            </w14:solidFill>
          </w14:textFill>
        </w:rPr>
        <w:t>疏解</w:t>
      </w:r>
      <w:r>
        <w:rPr>
          <w:color w:val="000000" w:themeColor="text1"/>
          <w14:textFill>
            <w14:solidFill>
              <w14:schemeClr w14:val="tx1"/>
            </w14:solidFill>
          </w14:textFill>
        </w:rPr>
        <w:t>，重点</w:t>
      </w:r>
      <w:r>
        <w:rPr>
          <w:rFonts w:hint="eastAsia"/>
          <w:color w:val="000000" w:themeColor="text1"/>
          <w:lang w:val="en-US" w:eastAsia="zh-CN"/>
          <w14:textFill>
            <w14:solidFill>
              <w14:schemeClr w14:val="tx1"/>
            </w14:solidFill>
          </w14:textFill>
        </w:rPr>
        <w:t>培育</w:t>
      </w:r>
      <w:r>
        <w:rPr>
          <w:rFonts w:hint="eastAsia"/>
          <w:b/>
          <w:bCs/>
          <w:color w:val="000000" w:themeColor="text1"/>
          <w14:textFill>
            <w14:solidFill>
              <w14:schemeClr w14:val="tx1"/>
            </w14:solidFill>
          </w14:textFill>
        </w:rPr>
        <w:t>新能源汽车、</w:t>
      </w:r>
      <w:r>
        <w:rPr>
          <w:b/>
          <w:bCs/>
          <w:color w:val="000000" w:themeColor="text1"/>
          <w14:textFill>
            <w14:solidFill>
              <w14:schemeClr w14:val="tx1"/>
            </w14:solidFill>
          </w14:textFill>
        </w:rPr>
        <w:t>新一代电子信息、高端装备制造</w:t>
      </w:r>
      <w:r>
        <w:rPr>
          <w:color w:val="000000" w:themeColor="text1"/>
          <w14:textFill>
            <w14:solidFill>
              <w14:schemeClr w14:val="tx1"/>
            </w14:solidFill>
          </w14:textFill>
        </w:rPr>
        <w:t>等战略性主导产业，着力构建特色鲜明、竞争力</w:t>
      </w:r>
      <w:r>
        <w:rPr>
          <w:rFonts w:hint="eastAsia"/>
          <w:color w:val="000000" w:themeColor="text1"/>
          <w:lang w:val="en-US" w:eastAsia="zh-CN"/>
          <w14:textFill>
            <w14:solidFill>
              <w14:schemeClr w14:val="tx1"/>
            </w14:solidFill>
          </w14:textFill>
        </w:rPr>
        <w:t>突出</w:t>
      </w:r>
      <w:r>
        <w:rPr>
          <w:color w:val="000000" w:themeColor="text1"/>
          <w14:textFill>
            <w14:solidFill>
              <w14:schemeClr w14:val="tx1"/>
            </w14:solidFill>
          </w14:textFill>
        </w:rPr>
        <w:t>的现代化产业体系。</w:t>
      </w:r>
      <w:r>
        <w:rPr>
          <w:rFonts w:hint="eastAsia"/>
          <w:color w:val="000000" w:themeColor="text1"/>
          <w14:textFill>
            <w14:solidFill>
              <w14:schemeClr w14:val="tx1"/>
            </w14:solidFill>
          </w14:textFill>
        </w:rPr>
        <w:t>其中，</w:t>
      </w:r>
      <w:r>
        <w:rPr>
          <w:rFonts w:hint="eastAsia"/>
          <w:b/>
          <w:bCs/>
          <w:color w:val="000000" w:themeColor="text1"/>
          <w:szCs w:val="32"/>
          <w14:textFill>
            <w14:solidFill>
              <w14:schemeClr w14:val="tx1"/>
            </w14:solidFill>
          </w14:textFill>
        </w:rPr>
        <w:t>红海湾产业园区</w:t>
      </w:r>
      <w:r>
        <w:rPr>
          <w:rFonts w:hint="eastAsia"/>
          <w:color w:val="000000" w:themeColor="text1"/>
          <w:szCs w:val="32"/>
          <w:lang w:val="en-US" w:eastAsia="zh-CN"/>
          <w14:textFill>
            <w14:solidFill>
              <w14:schemeClr w14:val="tx1"/>
            </w14:solidFill>
          </w14:textFill>
        </w:rPr>
        <w:t>聚焦</w:t>
      </w:r>
      <w:r>
        <w:rPr>
          <w:rFonts w:hint="eastAsia"/>
          <w:color w:val="000000" w:themeColor="text1"/>
          <w:szCs w:val="32"/>
          <w14:textFill>
            <w14:solidFill>
              <w14:schemeClr w14:val="tx1"/>
            </w14:solidFill>
          </w14:textFill>
        </w:rPr>
        <w:t>新能源汽车KD件</w:t>
      </w:r>
      <w:r>
        <w:rPr>
          <w:rFonts w:hint="eastAsia"/>
          <w:color w:val="000000" w:themeColor="text1"/>
          <w14:textFill>
            <w14:solidFill>
              <w14:schemeClr w14:val="tx1"/>
            </w14:solidFill>
          </w14:textFill>
        </w:rPr>
        <w:t>（全散件组装）出口优势</w:t>
      </w:r>
      <w:r>
        <w:rPr>
          <w:rFonts w:hint="eastAsia"/>
          <w:color w:val="000000" w:themeColor="text1"/>
          <w:szCs w:val="32"/>
          <w14:textFill>
            <w14:solidFill>
              <w14:schemeClr w14:val="tx1"/>
            </w14:solidFill>
          </w14:textFill>
        </w:rPr>
        <w:t>，延伸布局新能源汽车核心零部件垂直整合生产体系；</w:t>
      </w:r>
      <w:r>
        <w:rPr>
          <w:rFonts w:hint="eastAsia"/>
          <w:b/>
          <w:bCs/>
          <w:color w:val="000000" w:themeColor="text1"/>
          <w:szCs w:val="32"/>
          <w14:textFill>
            <w14:solidFill>
              <w14:schemeClr w14:val="tx1"/>
            </w14:solidFill>
          </w14:textFill>
        </w:rPr>
        <w:t>汕尾高新区</w:t>
      </w:r>
      <w:r>
        <w:rPr>
          <w:rFonts w:hint="eastAsia" w:ascii="Times New Roman" w:hAnsi="Times New Roman" w:eastAsia="仿宋_GB2312" w:cs="Times New Roman"/>
          <w:color w:val="000000" w:themeColor="text1"/>
          <w:sz w:val="32"/>
          <w:szCs w:val="24"/>
          <w14:textFill>
            <w14:solidFill>
              <w14:schemeClr w14:val="tx1"/>
            </w14:solidFill>
          </w14:textFill>
        </w:rPr>
        <w:t>做大做强</w:t>
      </w:r>
      <w:r>
        <w:rPr>
          <w:rFonts w:hint="eastAsia"/>
          <w:color w:val="000000" w:themeColor="text1"/>
          <w14:textFill>
            <w14:solidFill>
              <w14:schemeClr w14:val="tx1"/>
            </w14:solidFill>
          </w14:textFill>
        </w:rPr>
        <w:t>新一代电子信息、新能源汽车、高端装备制造三大主导产业，</w:t>
      </w:r>
      <w:r>
        <w:rPr>
          <w:rFonts w:hint="eastAsia"/>
          <w:color w:val="000000" w:themeColor="text1"/>
          <w:highlight w:val="none"/>
          <w:lang w:val="en-US" w:eastAsia="zh-CN"/>
          <w14:textFill>
            <w14:solidFill>
              <w14:schemeClr w14:val="tx1"/>
            </w14:solidFill>
          </w14:textFill>
        </w:rPr>
        <w:t>推动企业</w:t>
      </w:r>
      <w:r>
        <w:rPr>
          <w:rFonts w:hint="eastAsia"/>
          <w:color w:val="000000" w:themeColor="text1"/>
          <w14:textFill>
            <w14:solidFill>
              <w14:schemeClr w14:val="tx1"/>
            </w14:solidFill>
          </w14:textFill>
        </w:rPr>
        <w:t>向价值链</w:t>
      </w:r>
      <w:r>
        <w:rPr>
          <w:rFonts w:hint="eastAsia"/>
          <w:color w:val="000000" w:themeColor="text1"/>
          <w:highlight w:val="none"/>
          <w:lang w:val="en-US" w:eastAsia="zh-CN"/>
          <w14:textFill>
            <w14:solidFill>
              <w14:schemeClr w14:val="tx1"/>
            </w14:solidFill>
          </w14:textFill>
        </w:rPr>
        <w:t>高端迈进</w:t>
      </w:r>
      <w:r>
        <w:rPr>
          <w:rFonts w:hint="eastAsia"/>
          <w:color w:val="000000" w:themeColor="text1"/>
          <w14:textFill>
            <w14:solidFill>
              <w14:schemeClr w14:val="tx1"/>
            </w14:solidFill>
          </w14:textFill>
        </w:rPr>
        <w:t>，</w:t>
      </w:r>
      <w:r>
        <w:rPr>
          <w:rFonts w:hint="eastAsia"/>
          <w:color w:val="000000" w:themeColor="text1"/>
          <w:highlight w:val="none"/>
          <w14:textFill>
            <w14:solidFill>
              <w14:schemeClr w14:val="tx1"/>
            </w14:solidFill>
          </w14:textFill>
        </w:rPr>
        <w:t>打造上下游紧密协同的产业集聚集群</w:t>
      </w:r>
      <w:r>
        <w:rPr>
          <w:rFonts w:hint="eastAsia"/>
          <w:color w:val="000000" w:themeColor="text1"/>
          <w14:textFill>
            <w14:solidFill>
              <w14:schemeClr w14:val="tx1"/>
            </w14:solidFill>
          </w14:textFill>
        </w:rPr>
        <w:t>；</w:t>
      </w:r>
      <w:r>
        <w:rPr>
          <w:rFonts w:hint="eastAsia"/>
          <w:b/>
          <w:bCs/>
          <w:color w:val="000000" w:themeColor="text1"/>
          <w:szCs w:val="32"/>
          <w14:textFill>
            <w14:solidFill>
              <w14:schemeClr w14:val="tx1"/>
            </w14:solidFill>
          </w14:textFill>
        </w:rPr>
        <w:t>海丰产业园区</w:t>
      </w:r>
      <w:r>
        <w:rPr>
          <w:rFonts w:hint="eastAsia"/>
          <w:color w:val="000000" w:themeColor="text1"/>
          <w:szCs w:val="32"/>
          <w14:textFill>
            <w14:solidFill>
              <w14:schemeClr w14:val="tx1"/>
            </w14:solidFill>
          </w14:textFill>
        </w:rPr>
        <w:t>以新能源汽车、高端装备制造、纺织服装、金银首饰珠宝产业</w:t>
      </w:r>
      <w:r>
        <w:rPr>
          <w:rFonts w:hint="eastAsia"/>
          <w:color w:val="000000" w:themeColor="text1"/>
          <w:szCs w:val="32"/>
          <w:lang w:val="en-US" w:eastAsia="zh-CN"/>
          <w14:textFill>
            <w14:solidFill>
              <w14:schemeClr w14:val="tx1"/>
            </w14:solidFill>
          </w14:textFill>
        </w:rPr>
        <w:t>为支撑，构建多元产业融合发展的产业集群</w:t>
      </w:r>
      <w:r>
        <w:rPr>
          <w:rFonts w:hint="eastAsia"/>
          <w:color w:val="000000" w:themeColor="text1"/>
          <w:szCs w:val="32"/>
          <w14:textFill>
            <w14:solidFill>
              <w14:schemeClr w14:val="tx1"/>
            </w14:solidFill>
          </w14:textFill>
        </w:rPr>
        <w:t>；</w:t>
      </w:r>
      <w:r>
        <w:rPr>
          <w:rFonts w:hint="eastAsia"/>
          <w:b/>
          <w:bCs/>
          <w:color w:val="000000" w:themeColor="text1"/>
          <w:szCs w:val="32"/>
          <w14:textFill>
            <w14:solidFill>
              <w14:schemeClr w14:val="tx1"/>
            </w14:solidFill>
          </w14:textFill>
        </w:rPr>
        <w:t>陆丰产业园区聚焦</w:t>
      </w:r>
      <w:r>
        <w:rPr>
          <w:rFonts w:hint="eastAsia"/>
          <w:color w:val="000000" w:themeColor="text1"/>
          <w:szCs w:val="32"/>
          <w14:textFill>
            <w14:solidFill>
              <w14:schemeClr w14:val="tx1"/>
            </w14:solidFill>
          </w14:textFill>
        </w:rPr>
        <w:t>临港海洋工程装备制造，建设高端装备制造集聚基地。</w:t>
      </w:r>
    </w:p>
    <w:p>
      <w:pPr>
        <w:ind w:firstLine="642" w:firstLineChars="200"/>
        <w:outlineLvl w:val="2"/>
        <w:rPr>
          <w:b/>
          <w:bCs/>
          <w:color w:val="000000" w:themeColor="text1"/>
          <w14:textFill>
            <w14:solidFill>
              <w14:schemeClr w14:val="tx1"/>
            </w14:solidFill>
          </w14:textFill>
        </w:rPr>
      </w:pPr>
      <w:bookmarkStart w:id="257" w:name="_Toc12009"/>
      <w:bookmarkStart w:id="258" w:name="_Toc7915"/>
      <w:bookmarkStart w:id="259" w:name="_Toc17412"/>
      <w:bookmarkStart w:id="260" w:name="_Toc13147"/>
      <w:bookmarkStart w:id="261" w:name="_Toc9973"/>
      <w:bookmarkStart w:id="262" w:name="_Toc10936"/>
      <w:bookmarkStart w:id="263" w:name="_Toc13520"/>
      <w:bookmarkStart w:id="264" w:name="_Toc28998"/>
      <w:bookmarkStart w:id="265" w:name="_Toc25122"/>
      <w:bookmarkStart w:id="266" w:name="_Toc25460"/>
      <w:bookmarkStart w:id="267" w:name="_Toc11232"/>
      <w:r>
        <w:rPr>
          <w:rFonts w:hint="eastAsia"/>
          <w:b/>
          <w:bCs/>
          <w:color w:val="000000" w:themeColor="text1"/>
          <w:lang w:val="en-US" w:eastAsia="zh-CN"/>
          <w14:textFill>
            <w14:solidFill>
              <w14:schemeClr w14:val="tx1"/>
            </w14:solidFill>
          </w14:textFill>
        </w:rPr>
        <w:t>2</w:t>
      </w:r>
      <w:r>
        <w:rPr>
          <w:rFonts w:hint="eastAsia"/>
          <w:b/>
          <w:bCs/>
          <w:color w:val="000000" w:themeColor="text1"/>
          <w14:textFill>
            <w14:solidFill>
              <w14:schemeClr w14:val="tx1"/>
            </w14:solidFill>
          </w14:textFill>
        </w:rPr>
        <w:t>.四个省级产业园区：</w:t>
      </w:r>
      <w:r>
        <w:rPr>
          <w:rFonts w:hint="eastAsia"/>
          <w:b/>
          <w:bCs/>
          <w:color w:val="000000" w:themeColor="text1"/>
          <w:szCs w:val="32"/>
          <w14:textFill>
            <w14:solidFill>
              <w14:schemeClr w14:val="tx1"/>
            </w14:solidFill>
          </w14:textFill>
        </w:rPr>
        <w:t>红海湾产业园区、陆丰产业园区、海丰产业园区和陆河产业园区</w:t>
      </w:r>
      <w:bookmarkEnd w:id="257"/>
      <w:bookmarkEnd w:id="258"/>
      <w:bookmarkEnd w:id="259"/>
      <w:bookmarkEnd w:id="260"/>
      <w:bookmarkEnd w:id="261"/>
      <w:bookmarkEnd w:id="262"/>
      <w:bookmarkEnd w:id="263"/>
      <w:bookmarkEnd w:id="264"/>
      <w:bookmarkEnd w:id="265"/>
      <w:bookmarkEnd w:id="266"/>
      <w:bookmarkEnd w:id="267"/>
    </w:p>
    <w:p>
      <w:pPr>
        <w:rPr>
          <w:rFonts w:hint="eastAsia"/>
          <w:color w:val="000000" w:themeColor="text1"/>
          <w:lang w:val="en-US" w:eastAsia="zh-CN"/>
          <w14:textFill>
            <w14:solidFill>
              <w14:schemeClr w14:val="tx1"/>
            </w14:solidFill>
          </w14:textFill>
        </w:rPr>
      </w:pPr>
      <w:r>
        <w:rPr>
          <w:rFonts w:hint="eastAsia"/>
          <w:b/>
          <w:bCs/>
          <w:color w:val="000000" w:themeColor="text1"/>
          <w14:textFill>
            <w14:solidFill>
              <w14:schemeClr w14:val="tx1"/>
            </w14:solidFill>
          </w14:textFill>
        </w:rPr>
        <w:t>红海湾产业园区</w:t>
      </w:r>
      <w:r>
        <w:rPr>
          <w:rFonts w:hint="eastAsia"/>
          <w:color w:val="000000" w:themeColor="text1"/>
          <w14:textFill>
            <w14:solidFill>
              <w14:schemeClr w14:val="tx1"/>
            </w14:solidFill>
          </w14:textFill>
        </w:rPr>
        <w:t>着力建设全球新能源汽车产业KD件（全散件/半散件）供给中心，加快建设完善配套</w:t>
      </w:r>
      <w:r>
        <w:rPr>
          <w:rFonts w:hint="eastAsia"/>
          <w:color w:val="000000" w:themeColor="text1"/>
          <w:szCs w:val="32"/>
          <w14:textFill>
            <w14:solidFill>
              <w14:schemeClr w14:val="tx1"/>
            </w14:solidFill>
          </w14:textFill>
        </w:rPr>
        <w:t>仓储物流、国际航运协调、关务服务和售后支持体系</w:t>
      </w:r>
      <w:r>
        <w:rPr>
          <w:rFonts w:hint="eastAsia"/>
          <w:color w:val="000000" w:themeColor="text1"/>
          <w:szCs w:val="32"/>
          <w:lang w:eastAsia="zh-CN"/>
          <w14:textFill>
            <w14:solidFill>
              <w14:schemeClr w14:val="tx1"/>
            </w14:solidFill>
          </w14:textFill>
        </w:rPr>
        <w:t>。</w:t>
      </w:r>
      <w:r>
        <w:rPr>
          <w:color w:val="000000" w:themeColor="text1"/>
          <w14:textFill>
            <w14:solidFill>
              <w14:schemeClr w14:val="tx1"/>
            </w14:solidFill>
          </w14:textFill>
        </w:rPr>
        <w:t>发挥比亚迪在车型开发、系统开发、总部协同等方面的优势，带动产业链上下游企业落地红海湾产业园区，布局研发中心与规模化生产基地</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引育动力电池及其管理系统、电动化附件、车用操作系统等具有国际竞争力的核心零部件供应商。</w:t>
      </w:r>
      <w:r>
        <w:rPr>
          <w:rFonts w:hint="eastAsia"/>
          <w:b/>
          <w:bCs/>
          <w:color w:val="000000" w:themeColor="text1"/>
          <w14:textFill>
            <w14:solidFill>
              <w14:schemeClr w14:val="tx1"/>
            </w14:solidFill>
          </w14:textFill>
        </w:rPr>
        <w:t>陆丰产业园区</w:t>
      </w:r>
      <w:r>
        <w:rPr>
          <w:rFonts w:hint="eastAsia"/>
          <w:color w:val="000000" w:themeColor="text1"/>
          <w14:textFill>
            <w14:solidFill>
              <w14:schemeClr w14:val="tx1"/>
            </w14:solidFill>
          </w14:textFill>
        </w:rPr>
        <w:t>加速发展以海上风电、光伏为代表的低碳新能源产业，同时巩固发展以新型平板显示器件、锂离子电池为代表的新一代电子信息、安全应急与环保新材料产业。</w:t>
      </w:r>
      <w:r>
        <w:rPr>
          <w:rFonts w:hint="eastAsia"/>
          <w:b/>
          <w:bCs/>
          <w:color w:val="000000" w:themeColor="text1"/>
          <w14:textFill>
            <w14:solidFill>
              <w14:schemeClr w14:val="tx1"/>
            </w14:solidFill>
          </w14:textFill>
        </w:rPr>
        <w:t>海丰产业园区</w:t>
      </w:r>
      <w:r>
        <w:rPr>
          <w:rFonts w:hint="eastAsia"/>
          <w:color w:val="000000" w:themeColor="text1"/>
          <w:szCs w:val="32"/>
          <w14:textFill>
            <w14:solidFill>
              <w14:schemeClr w14:val="tx1"/>
            </w14:solidFill>
          </w14:textFill>
        </w:rPr>
        <w:t>重点发展新能源汽车、新一代电子信息、高端装备制造等战略性主导产业，加快推动金银首饰珠宝、纺织服装、食品工业等传统优势产业提质增效。</w:t>
      </w:r>
      <w:r>
        <w:rPr>
          <w:rFonts w:hint="eastAsia"/>
          <w:b/>
          <w:bCs/>
          <w:color w:val="000000" w:themeColor="text1"/>
          <w14:textFill>
            <w14:solidFill>
              <w14:schemeClr w14:val="tx1"/>
            </w14:solidFill>
          </w14:textFill>
        </w:rPr>
        <w:t>陆河产业园区</w:t>
      </w:r>
      <w:r>
        <w:rPr>
          <w:rFonts w:hint="eastAsia"/>
          <w:color w:val="000000" w:themeColor="text1"/>
          <w14:textFill>
            <w14:solidFill>
              <w14:schemeClr w14:val="tx1"/>
            </w14:solidFill>
          </w14:textFill>
        </w:rPr>
        <w:t>重点发展新能源汽车、高端装备制造业、安全应急与环保新材料产业，巩固做大低碳新能源（</w:t>
      </w:r>
      <w:r>
        <w:rPr>
          <w:rFonts w:hint="eastAsia" w:ascii="仿宋_GB2312" w:hAnsi="仿宋_GB2312" w:cs="仿宋_GB2312"/>
          <w:color w:val="000000" w:themeColor="text1"/>
          <w:szCs w:val="32"/>
          <w14:textFill>
            <w14:solidFill>
              <w14:schemeClr w14:val="tx1"/>
            </w14:solidFill>
          </w14:textFill>
        </w:rPr>
        <w:t>分布式光伏、抽水蓄能等</w:t>
      </w:r>
      <w:r>
        <w:rPr>
          <w:rFonts w:hint="eastAsia"/>
          <w:color w:val="000000" w:themeColor="text1"/>
          <w14:textFill>
            <w14:solidFill>
              <w14:schemeClr w14:val="tx1"/>
            </w14:solidFill>
          </w14:textFill>
        </w:rPr>
        <w:t>）与食品工业。</w:t>
      </w:r>
      <w:bookmarkStart w:id="268" w:name="_Toc6028"/>
      <w:bookmarkStart w:id="269" w:name="_Toc9300"/>
      <w:bookmarkStart w:id="270" w:name="_Toc7785"/>
      <w:bookmarkStart w:id="271" w:name="_Toc19781"/>
      <w:bookmarkStart w:id="272" w:name="_Toc22367"/>
      <w:bookmarkStart w:id="273" w:name="_Toc18789"/>
      <w:bookmarkStart w:id="274" w:name="_Toc9591"/>
      <w:bookmarkStart w:id="275" w:name="_Toc14993"/>
      <w:bookmarkStart w:id="276" w:name="_Toc29503"/>
    </w:p>
    <w:p>
      <w:pPr>
        <w:outlineLvl w:val="2"/>
        <w:rPr>
          <w:rFonts w:hint="eastAsia" w:ascii="Times New Roman" w:hAnsi="Times New Roman" w:cs="Times New Roman"/>
          <w:b/>
          <w:bCs/>
          <w:color w:val="000000" w:themeColor="text1"/>
          <w:szCs w:val="32"/>
          <w14:textFill>
            <w14:solidFill>
              <w14:schemeClr w14:val="tx1"/>
            </w14:solidFill>
          </w14:textFill>
        </w:rPr>
      </w:pPr>
      <w:bookmarkStart w:id="277" w:name="_Toc20886"/>
      <w:bookmarkStart w:id="278" w:name="_Toc16808"/>
      <w:r>
        <w:rPr>
          <w:rFonts w:hint="eastAsia" w:ascii="Times New Roman" w:hAnsi="Times New Roman" w:cs="Times New Roman"/>
          <w:b/>
          <w:bCs/>
          <w:color w:val="000000" w:themeColor="text1"/>
          <w:szCs w:val="32"/>
          <w:lang w:val="en-US" w:eastAsia="zh-CN"/>
          <w14:textFill>
            <w14:solidFill>
              <w14:schemeClr w14:val="tx1"/>
            </w14:solidFill>
          </w14:textFill>
        </w:rPr>
        <w:t>3</w:t>
      </w:r>
      <w:r>
        <w:rPr>
          <w:rFonts w:hint="eastAsia" w:ascii="Times New Roman" w:hAnsi="Times New Roman" w:cs="Times New Roman"/>
          <w:b/>
          <w:bCs/>
          <w:color w:val="000000" w:themeColor="text1"/>
          <w:szCs w:val="32"/>
          <w14:textFill>
            <w14:solidFill>
              <w14:schemeClr w14:val="tx1"/>
            </w14:solidFill>
          </w14:textFill>
        </w:rPr>
        <w:t>.其他重点园区：</w:t>
      </w:r>
      <w:r>
        <w:rPr>
          <w:rFonts w:hint="eastAsia"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深汕合作拓展区、</w:t>
      </w:r>
      <w:r>
        <w:rPr>
          <w:rFonts w:hint="eastAsia" w:ascii="Times New Roman" w:hAnsi="Times New Roman" w:cs="Times New Roman"/>
          <w:b/>
          <w:bCs/>
          <w:color w:val="000000" w:themeColor="text1"/>
          <w:szCs w:val="32"/>
          <w14:textFill>
            <w14:solidFill>
              <w14:schemeClr w14:val="tx1"/>
            </w14:solidFill>
          </w14:textFill>
        </w:rPr>
        <w:t>星都</w:t>
      </w:r>
      <w:r>
        <w:rPr>
          <w:rFonts w:hint="eastAsia" w:ascii="Times New Roman" w:hAnsi="Times New Roman" w:cs="Times New Roman"/>
          <w:b/>
          <w:bCs/>
          <w:color w:val="000000" w:themeColor="text1"/>
          <w:szCs w:val="32"/>
          <w:lang w:eastAsia="zh-CN"/>
          <w14:textFill>
            <w14:solidFill>
              <w14:schemeClr w14:val="tx1"/>
            </w14:solidFill>
          </w14:textFill>
        </w:rPr>
        <w:t>—</w:t>
      </w:r>
      <w:r>
        <w:rPr>
          <w:rFonts w:hint="eastAsia" w:ascii="Times New Roman" w:hAnsi="Times New Roman" w:cs="Times New Roman"/>
          <w:b/>
          <w:bCs/>
          <w:color w:val="000000" w:themeColor="text1"/>
          <w:szCs w:val="32"/>
          <w14:textFill>
            <w14:solidFill>
              <w14:schemeClr w14:val="tx1"/>
            </w14:solidFill>
          </w14:textFill>
        </w:rPr>
        <w:t>可塘合作共建产业园、光明</w:t>
      </w:r>
      <w:r>
        <w:rPr>
          <w:rFonts w:hint="eastAsia" w:ascii="Times New Roman" w:hAnsi="Times New Roman" w:cs="Times New Roman"/>
          <w:b/>
          <w:bCs/>
          <w:color w:val="000000" w:themeColor="text1"/>
          <w:szCs w:val="32"/>
          <w:lang w:eastAsia="zh-CN"/>
          <w14:textFill>
            <w14:solidFill>
              <w14:schemeClr w14:val="tx1"/>
            </w14:solidFill>
          </w14:textFill>
        </w:rPr>
        <w:t>—</w:t>
      </w:r>
      <w:r>
        <w:rPr>
          <w:rFonts w:hint="eastAsia" w:ascii="Times New Roman" w:hAnsi="Times New Roman" w:cs="Times New Roman"/>
          <w:b/>
          <w:bCs/>
          <w:color w:val="000000" w:themeColor="text1"/>
          <w:szCs w:val="32"/>
          <w14:textFill>
            <w14:solidFill>
              <w14:schemeClr w14:val="tx1"/>
            </w14:solidFill>
          </w14:textFill>
        </w:rPr>
        <w:t>城区结对共建产业园、陆丰三甲五金配件产业园、陆河富民兴村产业园</w:t>
      </w:r>
      <w:bookmarkEnd w:id="268"/>
      <w:bookmarkEnd w:id="269"/>
      <w:bookmarkEnd w:id="270"/>
      <w:bookmarkEnd w:id="271"/>
      <w:bookmarkEnd w:id="272"/>
      <w:bookmarkEnd w:id="273"/>
      <w:bookmarkEnd w:id="274"/>
      <w:bookmarkEnd w:id="275"/>
      <w:bookmarkEnd w:id="276"/>
      <w:bookmarkEnd w:id="277"/>
      <w:bookmarkEnd w:id="278"/>
    </w:p>
    <w:p>
      <w:pPr>
        <w:keepNext w:val="0"/>
        <w:keepLines w:val="0"/>
        <w:pageBreakBefore w:val="0"/>
        <w:widowControl/>
        <w:kinsoku/>
        <w:wordWrap/>
        <w:overflowPunct/>
        <w:topLinePunct w:val="0"/>
        <w:autoSpaceDE/>
        <w:autoSpaceDN/>
        <w:bidi w:val="0"/>
        <w:adjustRightInd/>
        <w:snapToGrid/>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深汕合作拓展区</w:t>
      </w:r>
      <w:r>
        <w:rPr>
          <w:rFonts w:hint="eastAsia"/>
          <w:b w:val="0"/>
          <w:bCs/>
          <w:color w:val="000000" w:themeColor="text1"/>
          <w14:textFill>
            <w14:solidFill>
              <w14:schemeClr w14:val="tx1"/>
            </w14:solidFill>
          </w14:textFill>
        </w:rPr>
        <w:t>聚焦</w:t>
      </w:r>
      <w:r>
        <w:rPr>
          <w:b w:val="0"/>
          <w:bCs/>
          <w:color w:val="000000" w:themeColor="text1"/>
          <w14:textFill>
            <w14:solidFill>
              <w14:schemeClr w14:val="tx1"/>
            </w14:solidFill>
          </w14:textFill>
        </w:rPr>
        <w:t>新能源汽车</w:t>
      </w:r>
      <w:r>
        <w:rPr>
          <w:rFonts w:hint="eastAsia"/>
          <w:b w:val="0"/>
          <w:bCs/>
          <w:color w:val="000000" w:themeColor="text1"/>
          <w14:textFill>
            <w14:solidFill>
              <w14:schemeClr w14:val="tx1"/>
            </w14:solidFill>
          </w14:textFill>
        </w:rPr>
        <w:t>产</w:t>
      </w:r>
      <w:r>
        <w:rPr>
          <w:rFonts w:hint="eastAsia"/>
          <w:b w:val="0"/>
          <w:bCs/>
          <w:color w:val="000000" w:themeColor="text1"/>
          <w:szCs w:val="32"/>
          <w14:textFill>
            <w14:solidFill>
              <w14:schemeClr w14:val="tx1"/>
            </w14:solidFill>
          </w14:textFill>
        </w:rPr>
        <w:t>业，</w:t>
      </w:r>
      <w:r>
        <w:rPr>
          <w:rFonts w:hint="eastAsia" w:ascii="Times New Roman" w:hAnsi="Times New Roman" w:eastAsia="仿宋_GB2312" w:cs="Times New Roman"/>
          <w:b w:val="0"/>
          <w:bCs/>
          <w:color w:val="000000" w:themeColor="text1"/>
          <w:sz w:val="32"/>
          <w:szCs w:val="32"/>
          <w14:textFill>
            <w14:solidFill>
              <w14:schemeClr w14:val="tx1"/>
            </w14:solidFill>
          </w14:textFill>
        </w:rPr>
        <w:t>立足</w:t>
      </w:r>
      <w:r>
        <w:rPr>
          <w:rFonts w:hint="eastAsia"/>
          <w:b w:val="0"/>
          <w:bCs/>
          <w:color w:val="000000" w:themeColor="text1"/>
          <w:szCs w:val="32"/>
          <w14:textFill>
            <w14:solidFill>
              <w14:schemeClr w14:val="tx1"/>
            </w14:solidFill>
          </w14:textFill>
        </w:rPr>
        <w:t>深汕特别合作区打造“新一代世界汽车城”</w:t>
      </w:r>
      <w:r>
        <w:rPr>
          <w:rFonts w:hint="eastAsia"/>
          <w:b w:val="0"/>
          <w:bCs/>
          <w:color w:val="000000" w:themeColor="text1"/>
          <w:szCs w:val="32"/>
          <w:lang w:val="en-US" w:eastAsia="zh-CN"/>
          <w14:textFill>
            <w14:solidFill>
              <w14:schemeClr w14:val="tx1"/>
            </w14:solidFill>
          </w14:textFill>
        </w:rPr>
        <w:t>建设基础</w:t>
      </w:r>
      <w:r>
        <w:rPr>
          <w:rFonts w:hint="eastAsia"/>
          <w:b w:val="0"/>
          <w:bCs/>
          <w:color w:val="000000" w:themeColor="text1"/>
          <w:szCs w:val="32"/>
          <w14:textFill>
            <w14:solidFill>
              <w14:schemeClr w14:val="tx1"/>
            </w14:solidFill>
          </w14:textFill>
        </w:rPr>
        <w:t>及配套</w:t>
      </w:r>
      <w:r>
        <w:rPr>
          <w:rFonts w:hint="eastAsia"/>
          <w:b w:val="0"/>
          <w:bCs/>
          <w:color w:val="000000" w:themeColor="text1"/>
          <w:szCs w:val="32"/>
          <w:lang w:val="en-US" w:eastAsia="zh-CN"/>
          <w14:textFill>
            <w14:solidFill>
              <w14:schemeClr w14:val="tx1"/>
            </w14:solidFill>
          </w14:textFill>
        </w:rPr>
        <w:t>外溢</w:t>
      </w:r>
      <w:r>
        <w:rPr>
          <w:rFonts w:hint="eastAsia"/>
          <w:b w:val="0"/>
          <w:bCs/>
          <w:color w:val="000000" w:themeColor="text1"/>
          <w:szCs w:val="32"/>
          <w14:textFill>
            <w14:solidFill>
              <w14:schemeClr w14:val="tx1"/>
            </w14:solidFill>
          </w14:textFill>
        </w:rPr>
        <w:t>需求，</w:t>
      </w:r>
      <w:r>
        <w:rPr>
          <w:rFonts w:hint="eastAsia"/>
          <w:b w:val="0"/>
          <w:bCs/>
          <w:color w:val="000000" w:themeColor="text1"/>
          <w:szCs w:val="32"/>
          <w:lang w:val="en-US" w:eastAsia="zh-CN"/>
          <w14:textFill>
            <w14:solidFill>
              <w14:schemeClr w14:val="tx1"/>
            </w14:solidFill>
          </w14:textFill>
        </w:rPr>
        <w:t>主动</w:t>
      </w:r>
      <w:r>
        <w:rPr>
          <w:rFonts w:hint="eastAsia" w:ascii="Times New Roman" w:hAnsi="Times New Roman" w:cs="Times New Roman"/>
          <w:b w:val="0"/>
          <w:bCs/>
          <w:color w:val="000000" w:themeColor="text1"/>
          <w:szCs w:val="32"/>
          <w14:textFill>
            <w14:solidFill>
              <w14:schemeClr w14:val="tx1"/>
            </w14:solidFill>
          </w14:textFill>
        </w:rPr>
        <w:t>承接新能源汽车</w:t>
      </w:r>
      <w:r>
        <w:rPr>
          <w:rFonts w:hint="eastAsia" w:cs="Times New Roman"/>
          <w:b w:val="0"/>
          <w:bCs w:val="0"/>
          <w:color w:val="000000" w:themeColor="text1"/>
          <w:szCs w:val="24"/>
          <w:lang w:eastAsia="zh-CN"/>
          <w14:textFill>
            <w14:solidFill>
              <w14:schemeClr w14:val="tx1"/>
            </w14:solidFill>
          </w14:textFill>
        </w:rPr>
        <w:t>原材料</w:t>
      </w:r>
      <w:r>
        <w:rPr>
          <w:rFonts w:hint="eastAsia" w:ascii="Times New Roman" w:hAnsi="Times New Roman" w:cs="Times New Roman"/>
          <w:b w:val="0"/>
          <w:bCs w:val="0"/>
          <w:color w:val="000000" w:themeColor="text1"/>
          <w:szCs w:val="24"/>
          <w:lang w:eastAsia="zh-CN"/>
          <w14:textFill>
            <w14:solidFill>
              <w14:schemeClr w14:val="tx1"/>
            </w14:solidFill>
          </w14:textFill>
        </w:rPr>
        <w:t>、</w:t>
      </w:r>
      <w:r>
        <w:rPr>
          <w:rFonts w:hint="eastAsia" w:ascii="Times New Roman" w:hAnsi="Times New Roman" w:cs="Times New Roman"/>
          <w:b w:val="0"/>
          <w:bCs/>
          <w:color w:val="000000" w:themeColor="text1"/>
          <w:szCs w:val="32"/>
          <w14:textFill>
            <w14:solidFill>
              <w14:schemeClr w14:val="tx1"/>
            </w14:solidFill>
          </w14:textFill>
        </w:rPr>
        <w:t>零部件</w:t>
      </w:r>
      <w:r>
        <w:rPr>
          <w:rFonts w:hint="eastAsia" w:cs="Times New Roman"/>
          <w:b w:val="0"/>
          <w:bCs w:val="0"/>
          <w:color w:val="000000" w:themeColor="text1"/>
          <w:szCs w:val="24"/>
          <w:lang w:eastAsia="zh-CN"/>
          <w14:textFill>
            <w14:solidFill>
              <w14:schemeClr w14:val="tx1"/>
            </w14:solidFill>
          </w14:textFill>
        </w:rPr>
        <w:t>产业转移</w:t>
      </w:r>
      <w:r>
        <w:rPr>
          <w:rFonts w:hint="eastAsia" w:ascii="Times New Roman" w:hAnsi="Times New Roman" w:eastAsia="仿宋_GB2312" w:cs="Times New Roman"/>
          <w:b w:val="0"/>
          <w:bCs w:val="0"/>
          <w:color w:val="000000" w:themeColor="text1"/>
          <w:sz w:val="32"/>
          <w:szCs w:val="24"/>
          <w:lang w:eastAsia="zh-CN"/>
          <w14:textFill>
            <w14:solidFill>
              <w14:schemeClr w14:val="tx1"/>
            </w14:solidFill>
          </w14:textFill>
        </w:rPr>
        <w:t>，</w:t>
      </w:r>
      <w:r>
        <w:rPr>
          <w:rFonts w:hint="eastAsia" w:ascii="Times New Roman" w:hAnsi="Times New Roman" w:cs="Times New Roman"/>
          <w:b w:val="0"/>
          <w:bCs w:val="0"/>
          <w:color w:val="000000" w:themeColor="text1"/>
          <w:sz w:val="32"/>
          <w:szCs w:val="24"/>
          <w:lang w:val="en-US" w:eastAsia="zh-CN"/>
          <w14:textFill>
            <w14:solidFill>
              <w14:schemeClr w14:val="tx1"/>
            </w14:solidFill>
          </w14:textFill>
        </w:rPr>
        <w:t>重点</w:t>
      </w:r>
      <w:r>
        <w:rPr>
          <w:rFonts w:hint="eastAsia" w:ascii="Times New Roman" w:hAnsi="Times New Roman" w:eastAsia="仿宋_GB2312" w:cs="Times New Roman"/>
          <w:b w:val="0"/>
          <w:bCs w:val="0"/>
          <w:color w:val="000000" w:themeColor="text1"/>
          <w:sz w:val="32"/>
          <w:szCs w:val="24"/>
          <w14:textFill>
            <w14:solidFill>
              <w14:schemeClr w14:val="tx1"/>
            </w14:solidFill>
          </w14:textFill>
        </w:rPr>
        <w:t>发展轮毂、电装、动力构件电镀加工与动力电池核心部件，延伸电镀配套产业链</w:t>
      </w:r>
      <w:r>
        <w:rPr>
          <w:rFonts w:hint="eastAsia" w:ascii="Times New Roman" w:hAnsi="Times New Roman" w:cs="Times New Roman"/>
          <w:b w:val="0"/>
          <w:bCs/>
          <w:color w:val="000000" w:themeColor="text1"/>
          <w:szCs w:val="24"/>
          <w14:textFill>
            <w14:solidFill>
              <w14:schemeClr w14:val="tx1"/>
            </w14:solidFill>
          </w14:textFill>
        </w:rPr>
        <w:t>，</w:t>
      </w:r>
      <w:r>
        <w:rPr>
          <w:rFonts w:hint="eastAsia" w:ascii="Times New Roman" w:hAnsi="Times New Roman" w:eastAsia="仿宋_GB2312" w:cs="Times New Roman"/>
          <w:b w:val="0"/>
          <w:bCs/>
          <w:color w:val="000000" w:themeColor="text1"/>
          <w:sz w:val="32"/>
          <w:szCs w:val="24"/>
          <w14:textFill>
            <w14:solidFill>
              <w14:schemeClr w14:val="tx1"/>
            </w14:solidFill>
          </w14:textFill>
        </w:rPr>
        <w:t>构建</w:t>
      </w:r>
      <w:r>
        <w:rPr>
          <w:rFonts w:hint="eastAsia" w:ascii="Times New Roman" w:hAnsi="Times New Roman" w:cs="Times New Roman"/>
          <w:b w:val="0"/>
          <w:bCs/>
          <w:color w:val="000000" w:themeColor="text1"/>
          <w:szCs w:val="24"/>
          <w14:textFill>
            <w14:solidFill>
              <w14:schemeClr w14:val="tx1"/>
            </w14:solidFill>
          </w14:textFill>
        </w:rPr>
        <w:t>“深汕制造+拓展区供应”</w:t>
      </w:r>
      <w:r>
        <w:rPr>
          <w:rFonts w:hint="eastAsia" w:ascii="Times New Roman" w:hAnsi="Times New Roman" w:cs="Times New Roman"/>
          <w:b w:val="0"/>
          <w:bCs/>
          <w:color w:val="000000" w:themeColor="text1"/>
          <w:szCs w:val="24"/>
          <w:lang w:val="en-US" w:eastAsia="zh-CN"/>
          <w14:textFill>
            <w14:solidFill>
              <w14:schemeClr w14:val="tx1"/>
            </w14:solidFill>
          </w14:textFill>
        </w:rPr>
        <w:t>的协同发展</w:t>
      </w:r>
      <w:r>
        <w:rPr>
          <w:rFonts w:hint="eastAsia" w:ascii="Times New Roman" w:hAnsi="Times New Roman" w:cs="Times New Roman"/>
          <w:b w:val="0"/>
          <w:bCs/>
          <w:color w:val="000000" w:themeColor="text1"/>
          <w:szCs w:val="24"/>
          <w14:textFill>
            <w14:solidFill>
              <w14:schemeClr w14:val="tx1"/>
            </w14:solidFill>
          </w14:textFill>
        </w:rPr>
        <w:t>生态</w:t>
      </w:r>
      <w:r>
        <w:rPr>
          <w:rFonts w:hint="eastAsia"/>
          <w:b w:val="0"/>
          <w:bCs/>
          <w:color w:val="000000" w:themeColor="text1"/>
          <w14:textFill>
            <w14:solidFill>
              <w14:schemeClr w14:val="tx1"/>
            </w14:solidFill>
          </w14:textFill>
        </w:rPr>
        <w:t>。星都</w:t>
      </w:r>
      <w:r>
        <w:rPr>
          <w:rFonts w:hint="eastAsia"/>
          <w:b w:val="0"/>
          <w:bCs/>
          <w:color w:val="000000" w:themeColor="text1"/>
          <w:lang w:eastAsia="zh-CN"/>
          <w14:textFill>
            <w14:solidFill>
              <w14:schemeClr w14:val="tx1"/>
            </w14:solidFill>
          </w14:textFill>
        </w:rPr>
        <w:t>—</w:t>
      </w:r>
      <w:r>
        <w:rPr>
          <w:rFonts w:hint="eastAsia"/>
          <w:b w:val="0"/>
          <w:bCs/>
          <w:color w:val="000000" w:themeColor="text1"/>
          <w14:textFill>
            <w14:solidFill>
              <w14:schemeClr w14:val="tx1"/>
            </w14:solidFill>
          </w14:textFill>
        </w:rPr>
        <w:t>可塘合作共建产业园</w:t>
      </w:r>
      <w:r>
        <w:rPr>
          <w:rFonts w:hint="eastAsia"/>
          <w:bCs/>
          <w:color w:val="000000" w:themeColor="text1"/>
          <w14:textFill>
            <w14:solidFill>
              <w14:schemeClr w14:val="tx1"/>
            </w14:solidFill>
          </w14:textFill>
        </w:rPr>
        <w:t>聚力做大做强</w:t>
      </w:r>
      <w:r>
        <w:rPr>
          <w:rFonts w:hint="eastAsia"/>
          <w:b w:val="0"/>
          <w:bCs/>
          <w:color w:val="000000" w:themeColor="text1"/>
          <w:szCs w:val="24"/>
          <w14:textFill>
            <w14:solidFill>
              <w14:schemeClr w14:val="tx1"/>
            </w14:solidFill>
          </w14:textFill>
        </w:rPr>
        <w:t>金银首饰珠宝产业，</w:t>
      </w:r>
      <w:r>
        <w:rPr>
          <w:rFonts w:hint="eastAsia"/>
          <w:b w:val="0"/>
          <w:bCs/>
          <w:color w:val="000000" w:themeColor="text1"/>
          <w:szCs w:val="24"/>
          <w:lang w:val="en-US" w:eastAsia="zh-CN"/>
          <w14:textFill>
            <w14:solidFill>
              <w14:schemeClr w14:val="tx1"/>
            </w14:solidFill>
          </w14:textFill>
        </w:rPr>
        <w:t>同步培育</w:t>
      </w:r>
      <w:r>
        <w:rPr>
          <w:rFonts w:hint="eastAsia"/>
          <w:b w:val="0"/>
          <w:bCs/>
          <w:color w:val="000000" w:themeColor="text1"/>
          <w:szCs w:val="24"/>
          <w14:textFill>
            <w14:solidFill>
              <w14:schemeClr w14:val="tx1"/>
            </w14:solidFill>
          </w14:textFill>
        </w:rPr>
        <w:t>新一代电子信息、</w:t>
      </w:r>
      <w:r>
        <w:rPr>
          <w:rFonts w:hint="eastAsia"/>
          <w:b w:val="0"/>
          <w:bCs/>
          <w:color w:val="000000" w:themeColor="text1"/>
          <w14:textFill>
            <w14:solidFill>
              <w14:schemeClr w14:val="tx1"/>
            </w14:solidFill>
          </w14:textFill>
        </w:rPr>
        <w:t>安全应急与环保新材料、食品工业等产业。光明</w:t>
      </w:r>
      <w:r>
        <w:rPr>
          <w:rFonts w:hint="eastAsia"/>
          <w:b w:val="0"/>
          <w:bCs/>
          <w:color w:val="000000" w:themeColor="text1"/>
          <w:lang w:eastAsia="zh-CN"/>
          <w14:textFill>
            <w14:solidFill>
              <w14:schemeClr w14:val="tx1"/>
            </w14:solidFill>
          </w14:textFill>
        </w:rPr>
        <w:t>—</w:t>
      </w:r>
      <w:r>
        <w:rPr>
          <w:rFonts w:hint="eastAsia"/>
          <w:b w:val="0"/>
          <w:bCs/>
          <w:color w:val="000000" w:themeColor="text1"/>
          <w14:textFill>
            <w14:solidFill>
              <w14:schemeClr w14:val="tx1"/>
            </w14:solidFill>
          </w14:textFill>
        </w:rPr>
        <w:t>城区结对共建产业园重点发展新一代电子信息、合成生物与生物医药，</w:t>
      </w:r>
      <w:r>
        <w:rPr>
          <w:rFonts w:hint="eastAsia"/>
          <w:b w:val="0"/>
          <w:bCs/>
          <w:color w:val="000000" w:themeColor="text1"/>
          <w:lang w:val="en-US" w:eastAsia="zh-CN"/>
          <w14:textFill>
            <w14:solidFill>
              <w14:schemeClr w14:val="tx1"/>
            </w14:solidFill>
          </w14:textFill>
        </w:rPr>
        <w:t>配套</w:t>
      </w:r>
      <w:r>
        <w:rPr>
          <w:rFonts w:hint="eastAsia"/>
          <w:b w:val="0"/>
          <w:bCs/>
          <w:color w:val="000000" w:themeColor="text1"/>
          <w14:textFill>
            <w14:solidFill>
              <w14:schemeClr w14:val="tx1"/>
            </w14:solidFill>
          </w14:textFill>
        </w:rPr>
        <w:t>发展包装印刷、跨境电商等</w:t>
      </w:r>
      <w:r>
        <w:rPr>
          <w:rFonts w:hint="eastAsia" w:ascii="Times New Roman" w:hAnsi="Times New Roman" w:cs="Times New Roman"/>
          <w:b w:val="0"/>
          <w:bCs/>
          <w:color w:val="000000" w:themeColor="text1"/>
          <w:lang w:val="en-US" w:eastAsia="zh-CN"/>
          <w14:textFill>
            <w14:solidFill>
              <w14:schemeClr w14:val="tx1"/>
            </w14:solidFill>
          </w14:textFill>
        </w:rPr>
        <w:t>业态</w:t>
      </w:r>
      <w:r>
        <w:rPr>
          <w:rFonts w:hint="eastAsia"/>
          <w:b w:val="0"/>
          <w:bCs/>
          <w:color w:val="000000" w:themeColor="text1"/>
          <w14:textFill>
            <w14:solidFill>
              <w14:schemeClr w14:val="tx1"/>
            </w14:solidFill>
          </w14:textFill>
        </w:rPr>
        <w:t>。陆丰三甲五金配件产业园</w:t>
      </w:r>
      <w:r>
        <w:rPr>
          <w:rFonts w:hint="eastAsia" w:ascii="Times New Roman" w:hAnsi="Times New Roman" w:eastAsia="仿宋_GB2312" w:cs="Times New Roman"/>
          <w:bCs/>
          <w:color w:val="000000" w:themeColor="text1"/>
          <w:sz w:val="32"/>
          <w:szCs w:val="24"/>
          <w14:textFill>
            <w14:solidFill>
              <w14:schemeClr w14:val="tx1"/>
            </w14:solidFill>
          </w14:textFill>
        </w:rPr>
        <w:t>聚焦五金加工、表面电镀等主业，布局电子线路板配套产品，打造区域五金特色产业集聚基地</w:t>
      </w:r>
      <w:r>
        <w:rPr>
          <w:rFonts w:hint="eastAsia"/>
          <w:b w:val="0"/>
          <w:bCs/>
          <w:color w:val="000000" w:themeColor="text1"/>
          <w14:textFill>
            <w14:solidFill>
              <w14:schemeClr w14:val="tx1"/>
            </w14:solidFill>
          </w14:textFill>
        </w:rPr>
        <w:t>。陆河富民兴村产业园</w:t>
      </w:r>
      <w:r>
        <w:rPr>
          <w:rFonts w:hint="eastAsia"/>
          <w:bCs/>
          <w:color w:val="000000" w:themeColor="text1"/>
          <w14:textFill>
            <w14:solidFill>
              <w14:schemeClr w14:val="tx1"/>
            </w14:solidFill>
          </w14:textFill>
        </w:rPr>
        <w:t>重</w:t>
      </w:r>
      <w:r>
        <w:rPr>
          <w:rFonts w:hint="eastAsia"/>
          <w:b w:val="0"/>
          <w:bCs/>
          <w:color w:val="000000" w:themeColor="text1"/>
          <w14:textFill>
            <w14:solidFill>
              <w14:schemeClr w14:val="tx1"/>
            </w14:solidFill>
          </w14:textFill>
        </w:rPr>
        <w:t>点发展纺织服装产业，</w:t>
      </w:r>
      <w:r>
        <w:rPr>
          <w:rFonts w:hint="eastAsia" w:ascii="Times New Roman" w:hAnsi="Times New Roman" w:eastAsia="仿宋_GB2312" w:cs="Times New Roman"/>
          <w:bCs/>
          <w:color w:val="000000" w:themeColor="text1"/>
          <w:sz w:val="32"/>
          <w:szCs w:val="24"/>
          <w14:textFill>
            <w14:solidFill>
              <w14:schemeClr w14:val="tx1"/>
            </w14:solidFill>
          </w14:textFill>
        </w:rPr>
        <w:t>推动本地纺织业态由分散零散生产向规模化集群发展转型</w:t>
      </w:r>
      <w:r>
        <w:rPr>
          <w:rFonts w:hint="eastAsia"/>
          <w:b w:val="0"/>
          <w:bCs/>
          <w:color w:val="000000" w:themeColor="text1"/>
          <w:szCs w:val="24"/>
          <w14:textFill>
            <w14:solidFill>
              <w14:schemeClr w14:val="tx1"/>
            </w14:solidFill>
          </w14:textFill>
        </w:rPr>
        <w:t>。</w:t>
      </w:r>
    </w:p>
    <w:p>
      <w:pPr>
        <w:pStyle w:val="3"/>
        <w:ind w:firstLine="643"/>
        <w:rPr>
          <w:color w:val="000000" w:themeColor="text1"/>
          <w14:textFill>
            <w14:solidFill>
              <w14:schemeClr w14:val="tx1"/>
            </w14:solidFill>
          </w14:textFill>
        </w:rPr>
      </w:pPr>
      <w:bookmarkStart w:id="279" w:name="_Toc26251"/>
      <w:bookmarkStart w:id="280" w:name="_Toc29126"/>
      <w:bookmarkStart w:id="281" w:name="_Toc29781"/>
      <w:bookmarkStart w:id="282" w:name="_Toc8499"/>
      <w:bookmarkStart w:id="283" w:name="_Toc5839"/>
      <w:bookmarkStart w:id="284" w:name="_Toc16563"/>
      <w:bookmarkStart w:id="285" w:name="_Toc9481"/>
      <w:bookmarkStart w:id="286" w:name="_Toc27281"/>
      <w:bookmarkStart w:id="287" w:name="_Toc20843"/>
      <w:bookmarkStart w:id="288" w:name="_Toc9262"/>
      <w:bookmarkStart w:id="289" w:name="_Toc29478"/>
      <w:r>
        <w:rPr>
          <w:rFonts w:hint="eastAsia"/>
          <w:color w:val="000000" w:themeColor="text1"/>
          <w:lang w:val="en-US" w:eastAsia="zh-CN"/>
          <w14:textFill>
            <w14:solidFill>
              <w14:schemeClr w14:val="tx1"/>
            </w14:solidFill>
          </w14:textFill>
        </w:rPr>
        <w:t>四</w:t>
      </w:r>
      <w:r>
        <w:rPr>
          <w:rFonts w:hint="eastAsia"/>
          <w:color w:val="000000" w:themeColor="text1"/>
          <w14:textFill>
            <w14:solidFill>
              <w14:schemeClr w14:val="tx1"/>
            </w14:solidFill>
          </w14:textFill>
        </w:rPr>
        <w:t>、主要任务</w:t>
      </w:r>
      <w:bookmarkEnd w:id="279"/>
      <w:bookmarkEnd w:id="280"/>
      <w:bookmarkEnd w:id="281"/>
      <w:bookmarkEnd w:id="282"/>
      <w:bookmarkEnd w:id="283"/>
      <w:bookmarkEnd w:id="284"/>
      <w:bookmarkEnd w:id="285"/>
      <w:bookmarkEnd w:id="286"/>
      <w:bookmarkEnd w:id="287"/>
      <w:bookmarkEnd w:id="288"/>
      <w:bookmarkEnd w:id="289"/>
    </w:p>
    <w:p>
      <w:pPr>
        <w:pStyle w:val="4"/>
        <w:keepNext/>
        <w:keepLines/>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cs="Times New Roman"/>
          <w:b w:val="0"/>
          <w:bCs/>
          <w:color w:val="000000" w:themeColor="text1"/>
          <w:lang w:val="en-US" w:eastAsia="zh-CN"/>
          <w14:textFill>
            <w14:solidFill>
              <w14:schemeClr w14:val="tx1"/>
            </w14:solidFill>
          </w14:textFill>
        </w:rPr>
      </w:pPr>
      <w:bookmarkStart w:id="290" w:name="_Toc1950"/>
      <w:bookmarkStart w:id="291" w:name="_Toc4054"/>
      <w:bookmarkStart w:id="292" w:name="_Toc18537"/>
      <w:bookmarkStart w:id="293" w:name="_Toc27766"/>
      <w:bookmarkStart w:id="294" w:name="_Toc5226"/>
      <w:bookmarkStart w:id="295" w:name="_Toc527"/>
      <w:bookmarkStart w:id="296" w:name="_Toc6604"/>
      <w:bookmarkStart w:id="297" w:name="_Toc4604"/>
      <w:bookmarkStart w:id="298" w:name="_Toc5029"/>
      <w:bookmarkStart w:id="299" w:name="_Toc28915"/>
      <w:bookmarkStart w:id="300" w:name="_Toc8918"/>
      <w:bookmarkStart w:id="301" w:name="_Toc30518"/>
      <w:r>
        <w:rPr>
          <w:rFonts w:hint="eastAsia" w:ascii="Times New Roman" w:hAnsi="Times New Roman" w:eastAsia="楷体_GB2312" w:cs="Times New Roman"/>
          <w:b w:val="0"/>
          <w:bCs/>
          <w:color w:val="000000" w:themeColor="text1"/>
          <w:kern w:val="2"/>
          <w:sz w:val="32"/>
          <w:szCs w:val="24"/>
          <w:lang w:val="en-US" w:eastAsia="zh-CN" w:bidi="ar-SA"/>
          <w14:textFill>
            <w14:solidFill>
              <w14:schemeClr w14:val="tx1"/>
            </w14:solidFill>
          </w14:textFill>
        </w:rPr>
        <w:t>（</w:t>
      </w:r>
      <w:r>
        <w:rPr>
          <w:rFonts w:hint="eastAsia" w:cs="Times New Roman"/>
          <w:b w:val="0"/>
          <w:bCs/>
          <w:color w:val="000000" w:themeColor="text1"/>
          <w:kern w:val="2"/>
          <w:sz w:val="32"/>
          <w:szCs w:val="24"/>
          <w:lang w:val="en-US" w:eastAsia="zh-CN" w:bidi="ar-SA"/>
          <w14:textFill>
            <w14:solidFill>
              <w14:schemeClr w14:val="tx1"/>
            </w14:solidFill>
          </w14:textFill>
        </w:rPr>
        <w:t>一</w:t>
      </w:r>
      <w:r>
        <w:rPr>
          <w:rFonts w:hint="eastAsia" w:ascii="Times New Roman" w:hAnsi="Times New Roman" w:eastAsia="楷体_GB2312" w:cs="Times New Roman"/>
          <w:b w:val="0"/>
          <w:bCs/>
          <w:color w:val="000000" w:themeColor="text1"/>
          <w:kern w:val="2"/>
          <w:sz w:val="32"/>
          <w:szCs w:val="24"/>
          <w:lang w:val="en-US" w:eastAsia="zh-CN" w:bidi="ar-SA"/>
          <w14:textFill>
            <w14:solidFill>
              <w14:schemeClr w14:val="tx1"/>
            </w14:solidFill>
          </w14:textFill>
        </w:rPr>
        <w:t>）</w:t>
      </w:r>
      <w:r>
        <w:rPr>
          <w:rFonts w:hint="eastAsia" w:ascii="Times New Roman" w:hAnsi="Times New Roman" w:cs="Times New Roman"/>
          <w:b w:val="0"/>
          <w:bCs/>
          <w:color w:val="000000" w:themeColor="text1"/>
          <w:lang w:val="en-US" w:eastAsia="zh-CN"/>
          <w14:textFill>
            <w14:solidFill>
              <w14:schemeClr w14:val="tx1"/>
            </w14:solidFill>
          </w14:textFill>
        </w:rPr>
        <w:t>注重创新铸魂，促进产研双向融合</w:t>
      </w:r>
      <w:bookmarkEnd w:id="290"/>
      <w:bookmarkEnd w:id="291"/>
    </w:p>
    <w:p>
      <w:pPr>
        <w:pStyle w:val="5"/>
        <w:keepNext/>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eastAsia="仿宋_GB2312"/>
          <w:b/>
          <w:bCs w:val="0"/>
          <w:color w:val="000000" w:themeColor="text1"/>
          <w:lang w:eastAsia="zh-CN"/>
          <w14:textFill>
            <w14:solidFill>
              <w14:schemeClr w14:val="tx1"/>
            </w14:solidFill>
          </w14:textFill>
        </w:rPr>
      </w:pPr>
      <w:bookmarkStart w:id="302" w:name="_Toc11703"/>
      <w:bookmarkStart w:id="303" w:name="_Toc24328"/>
      <w:r>
        <w:rPr>
          <w:rFonts w:hint="eastAsia"/>
          <w:b/>
          <w:bCs w:val="0"/>
          <w:color w:val="000000" w:themeColor="text1"/>
          <w:lang w:val="en-US" w:eastAsia="zh-CN"/>
          <w14:textFill>
            <w14:solidFill>
              <w14:schemeClr w14:val="tx1"/>
            </w14:solidFill>
          </w14:textFill>
        </w:rPr>
        <w:t>1</w:t>
      </w:r>
      <w:r>
        <w:rPr>
          <w:rFonts w:hint="eastAsia"/>
          <w:b/>
          <w:bCs w:val="0"/>
          <w:color w:val="000000" w:themeColor="text1"/>
          <w14:textFill>
            <w14:solidFill>
              <w14:schemeClr w14:val="tx1"/>
            </w14:solidFill>
          </w14:textFill>
        </w:rPr>
        <w:t>.强化企业创新主体地位，激发</w:t>
      </w:r>
      <w:r>
        <w:rPr>
          <w:rFonts w:hint="eastAsia"/>
          <w:b/>
          <w:bCs w:val="0"/>
          <w:color w:val="000000" w:themeColor="text1"/>
          <w:lang w:val="en-US" w:eastAsia="zh-CN"/>
          <w14:textFill>
            <w14:solidFill>
              <w14:schemeClr w14:val="tx1"/>
            </w14:solidFill>
          </w14:textFill>
        </w:rPr>
        <w:t>企业</w:t>
      </w:r>
      <w:r>
        <w:rPr>
          <w:rFonts w:hint="eastAsia"/>
          <w:b/>
          <w:bCs w:val="0"/>
          <w:color w:val="000000" w:themeColor="text1"/>
          <w14:textFill>
            <w14:solidFill>
              <w14:schemeClr w14:val="tx1"/>
            </w14:solidFill>
          </w14:textFill>
        </w:rPr>
        <w:t>创新</w:t>
      </w:r>
      <w:r>
        <w:rPr>
          <w:rFonts w:hint="eastAsia"/>
          <w:b/>
          <w:bCs w:val="0"/>
          <w:color w:val="000000" w:themeColor="text1"/>
          <w:lang w:val="en-US" w:eastAsia="zh-CN"/>
          <w14:textFill>
            <w14:solidFill>
              <w14:schemeClr w14:val="tx1"/>
            </w14:solidFill>
          </w14:textFill>
        </w:rPr>
        <w:t>动能</w:t>
      </w:r>
      <w:bookmarkEnd w:id="302"/>
      <w:bookmarkEnd w:id="303"/>
    </w:p>
    <w:p>
      <w:pPr>
        <w:bidi w:val="0"/>
        <w:rPr>
          <w:rFonts w:hint="eastAsia"/>
          <w:lang w:val="en-US" w:eastAsia="zh-CN"/>
        </w:rPr>
      </w:pPr>
      <w:r>
        <w:rPr>
          <w:rFonts w:hint="eastAsia"/>
          <w:lang w:val="en-US" w:eastAsia="zh-CN"/>
        </w:rPr>
        <w:t>培优做强科技型创新主体。建立科技型企业常态化入库评价机制，遴选研发投入达标、掌握核心技术、拥有高价值成果企业入库储备，充实高新技术企业后备资源。开展企业“一对一”精准培育，围绕知识产权布局、研发费用归集等内容提供专项辅导，构建“</w:t>
      </w:r>
      <w:r>
        <w:rPr>
          <w:rFonts w:hint="eastAsia"/>
        </w:rPr>
        <w:t>培育辅导—申报帮扶—评审跟踪—认定奖补</w:t>
      </w:r>
      <w:r>
        <w:rPr>
          <w:rFonts w:hint="eastAsia"/>
          <w:lang w:val="en-US" w:eastAsia="zh-CN"/>
        </w:rPr>
        <w:t>”全流程跟踪服务体系，配套落实研发费用加计扣除等扶持政策。搭建企业创新诉求快速响应渠道，动态梳理产业创新需求清单，联动科创平台、科研院所精准匹配创新资源。</w:t>
      </w:r>
    </w:p>
    <w:p>
      <w:pPr>
        <w:bidi w:val="0"/>
        <w:rPr>
          <w:rFonts w:hint="eastAsia"/>
          <w:lang w:val="en-US" w:eastAsia="zh-CN"/>
        </w:rPr>
      </w:pPr>
      <w:r>
        <w:rPr>
          <w:rFonts w:hint="default"/>
          <w:lang w:val="en-US" w:eastAsia="zh-CN"/>
        </w:rPr>
        <w:t>提升企业自主创新能力</w:t>
      </w:r>
      <w:r>
        <w:rPr>
          <w:rFonts w:hint="eastAsia"/>
          <w:lang w:val="en-US" w:eastAsia="zh-CN"/>
        </w:rPr>
        <w:t>。</w:t>
      </w:r>
      <w:r>
        <w:rPr>
          <w:rFonts w:hint="default"/>
          <w:lang w:val="en-US" w:eastAsia="zh-CN"/>
        </w:rPr>
        <w:t>支持龙头企业</w:t>
      </w:r>
      <w:r>
        <w:rPr>
          <w:rFonts w:hint="eastAsia"/>
          <w:lang w:val="en-US" w:eastAsia="zh-CN"/>
        </w:rPr>
        <w:t>与</w:t>
      </w:r>
      <w:r>
        <w:rPr>
          <w:rFonts w:hint="default"/>
          <w:lang w:val="en-US" w:eastAsia="zh-CN"/>
        </w:rPr>
        <w:t>骨干企业</w:t>
      </w:r>
      <w:r>
        <w:rPr>
          <w:rFonts w:hint="eastAsia"/>
          <w:lang w:val="en-US" w:eastAsia="zh-CN"/>
        </w:rPr>
        <w:t>牵头承担</w:t>
      </w:r>
      <w:r>
        <w:rPr>
          <w:rFonts w:hint="default"/>
          <w:lang w:val="en-US" w:eastAsia="zh-CN"/>
        </w:rPr>
        <w:t>重大</w:t>
      </w:r>
      <w:r>
        <w:rPr>
          <w:rFonts w:hint="eastAsia"/>
          <w:lang w:val="en-US" w:eastAsia="zh-CN"/>
        </w:rPr>
        <w:t>研发项目和</w:t>
      </w:r>
      <w:r>
        <w:rPr>
          <w:rFonts w:hint="default"/>
          <w:lang w:val="en-US" w:eastAsia="zh-CN"/>
        </w:rPr>
        <w:t>科技任务，争创省级、国家级科</w:t>
      </w:r>
      <w:r>
        <w:rPr>
          <w:rFonts w:hint="eastAsia"/>
        </w:rPr>
        <w:t>学技术</w:t>
      </w:r>
      <w:r>
        <w:rPr>
          <w:rFonts w:hint="default"/>
          <w:lang w:val="en-US" w:eastAsia="zh-CN"/>
        </w:rPr>
        <w:t>奖励。完善研发机构</w:t>
      </w:r>
      <w:r>
        <w:rPr>
          <w:rFonts w:hint="eastAsia"/>
          <w:lang w:val="en-US" w:eastAsia="zh-CN"/>
        </w:rPr>
        <w:t>体系</w:t>
      </w:r>
      <w:r>
        <w:rPr>
          <w:rFonts w:hint="default"/>
          <w:lang w:val="en-US" w:eastAsia="zh-CN"/>
        </w:rPr>
        <w:t>建设，引导</w:t>
      </w:r>
      <w:r>
        <w:rPr>
          <w:rFonts w:hint="eastAsia"/>
          <w:lang w:val="en-US" w:eastAsia="zh-CN"/>
        </w:rPr>
        <w:t>行业领军</w:t>
      </w:r>
      <w:r>
        <w:rPr>
          <w:rFonts w:hint="default"/>
          <w:lang w:val="en-US" w:eastAsia="zh-CN"/>
        </w:rPr>
        <w:t>企业</w:t>
      </w:r>
      <w:r>
        <w:rPr>
          <w:rFonts w:hint="eastAsia"/>
          <w:lang w:val="en-US" w:eastAsia="zh-CN"/>
        </w:rPr>
        <w:t>自主</w:t>
      </w:r>
      <w:r>
        <w:rPr>
          <w:rFonts w:hint="default"/>
          <w:lang w:val="en-US" w:eastAsia="zh-CN"/>
        </w:rPr>
        <w:t>建设企业重点实验室、技术创新中心、工程研究中心等省级及以上研发平台</w:t>
      </w:r>
      <w:r>
        <w:rPr>
          <w:rFonts w:hint="eastAsia"/>
          <w:lang w:val="en-US" w:eastAsia="zh-CN"/>
        </w:rPr>
        <w:t>。引导</w:t>
      </w:r>
      <w:r>
        <w:rPr>
          <w:rFonts w:hint="default"/>
          <w:lang w:val="en-US" w:eastAsia="zh-CN"/>
        </w:rPr>
        <w:t>企业持续</w:t>
      </w:r>
      <w:r>
        <w:rPr>
          <w:rFonts w:hint="eastAsia"/>
          <w:lang w:val="en-US" w:eastAsia="zh-CN"/>
        </w:rPr>
        <w:t>研发</w:t>
      </w:r>
      <w:r>
        <w:rPr>
          <w:rFonts w:hint="default"/>
          <w:lang w:val="en-US" w:eastAsia="zh-CN"/>
        </w:rPr>
        <w:t>具有自主知识产权</w:t>
      </w:r>
      <w:r>
        <w:rPr>
          <w:rFonts w:hint="eastAsia"/>
          <w:lang w:val="en-US" w:eastAsia="zh-CN"/>
        </w:rPr>
        <w:t>的核心</w:t>
      </w:r>
      <w:r>
        <w:rPr>
          <w:rFonts w:hint="default"/>
          <w:lang w:val="en-US" w:eastAsia="zh-CN"/>
        </w:rPr>
        <w:t>产品</w:t>
      </w:r>
      <w:r>
        <w:rPr>
          <w:rFonts w:hint="eastAsia"/>
          <w:lang w:eastAsia="zh-CN"/>
        </w:rPr>
        <w:t>、</w:t>
      </w:r>
      <w:r>
        <w:rPr>
          <w:rFonts w:hint="default"/>
          <w:lang w:val="en-US" w:eastAsia="zh-CN"/>
        </w:rPr>
        <w:t>关键技术</w:t>
      </w:r>
      <w:r>
        <w:rPr>
          <w:rFonts w:hint="eastAsia"/>
          <w:lang w:val="en-US" w:eastAsia="zh-CN"/>
        </w:rPr>
        <w:t>，</w:t>
      </w:r>
      <w:r>
        <w:rPr>
          <w:rFonts w:hint="default"/>
          <w:lang w:val="en-US" w:eastAsia="zh-CN"/>
        </w:rPr>
        <w:t>主导或参与制定国际、国家及行业技术标准，培育一批市场认可度高、具备全球竞争力的制造业自主品牌，支持企业参与国内外知名行业展会、品牌推广项目</w:t>
      </w:r>
      <w:r>
        <w:rPr>
          <w:rFonts w:hint="eastAsia"/>
          <w:lang w:val="en-US" w:eastAsia="zh-CN"/>
        </w:rPr>
        <w:t>。</w:t>
      </w:r>
    </w:p>
    <w:p>
      <w:pPr>
        <w:pStyle w:val="5"/>
        <w:keepNext/>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Times New Roman"/>
          <w:b/>
          <w:color w:val="000000" w:themeColor="text1"/>
          <w:kern w:val="2"/>
          <w:sz w:val="32"/>
          <w:szCs w:val="24"/>
          <w:lang w:val="en-US" w:eastAsia="zh-CN" w:bidi="ar-SA"/>
          <w14:textFill>
            <w14:solidFill>
              <w14:schemeClr w14:val="tx1"/>
            </w14:solidFill>
          </w14:textFill>
        </w:rPr>
      </w:pPr>
      <w:bookmarkStart w:id="304" w:name="_Toc22909"/>
      <w:bookmarkStart w:id="305" w:name="_Toc8690"/>
      <w:r>
        <w:rPr>
          <w:rFonts w:hint="eastAsia"/>
          <w:b/>
          <w:bCs w:val="0"/>
          <w:color w:val="000000" w:themeColor="text1"/>
          <w:lang w:val="en-US" w:eastAsia="zh-CN"/>
          <w14:textFill>
            <w14:solidFill>
              <w14:schemeClr w14:val="tx1"/>
            </w14:solidFill>
          </w14:textFill>
        </w:rPr>
        <w:t>2.</w:t>
      </w:r>
      <w:r>
        <w:rPr>
          <w:rFonts w:hint="eastAsia"/>
          <w:b/>
          <w:bCs w:val="0"/>
          <w:color w:val="000000" w:themeColor="text1"/>
          <w14:textFill>
            <w14:solidFill>
              <w14:schemeClr w14:val="tx1"/>
            </w14:solidFill>
          </w14:textFill>
        </w:rPr>
        <w:t>构建高效创新平台体系，加快完</w:t>
      </w:r>
      <w:r>
        <w:rPr>
          <w:rFonts w:hint="eastAsia" w:ascii="Times New Roman" w:hAnsi="Times New Roman" w:eastAsia="仿宋_GB2312" w:cs="Times New Roman"/>
          <w:b/>
          <w:color w:val="000000" w:themeColor="text1"/>
          <w:kern w:val="2"/>
          <w:sz w:val="32"/>
          <w:szCs w:val="24"/>
          <w:lang w:val="en-US" w:eastAsia="zh-CN" w:bidi="ar-SA"/>
          <w14:textFill>
            <w14:solidFill>
              <w14:schemeClr w14:val="tx1"/>
            </w14:solidFill>
          </w14:textFill>
        </w:rPr>
        <w:t>善创新生态</w:t>
      </w:r>
      <w:bookmarkEnd w:id="304"/>
      <w:bookmarkEnd w:id="305"/>
    </w:p>
    <w:p>
      <w:pPr>
        <w:bidi w:val="0"/>
        <w:rPr>
          <w:rFonts w:hint="eastAsia"/>
          <w:lang w:val="en-US" w:eastAsia="zh-CN"/>
        </w:rPr>
      </w:pPr>
      <w:r>
        <w:rPr>
          <w:rFonts w:hint="eastAsia"/>
          <w:lang w:val="en-US" w:eastAsia="zh-CN"/>
        </w:rPr>
        <w:t>提质升级重大科创平台。做强红海湾实验室、南海海缆省重点实验室、信利省重点实验室、汕尾中大海洋科学院等重点创新平台，聚焦深海装备制造、海洋生物资源、半导体开发等前沿领域，围绕核能制氢、高性能纤维复合材料、先进储能等领域实施核心技术攻关专项，谋划深海装备测试与应用示范基地建设，强化原始创新策源能力。前瞻布局创新载体，深化校地合作，联合东北电力大学共建海洋综合能源实验室；紧盯龙头企业创新需求，加快落地比亚迪汽车研发试验基地，提升技术中试验证与成果产业化</w:t>
      </w:r>
      <w:r>
        <w:rPr>
          <w:rFonts w:hint="eastAsia"/>
        </w:rPr>
        <w:t>落地效能</w:t>
      </w:r>
      <w:r>
        <w:rPr>
          <w:rFonts w:hint="eastAsia"/>
          <w:lang w:val="en-US" w:eastAsia="zh-CN"/>
        </w:rPr>
        <w:t>，打造一批产业技术示范应用场景。</w:t>
      </w:r>
    </w:p>
    <w:p>
      <w:pPr>
        <w:bidi w:val="0"/>
        <w:rPr>
          <w:rFonts w:hint="eastAsia" w:ascii="Times New Roman" w:hAnsi="Times New Roman" w:cs="Times New Roman"/>
          <w:color w:val="000000" w:themeColor="text1"/>
          <w:lang w:val="en-US" w:eastAsia="zh-CN"/>
          <w14:textFill>
            <w14:solidFill>
              <w14:schemeClr w14:val="tx1"/>
            </w14:solidFill>
          </w14:textFill>
        </w:rPr>
      </w:pPr>
      <w:r>
        <w:rPr>
          <w:rFonts w:hint="eastAsia"/>
          <w:lang w:val="en-US" w:eastAsia="zh-CN"/>
        </w:rPr>
        <w:t>组建产业创新联合体。</w:t>
      </w:r>
      <w:r>
        <w:rPr>
          <w:rFonts w:hint="default"/>
          <w:lang w:val="en-US" w:eastAsia="zh-CN"/>
        </w:rPr>
        <w:t>以产业链龙头企业、领军企业为牵引，围绕产业链、创新链堵点难点，系统梳理核心技术需求，统筹整合高校院所、上下游配套企业</w:t>
      </w:r>
      <w:r>
        <w:rPr>
          <w:rFonts w:hint="eastAsia"/>
          <w:lang w:val="en-US" w:eastAsia="zh-CN"/>
        </w:rPr>
        <w:t>、行业创新资源</w:t>
      </w:r>
      <w:r>
        <w:rPr>
          <w:rFonts w:hint="default"/>
          <w:lang w:val="en-US" w:eastAsia="zh-CN"/>
        </w:rPr>
        <w:t>，牵头组建专业化、市</w:t>
      </w:r>
      <w:r>
        <w:rPr>
          <w:rFonts w:hint="default" w:ascii="Times New Roman" w:hAnsi="Times New Roman" w:cs="Times New Roman"/>
          <w:color w:val="000000" w:themeColor="text1"/>
          <w:lang w:val="en-US" w:eastAsia="zh-CN"/>
          <w14:textFill>
            <w14:solidFill>
              <w14:schemeClr w14:val="tx1"/>
            </w14:solidFill>
          </w14:textFill>
        </w:rPr>
        <w:t>场化产业创新联合体</w:t>
      </w:r>
      <w:r>
        <w:rPr>
          <w:rFonts w:hint="eastAsia" w:ascii="Times New Roman" w:hAnsi="Times New Roman" w:cs="Times New Roman"/>
          <w:color w:val="000000" w:themeColor="text1"/>
          <w:lang w:val="en-US" w:eastAsia="zh-CN"/>
          <w14:textFill>
            <w14:solidFill>
              <w14:schemeClr w14:val="tx1"/>
            </w14:solidFill>
          </w14:textFill>
        </w:rPr>
        <w:t>。依托联合体资源优势，联合共建省级及以上工程技术研究中心、新型研发机构等创新载体，建立产学研用协同攻关机制，常态化开展共性、核心技术联合攻</w:t>
      </w:r>
      <w:r>
        <w:rPr>
          <w:rFonts w:hint="eastAsia" w:cs="Times New Roman"/>
          <w:color w:val="000000" w:themeColor="text1"/>
          <w:lang w:val="en-US" w:eastAsia="zh-CN"/>
          <w14:textFill>
            <w14:solidFill>
              <w14:schemeClr w14:val="tx1"/>
            </w14:solidFill>
          </w14:textFill>
        </w:rPr>
        <w:t>关</w:t>
      </w:r>
      <w:r>
        <w:rPr>
          <w:rFonts w:hint="eastAsia" w:ascii="Times New Roman" w:hAnsi="Times New Roman" w:cs="Times New Roman"/>
          <w:color w:val="000000" w:themeColor="text1"/>
          <w:lang w:val="en-US" w:eastAsia="zh-CN"/>
          <w14:textFill>
            <w14:solidFill>
              <w14:schemeClr w14:val="tx1"/>
            </w14:solidFill>
          </w14:textFill>
        </w:rPr>
        <w:t>，加速科技成果示范应用与产业化落地，推动创新链、产业链、资金链、人才链深度融合，全面提升产业整体创新能力和核心竞争力。</w:t>
      </w:r>
    </w:p>
    <w:p>
      <w:pPr>
        <w:pStyle w:val="21"/>
        <w:keepNext w:val="0"/>
        <w:keepLines w:val="0"/>
        <w:pageBreakBefore w:val="0"/>
        <w:widowControl w:val="0"/>
        <w:kinsoku/>
        <w:wordWrap/>
        <w:overflowPunct/>
        <w:topLinePunct w:val="0"/>
        <w:autoSpaceDE/>
        <w:autoSpaceDN/>
        <w:bidi w:val="0"/>
        <w:adjustRightInd/>
        <w:snapToGrid/>
        <w:spacing w:after="0" w:line="560" w:lineRule="exact"/>
        <w:ind w:left="0" w:leftChars="0" w:firstLine="642" w:firstLineChars="200"/>
        <w:textAlignment w:val="auto"/>
        <w:outlineLvl w:val="2"/>
        <w:rPr>
          <w:rFonts w:hint="eastAsia" w:ascii="Times New Roman" w:hAnsi="Times New Roman" w:cs="Times New Roman"/>
          <w:b/>
          <w:bCs w:val="0"/>
          <w:color w:val="000000" w:themeColor="text1"/>
          <w:lang w:val="en-US" w:eastAsia="zh-CN"/>
          <w14:textFill>
            <w14:solidFill>
              <w14:schemeClr w14:val="tx1"/>
            </w14:solidFill>
          </w14:textFill>
        </w:rPr>
      </w:pPr>
      <w:bookmarkStart w:id="306" w:name="_Toc11638"/>
      <w:bookmarkStart w:id="307" w:name="_Toc14043"/>
      <w:r>
        <w:rPr>
          <w:rFonts w:hint="eastAsia" w:cs="Times New Roman"/>
          <w:b/>
          <w:bCs w:val="0"/>
          <w:color w:val="000000" w:themeColor="text1"/>
          <w:lang w:val="en-US" w:eastAsia="zh-CN"/>
          <w14:textFill>
            <w14:solidFill>
              <w14:schemeClr w14:val="tx1"/>
            </w14:solidFill>
          </w14:textFill>
        </w:rPr>
        <w:t>3.</w:t>
      </w:r>
      <w:r>
        <w:rPr>
          <w:rFonts w:hint="eastAsia" w:ascii="Times New Roman" w:hAnsi="Times New Roman" w:cs="Times New Roman"/>
          <w:b/>
          <w:bCs w:val="0"/>
          <w:color w:val="000000" w:themeColor="text1"/>
          <w:lang w:val="en-US" w:eastAsia="zh-CN"/>
          <w14:textFill>
            <w14:solidFill>
              <w14:schemeClr w14:val="tx1"/>
            </w14:solidFill>
          </w14:textFill>
        </w:rPr>
        <w:t>完善创新服务体系，激发</w:t>
      </w:r>
      <w:r>
        <w:rPr>
          <w:rFonts w:hint="eastAsia" w:cs="Times New Roman"/>
          <w:b/>
          <w:bCs w:val="0"/>
          <w:color w:val="000000" w:themeColor="text1"/>
          <w:lang w:val="en-US" w:eastAsia="zh-CN"/>
          <w14:textFill>
            <w14:solidFill>
              <w14:schemeClr w14:val="tx1"/>
            </w14:solidFill>
          </w14:textFill>
        </w:rPr>
        <w:t>社会</w:t>
      </w:r>
      <w:r>
        <w:rPr>
          <w:rFonts w:hint="eastAsia" w:ascii="Times New Roman" w:hAnsi="Times New Roman" w:cs="Times New Roman"/>
          <w:b/>
          <w:bCs w:val="0"/>
          <w:color w:val="000000" w:themeColor="text1"/>
          <w:lang w:val="en-US" w:eastAsia="zh-CN"/>
          <w14:textFill>
            <w14:solidFill>
              <w14:schemeClr w14:val="tx1"/>
            </w14:solidFill>
          </w14:textFill>
        </w:rPr>
        <w:t>创新活力</w:t>
      </w:r>
      <w:bookmarkEnd w:id="306"/>
      <w:bookmarkEnd w:id="307"/>
    </w:p>
    <w:p>
      <w:pPr>
        <w:bidi w:val="0"/>
        <w:rPr>
          <w:rFonts w:hint="eastAsia"/>
          <w:lang w:val="en-US" w:eastAsia="zh-CN"/>
        </w:rPr>
      </w:pPr>
      <w:r>
        <w:rPr>
          <w:rFonts w:hint="eastAsia" w:ascii="Times New Roman" w:hAnsi="Times New Roman" w:cs="Times New Roman"/>
          <w:color w:val="000000" w:themeColor="text1"/>
          <w:lang w:val="en-US" w:eastAsia="zh-CN"/>
          <w14:textFill>
            <w14:solidFill>
              <w14:schemeClr w14:val="tx1"/>
            </w14:solidFill>
          </w14:textFill>
        </w:rPr>
        <w:t>提升公共技术服务能力。</w:t>
      </w:r>
      <w:r>
        <w:rPr>
          <w:rFonts w:hint="default"/>
          <w:color w:val="000000" w:themeColor="text1"/>
          <w:lang w:val="en-US" w:eastAsia="zh-CN"/>
          <w14:textFill>
            <w14:solidFill>
              <w14:schemeClr w14:val="tx1"/>
            </w14:solidFill>
          </w14:textFill>
        </w:rPr>
        <w:t>加快建设汕尾市质量基础设施</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一</w:t>
      </w:r>
      <w:r>
        <w:rPr>
          <w:rFonts w:hint="default"/>
          <w:lang w:val="en-US" w:eastAsia="zh-CN"/>
        </w:rPr>
        <w:t>站式</w:t>
      </w:r>
      <w:r>
        <w:rPr>
          <w:rFonts w:hint="eastAsia"/>
          <w:lang w:val="en-US" w:eastAsia="zh-CN"/>
        </w:rPr>
        <w:t>”</w:t>
      </w:r>
      <w:r>
        <w:rPr>
          <w:rFonts w:hint="default"/>
          <w:lang w:val="en-US" w:eastAsia="zh-CN"/>
        </w:rPr>
        <w:t>服务平台</w:t>
      </w:r>
      <w:r>
        <w:rPr>
          <w:rFonts w:hint="eastAsia"/>
          <w:lang w:val="en-US" w:eastAsia="zh-CN"/>
        </w:rPr>
        <w:t>，推进</w:t>
      </w:r>
      <w:r>
        <w:rPr>
          <w:rFonts w:hint="default"/>
          <w:lang w:val="en-US" w:eastAsia="zh-CN"/>
        </w:rPr>
        <w:t>广东省质量监督海洋食品检验站</w:t>
      </w:r>
      <w:r>
        <w:rPr>
          <w:rFonts w:hint="eastAsia"/>
          <w:lang w:val="en-US" w:eastAsia="zh-CN"/>
        </w:rPr>
        <w:t>（</w:t>
      </w:r>
      <w:r>
        <w:rPr>
          <w:rFonts w:hint="default"/>
          <w:lang w:val="en-US" w:eastAsia="zh-CN"/>
        </w:rPr>
        <w:t>汕尾</w:t>
      </w:r>
      <w:r>
        <w:rPr>
          <w:rFonts w:hint="eastAsia"/>
          <w:lang w:val="en-US" w:eastAsia="zh-CN"/>
        </w:rPr>
        <w:t>）</w:t>
      </w:r>
      <w:r>
        <w:rPr>
          <w:rFonts w:hint="default"/>
          <w:lang w:val="en-US" w:eastAsia="zh-CN"/>
        </w:rPr>
        <w:t>、广东省医疗器械产业计量测试中心建设，</w:t>
      </w:r>
      <w:r>
        <w:rPr>
          <w:rFonts w:hint="eastAsia"/>
          <w:lang w:val="en-US" w:eastAsia="zh-CN"/>
        </w:rPr>
        <w:t>统筹</w:t>
      </w:r>
      <w:r>
        <w:rPr>
          <w:rFonts w:hint="default"/>
          <w:lang w:val="en-US" w:eastAsia="zh-CN"/>
        </w:rPr>
        <w:t>整合计量、标准、检验检测、认证认可等资源，夯实汕尾制造业质量发展基础。</w:t>
      </w:r>
      <w:r>
        <w:rPr>
          <w:rFonts w:hint="eastAsia"/>
          <w:lang w:val="en-US" w:eastAsia="zh-CN"/>
        </w:rPr>
        <w:t>开展质量技术帮扶“巡回问诊”，组织技术专家入企提供全链条服务，推行“首席质量官”制度，引导企业健全计量管理体系，切实降低企业质量提升成本。</w:t>
      </w:r>
    </w:p>
    <w:p>
      <w:pPr>
        <w:bidi w:val="0"/>
        <w:rPr>
          <w:rFonts w:hint="eastAsia"/>
          <w:lang w:val="en-US" w:eastAsia="zh-CN"/>
        </w:rPr>
      </w:pPr>
      <w:r>
        <w:rPr>
          <w:rFonts w:hint="eastAsia"/>
          <w:lang w:val="en-US" w:eastAsia="zh-CN"/>
        </w:rPr>
        <w:t>深化创新人才引育。探索建立</w:t>
      </w:r>
      <w:r>
        <w:rPr>
          <w:rFonts w:hint="eastAsia"/>
        </w:rPr>
        <w:t>柔性合作机制</w:t>
      </w:r>
      <w:r>
        <w:rPr>
          <w:rFonts w:hint="eastAsia"/>
          <w:lang w:eastAsia="zh-CN"/>
        </w:rPr>
        <w:t>，</w:t>
      </w:r>
      <w:r>
        <w:rPr>
          <w:rFonts w:hint="eastAsia"/>
          <w:lang w:val="en-US" w:eastAsia="zh-CN"/>
        </w:rPr>
        <w:t>拓宽创新人才招引渠道，鼓励市外专家、</w:t>
      </w:r>
      <w:r>
        <w:rPr>
          <w:rFonts w:hint="eastAsia"/>
        </w:rPr>
        <w:t>技术骨干以顾问</w:t>
      </w:r>
      <w:r>
        <w:rPr>
          <w:rFonts w:hint="eastAsia"/>
          <w:lang w:val="en-US" w:eastAsia="zh-CN"/>
        </w:rPr>
        <w:t>指导</w:t>
      </w:r>
      <w:r>
        <w:rPr>
          <w:rFonts w:hint="eastAsia"/>
        </w:rPr>
        <w:t>、项目合作等</w:t>
      </w:r>
      <w:r>
        <w:rPr>
          <w:rFonts w:hint="eastAsia"/>
          <w:lang w:val="en-US" w:eastAsia="zh-CN"/>
        </w:rPr>
        <w:t>方</w:t>
      </w:r>
      <w:r>
        <w:rPr>
          <w:rFonts w:hint="eastAsia"/>
        </w:rPr>
        <w:t>式服务本地企业，</w:t>
      </w:r>
      <w:r>
        <w:rPr>
          <w:rFonts w:hint="eastAsia"/>
          <w:lang w:val="en-US" w:eastAsia="zh-CN"/>
        </w:rPr>
        <w:t>推动</w:t>
      </w:r>
      <w:r>
        <w:rPr>
          <w:rFonts w:hint="eastAsia"/>
        </w:rPr>
        <w:t>人才与产业双向赋能</w:t>
      </w:r>
      <w:r>
        <w:rPr>
          <w:rFonts w:hint="eastAsia"/>
          <w:lang w:eastAsia="zh-CN"/>
        </w:rPr>
        <w:t>。</w:t>
      </w:r>
      <w:r>
        <w:rPr>
          <w:rFonts w:hint="eastAsia"/>
          <w:lang w:val="en-US" w:eastAsia="zh-CN"/>
        </w:rPr>
        <w:t>推进产教融合，系统培养应用型人才，依托华南师范大学汕尾校区、</w:t>
      </w:r>
      <w:r>
        <w:rPr>
          <w:rFonts w:hint="eastAsia"/>
        </w:rPr>
        <w:t>汕尾职业技术学院、汕尾技师学院，围绕</w:t>
      </w:r>
      <w:r>
        <w:rPr>
          <w:rFonts w:hint="eastAsia"/>
          <w:lang w:val="en-US" w:eastAsia="zh-CN"/>
        </w:rPr>
        <w:t>汕尾</w:t>
      </w:r>
      <w:r>
        <w:rPr>
          <w:rFonts w:hint="eastAsia"/>
        </w:rPr>
        <w:t>产业</w:t>
      </w:r>
      <w:r>
        <w:rPr>
          <w:rFonts w:hint="eastAsia"/>
          <w:lang w:val="en-US" w:eastAsia="zh-CN"/>
        </w:rPr>
        <w:t>发展趋势</w:t>
      </w:r>
      <w:r>
        <w:rPr>
          <w:rFonts w:hint="eastAsia"/>
        </w:rPr>
        <w:t>优化专业设置，</w:t>
      </w:r>
      <w:r>
        <w:rPr>
          <w:rFonts w:hint="eastAsia"/>
          <w:lang w:val="en-US" w:eastAsia="zh-CN"/>
        </w:rPr>
        <w:t>联合企业</w:t>
      </w:r>
      <w:r>
        <w:rPr>
          <w:rFonts w:hint="eastAsia"/>
        </w:rPr>
        <w:t>共建实训基地，打造高技能人才培养与现代技工教育示范点，规模化培育输送本土高素质</w:t>
      </w:r>
      <w:r>
        <w:rPr>
          <w:rFonts w:hint="eastAsia"/>
          <w:lang w:val="en-US" w:eastAsia="zh-CN"/>
        </w:rPr>
        <w:t>产业</w:t>
      </w:r>
      <w:r>
        <w:rPr>
          <w:rFonts w:hint="eastAsia"/>
        </w:rPr>
        <w:t>应用型人才</w:t>
      </w:r>
      <w:r>
        <w:rPr>
          <w:rFonts w:hint="eastAsia"/>
          <w:lang w:val="en-US" w:eastAsia="zh-CN"/>
        </w:rPr>
        <w:t>。</w:t>
      </w:r>
    </w:p>
    <w:p>
      <w:pPr>
        <w:bidi w:val="0"/>
        <w:rPr>
          <w:rFonts w:hint="eastAsia" w:ascii="Times New Roman" w:hAnsi="Times New Roman" w:eastAsia="仿宋_GB2312" w:cs="Times New Roman"/>
          <w:color w:val="000000" w:themeColor="text1"/>
          <w:szCs w:val="32"/>
          <w:highlight w:val="none"/>
          <w:lang w:val="en-US" w:eastAsia="zh-CN"/>
          <w14:textFill>
            <w14:solidFill>
              <w14:schemeClr w14:val="tx1"/>
            </w14:solidFill>
          </w14:textFill>
        </w:rPr>
      </w:pPr>
      <w:r>
        <w:rPr>
          <w:rFonts w:hint="eastAsia"/>
          <w:lang w:val="en-US" w:eastAsia="zh-CN"/>
        </w:rPr>
        <w:t>优化科技金融服务</w:t>
      </w:r>
      <w:r>
        <w:rPr>
          <w:rFonts w:hint="eastAsia"/>
        </w:rPr>
        <w:t>。引导银行机构加大对科技企业信贷支持力度，依托“创新积分制”</w:t>
      </w:r>
      <w:r>
        <w:rPr>
          <w:rFonts w:hint="eastAsia"/>
          <w:lang w:val="en-US" w:eastAsia="zh-CN"/>
        </w:rPr>
        <w:t>等</w:t>
      </w:r>
      <w:r>
        <w:rPr>
          <w:rFonts w:hint="eastAsia"/>
        </w:rPr>
        <w:t>创新工具精准量化企业创新能力，开发</w:t>
      </w:r>
      <w:r>
        <w:rPr>
          <w:rFonts w:hint="eastAsia"/>
          <w:lang w:eastAsia="zh-CN"/>
        </w:rPr>
        <w:t>“创新积分贷”</w:t>
      </w:r>
      <w:r>
        <w:rPr>
          <w:rFonts w:hint="eastAsia"/>
        </w:rPr>
        <w:t>等</w:t>
      </w:r>
      <w:r>
        <w:rPr>
          <w:rFonts w:hint="eastAsia"/>
          <w:lang w:val="en-US" w:eastAsia="zh-CN"/>
        </w:rPr>
        <w:t>专属</w:t>
      </w:r>
      <w:r>
        <w:rPr>
          <w:rFonts w:hint="eastAsia"/>
        </w:rPr>
        <w:t>金融产品</w:t>
      </w:r>
      <w:r>
        <w:rPr>
          <w:rFonts w:hint="eastAsia"/>
          <w:lang w:eastAsia="zh-CN"/>
        </w:rPr>
        <w:t>，</w:t>
      </w:r>
      <w:r>
        <w:rPr>
          <w:rFonts w:hint="eastAsia"/>
          <w:lang w:val="en-US" w:eastAsia="zh-CN"/>
        </w:rPr>
        <w:t>为企业投放无抵押信用贷款</w:t>
      </w:r>
      <w:r>
        <w:rPr>
          <w:rFonts w:hint="eastAsia"/>
          <w:lang w:eastAsia="zh-CN"/>
        </w:rPr>
        <w:t>，</w:t>
      </w:r>
      <w:r>
        <w:rPr>
          <w:rFonts w:hint="eastAsia"/>
          <w:lang w:val="en-US" w:eastAsia="zh-CN"/>
        </w:rPr>
        <w:t>拓展</w:t>
      </w:r>
      <w:r>
        <w:rPr>
          <w:rFonts w:hint="eastAsia"/>
        </w:rPr>
        <w:t>供应链融资、应收账款融资等信贷模式，扩大知识产权质押融资业务规模</w:t>
      </w:r>
      <w:r>
        <w:rPr>
          <w:rFonts w:hint="eastAsia"/>
          <w:lang w:eastAsia="zh-CN"/>
        </w:rPr>
        <w:t>，有效破解科技企业融资难题。丰富科技保险产品供给，</w:t>
      </w:r>
      <w:r>
        <w:rPr>
          <w:rFonts w:hint="eastAsia"/>
          <w:lang w:val="en-US" w:eastAsia="zh-CN"/>
        </w:rPr>
        <w:t>推广产品研发责任、研发设备、专利执行、</w:t>
      </w:r>
      <w:r>
        <w:rPr>
          <w:rFonts w:hint="eastAsia"/>
          <w:lang w:eastAsia="zh-CN"/>
        </w:rPr>
        <w:t>成果转化、高新技术企业认定申请费用等品类科技保险产品，为企</w:t>
      </w:r>
      <w:r>
        <w:rPr>
          <w:rFonts w:hint="eastAsia"/>
          <w:color w:val="000000" w:themeColor="text1"/>
          <w:lang w:eastAsia="zh-CN"/>
          <w14:textFill>
            <w14:solidFill>
              <w14:schemeClr w14:val="tx1"/>
            </w14:solidFill>
          </w14:textFill>
        </w:rPr>
        <w:t>业关键核心技术攻关提供风险保障。</w:t>
      </w:r>
    </w:p>
    <w:p>
      <w:pPr>
        <w:pStyle w:val="4"/>
        <w:keepNext/>
        <w:keepLines/>
        <w:pageBreakBefore w:val="0"/>
        <w:widowControl w:val="0"/>
        <w:numPr>
          <w:ilvl w:val="0"/>
          <w:numId w:val="2"/>
        </w:numPr>
        <w:kinsoku/>
        <w:wordWrap/>
        <w:overflowPunct/>
        <w:topLinePunct w:val="0"/>
        <w:autoSpaceDE/>
        <w:autoSpaceDN/>
        <w:bidi w:val="0"/>
        <w:adjustRightInd w:val="0"/>
        <w:snapToGrid w:val="0"/>
        <w:spacing w:line="560" w:lineRule="exact"/>
        <w:ind w:firstLine="642" w:firstLineChars="200"/>
        <w:textAlignment w:val="auto"/>
        <w:rPr>
          <w:rFonts w:hint="eastAsia" w:ascii="Times New Roman" w:hAnsi="Times New Roman" w:cs="Times New Roman"/>
          <w:b w:val="0"/>
          <w:bCs/>
          <w:color w:val="000000" w:themeColor="text1"/>
          <w:lang w:val="en-US" w:eastAsia="zh-CN"/>
          <w14:textFill>
            <w14:solidFill>
              <w14:schemeClr w14:val="tx1"/>
            </w14:solidFill>
          </w14:textFill>
        </w:rPr>
      </w:pPr>
      <w:bookmarkStart w:id="308" w:name="_Toc20932"/>
      <w:bookmarkStart w:id="309" w:name="_Toc22320"/>
      <w:r>
        <w:rPr>
          <w:rFonts w:hint="eastAsia" w:cs="Times New Roman"/>
          <w:b/>
          <w:bCs w:val="0"/>
          <w:color w:val="000000" w:themeColor="text1"/>
          <w:lang w:val="en-US" w:eastAsia="zh-CN"/>
          <w14:textFill>
            <w14:solidFill>
              <w14:schemeClr w14:val="tx1"/>
            </w14:solidFill>
          </w14:textFill>
        </w:rPr>
        <w:t>聚焦人工智能，驱动工业提质升级</w:t>
      </w:r>
      <w:bookmarkEnd w:id="308"/>
      <w:bookmarkEnd w:id="309"/>
    </w:p>
    <w:p>
      <w:pPr>
        <w:keepNext/>
        <w:keepLines w:val="0"/>
        <w:pageBreakBefore w:val="0"/>
        <w:widowControl w:val="0"/>
        <w:kinsoku/>
        <w:wordWrap/>
        <w:overflowPunct/>
        <w:topLinePunct w:val="0"/>
        <w:autoSpaceDE/>
        <w:autoSpaceDN/>
        <w:bidi w:val="0"/>
        <w:adjustRightInd/>
        <w:snapToGrid/>
        <w:spacing w:line="560" w:lineRule="exact"/>
        <w:ind w:firstLine="643"/>
        <w:textAlignment w:val="auto"/>
        <w:outlineLvl w:val="2"/>
        <w:rPr>
          <w:rFonts w:hint="default" w:ascii="Times New Roman" w:hAnsi="Times New Roman" w:eastAsia="仿宋_GB2312" w:cs="Times New Roman"/>
          <w:b/>
          <w:bCs/>
          <w:color w:val="000000" w:themeColor="text1"/>
          <w:lang w:val="en-US" w:eastAsia="zh-CN"/>
          <w14:textFill>
            <w14:solidFill>
              <w14:schemeClr w14:val="tx1"/>
            </w14:solidFill>
          </w14:textFill>
        </w:rPr>
      </w:pPr>
      <w:bookmarkStart w:id="310" w:name="_Toc10441"/>
      <w:bookmarkStart w:id="311" w:name="_Toc23037"/>
      <w:r>
        <w:rPr>
          <w:rFonts w:hint="eastAsia" w:cs="Times New Roman"/>
          <w:b/>
          <w:bCs/>
          <w:color w:val="000000" w:themeColor="text1"/>
          <w:lang w:val="en-US" w:eastAsia="zh-CN"/>
          <w14:textFill>
            <w14:solidFill>
              <w14:schemeClr w14:val="tx1"/>
            </w14:solidFill>
          </w14:textFill>
        </w:rPr>
        <w:t>4</w:t>
      </w:r>
      <w:r>
        <w:rPr>
          <w:rFonts w:hint="eastAsia" w:ascii="Times New Roman" w:hAnsi="Times New Roman" w:cs="Times New Roman"/>
          <w:b/>
          <w:bCs/>
          <w:color w:val="000000" w:themeColor="text1"/>
          <w:lang w:val="en-US" w:eastAsia="zh-CN"/>
          <w14:textFill>
            <w14:solidFill>
              <w14:schemeClr w14:val="tx1"/>
            </w14:solidFill>
          </w14:textFill>
        </w:rPr>
        <w:t>.</w:t>
      </w:r>
      <w:r>
        <w:rPr>
          <w:rFonts w:ascii="Times New Roman" w:hAnsi="Times New Roman" w:cs="Times New Roman"/>
          <w:b/>
          <w:bCs/>
          <w:color w:val="000000" w:themeColor="text1"/>
          <w14:textFill>
            <w14:solidFill>
              <w14:schemeClr w14:val="tx1"/>
            </w14:solidFill>
          </w14:textFill>
        </w:rPr>
        <w:t>推进人工智能赋能</w:t>
      </w:r>
      <w:r>
        <w:rPr>
          <w:rFonts w:hint="eastAsia" w:ascii="Times New Roman" w:hAnsi="Times New Roman" w:cs="Times New Roman"/>
          <w:b/>
          <w:bCs/>
          <w:color w:val="000000" w:themeColor="text1"/>
          <w:lang w:val="en-US" w:eastAsia="zh-CN"/>
          <w14:textFill>
            <w14:solidFill>
              <w14:schemeClr w14:val="tx1"/>
            </w14:solidFill>
          </w14:textFill>
        </w:rPr>
        <w:t>产业发展</w:t>
      </w:r>
      <w:bookmarkEnd w:id="310"/>
      <w:bookmarkEnd w:id="311"/>
    </w:p>
    <w:p>
      <w:pPr>
        <w:bidi w:val="0"/>
        <w:rPr>
          <w:rFonts w:hint="eastAsia"/>
          <w:lang w:val="en-US" w:eastAsia="zh-CN"/>
        </w:rPr>
      </w:pPr>
      <w:r>
        <w:rPr>
          <w:rFonts w:hint="eastAsia" w:ascii="Times New Roman" w:hAnsi="Times New Roman" w:eastAsia="仿宋_GB2312" w:cs="Times New Roman"/>
          <w:b w:val="0"/>
          <w:bCs w:val="0"/>
          <w:color w:val="000000" w:themeColor="text1"/>
          <w:szCs w:val="24"/>
          <w:highlight w:val="none"/>
          <w:lang w:bidi="ar-SA"/>
          <w14:textFill>
            <w14:solidFill>
              <w14:schemeClr w14:val="tx1"/>
            </w14:solidFill>
          </w14:textFill>
        </w:rPr>
        <w:t>推进</w:t>
      </w:r>
      <w:r>
        <w:rPr>
          <w:rFonts w:hint="eastAsia" w:cs="Times New Roman"/>
          <w:b w:val="0"/>
          <w:bCs w:val="0"/>
          <w:i w:val="0"/>
          <w:caps w:val="0"/>
          <w:color w:val="000000" w:themeColor="text1"/>
          <w:spacing w:val="0"/>
          <w:szCs w:val="24"/>
          <w:highlight w:val="none"/>
          <w:shd w:val="clear" w:color="auto" w:fill="auto"/>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szCs w:val="24"/>
          <w:highlight w:val="none"/>
          <w:lang w:bidi="ar-SA"/>
          <w14:textFill>
            <w14:solidFill>
              <w14:schemeClr w14:val="tx1"/>
            </w14:solidFill>
          </w14:textFill>
        </w:rPr>
        <w:t>人工智能＋</w:t>
      </w:r>
      <w:r>
        <w:rPr>
          <w:rFonts w:hint="eastAsia" w:cs="Times New Roman"/>
          <w:b w:val="0"/>
          <w:bCs w:val="0"/>
          <w:i w:val="0"/>
          <w:caps w:val="0"/>
          <w:color w:val="000000" w:themeColor="text1"/>
          <w:spacing w:val="0"/>
          <w:szCs w:val="24"/>
          <w:highlight w:val="none"/>
          <w:shd w:val="clear" w:color="auto" w:fill="auto"/>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szCs w:val="24"/>
          <w:highlight w:val="none"/>
          <w:lang w:eastAsia="zh-CN" w:bidi="ar-SA"/>
          <w14:textFill>
            <w14:solidFill>
              <w14:schemeClr w14:val="tx1"/>
            </w14:solidFill>
          </w14:textFill>
        </w:rPr>
        <w:t>制造业</w:t>
      </w:r>
      <w:r>
        <w:rPr>
          <w:rFonts w:hint="eastAsia" w:cs="Times New Roman"/>
          <w:b w:val="0"/>
          <w:bCs w:val="0"/>
          <w:color w:val="000000" w:themeColor="text1"/>
          <w:szCs w:val="24"/>
          <w:lang w:val="en-US" w:eastAsia="zh-CN"/>
          <w14:textFill>
            <w14:solidFill>
              <w14:schemeClr w14:val="tx1"/>
            </w14:solidFill>
          </w14:textFill>
        </w:rPr>
        <w:t>。</w:t>
      </w:r>
      <w:r>
        <w:rPr>
          <w:rFonts w:hint="eastAsia" w:ascii="Times New Roman" w:hAnsi="Times New Roman" w:eastAsia="仿宋_GB2312" w:cs="Times New Roman"/>
          <w:color w:val="000000" w:themeColor="text1"/>
          <w:szCs w:val="24"/>
          <w14:textFill>
            <w14:solidFill>
              <w14:schemeClr w14:val="tx1"/>
            </w14:solidFill>
          </w14:textFill>
        </w:rPr>
        <w:t>立足</w:t>
      </w:r>
      <w:r>
        <w:rPr>
          <w:rFonts w:hint="default"/>
          <w:b w:val="0"/>
          <w:bCs w:val="0"/>
          <w:color w:val="000000" w:themeColor="text1"/>
          <w:lang w:val="en-US" w:eastAsia="zh-CN"/>
          <w14:textFill>
            <w14:solidFill>
              <w14:schemeClr w14:val="tx1"/>
            </w14:solidFill>
          </w14:textFill>
        </w:rPr>
        <w:t>新一</w:t>
      </w:r>
      <w:r>
        <w:rPr>
          <w:rFonts w:hint="eastAsia"/>
          <w:b w:val="0"/>
          <w:bCs w:val="0"/>
          <w:color w:val="000000" w:themeColor="text1"/>
          <w:lang w:val="en-US" w:eastAsia="zh-CN"/>
          <w14:textFill>
            <w14:solidFill>
              <w14:schemeClr w14:val="tx1"/>
            </w14:solidFill>
          </w14:textFill>
        </w:rPr>
        <w:t>代电子信息、新能源</w:t>
      </w:r>
      <w:r>
        <w:rPr>
          <w:rFonts w:hint="eastAsia"/>
          <w:lang w:val="en-US" w:eastAsia="zh-CN"/>
        </w:rPr>
        <w:t>汽车、高端装备等优势产业</w:t>
      </w:r>
      <w:r>
        <w:rPr>
          <w:rFonts w:hint="default"/>
          <w:lang w:val="en-US" w:eastAsia="zh-CN"/>
        </w:rPr>
        <w:t>，</w:t>
      </w:r>
      <w:r>
        <w:rPr>
          <w:rFonts w:hint="eastAsia"/>
        </w:rPr>
        <w:t>推动人工智能</w:t>
      </w:r>
      <w:r>
        <w:rPr>
          <w:rFonts w:hint="eastAsia"/>
          <w:lang w:val="en-US" w:eastAsia="zh-CN"/>
        </w:rPr>
        <w:t>赋能机器视觉检测、精密测量、智能智造等环节。支持金银珠宝、纺织服装、食品加工等特色传统产业，加快工业大模型与3D扫描、</w:t>
      </w:r>
      <w:r>
        <w:rPr>
          <w:rFonts w:hint="eastAsia"/>
        </w:rPr>
        <w:t>智能缝制</w:t>
      </w:r>
      <w:r>
        <w:rPr>
          <w:rFonts w:hint="eastAsia"/>
          <w:lang w:val="en-US" w:eastAsia="zh-CN"/>
        </w:rPr>
        <w:t>、AI</w:t>
      </w:r>
      <w:r>
        <w:rPr>
          <w:rFonts w:hint="eastAsia"/>
        </w:rPr>
        <w:t>质检</w:t>
      </w:r>
      <w:r>
        <w:rPr>
          <w:rFonts w:hint="eastAsia"/>
          <w:lang w:val="en-US" w:eastAsia="zh-CN"/>
        </w:rPr>
        <w:t>、智能仓储系统、传感检测装备深度融合。鼓励</w:t>
      </w:r>
      <w:r>
        <w:rPr>
          <w:rFonts w:hint="eastAsia"/>
          <w:lang w:eastAsia="zh-CN"/>
        </w:rPr>
        <w:t>链主企业或行业协会牵头，构建涵盖生产工艺、设备运行、质量检测等关键环节的行业专识数据集和知识语料库，支撑行业工业大模型本地化训练迭代，配套建设本地行业数据集公共存储算力节点。</w:t>
      </w:r>
    </w:p>
    <w:p>
      <w:pPr>
        <w:bidi w:val="0"/>
        <w:rPr>
          <w:rFonts w:hint="eastAsia" w:ascii="Times New Roman" w:hAnsi="Times New Roman" w:cs="Times New Roman"/>
          <w:color w:val="000000" w:themeColor="text1"/>
          <w:kern w:val="2"/>
          <w:szCs w:val="24"/>
          <w:u w:val="none"/>
          <w:lang w:val="en-US" w:eastAsia="zh-CN" w:bidi="ar"/>
          <w14:textFill>
            <w14:solidFill>
              <w14:schemeClr w14:val="tx1"/>
            </w14:solidFill>
          </w14:textFill>
        </w:rPr>
      </w:pPr>
      <w:r>
        <w:rPr>
          <w:rFonts w:hint="eastAsia"/>
        </w:rPr>
        <w:t>推进</w:t>
      </w:r>
      <w:r>
        <w:rPr>
          <w:rFonts w:hint="eastAsia"/>
          <w:lang w:val="en-US" w:eastAsia="zh-CN"/>
        </w:rPr>
        <w:t>“人工智能＋”软件信息。依托广州数据交易所（汕尾）服务基地、深圳数据交易所汕尾数据要素服务工作站，数据服务商、第三方</w:t>
      </w:r>
      <w:r>
        <w:rPr>
          <w:rFonts w:hint="eastAsia" w:ascii="Times New Roman" w:hAnsi="Times New Roman" w:eastAsia="仿宋_GB2312" w:cs="Times New Roman"/>
          <w:color w:val="000000" w:themeColor="text1"/>
          <w:kern w:val="2"/>
          <w:szCs w:val="24"/>
          <w:lang w:val="en-US" w:eastAsia="zh-CN" w:bidi="ar"/>
          <w14:textFill>
            <w14:solidFill>
              <w14:schemeClr w14:val="tx1"/>
            </w14:solidFill>
          </w14:textFill>
        </w:rPr>
        <w:t>专业机构</w:t>
      </w:r>
      <w:r>
        <w:rPr>
          <w:rFonts w:hint="eastAsia" w:ascii="Times New Roman" w:hAnsi="Times New Roman" w:cs="Times New Roman"/>
          <w:color w:val="000000" w:themeColor="text1"/>
          <w:kern w:val="2"/>
          <w:szCs w:val="24"/>
          <w:lang w:val="en-US" w:eastAsia="zh-CN" w:bidi="ar"/>
          <w14:textFill>
            <w14:solidFill>
              <w14:schemeClr w14:val="tx1"/>
            </w14:solidFill>
          </w14:textFill>
        </w:rPr>
        <w:t>集聚落地</w:t>
      </w:r>
      <w:r>
        <w:rPr>
          <w:rFonts w:hint="eastAsia" w:ascii="Times New Roman" w:hAnsi="Times New Roman" w:eastAsia="仿宋_GB2312" w:cs="Times New Roman"/>
          <w:color w:val="000000" w:themeColor="text1"/>
          <w:kern w:val="2"/>
          <w:szCs w:val="24"/>
          <w:lang w:val="en-US" w:eastAsia="zh-CN" w:bidi="ar"/>
          <w14:textFill>
            <w14:solidFill>
              <w14:schemeClr w14:val="tx1"/>
            </w14:solidFill>
          </w14:textFill>
        </w:rPr>
        <w:t>，构建一体化数据要素流通交易生态</w:t>
      </w:r>
      <w:r>
        <w:rPr>
          <w:rFonts w:hint="eastAsia" w:ascii="Times New Roman" w:hAnsi="Times New Roman"/>
          <w:color w:val="000000" w:themeColor="text1"/>
          <w:szCs w:val="24"/>
          <w:highlight w:val="none"/>
          <w:u w:val="none" w:color="auto"/>
          <w:lang w:eastAsia="zh-CN"/>
          <w14:textFill>
            <w14:solidFill>
              <w14:schemeClr w14:val="tx1"/>
            </w14:solidFill>
          </w14:textFill>
        </w:rPr>
        <w:t>。</w:t>
      </w:r>
      <w:r>
        <w:rPr>
          <w:rFonts w:hint="eastAsia" w:ascii="Times New Roman" w:hAnsi="Times New Roman" w:cs="Times New Roman"/>
          <w:color w:val="000000" w:themeColor="text1"/>
          <w:szCs w:val="24"/>
          <w:u w:val="none"/>
          <w:lang w:eastAsia="zh-CN"/>
          <w14:textFill>
            <w14:solidFill>
              <w14:schemeClr w14:val="tx1"/>
            </w14:solidFill>
          </w14:textFill>
        </w:rPr>
        <w:t>依托</w:t>
      </w:r>
      <w:r>
        <w:rPr>
          <w:rFonts w:hint="eastAsia" w:ascii="Times New Roman" w:hAnsi="Times New Roman" w:cs="Times New Roman"/>
          <w:color w:val="000000" w:themeColor="text1"/>
          <w:szCs w:val="24"/>
          <w:u w:val="none"/>
          <w:lang w:val="en-US" w:eastAsia="zh-CN"/>
          <w14:textFill>
            <w14:solidFill>
              <w14:schemeClr w14:val="tx1"/>
            </w14:solidFill>
          </w14:textFill>
        </w:rPr>
        <w:t>人工智能</w:t>
      </w:r>
      <w:r>
        <w:rPr>
          <w:rFonts w:hint="eastAsia" w:ascii="Times New Roman" w:hAnsi="Times New Roman" w:cs="Times New Roman"/>
          <w:color w:val="000000" w:themeColor="text1"/>
          <w:szCs w:val="24"/>
          <w:u w:val="none"/>
          <w:lang w:eastAsia="zh-CN"/>
          <w14:textFill>
            <w14:solidFill>
              <w14:schemeClr w14:val="tx1"/>
            </w14:solidFill>
          </w14:textFill>
        </w:rPr>
        <w:t>赋能实体经济，</w:t>
      </w:r>
      <w:r>
        <w:rPr>
          <w:rFonts w:hint="eastAsia" w:ascii="Times New Roman" w:hAnsi="Times New Roman" w:cs="Times New Roman"/>
          <w:color w:val="000000" w:themeColor="text1"/>
          <w:szCs w:val="24"/>
          <w:u w:val="none"/>
          <w:lang w:val="en-US" w:eastAsia="zh-CN"/>
          <w14:textFill>
            <w14:solidFill>
              <w14:schemeClr w14:val="tx1"/>
            </w14:solidFill>
          </w14:textFill>
        </w:rPr>
        <w:t>鼓励</w:t>
      </w:r>
      <w:r>
        <w:rPr>
          <w:rFonts w:hint="eastAsia" w:ascii="Times New Roman" w:hAnsi="Times New Roman" w:cs="Times New Roman"/>
          <w:color w:val="000000" w:themeColor="text1"/>
          <w:szCs w:val="24"/>
          <w:u w:val="none"/>
          <w:lang w:eastAsia="zh-CN"/>
          <w14:textFill>
            <w14:solidFill>
              <w14:schemeClr w14:val="tx1"/>
            </w14:solidFill>
          </w14:textFill>
        </w:rPr>
        <w:t>发展“跨境电商</w:t>
      </w:r>
      <w:r>
        <w:rPr>
          <w:rFonts w:hint="eastAsia" w:ascii="Times New Roman" w:hAnsi="Times New Roman" w:eastAsia="仿宋_GB2312" w:cs="Times New Roman"/>
          <w:color w:val="000000" w:themeColor="text1"/>
          <w:szCs w:val="24"/>
          <w:lang w:bidi="ar"/>
          <w14:textFill>
            <w14:solidFill>
              <w14:schemeClr w14:val="tx1"/>
            </w14:solidFill>
          </w14:textFill>
        </w:rPr>
        <w:t>+</w:t>
      </w:r>
      <w:r>
        <w:rPr>
          <w:rFonts w:hint="eastAsia" w:ascii="Times New Roman" w:hAnsi="Times New Roman" w:cs="Times New Roman"/>
          <w:color w:val="000000" w:themeColor="text1"/>
          <w:szCs w:val="24"/>
          <w:u w:val="none"/>
          <w:lang w:val="en-US" w:eastAsia="zh-CN" w:bidi="ar"/>
          <w14:textFill>
            <w14:solidFill>
              <w14:schemeClr w14:val="tx1"/>
            </w14:solidFill>
          </w14:textFill>
        </w:rPr>
        <w:t>产业带</w:t>
      </w:r>
      <w:r>
        <w:rPr>
          <w:rFonts w:hint="eastAsia" w:ascii="Times New Roman" w:hAnsi="Times New Roman" w:cs="Times New Roman"/>
          <w:color w:val="000000" w:themeColor="text1"/>
          <w:szCs w:val="24"/>
          <w:u w:val="none"/>
          <w:lang w:eastAsia="zh-CN" w:bidi="ar"/>
          <w14:textFill>
            <w14:solidFill>
              <w14:schemeClr w14:val="tx1"/>
            </w14:solidFill>
          </w14:textFill>
        </w:rPr>
        <w:t>”等</w:t>
      </w:r>
      <w:r>
        <w:rPr>
          <w:rFonts w:hint="eastAsia" w:ascii="Times New Roman" w:hAnsi="Times New Roman" w:cs="Times New Roman"/>
          <w:color w:val="000000" w:themeColor="text1"/>
          <w:szCs w:val="24"/>
          <w:u w:val="none"/>
          <w:lang w:val="en-US" w:eastAsia="zh-CN" w:bidi="ar"/>
          <w14:textFill>
            <w14:solidFill>
              <w14:schemeClr w14:val="tx1"/>
            </w14:solidFill>
          </w14:textFill>
        </w:rPr>
        <w:t>新业态</w:t>
      </w:r>
      <w:r>
        <w:rPr>
          <w:rFonts w:hint="eastAsia" w:ascii="Times New Roman" w:hAnsi="Times New Roman" w:cs="Times New Roman"/>
          <w:color w:val="000000" w:themeColor="text1"/>
          <w:szCs w:val="24"/>
          <w:u w:val="none"/>
          <w:lang w:eastAsia="zh-CN" w:bidi="ar"/>
          <w14:textFill>
            <w14:solidFill>
              <w14:schemeClr w14:val="tx1"/>
            </w14:solidFill>
          </w14:textFill>
        </w:rPr>
        <w:t>新模式，</w:t>
      </w:r>
      <w:r>
        <w:rPr>
          <w:rFonts w:hint="eastAsia" w:ascii="Times New Roman" w:hAnsi="Times New Roman" w:eastAsia="仿宋_GB2312" w:cs="Times New Roman"/>
          <w:color w:val="000000" w:themeColor="text1"/>
          <w:szCs w:val="24"/>
          <w:lang w:bidi="ar"/>
          <w14:textFill>
            <w14:solidFill>
              <w14:schemeClr w14:val="tx1"/>
            </w14:solidFill>
          </w14:textFill>
        </w:rPr>
        <w:t>推动电商平台与制造企业供需精准对接，普及跨境电商数字化申报系统，持续优化企业跨境通关数字化申报流程</w:t>
      </w:r>
      <w:r>
        <w:rPr>
          <w:rFonts w:hint="eastAsia" w:ascii="Times New Roman" w:hAnsi="Times New Roman" w:cs="Times New Roman"/>
          <w:color w:val="000000" w:themeColor="text1"/>
          <w:kern w:val="2"/>
          <w:szCs w:val="24"/>
          <w:u w:val="none"/>
          <w:lang w:val="en-US" w:eastAsia="zh-CN" w:bidi="ar"/>
          <w14:textFill>
            <w14:solidFill>
              <w14:schemeClr w14:val="tx1"/>
            </w14:solidFill>
          </w14:textFill>
        </w:rPr>
        <w:t>。</w:t>
      </w:r>
      <w:r>
        <w:rPr>
          <w:rFonts w:hint="eastAsia" w:ascii="Times New Roman" w:hAnsi="Times New Roman" w:eastAsia="仿宋_GB2312" w:cs="Times New Roman"/>
          <w:color w:val="000000" w:themeColor="text1"/>
          <w:szCs w:val="24"/>
          <w:lang w:bidi="ar"/>
          <w14:textFill>
            <w14:solidFill>
              <w14:schemeClr w14:val="tx1"/>
            </w14:solidFill>
          </w14:textFill>
        </w:rPr>
        <w:t>引导本地软件企业运用人工智能技术，布局数据标注、合规核验、测试运维等AI外包服务，持续提升软件信息配套承载能力</w:t>
      </w:r>
      <w:r>
        <w:rPr>
          <w:rFonts w:hint="eastAsia" w:ascii="Times New Roman" w:hAnsi="Times New Roman" w:cs="Times New Roman"/>
          <w:color w:val="000000" w:themeColor="text1"/>
          <w:szCs w:val="24"/>
          <w:lang w:eastAsia="zh-CN" w:bidi="ar"/>
          <w14:textFill>
            <w14:solidFill>
              <w14:schemeClr w14:val="tx1"/>
            </w14:solidFill>
          </w14:textFill>
        </w:rPr>
        <w:t>。</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3"/>
        <w:textAlignment w:val="auto"/>
        <w:outlineLvl w:val="2"/>
        <w:rPr>
          <w:rFonts w:hint="eastAsia" w:ascii="Times New Roman" w:hAnsi="Times New Roman" w:cs="Times New Roman"/>
          <w:b/>
          <w:bCs/>
          <w:color w:val="000000" w:themeColor="text1"/>
          <w:lang w:val="en-US" w:eastAsia="zh-CN"/>
          <w14:textFill>
            <w14:solidFill>
              <w14:schemeClr w14:val="tx1"/>
            </w14:solidFill>
          </w14:textFill>
        </w:rPr>
      </w:pPr>
      <w:bookmarkStart w:id="312" w:name="_Toc20076"/>
      <w:bookmarkStart w:id="313" w:name="_Toc16091"/>
      <w:r>
        <w:rPr>
          <w:rFonts w:hint="eastAsia" w:ascii="Times New Roman" w:hAnsi="Times New Roman" w:cs="Times New Roman"/>
          <w:b/>
          <w:bCs/>
          <w:color w:val="000000" w:themeColor="text1"/>
          <w:lang w:val="en-US" w:eastAsia="zh-CN"/>
          <w14:textFill>
            <w14:solidFill>
              <w14:schemeClr w14:val="tx1"/>
            </w14:solidFill>
          </w14:textFill>
        </w:rPr>
        <w:t>5.加速制造业数字化转型</w:t>
      </w:r>
      <w:bookmarkEnd w:id="312"/>
      <w:bookmarkEnd w:id="313"/>
    </w:p>
    <w:p>
      <w:pPr>
        <w:bidi w:val="0"/>
        <w:rPr>
          <w:rFonts w:hint="default"/>
          <w:lang w:val="en-US" w:eastAsia="zh-CN"/>
        </w:rPr>
      </w:pPr>
      <w:r>
        <w:rPr>
          <w:rFonts w:hint="eastAsia" w:ascii="Times New Roman" w:hAnsi="Times New Roman" w:cs="Times New Roman"/>
          <w:b w:val="0"/>
          <w:bCs w:val="0"/>
          <w:color w:val="000000" w:themeColor="text1"/>
          <w:u w:val="none"/>
          <w:lang w:val="en-US" w:eastAsia="zh-CN"/>
          <w14:textFill>
            <w14:solidFill>
              <w14:schemeClr w14:val="tx1"/>
            </w14:solidFill>
          </w14:textFill>
        </w:rPr>
        <w:t>实施分行业梯次数字化改造。围绕纺织服装、食品加工、金银珠宝等本地特色产业，推广低成本、模块化、易落地的轻量化数字化改造方案；依托新一代电子信息、新能源汽车、高端装备、</w:t>
      </w:r>
      <w:r>
        <w:rPr>
          <w:rFonts w:hint="eastAsia" w:ascii="仿宋_GB2312" w:hAnsi="仿宋_GB2312" w:eastAsia="仿宋_GB2312" w:cs="仿宋_GB2312"/>
          <w:color w:val="000000" w:themeColor="text1"/>
          <w:kern w:val="0"/>
          <w:szCs w:val="32"/>
          <w:lang w:val="en-US" w:eastAsia="zh-CN" w:bidi="ar"/>
          <w14:textFill>
            <w14:solidFill>
              <w14:schemeClr w14:val="tx1"/>
            </w14:solidFill>
          </w14:textFill>
        </w:rPr>
        <w:t>低</w:t>
      </w:r>
      <w:r>
        <w:rPr>
          <w:rFonts w:hint="eastAsia"/>
          <w:lang w:val="en-US" w:eastAsia="zh-CN"/>
        </w:rPr>
        <w:t>碳新能源等主导产业，推动人工智能赋能生产全流程升级，提升研发设计、生产控制、品质保障、能耗管理等关键环节智能化水平。大力培育个性化定制、协同生产、集中集采分销、研发众包等新型生产经营模式，分行业打造数字化改造示范项目，提炼可复制可推广的改造路径，分类施策推动企业数字化迭代升级。</w:t>
      </w:r>
    </w:p>
    <w:p>
      <w:pPr>
        <w:bidi w:val="0"/>
        <w:rPr>
          <w:rFonts w:hint="eastAsia" w:ascii="Times New Roman" w:hAnsi="Times New Roman" w:cs="Times New Roman"/>
          <w:b w:val="0"/>
          <w:bCs w:val="0"/>
          <w:color w:val="000000" w:themeColor="text1"/>
          <w:u w:val="none"/>
          <w:lang w:val="en-US" w:eastAsia="zh-CN"/>
          <w14:textFill>
            <w14:solidFill>
              <w14:schemeClr w14:val="tx1"/>
            </w14:solidFill>
          </w14:textFill>
        </w:rPr>
      </w:pPr>
      <w:r>
        <w:rPr>
          <w:rFonts w:hint="eastAsia"/>
          <w:lang w:val="en-US" w:eastAsia="zh-CN"/>
        </w:rPr>
        <w:t>夯实制造业数字</w:t>
      </w:r>
      <w:r>
        <w:rPr>
          <w:rFonts w:hint="eastAsia" w:ascii="Times New Roman" w:hAnsi="Times New Roman" w:cs="Times New Roman"/>
          <w:b w:val="0"/>
          <w:bCs w:val="0"/>
          <w:color w:val="000000" w:themeColor="text1"/>
          <w:u w:val="none"/>
          <w:lang w:val="en-US" w:eastAsia="zh-CN"/>
          <w14:textFill>
            <w14:solidFill>
              <w14:schemeClr w14:val="tx1"/>
            </w14:solidFill>
          </w14:textFill>
        </w:rPr>
        <w:t>底座。</w:t>
      </w:r>
      <w:r>
        <w:rPr>
          <w:rFonts w:hint="eastAsia" w:ascii="仿宋_GB2312" w:hAnsi="仿宋_GB2312" w:eastAsia="仿宋_GB2312" w:cs="仿宋_GB2312"/>
          <w:b w:val="0"/>
          <w:bCs w:val="0"/>
          <w:i w:val="0"/>
          <w:iCs w:val="0"/>
          <w:caps w:val="0"/>
          <w:color w:val="000000" w:themeColor="text1"/>
          <w:spacing w:val="0"/>
          <w:szCs w:val="32"/>
          <w:shd w:val="clear" w:fill="FFFFFF"/>
          <w:lang w:eastAsia="zh-CN"/>
          <w14:textFill>
            <w14:solidFill>
              <w14:schemeClr w14:val="tx1"/>
            </w14:solidFill>
          </w14:textFill>
        </w:rPr>
        <w:t>依托电信运营商等人工智能应用服务商的数智优势，加强</w:t>
      </w:r>
      <w:r>
        <w:rPr>
          <w:rFonts w:hint="eastAsia" w:ascii="仿宋_GB2312" w:hAnsi="仿宋_GB2312" w:eastAsia="仿宋_GB2312" w:cs="仿宋_GB2312"/>
          <w:color w:val="000000" w:themeColor="text1"/>
          <w:kern w:val="0"/>
          <w:szCs w:val="32"/>
          <w:lang w:val="en-US" w:eastAsia="zh-CN" w:bidi="ar"/>
          <w14:textFill>
            <w14:solidFill>
              <w14:schemeClr w14:val="tx1"/>
            </w14:solidFill>
          </w14:textFill>
        </w:rPr>
        <w:t>边缘数据中心等</w:t>
      </w:r>
      <w:r>
        <w:rPr>
          <w:rFonts w:hint="eastAsia" w:ascii="仿宋_GB2312" w:hAnsi="仿宋_GB2312" w:eastAsia="仿宋_GB2312" w:cs="仿宋_GB2312"/>
          <w:b w:val="0"/>
          <w:bCs w:val="0"/>
          <w:i w:val="0"/>
          <w:iCs w:val="0"/>
          <w:caps w:val="0"/>
          <w:color w:val="000000" w:themeColor="text1"/>
          <w:spacing w:val="0"/>
          <w:szCs w:val="32"/>
          <w:shd w:val="clear" w:fill="FFFFFF"/>
          <w:lang w:eastAsia="zh-CN"/>
          <w14:textFill>
            <w14:solidFill>
              <w14:schemeClr w14:val="tx1"/>
            </w14:solidFill>
          </w14:textFill>
        </w:rPr>
        <w:t>设施建设</w:t>
      </w:r>
      <w:r>
        <w:rPr>
          <w:rFonts w:hint="eastAsia" w:ascii="仿宋_GB2312" w:hAnsi="仿宋_GB2312" w:cs="仿宋_GB2312"/>
          <w:b w:val="0"/>
          <w:bCs w:val="0"/>
          <w:i w:val="0"/>
          <w:iCs w:val="0"/>
          <w:caps w:val="0"/>
          <w:color w:val="000000" w:themeColor="text1"/>
          <w:spacing w:val="0"/>
          <w:szCs w:val="32"/>
          <w:shd w:val="clear" w:fill="FFFFFF"/>
          <w:lang w:eastAsia="zh-CN"/>
          <w14:textFill>
            <w14:solidFill>
              <w14:schemeClr w14:val="tx1"/>
            </w14:solidFill>
          </w14:textFill>
        </w:rPr>
        <w:t>。</w:t>
      </w:r>
      <w:r>
        <w:rPr>
          <w:rFonts w:hint="eastAsia" w:ascii="Times New Roman" w:hAnsi="Times New Roman" w:cs="Times New Roman"/>
          <w:b w:val="0"/>
          <w:bCs w:val="0"/>
          <w:color w:val="000000" w:themeColor="text1"/>
          <w:u w:val="none"/>
          <w:lang w:val="en-US" w:eastAsia="zh-CN"/>
          <w14:textFill>
            <w14:solidFill>
              <w14:schemeClr w14:val="tx1"/>
            </w14:solidFill>
          </w14:textFill>
        </w:rPr>
        <w:t>完善</w:t>
      </w:r>
      <w:r>
        <w:rPr>
          <w:rFonts w:hint="eastAsia"/>
          <w:b w:val="0"/>
          <w:bCs w:val="0"/>
          <w:color w:val="000000" w:themeColor="text1"/>
          <w:u w:val="none"/>
          <w:lang w:val="en-US" w:eastAsia="zh-CN"/>
          <w14:textFill>
            <w14:solidFill>
              <w14:schemeClr w14:val="tx1"/>
            </w14:solidFill>
          </w14:textFill>
        </w:rPr>
        <w:t>5G、万千兆光网、移动物联网等网络基础设施，深入实施工业互联网企业倍增工程，全面推动企业“上云用数赋智”，激发企业转型内生动力。支持龙头骨干企业建设数字车间、智能工厂，深化数字化研发设计、智能制造管控、精益供应链管理等核心场景应用</w:t>
      </w:r>
      <w:r>
        <w:rPr>
          <w:rFonts w:hint="eastAsia" w:ascii="Times New Roman" w:hAnsi="Times New Roman" w:cs="Times New Roman"/>
          <w:b w:val="0"/>
          <w:bCs w:val="0"/>
          <w:color w:val="000000" w:themeColor="text1"/>
          <w:u w:val="none"/>
          <w:lang w:val="en-US"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Cs w:val="24"/>
          <w:u w:val="none"/>
          <w:shd w:val="clear" w:fill="auto"/>
          <w14:textFill>
            <w14:solidFill>
              <w14:schemeClr w14:val="tx1"/>
            </w14:solidFill>
          </w14:textFill>
        </w:rPr>
        <w:t>带动产业链上下游中小企业开展生产、管理、销售等全环节数字化改造，筑牢全市制造业数字化转型的应用基础</w:t>
      </w:r>
      <w:r>
        <w:rPr>
          <w:rFonts w:hint="eastAsia" w:ascii="Times New Roman" w:hAnsi="Times New Roman" w:cs="Times New Roman"/>
          <w:i w:val="0"/>
          <w:iCs w:val="0"/>
          <w:caps w:val="0"/>
          <w:color w:val="000000" w:themeColor="text1"/>
          <w:spacing w:val="0"/>
          <w:szCs w:val="24"/>
          <w:u w:val="none"/>
          <w:shd w:val="clear" w:fill="auto"/>
          <w:lang w:val="en-US" w:eastAsia="zh-CN"/>
          <w14:textFill>
            <w14:solidFill>
              <w14:schemeClr w14:val="tx1"/>
            </w14:solidFill>
          </w14:textFill>
        </w:rPr>
        <w:t>和</w:t>
      </w:r>
      <w:r>
        <w:rPr>
          <w:rFonts w:hint="eastAsia" w:ascii="Times New Roman" w:hAnsi="Times New Roman" w:eastAsia="仿宋_GB2312" w:cs="Times New Roman"/>
          <w:i w:val="0"/>
          <w:iCs w:val="0"/>
          <w:caps w:val="0"/>
          <w:color w:val="000000" w:themeColor="text1"/>
          <w:spacing w:val="0"/>
          <w:szCs w:val="24"/>
          <w:u w:val="none"/>
          <w:shd w:val="clear" w:fill="auto"/>
          <w14:textFill>
            <w14:solidFill>
              <w14:schemeClr w14:val="tx1"/>
            </w14:solidFill>
          </w14:textFill>
        </w:rPr>
        <w:t>硬件支撑</w:t>
      </w:r>
      <w:r>
        <w:rPr>
          <w:rFonts w:hint="eastAsia" w:ascii="Times New Roman" w:hAnsi="Times New Roman" w:cs="Times New Roman"/>
          <w:i w:val="0"/>
          <w:iCs w:val="0"/>
          <w:caps w:val="0"/>
          <w:color w:val="000000" w:themeColor="text1"/>
          <w:spacing w:val="0"/>
          <w:szCs w:val="24"/>
          <w:u w:val="none"/>
          <w:shd w:val="clear"/>
          <w:lang w:eastAsia="zh-CN"/>
          <w14:textFill>
            <w14:solidFill>
              <w14:schemeClr w14:val="tx1"/>
            </w14:solidFill>
          </w14:textFill>
        </w:rPr>
        <w:t>。</w:t>
      </w:r>
    </w:p>
    <w:p>
      <w:pPr>
        <w:pStyle w:val="4"/>
        <w:keepNext/>
        <w:keepLines/>
        <w:pageBreakBefore w:val="0"/>
        <w:widowControl w:val="0"/>
        <w:numPr>
          <w:ilvl w:val="0"/>
          <w:numId w:val="2"/>
        </w:numPr>
        <w:kinsoku/>
        <w:wordWrap/>
        <w:overflowPunct/>
        <w:topLinePunct w:val="0"/>
        <w:autoSpaceDE/>
        <w:autoSpaceDN/>
        <w:bidi w:val="0"/>
        <w:adjustRightInd w:val="0"/>
        <w:snapToGrid w:val="0"/>
        <w:spacing w:line="560" w:lineRule="exact"/>
        <w:ind w:left="0" w:leftChars="0" w:firstLine="642" w:firstLineChars="200"/>
        <w:textAlignment w:val="auto"/>
        <w:rPr>
          <w:rFonts w:hint="eastAsia" w:ascii="Times New Roman" w:hAnsi="Times New Roman" w:cs="Times New Roman"/>
          <w:b/>
          <w:bCs w:val="0"/>
          <w:color w:val="000000" w:themeColor="text1"/>
          <w:highlight w:val="none"/>
          <w:lang w:val="en-US" w:eastAsia="zh-CN"/>
          <w14:textFill>
            <w14:solidFill>
              <w14:schemeClr w14:val="tx1"/>
            </w14:solidFill>
          </w14:textFill>
        </w:rPr>
      </w:pPr>
      <w:bookmarkStart w:id="314" w:name="_Toc16614"/>
      <w:bookmarkStart w:id="315" w:name="_Toc14240"/>
      <w:r>
        <w:rPr>
          <w:rFonts w:hint="eastAsia" w:ascii="Times New Roman" w:hAnsi="Times New Roman" w:eastAsia="楷体_GB2312" w:cs="Times New Roman"/>
          <w:color w:val="000000" w:themeColor="text1"/>
          <w:sz w:val="32"/>
          <w:szCs w:val="24"/>
          <w:highlight w:val="none"/>
          <w14:textFill>
            <w14:solidFill>
              <w14:schemeClr w14:val="tx1"/>
            </w14:solidFill>
          </w14:textFill>
        </w:rPr>
        <w:t>完善产业体系，</w:t>
      </w:r>
      <w:r>
        <w:rPr>
          <w:rFonts w:hint="eastAsia" w:ascii="Times New Roman" w:hAnsi="Times New Roman" w:eastAsia="楷体_GB2312" w:cs="Times New Roman"/>
          <w:b/>
          <w:bCs w:val="0"/>
          <w:color w:val="000000" w:themeColor="text1"/>
          <w:sz w:val="32"/>
          <w:szCs w:val="24"/>
          <w:highlight w:val="none"/>
          <w:lang w:val="en-US" w:eastAsia="zh-CN"/>
          <w14:textFill>
            <w14:solidFill>
              <w14:schemeClr w14:val="tx1"/>
            </w14:solidFill>
          </w14:textFill>
        </w:rPr>
        <w:t>筑牢产业现代根基</w:t>
      </w:r>
      <w:bookmarkEnd w:id="314"/>
      <w:bookmarkEnd w:id="315"/>
    </w:p>
    <w:p>
      <w:pPr>
        <w:widowControl/>
        <w:numPr>
          <w:ilvl w:val="-1"/>
          <w:numId w:val="0"/>
        </w:numPr>
        <w:snapToGrid/>
        <w:ind w:firstLine="641" w:firstLineChars="0"/>
        <w:outlineLvl w:val="2"/>
        <w:rPr>
          <w:rFonts w:hint="eastAsia" w:ascii="Times New Roman" w:hAnsi="Times New Roman" w:cs="Times New Roman"/>
          <w:b/>
          <w:bCs/>
          <w:color w:val="000000" w:themeColor="text1"/>
          <w:lang w:val="en-US" w:eastAsia="zh-CN"/>
          <w14:textFill>
            <w14:solidFill>
              <w14:schemeClr w14:val="tx1"/>
            </w14:solidFill>
          </w14:textFill>
        </w:rPr>
      </w:pPr>
      <w:bookmarkStart w:id="316" w:name="_Toc7964"/>
      <w:bookmarkStart w:id="317" w:name="_Toc32642"/>
      <w:r>
        <w:rPr>
          <w:rFonts w:hint="eastAsia" w:ascii="Times New Roman" w:hAnsi="Times New Roman" w:cs="Times New Roman"/>
          <w:b/>
          <w:bCs/>
          <w:color w:val="000000" w:themeColor="text1"/>
          <w:lang w:val="en-US" w:eastAsia="zh-CN"/>
          <w14:textFill>
            <w14:solidFill>
              <w14:schemeClr w14:val="tx1"/>
            </w14:solidFill>
          </w14:textFill>
        </w:rPr>
        <w:t>6.加强产业链强链补链延链。</w:t>
      </w:r>
      <w:bookmarkEnd w:id="316"/>
      <w:bookmarkEnd w:id="317"/>
    </w:p>
    <w:p>
      <w:pPr>
        <w:bidi w:val="0"/>
        <w:rPr>
          <w:rFonts w:hint="default"/>
          <w:lang w:val="en-US" w:eastAsia="zh-CN"/>
        </w:rPr>
      </w:pPr>
      <w:r>
        <w:rPr>
          <w:rFonts w:hint="eastAsia" w:ascii="Times New Roman" w:hAnsi="Times New Roman" w:cs="Times New Roman"/>
          <w:b w:val="0"/>
          <w:bCs w:val="0"/>
          <w:color w:val="000000" w:themeColor="text1"/>
          <w:lang w:val="en-US" w:eastAsia="zh-CN"/>
          <w14:textFill>
            <w14:solidFill>
              <w14:schemeClr w14:val="tx1"/>
            </w14:solidFill>
          </w14:textFill>
        </w:rPr>
        <w:t>做强优势产业链。聚焦</w:t>
      </w:r>
      <w:r>
        <w:rPr>
          <w:rFonts w:hint="default" w:ascii="Times New Roman" w:hAnsi="Times New Roman" w:cs="Times New Roman"/>
          <w:b w:val="0"/>
          <w:bCs w:val="0"/>
          <w:color w:val="000000" w:themeColor="text1"/>
          <w:lang w:val="en-US" w:eastAsia="zh-CN"/>
          <w14:textFill>
            <w14:solidFill>
              <w14:schemeClr w14:val="tx1"/>
            </w14:solidFill>
          </w14:textFill>
        </w:rPr>
        <w:t>新一代电子信息、高端装备制造、新能源汽车、</w:t>
      </w:r>
      <w:r>
        <w:rPr>
          <w:rFonts w:hint="default"/>
          <w:lang w:val="en-US" w:eastAsia="zh-CN"/>
        </w:rPr>
        <w:t>海工装备等具有较强竞争力的产业链，打造一批引领高质量发展的特色产业链。</w:t>
      </w:r>
      <w:r>
        <w:rPr>
          <w:rFonts w:hint="eastAsia"/>
          <w:lang w:val="en-US" w:eastAsia="zh-CN"/>
        </w:rPr>
        <w:t>以新能源汽车链主企业为牵引，依托海丰比亚迪电芯项目、红海湾绿色制造产业园，</w:t>
      </w:r>
      <w:r>
        <w:rPr>
          <w:rFonts w:hint="default"/>
          <w:lang w:val="en-US" w:eastAsia="zh-CN"/>
        </w:rPr>
        <w:t>推动新能源汽车向</w:t>
      </w:r>
      <w:r>
        <w:rPr>
          <w:rFonts w:hint="eastAsia"/>
          <w:lang w:val="en-US" w:eastAsia="zh-CN"/>
        </w:rPr>
        <w:t>“</w:t>
      </w:r>
      <w:r>
        <w:rPr>
          <w:rFonts w:hint="default"/>
          <w:lang w:val="en-US" w:eastAsia="zh-CN"/>
        </w:rPr>
        <w:t>动力电池—整车制造—储能应用—充换电服务</w:t>
      </w:r>
      <w:r>
        <w:rPr>
          <w:rFonts w:hint="eastAsia"/>
          <w:lang w:val="en-US" w:eastAsia="zh-CN"/>
        </w:rPr>
        <w:t>”</w:t>
      </w:r>
      <w:r>
        <w:rPr>
          <w:rFonts w:hint="default"/>
          <w:lang w:val="en-US" w:eastAsia="zh-CN"/>
        </w:rPr>
        <w:t>全链条跃升；新一代电子信息聚焦</w:t>
      </w:r>
      <w:r>
        <w:rPr>
          <w:rFonts w:hint="eastAsia"/>
          <w:lang w:val="en-US" w:eastAsia="zh-CN"/>
        </w:rPr>
        <w:t>“</w:t>
      </w:r>
      <w:r>
        <w:rPr>
          <w:rFonts w:hint="default"/>
          <w:lang w:val="en-US" w:eastAsia="zh-CN"/>
        </w:rPr>
        <w:t>芯—屏—端</w:t>
      </w:r>
      <w:r>
        <w:rPr>
          <w:rFonts w:hint="eastAsia"/>
          <w:lang w:val="en-US" w:eastAsia="zh-CN"/>
        </w:rPr>
        <w:t>”</w:t>
      </w:r>
      <w:r>
        <w:rPr>
          <w:rFonts w:hint="default"/>
          <w:lang w:val="en-US" w:eastAsia="zh-CN"/>
        </w:rPr>
        <w:t>方向，承接深</w:t>
      </w:r>
      <w:r>
        <w:rPr>
          <w:rFonts w:hint="eastAsia"/>
          <w:lang w:val="en-US" w:eastAsia="zh-CN"/>
        </w:rPr>
        <w:t>圳研</w:t>
      </w:r>
      <w:r>
        <w:rPr>
          <w:rFonts w:hint="default"/>
          <w:lang w:val="en-US" w:eastAsia="zh-CN"/>
        </w:rPr>
        <w:t>发创新资源与技术成果外溢；高端装备与海工装备联动海洋牧场、海上风电，形成</w:t>
      </w:r>
      <w:r>
        <w:rPr>
          <w:rFonts w:hint="eastAsia"/>
          <w:lang w:val="en-US" w:eastAsia="zh-CN"/>
        </w:rPr>
        <w:t>“</w:t>
      </w:r>
      <w:r>
        <w:rPr>
          <w:rFonts w:hint="default"/>
          <w:lang w:val="en-US" w:eastAsia="zh-CN"/>
        </w:rPr>
        <w:t>装备+服务</w:t>
      </w:r>
      <w:r>
        <w:rPr>
          <w:rFonts w:hint="eastAsia"/>
          <w:lang w:val="en-US" w:eastAsia="zh-CN"/>
        </w:rPr>
        <w:t>”</w:t>
      </w:r>
      <w:r>
        <w:rPr>
          <w:rFonts w:hint="default"/>
          <w:lang w:val="en-US" w:eastAsia="zh-CN"/>
        </w:rPr>
        <w:t>双</w:t>
      </w:r>
      <w:r>
        <w:rPr>
          <w:rFonts w:hint="eastAsia"/>
          <w:lang w:val="en-US" w:eastAsia="zh-CN"/>
        </w:rPr>
        <w:t>驱动</w:t>
      </w:r>
      <w:r>
        <w:rPr>
          <w:rFonts w:hint="default"/>
          <w:lang w:val="en-US" w:eastAsia="zh-CN"/>
        </w:rPr>
        <w:t>。</w:t>
      </w:r>
    </w:p>
    <w:p>
      <w:pPr>
        <w:bidi w:val="0"/>
        <w:rPr>
          <w:rFonts w:hint="default"/>
          <w:lang w:val="en-US"/>
        </w:rPr>
      </w:pPr>
      <w:r>
        <w:rPr>
          <w:rFonts w:hint="eastAsia"/>
          <w:lang w:val="en-US" w:eastAsia="zh-CN"/>
        </w:rPr>
        <w:t>补齐关键配套环节。围绕产业需求，持续补齐关键材料、核心零部件、基础元器件、精密模具、</w:t>
      </w:r>
      <w:r>
        <w:rPr>
          <w:rFonts w:hint="eastAsia"/>
        </w:rPr>
        <w:t>高端轴承、</w:t>
      </w:r>
      <w:r>
        <w:rPr>
          <w:rFonts w:hint="eastAsia"/>
          <w:lang w:val="en-US" w:eastAsia="zh-CN"/>
        </w:rPr>
        <w:t>电子化学品、电镀、检测认证等配套项目。依托深汕特别合作拓展区，导入深圳集成电路设计、新型储能控制系统等上游缺失环节，提升产业链韧性，降低对外依存度。</w:t>
      </w:r>
    </w:p>
    <w:p>
      <w:pPr>
        <w:bidi w:val="0"/>
        <w:rPr>
          <w:rFonts w:hint="eastAsia"/>
          <w:color w:val="000000" w:themeColor="text1"/>
          <w:lang w:val="en-US" w:eastAsia="zh-CN"/>
          <w14:textFill>
            <w14:solidFill>
              <w14:schemeClr w14:val="tx1"/>
            </w14:solidFill>
          </w14:textFill>
        </w:rPr>
      </w:pPr>
      <w:r>
        <w:rPr>
          <w:rFonts w:hint="eastAsia"/>
          <w:lang w:val="en-US" w:eastAsia="zh-CN"/>
        </w:rPr>
        <w:t>延伸价值增值链。推动纺织服装、金银首饰珠宝等传统产业向研发设计、精深加工、品牌运营、终端服务等高价值环节跃升。依托海丰公平纺织服装产业园、海丰首饰产业环保集聚区，以省首批“跨境电商+产业带”试点为抓手，巩固提升“中国首饰</w:t>
      </w:r>
      <w:r>
        <w:rPr>
          <w:rFonts w:hint="eastAsia" w:cs="Times New Roman"/>
          <w:color w:val="000000" w:themeColor="text1"/>
          <w:kern w:val="2"/>
          <w:szCs w:val="24"/>
          <w:lang w:val="en-US" w:eastAsia="zh-CN" w:bidi="ar-SA"/>
          <w14:textFill>
            <w14:solidFill>
              <w14:schemeClr w14:val="tx1"/>
            </w14:solidFill>
          </w14:textFill>
        </w:rPr>
        <w:t>之都”“中国彩色宝石之都”区域品牌影响力，</w:t>
      </w:r>
      <w:r>
        <w:rPr>
          <w:rFonts w:hint="eastAsia" w:ascii="仿宋_GB2312" w:hAnsi="仿宋_GB2312" w:eastAsia="仿宋_GB2312" w:cs="仿宋_GB2312"/>
          <w:color w:val="000000" w:themeColor="text1"/>
          <w:spacing w:val="0"/>
          <w:szCs w:val="32"/>
          <w:lang w:val="en-US" w:eastAsia="zh-CN"/>
          <w14:textFill>
            <w14:solidFill>
              <w14:schemeClr w14:val="tx1"/>
            </w14:solidFill>
          </w14:textFill>
        </w:rPr>
        <w:t>打造具有国际影响力的大美丽产业集聚地</w:t>
      </w:r>
      <w:r>
        <w:rPr>
          <w:rFonts w:hint="eastAsia"/>
          <w:color w:val="000000" w:themeColor="text1"/>
          <w:lang w:val="en-US" w:eastAsia="zh-CN"/>
          <w14:textFill>
            <w14:solidFill>
              <w14:schemeClr w14:val="tx1"/>
            </w14:solidFill>
          </w14:textFill>
        </w:rPr>
        <w:t>。围绕新能源汽车、电子信息、高端装备、新材料等重点产业链，推动链主企业与本地上下游企业在研发设计、智能制造、品牌营销与服务化延伸等环节紧密协作，提升本地配套率，形成“龙头引领、配套集聚、全链发展”格局。</w:t>
      </w:r>
    </w:p>
    <w:p>
      <w:pPr>
        <w:widowControl/>
        <w:numPr>
          <w:ilvl w:val="-1"/>
          <w:numId w:val="0"/>
        </w:numPr>
        <w:snapToGrid/>
        <w:ind w:firstLine="641" w:firstLineChars="0"/>
        <w:outlineLvl w:val="2"/>
        <w:rPr>
          <w:rFonts w:hint="eastAsia" w:ascii="Times New Roman" w:hAnsi="Times New Roman" w:cs="Times New Roman"/>
          <w:b/>
          <w:bCs/>
          <w:color w:val="000000" w:themeColor="text1"/>
          <w:lang w:val="en-US" w:eastAsia="zh-CN"/>
          <w14:textFill>
            <w14:solidFill>
              <w14:schemeClr w14:val="tx1"/>
            </w14:solidFill>
          </w14:textFill>
        </w:rPr>
      </w:pPr>
      <w:bookmarkStart w:id="318" w:name="_Toc11026"/>
      <w:bookmarkStart w:id="319" w:name="_Toc12642"/>
      <w:r>
        <w:rPr>
          <w:rFonts w:hint="eastAsia" w:ascii="Times New Roman" w:hAnsi="Times New Roman" w:cs="Times New Roman"/>
          <w:b/>
          <w:bCs/>
          <w:color w:val="000000" w:themeColor="text1"/>
          <w:lang w:val="en-US" w:eastAsia="zh-CN"/>
          <w14:textFill>
            <w14:solidFill>
              <w14:schemeClr w14:val="tx1"/>
            </w14:solidFill>
          </w14:textFill>
        </w:rPr>
        <w:t>7.强化产业基础支撑能力</w:t>
      </w:r>
      <w:bookmarkEnd w:id="318"/>
      <w:bookmarkEnd w:id="319"/>
    </w:p>
    <w:p>
      <w:pPr>
        <w:bidi w:val="0"/>
        <w:rPr>
          <w:rFonts w:hint="default"/>
          <w:lang w:val="en-US" w:eastAsia="zh-CN"/>
        </w:rPr>
      </w:pPr>
      <w:r>
        <w:rPr>
          <w:rFonts w:hint="eastAsia"/>
          <w:color w:val="000000" w:themeColor="text1"/>
          <w:lang w:val="en-US" w:eastAsia="zh-CN"/>
          <w14:textFill>
            <w14:solidFill>
              <w14:schemeClr w14:val="tx1"/>
            </w14:solidFill>
          </w14:textFill>
        </w:rPr>
        <w:t>持续</w:t>
      </w:r>
      <w:r>
        <w:rPr>
          <w:rFonts w:hint="eastAsia" w:ascii="Times New Roman" w:hAnsi="Times New Roman"/>
          <w:color w:val="000000" w:themeColor="text1"/>
          <w:lang w:val="en-US" w:eastAsia="zh-CN"/>
          <w14:textFill>
            <w14:solidFill>
              <w14:schemeClr w14:val="tx1"/>
            </w14:solidFill>
          </w14:textFill>
        </w:rPr>
        <w:t>壮大产业规模。</w:t>
      </w:r>
      <w:r>
        <w:rPr>
          <w:rFonts w:hint="eastAsia" w:ascii="Times New Roman" w:hAnsi="Times New Roman" w:cs="Times New Roman"/>
          <w:color w:val="000000" w:themeColor="text1"/>
          <w:szCs w:val="24"/>
          <w:lang w:val="en-US" w:eastAsia="zh-CN"/>
          <w14:textFill>
            <w14:solidFill>
              <w14:schemeClr w14:val="tx1"/>
            </w14:solidFill>
          </w14:textFill>
        </w:rPr>
        <w:t>以红海湾绿色制造产业园为核心，</w:t>
      </w:r>
      <w:r>
        <w:rPr>
          <w:rFonts w:hint="eastAsia" w:ascii="Times New Roman" w:hAnsi="Times New Roman" w:cs="Times New Roman"/>
          <w:color w:val="000000" w:themeColor="text1"/>
          <w:lang w:val="en-US" w:eastAsia="zh-CN"/>
          <w14:textFill>
            <w14:solidFill>
              <w14:schemeClr w14:val="tx1"/>
            </w14:solidFill>
          </w14:textFill>
        </w:rPr>
        <w:t>加快新能源汽车KD件生产线</w:t>
      </w:r>
      <w:r>
        <w:rPr>
          <w:rFonts w:hint="eastAsia" w:ascii="Times New Roman" w:hAnsi="Times New Roman"/>
          <w:color w:val="000000" w:themeColor="text1"/>
          <w:lang w:val="en-US" w:eastAsia="zh-CN"/>
          <w14:textFill>
            <w14:solidFill>
              <w14:schemeClr w14:val="tx1"/>
            </w14:solidFill>
          </w14:textFill>
        </w:rPr>
        <w:t>扩产升级，确保上海和达汽车配件南方中心等重大项目按期投产</w:t>
      </w:r>
      <w:r>
        <w:rPr>
          <w:rFonts w:hint="eastAsia"/>
          <w:color w:val="000000" w:themeColor="text1"/>
          <w:lang w:val="en-US" w:eastAsia="zh-CN"/>
          <w14:textFill>
            <w14:solidFill>
              <w14:schemeClr w14:val="tx1"/>
            </w14:solidFill>
          </w14:textFill>
        </w:rPr>
        <w:t>，支撑新能源汽车产值提升，预计2</w:t>
      </w:r>
      <w:r>
        <w:rPr>
          <w:rFonts w:hint="eastAsia"/>
          <w:lang w:val="en-US" w:eastAsia="zh-CN"/>
        </w:rPr>
        <w:t>030年建成覆盖关键零部件到整车制造的完整区域产业链，产值达到1000亿元；推动新一代电子信息实现生产线升级、扩充产能，落地信利汕尾电子纸显示器件生产线项目、科辉半导体封装测试等项目；以建设粤东首个千万千瓦级海上风电基地为牵引，</w:t>
      </w:r>
      <w:r>
        <w:rPr>
          <w:rFonts w:hint="eastAsia"/>
          <w:lang w:val="zh-CN" w:eastAsia="zh-CN"/>
        </w:rPr>
        <w:t>率先开发国管海域粤东海上风电基地项目，</w:t>
      </w:r>
      <w:r>
        <w:rPr>
          <w:rFonts w:hint="eastAsia"/>
          <w:lang w:val="en-US" w:eastAsia="zh-CN"/>
        </w:rPr>
        <w:t>推动省管海域440万千瓦、国管海域600万千瓦项目加速建设，预计到2030年汕尾电力总装机容量超过3000万千瓦，达产后每年可提供约1500亿千瓦时绿电；积极打造全省产业链配套完备的风电装备制造基地，持续做大高端装备产业规模，预计到</w:t>
      </w:r>
      <w:r>
        <w:rPr>
          <w:rFonts w:hint="default"/>
          <w:lang w:val="en-US" w:eastAsia="zh-CN"/>
        </w:rPr>
        <w:t>2030</w:t>
      </w:r>
      <w:r>
        <w:rPr>
          <w:rFonts w:hint="eastAsia"/>
          <w:lang w:val="en-US" w:eastAsia="zh-CN"/>
        </w:rPr>
        <w:t>年，海工装备、海上风电及配套产业集群产值达到500亿元。</w:t>
      </w:r>
    </w:p>
    <w:p>
      <w:pPr>
        <w:bidi w:val="0"/>
        <w:rPr>
          <w:rFonts w:hint="eastAsia" w:ascii="Times New Roman" w:hAnsi="Times New Roman" w:eastAsia="仿宋_GB2312" w:cs="Times New Roman"/>
          <w:b w:val="0"/>
          <w:bCs w:val="0"/>
          <w:color w:val="000000" w:themeColor="text1"/>
          <w:szCs w:val="24"/>
          <w:lang w:val="en-US" w:eastAsia="zh-CN"/>
          <w14:textFill>
            <w14:solidFill>
              <w14:schemeClr w14:val="tx1"/>
            </w14:solidFill>
          </w14:textFill>
        </w:rPr>
      </w:pPr>
      <w:r>
        <w:rPr>
          <w:rFonts w:hint="eastAsia"/>
          <w:lang w:val="en-US" w:eastAsia="zh-CN"/>
        </w:rPr>
        <w:t>持续强化工业基础能力。</w:t>
      </w:r>
      <w:r>
        <w:rPr>
          <w:rFonts w:hint="default"/>
        </w:rPr>
        <w:t>聚焦海工装备、电子信息、新能源汽车等重点产业，系统推进产业基础再造，着力补齐核心基础零部件、关键</w:t>
      </w:r>
      <w:r>
        <w:rPr>
          <w:rFonts w:hint="default" w:ascii="Times New Roman" w:hAnsi="Times New Roman" w:eastAsia="仿宋_GB2312" w:cs="Times New Roman"/>
          <w:bCs/>
          <w:color w:val="000000" w:themeColor="text1"/>
          <w:szCs w:val="32"/>
          <w14:textFill>
            <w14:solidFill>
              <w14:schemeClr w14:val="tx1"/>
            </w14:solidFill>
          </w14:textFill>
        </w:rPr>
        <w:t>基础材料、先进基础工艺和产业技术基础短板。</w:t>
      </w:r>
      <w:r>
        <w:rPr>
          <w:rFonts w:hint="eastAsia"/>
          <w:color w:val="000000" w:themeColor="text1"/>
          <w:lang w:val="en-US" w:eastAsia="zh-CN"/>
          <w14:textFill>
            <w14:solidFill>
              <w14:schemeClr w14:val="tx1"/>
            </w14:solidFill>
          </w14:textFill>
        </w:rPr>
        <w:t>依托陆丰海工基地、汕尾高新区等载体，布局建设共性技术研发、中试验证、计量标准、检验检测等质量基础设施，提升“四基”本地化供给能力；引导五金等传统产业的模具、热处理、表面处理等基础工序集中入园、集约生产。</w:t>
      </w:r>
    </w:p>
    <w:p>
      <w:pPr>
        <w:pStyle w:val="4"/>
        <w:keepNext/>
        <w:keepLines/>
        <w:pageBreakBefore w:val="0"/>
        <w:widowControl w:val="0"/>
        <w:numPr>
          <w:ilvl w:val="0"/>
          <w:numId w:val="2"/>
        </w:numPr>
        <w:kinsoku/>
        <w:wordWrap/>
        <w:overflowPunct/>
        <w:topLinePunct w:val="0"/>
        <w:autoSpaceDE/>
        <w:autoSpaceDN/>
        <w:bidi w:val="0"/>
        <w:adjustRightInd w:val="0"/>
        <w:snapToGrid w:val="0"/>
        <w:spacing w:line="560" w:lineRule="exact"/>
        <w:ind w:left="0" w:leftChars="0" w:firstLine="642" w:firstLineChars="200"/>
        <w:textAlignment w:val="auto"/>
        <w:rPr>
          <w:rFonts w:hint="default" w:cs="Times New Roman"/>
          <w:b/>
          <w:bCs w:val="0"/>
          <w:color w:val="000000" w:themeColor="text1"/>
          <w:lang w:val="en-US" w:eastAsia="zh-CN"/>
          <w14:textFill>
            <w14:solidFill>
              <w14:schemeClr w14:val="tx1"/>
            </w14:solidFill>
          </w14:textFill>
        </w:rPr>
      </w:pPr>
      <w:bookmarkStart w:id="320" w:name="_Toc31969"/>
      <w:bookmarkStart w:id="321" w:name="_Toc24275"/>
      <w:r>
        <w:rPr>
          <w:rFonts w:hint="eastAsia" w:cs="Times New Roman"/>
          <w:b/>
          <w:bCs w:val="0"/>
          <w:color w:val="000000" w:themeColor="text1"/>
          <w:lang w:val="en-US" w:eastAsia="zh-CN"/>
          <w14:textFill>
            <w14:solidFill>
              <w14:schemeClr w14:val="tx1"/>
            </w14:solidFill>
          </w14:textFill>
        </w:rPr>
        <w:t>聚焦精准招商，提高招商引资实效</w:t>
      </w:r>
      <w:bookmarkEnd w:id="320"/>
      <w:bookmarkEnd w:id="321"/>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outlineLvl w:val="2"/>
        <w:rPr>
          <w:rFonts w:hint="default" w:ascii="Times New Roman" w:hAnsi="Times New Roman" w:cs="Times New Roman"/>
          <w:b/>
          <w:bCs/>
          <w:color w:val="000000" w:themeColor="text1"/>
          <w:lang w:val="en-US" w:eastAsia="zh-CN"/>
          <w14:textFill>
            <w14:solidFill>
              <w14:schemeClr w14:val="tx1"/>
            </w14:solidFill>
          </w14:textFill>
        </w:rPr>
      </w:pPr>
      <w:bookmarkStart w:id="322" w:name="_Toc12177"/>
      <w:bookmarkStart w:id="323" w:name="_Toc10433"/>
      <w:r>
        <w:rPr>
          <w:rFonts w:hint="eastAsia"/>
          <w:b w:val="0"/>
          <w:bCs w:val="0"/>
          <w:color w:val="000000" w:themeColor="text1"/>
          <w:lang w:val="en-US" w:eastAsia="zh-CN"/>
          <w14:textFill>
            <w14:solidFill>
              <w14:schemeClr w14:val="tx1"/>
            </w14:solidFill>
          </w14:textFill>
        </w:rPr>
        <w:t>8</w:t>
      </w:r>
      <w:r>
        <w:rPr>
          <w:rFonts w:hint="eastAsia" w:ascii="Times New Roman" w:hAnsi="Times New Roman" w:cs="Times New Roman"/>
          <w:b/>
          <w:bCs/>
          <w:color w:val="000000" w:themeColor="text1"/>
          <w:lang w:val="en-US" w:eastAsia="zh-CN"/>
          <w14:textFill>
            <w14:solidFill>
              <w14:schemeClr w14:val="tx1"/>
            </w14:solidFill>
          </w14:textFill>
        </w:rPr>
        <w:t>.</w:t>
      </w:r>
      <w:r>
        <w:rPr>
          <w:rFonts w:hint="default" w:ascii="Times New Roman" w:hAnsi="Times New Roman" w:cs="Times New Roman"/>
          <w:b/>
          <w:bCs/>
          <w:color w:val="000000" w:themeColor="text1"/>
          <w:lang w:val="en-US" w:eastAsia="zh-CN"/>
          <w14:textFill>
            <w14:solidFill>
              <w14:schemeClr w14:val="tx1"/>
            </w14:solidFill>
          </w14:textFill>
        </w:rPr>
        <w:t>开展以</w:t>
      </w:r>
      <w:r>
        <w:rPr>
          <w:rFonts w:hint="eastAsia" w:cs="Times New Roman"/>
          <w:b/>
          <w:bCs/>
          <w:color w:val="000000" w:themeColor="text1"/>
          <w:lang w:val="en-US" w:eastAsia="zh-CN"/>
          <w14:textFill>
            <w14:solidFill>
              <w14:schemeClr w14:val="tx1"/>
            </w14:solidFill>
          </w14:textFill>
        </w:rPr>
        <w:t>延链补链强链</w:t>
      </w:r>
      <w:r>
        <w:rPr>
          <w:rFonts w:hint="default" w:ascii="Times New Roman" w:hAnsi="Times New Roman" w:cs="Times New Roman"/>
          <w:b/>
          <w:bCs/>
          <w:color w:val="000000" w:themeColor="text1"/>
          <w:lang w:val="en-US" w:eastAsia="zh-CN"/>
          <w14:textFill>
            <w14:solidFill>
              <w14:schemeClr w14:val="tx1"/>
            </w14:solidFill>
          </w14:textFill>
        </w:rPr>
        <w:t>为导向的精准招商</w:t>
      </w:r>
      <w:bookmarkEnd w:id="322"/>
      <w:bookmarkEnd w:id="323"/>
    </w:p>
    <w:p>
      <w:pPr>
        <w:bidi w:val="0"/>
      </w:pPr>
      <w:r>
        <w:rPr>
          <w:rFonts w:hint="default"/>
          <w:b w:val="0"/>
          <w:bCs w:val="0"/>
          <w:color w:val="000000" w:themeColor="text1"/>
          <w:lang w:val="en-US" w:eastAsia="zh-CN"/>
          <w14:textFill>
            <w14:solidFill>
              <w14:schemeClr w14:val="tx1"/>
            </w14:solidFill>
          </w14:textFill>
        </w:rPr>
        <w:t>强化产业链精准招商。紧扣</w:t>
      </w:r>
      <w:r>
        <w:rPr>
          <w:rFonts w:hint="eastAsia"/>
          <w:b w:val="0"/>
          <w:bCs w:val="0"/>
          <w:color w:val="000000" w:themeColor="text1"/>
          <w:lang w:val="en-US" w:eastAsia="zh-CN"/>
          <w14:textFill>
            <w14:solidFill>
              <w14:schemeClr w14:val="tx1"/>
            </w14:solidFill>
          </w14:textFill>
        </w:rPr>
        <w:t>汕尾市“1+3+5”现代化产业体系</w:t>
      </w:r>
      <w:r>
        <w:rPr>
          <w:rFonts w:hint="default"/>
          <w:b w:val="0"/>
          <w:bCs w:val="0"/>
          <w:color w:val="000000" w:themeColor="text1"/>
          <w:lang w:val="en-US" w:eastAsia="zh-CN"/>
          <w14:textFill>
            <w14:solidFill>
              <w14:schemeClr w14:val="tx1"/>
            </w14:solidFill>
          </w14:textFill>
        </w:rPr>
        <w:t>，聚焦重点产业链断点堵点与关键缺失环节，系统梳理产业</w:t>
      </w:r>
      <w:r>
        <w:rPr>
          <w:rFonts w:hint="default"/>
          <w:lang w:val="en-US" w:eastAsia="zh-CN"/>
        </w:rPr>
        <w:t>链结构、配套短板与招商需求，明确靶向招商重点与实施路径。精准对接链主企业生产配套、原料供给等核心诉求，分类建立上下游目标企业名录与资源储备库，</w:t>
      </w:r>
      <w:r>
        <w:rPr>
          <w:rFonts w:hint="eastAsia"/>
          <w:lang w:val="en-US" w:eastAsia="zh-CN"/>
        </w:rPr>
        <w:t>针对</w:t>
      </w:r>
      <w:r>
        <w:rPr>
          <w:rFonts w:hint="default"/>
          <w:lang w:val="en-US" w:eastAsia="zh-CN"/>
        </w:rPr>
        <w:t>核心零部件、关键原材料等产业薄弱环节，常态化开展配套企业定向招引。</w:t>
      </w:r>
      <w:r>
        <w:rPr>
          <w:rFonts w:hint="eastAsia"/>
          <w:lang w:val="en-US" w:eastAsia="zh-CN"/>
        </w:rPr>
        <w:t>鼓励</w:t>
      </w:r>
      <w:r>
        <w:t>建立融湾产业延链补链强链机制，</w:t>
      </w:r>
      <w:r>
        <w:rPr>
          <w:rFonts w:hint="eastAsia"/>
        </w:rPr>
        <w:t>分级分类精准遴选落地项目，推动项目精准落地、投产见效，</w:t>
      </w:r>
      <w:r>
        <w:rPr>
          <w:rFonts w:hint="eastAsia"/>
          <w:lang w:val="en-US" w:eastAsia="zh-CN"/>
        </w:rPr>
        <w:t>推动</w:t>
      </w:r>
      <w:r>
        <w:rPr>
          <w:rFonts w:hint="eastAsia"/>
        </w:rPr>
        <w:t>汕尾从地理通道升级为要素高效配置的战略支点，</w:t>
      </w:r>
      <w:r>
        <w:rPr>
          <w:rFonts w:hint="eastAsia"/>
          <w:lang w:val="en-US" w:eastAsia="zh-CN"/>
        </w:rPr>
        <w:t>全力</w:t>
      </w:r>
      <w:r>
        <w:rPr>
          <w:rFonts w:hint="eastAsia"/>
        </w:rPr>
        <w:t>打造东海岸产业链延伸首选区</w:t>
      </w:r>
      <w:r>
        <w:t>。</w:t>
      </w:r>
    </w:p>
    <w:p>
      <w:pPr>
        <w:bidi w:val="0"/>
        <w:rPr>
          <w:rFonts w:hint="eastAsia" w:eastAsia="仿宋_GB2312"/>
          <w:color w:val="000000" w:themeColor="text1"/>
          <w:lang w:eastAsia="zh-CN"/>
          <w14:textFill>
            <w14:solidFill>
              <w14:schemeClr w14:val="tx1"/>
            </w14:solidFill>
          </w14:textFill>
        </w:rPr>
      </w:pPr>
      <w:r>
        <w:rPr>
          <w:rFonts w:hint="default"/>
          <w:lang w:val="en-US" w:eastAsia="zh-CN"/>
        </w:rPr>
        <w:t>分业施策精准招商。</w:t>
      </w:r>
      <w:r>
        <w:rPr>
          <w:rFonts w:hint="eastAsia"/>
          <w:lang w:val="en-US" w:eastAsia="zh-CN"/>
        </w:rPr>
        <w:t>巩固提升</w:t>
      </w:r>
      <w:r>
        <w:rPr>
          <w:rFonts w:hint="default"/>
          <w:lang w:val="en-US" w:eastAsia="zh-CN"/>
        </w:rPr>
        <w:t>传统产业，重点引进与本土产业适配度高、带动能力强的产业链主企业及核心配套制造项目；招引落地数字化改造、节能降碳、绿色循环类优质项目，</w:t>
      </w:r>
      <w:r>
        <w:rPr>
          <w:rFonts w:hint="eastAsia"/>
          <w:lang w:val="en-US" w:eastAsia="zh-CN"/>
        </w:rPr>
        <w:t>助推</w:t>
      </w:r>
      <w:r>
        <w:rPr>
          <w:rFonts w:hint="default"/>
          <w:lang w:val="en-US" w:eastAsia="zh-CN"/>
        </w:rPr>
        <w:t>传统产业升级。</w:t>
      </w:r>
      <w:r>
        <w:rPr>
          <w:rFonts w:hint="eastAsia"/>
          <w:lang w:val="en-US" w:eastAsia="zh-CN"/>
        </w:rPr>
        <w:t>培育壮大</w:t>
      </w:r>
      <w:r>
        <w:rPr>
          <w:rFonts w:hint="default"/>
          <w:lang w:val="en-US" w:eastAsia="zh-CN"/>
        </w:rPr>
        <w:t>新兴产业，集中资源招引投资规模大、科技含量高、牵引作用突出、辐射带动广泛的标杆性产业项目，加快补齐产业发展短板，不断壮大先进制造业产业集群。前</w:t>
      </w:r>
      <w:r>
        <w:rPr>
          <w:rFonts w:hint="default"/>
          <w:b w:val="0"/>
          <w:bCs w:val="0"/>
          <w:color w:val="000000" w:themeColor="text1"/>
          <w:lang w:val="en-US" w:eastAsia="zh-CN"/>
          <w14:textFill>
            <w14:solidFill>
              <w14:schemeClr w14:val="tx1"/>
            </w14:solidFill>
          </w14:textFill>
        </w:rPr>
        <w:t>瞻布局通用智能、合成生物、绿色氢能、低空经济等未来赛道，研判产业发展趋势定向招引科创成长型项目，依托校地产学研合作基础，定向招引一批科技型、创新型、成长型前沿产业项目，逐步构建体系完整的未来产业链条</w:t>
      </w:r>
      <w:r>
        <w:rPr>
          <w:rFonts w:hint="eastAsia" w:ascii="Times New Roman" w:hAnsi="Times New Roman" w:cs="Times New Roman"/>
          <w:color w:val="000000" w:themeColor="text1"/>
          <w:szCs w:val="32"/>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left"/>
        <w:textAlignment w:val="auto"/>
        <w:outlineLvl w:val="2"/>
        <w:rPr>
          <w:rFonts w:hint="eastAsia" w:ascii="Times New Roman" w:hAnsi="Times New Roman" w:cs="Times New Roman"/>
          <w:b/>
          <w:bCs/>
          <w:color w:val="000000" w:themeColor="text1"/>
          <w:lang w:val="en-US" w:eastAsia="zh-CN"/>
          <w14:textFill>
            <w14:solidFill>
              <w14:schemeClr w14:val="tx1"/>
            </w14:solidFill>
          </w14:textFill>
        </w:rPr>
      </w:pPr>
      <w:bookmarkStart w:id="324" w:name="_Toc17301"/>
      <w:bookmarkStart w:id="325" w:name="_Toc16870"/>
      <w:r>
        <w:rPr>
          <w:rFonts w:hint="eastAsia" w:cs="Times New Roman"/>
          <w:b/>
          <w:bCs/>
          <w:color w:val="000000" w:themeColor="text1"/>
          <w:lang w:val="en-US" w:eastAsia="zh-CN"/>
          <w14:textFill>
            <w14:solidFill>
              <w14:schemeClr w14:val="tx1"/>
            </w14:solidFill>
          </w14:textFill>
        </w:rPr>
        <w:t>9</w:t>
      </w:r>
      <w:r>
        <w:rPr>
          <w:rFonts w:hint="eastAsia" w:ascii="Times New Roman" w:hAnsi="Times New Roman" w:cs="Times New Roman"/>
          <w:b/>
          <w:bCs/>
          <w:color w:val="000000" w:themeColor="text1"/>
          <w:lang w:val="en-US" w:eastAsia="zh-CN"/>
          <w14:textFill>
            <w14:solidFill>
              <w14:schemeClr w14:val="tx1"/>
            </w14:solidFill>
          </w14:textFill>
        </w:rPr>
        <w:t>.完善全流程招商工作体系，提升引资质效</w:t>
      </w:r>
      <w:bookmarkEnd w:id="324"/>
      <w:bookmarkEnd w:id="325"/>
    </w:p>
    <w:p>
      <w:pPr>
        <w:bidi w:val="0"/>
        <w:rPr>
          <w:rFonts w:hint="default"/>
          <w:lang w:val="en-US" w:eastAsia="zh-CN"/>
        </w:rPr>
      </w:pPr>
      <w:r>
        <w:rPr>
          <w:rFonts w:hint="eastAsia" w:ascii="仿宋_GB2312" w:hAnsi="仿宋_GB2312" w:eastAsia="仿宋_GB2312" w:cs="仿宋_GB2312"/>
          <w:b w:val="0"/>
          <w:bCs/>
          <w:color w:val="000000" w:themeColor="text1"/>
          <w:szCs w:val="32"/>
          <w:lang w:val="en-US" w:eastAsia="zh-CN"/>
          <w14:textFill>
            <w14:solidFill>
              <w14:schemeClr w14:val="tx1"/>
            </w14:solidFill>
          </w14:textFill>
        </w:rPr>
        <w:t>强化招</w:t>
      </w:r>
      <w:r>
        <w:rPr>
          <w:rFonts w:hint="eastAsia"/>
          <w:lang w:val="en-US" w:eastAsia="zh-CN"/>
        </w:rPr>
        <w:t>商专业能力。建立招商队伍常态化培训机制，围绕产业政策、金融法务、项目谈判开展专项实训</w:t>
      </w:r>
      <w:r>
        <w:rPr>
          <w:rFonts w:hint="default"/>
          <w:lang w:val="en-US" w:eastAsia="zh-CN"/>
        </w:rPr>
        <w:t>；同步完善以项目落地成效为核心的考核评价与激励约束机制，充分调动招商工作积极性与主动性。</w:t>
      </w:r>
      <w:r>
        <w:rPr>
          <w:rFonts w:hint="eastAsia"/>
          <w:lang w:val="en-US" w:eastAsia="zh-CN"/>
        </w:rPr>
        <w:t>完善</w:t>
      </w:r>
      <w:r>
        <w:rPr>
          <w:rFonts w:hint="default"/>
          <w:lang w:val="en-US" w:eastAsia="zh-CN"/>
        </w:rPr>
        <w:t>重大招商项目服务机制，不断完善重大产业项目库，实施重大招商项目联合预审制度，对项目进展进行全流程跟踪。探索组建实体化运作市投资促进中心，统筹全市产业链招商、项目服务工作</w:t>
      </w:r>
      <w:r>
        <w:rPr>
          <w:rFonts w:hint="eastAsia"/>
          <w:lang w:val="en-US" w:eastAsia="zh-CN"/>
        </w:rPr>
        <w:t>，</w:t>
      </w:r>
      <w:r>
        <w:rPr>
          <w:rFonts w:hint="default"/>
          <w:lang w:val="en-US" w:eastAsia="zh-CN"/>
        </w:rPr>
        <w:t>打造熟知产业政策、通晓国际规则、精通项目谈判的专业化招商团队。</w:t>
      </w:r>
    </w:p>
    <w:p>
      <w:pPr>
        <w:bidi w:val="0"/>
        <w:rPr>
          <w:rFonts w:hint="eastAsia"/>
          <w:lang w:val="en-US" w:eastAsia="zh-CN"/>
        </w:rPr>
      </w:pPr>
      <w:r>
        <w:rPr>
          <w:rFonts w:hint="eastAsia"/>
          <w:lang w:val="en-US" w:eastAsia="zh-CN"/>
        </w:rPr>
        <w:t>推进多元招商模式。推行“</w:t>
      </w:r>
      <w:r>
        <w:rPr>
          <w:rFonts w:hint="default"/>
          <w:lang w:val="en-US" w:eastAsia="zh-CN"/>
        </w:rPr>
        <w:t>政府+园区+运营商</w:t>
      </w:r>
      <w:r>
        <w:rPr>
          <w:rFonts w:hint="eastAsia"/>
          <w:lang w:val="en-US" w:eastAsia="zh-CN"/>
        </w:rPr>
        <w:t>”联合招商模式，联动行业协会、产业咨询机构拓宽项目渠道</w:t>
      </w:r>
      <w:r>
        <w:rPr>
          <w:rFonts w:hint="default"/>
          <w:lang w:val="en-US" w:eastAsia="zh-CN"/>
        </w:rPr>
        <w:t>，提升招商精准度与实效性。大力推行场景招商，立足汕尾产业基础，围绕新能源汽车</w:t>
      </w:r>
      <w:r>
        <w:rPr>
          <w:rFonts w:hint="eastAsia"/>
          <w:lang w:val="en-US" w:eastAsia="zh-CN"/>
        </w:rPr>
        <w:t>、新一代电子信息</w:t>
      </w:r>
      <w:r>
        <w:rPr>
          <w:rFonts w:hint="default"/>
          <w:lang w:val="en-US" w:eastAsia="zh-CN"/>
        </w:rPr>
        <w:t>等领域梳理场景清单，以场景牵引项目落地。加快探索数字招商</w:t>
      </w:r>
      <w:r>
        <w:rPr>
          <w:rFonts w:hint="eastAsia"/>
          <w:lang w:val="en-US" w:eastAsia="zh-CN"/>
        </w:rPr>
        <w:t>模式</w:t>
      </w:r>
      <w:r>
        <w:rPr>
          <w:rFonts w:hint="default"/>
          <w:lang w:val="en-US" w:eastAsia="zh-CN"/>
        </w:rPr>
        <w:t>，整合产业数据、企业信息</w:t>
      </w:r>
      <w:r>
        <w:rPr>
          <w:rFonts w:hint="eastAsia"/>
          <w:lang w:val="en-US" w:eastAsia="zh-CN"/>
        </w:rPr>
        <w:t>与</w:t>
      </w:r>
      <w:r>
        <w:rPr>
          <w:rFonts w:hint="default"/>
          <w:lang w:val="en-US" w:eastAsia="zh-CN"/>
        </w:rPr>
        <w:t>招商线索，依托信息化方式打破壁垒，赋能精准匹配与线上对接，</w:t>
      </w:r>
      <w:r>
        <w:rPr>
          <w:lang w:val="en-US" w:eastAsia="zh-CN"/>
        </w:rPr>
        <w:t>推动全市招商工作向数字化、精细化、专业化转型</w:t>
      </w:r>
      <w:r>
        <w:rPr>
          <w:rFonts w:hint="eastAsia"/>
          <w:lang w:val="en-US" w:eastAsia="zh-CN"/>
        </w:rPr>
        <w:t>。</w:t>
      </w:r>
    </w:p>
    <w:p>
      <w:pPr>
        <w:bidi w:val="0"/>
        <w:rPr>
          <w:rFonts w:hint="default"/>
          <w:lang w:val="en-US" w:eastAsia="zh-CN"/>
        </w:rPr>
      </w:pPr>
      <w:r>
        <w:rPr>
          <w:rFonts w:hint="eastAsia"/>
          <w:lang w:val="en-US" w:eastAsia="zh-CN"/>
        </w:rPr>
        <w:t>优化招商引资全服务。构建项目对接、签约落地、投产运营的全生命周期服务机制，对重点项目实行“一事一议”支持，提供个性化、精准化政策支持配套。健全以落地为导向的工作机制，建立“线索—在谈—签约—落地—投产”全周期跟踪台账，落实“1+5+X”工作协调机制，推动签约项目快落地、快建设、快投产。</w:t>
      </w:r>
    </w:p>
    <w:p>
      <w:pPr>
        <w:bidi w:val="0"/>
        <w:rPr>
          <w:rFonts w:hint="eastAsia" w:cs="Times New Roman"/>
          <w:b w:val="0"/>
          <w:bCs/>
          <w:color w:val="000000" w:themeColor="text1"/>
          <w:szCs w:val="24"/>
          <w:lang w:val="en-US" w:eastAsia="zh-CN"/>
          <w14:textFill>
            <w14:solidFill>
              <w14:schemeClr w14:val="tx1"/>
            </w14:solidFill>
          </w14:textFill>
        </w:rPr>
      </w:pPr>
      <w:r>
        <w:rPr>
          <w:rFonts w:hint="eastAsia"/>
          <w:lang w:val="en-US" w:eastAsia="zh-CN"/>
        </w:rPr>
        <w:t>拓展区域协作招商。</w:t>
      </w:r>
      <w:r>
        <w:rPr>
          <w:rFonts w:hint="default"/>
          <w:lang w:val="en-US" w:eastAsia="zh-CN"/>
        </w:rPr>
        <w:t>加强与省国资委、珠三角城市国资委对接，建立产业转移投资长期合作纽带，积极吸引省属国企、珠三角市属国企到汕尾投资布局。推动市属国有企业</w:t>
      </w:r>
      <w:r>
        <w:rPr>
          <w:rFonts w:hint="eastAsia"/>
          <w:lang w:val="en-US" w:eastAsia="zh-CN"/>
        </w:rPr>
        <w:t>与</w:t>
      </w:r>
      <w:r>
        <w:rPr>
          <w:rFonts w:hint="default"/>
          <w:lang w:val="en-US" w:eastAsia="zh-CN"/>
        </w:rPr>
        <w:t>省属国企、珠三角地市国企开展常态化对接交流，组织参加各类产业转移对接会、招商推介会，建立长效投资合作机制，</w:t>
      </w:r>
      <w:r>
        <w:rPr>
          <w:rFonts w:hint="eastAsia"/>
          <w:lang w:val="en-US" w:eastAsia="zh-CN"/>
        </w:rPr>
        <w:t>促进</w:t>
      </w:r>
      <w:r>
        <w:rPr>
          <w:rFonts w:hint="default"/>
          <w:lang w:val="en-US" w:eastAsia="zh-CN"/>
        </w:rPr>
        <w:t>产业投资信息互通共享。</w:t>
      </w:r>
      <w:r>
        <w:rPr>
          <w:rFonts w:hint="eastAsia"/>
          <w:lang w:val="en-US" w:eastAsia="zh-CN"/>
        </w:rPr>
        <w:t>推动搭建</w:t>
      </w:r>
      <w:r>
        <w:rPr>
          <w:rFonts w:hint="default"/>
          <w:lang w:val="en-US" w:eastAsia="zh-CN"/>
        </w:rPr>
        <w:t>全产业、可视化、智慧化的专门招商引资信息</w:t>
      </w:r>
      <w:r>
        <w:rPr>
          <w:rFonts w:hint="default"/>
          <w:b w:val="0"/>
          <w:bCs w:val="0"/>
          <w:color w:val="000000" w:themeColor="text1"/>
          <w:lang w:val="en-US" w:eastAsia="zh-CN"/>
          <w14:textFill>
            <w14:solidFill>
              <w14:schemeClr w14:val="tx1"/>
            </w14:solidFill>
          </w14:textFill>
        </w:rPr>
        <w:t>平台，</w:t>
      </w:r>
      <w:r>
        <w:rPr>
          <w:rFonts w:hint="eastAsia"/>
          <w:b w:val="0"/>
          <w:bCs w:val="0"/>
          <w:color w:val="000000" w:themeColor="text1"/>
          <w:lang w:val="en-US" w:eastAsia="zh-CN"/>
          <w14:textFill>
            <w14:solidFill>
              <w14:schemeClr w14:val="tx1"/>
            </w14:solidFill>
          </w14:textFill>
        </w:rPr>
        <w:t>动态</w:t>
      </w:r>
      <w:r>
        <w:rPr>
          <w:rFonts w:hint="default"/>
          <w:b w:val="0"/>
          <w:bCs w:val="0"/>
          <w:color w:val="000000" w:themeColor="text1"/>
          <w:lang w:val="en-US" w:eastAsia="zh-CN"/>
          <w14:textFill>
            <w14:solidFill>
              <w14:schemeClr w14:val="tx1"/>
            </w14:solidFill>
          </w14:textFill>
        </w:rPr>
        <w:t>发布主平台需求清单，及时梳理珠三角产业转移信息，紧密对接投资项目。</w:t>
      </w:r>
    </w:p>
    <w:p>
      <w:pPr>
        <w:pStyle w:val="4"/>
        <w:keepNext/>
        <w:keepLines/>
        <w:pageBreakBefore w:val="0"/>
        <w:widowControl w:val="0"/>
        <w:numPr>
          <w:ilvl w:val="0"/>
          <w:numId w:val="2"/>
        </w:numPr>
        <w:kinsoku/>
        <w:wordWrap/>
        <w:overflowPunct/>
        <w:topLinePunct w:val="0"/>
        <w:autoSpaceDE/>
        <w:autoSpaceDN/>
        <w:bidi w:val="0"/>
        <w:adjustRightInd w:val="0"/>
        <w:snapToGrid w:val="0"/>
        <w:spacing w:line="560" w:lineRule="exact"/>
        <w:ind w:left="0" w:leftChars="0" w:firstLine="642" w:firstLineChars="200"/>
        <w:textAlignment w:val="auto"/>
        <w:rPr>
          <w:rFonts w:hint="default" w:cs="Times New Roman"/>
          <w:b/>
          <w:bCs w:val="0"/>
          <w:color w:val="000000" w:themeColor="text1"/>
          <w:lang w:val="en-US" w:eastAsia="zh-CN"/>
          <w14:textFill>
            <w14:solidFill>
              <w14:schemeClr w14:val="tx1"/>
            </w14:solidFill>
          </w14:textFill>
        </w:rPr>
      </w:pPr>
      <w:bookmarkStart w:id="326" w:name="_Toc2197"/>
      <w:r>
        <w:rPr>
          <w:rFonts w:hint="eastAsia" w:cs="Times New Roman"/>
          <w:b/>
          <w:bCs w:val="0"/>
          <w:color w:val="000000" w:themeColor="text1"/>
          <w:lang w:val="en-US" w:eastAsia="zh-CN"/>
          <w14:textFill>
            <w14:solidFill>
              <w14:schemeClr w14:val="tx1"/>
            </w14:solidFill>
          </w14:textFill>
        </w:rPr>
        <w:t>聚焦企业培优，做强市场经营主体</w:t>
      </w:r>
      <w:bookmarkEnd w:id="326"/>
    </w:p>
    <w:p>
      <w:pPr>
        <w:widowControl/>
        <w:spacing w:line="560" w:lineRule="exact"/>
        <w:jc w:val="left"/>
        <w:outlineLvl w:val="2"/>
        <w:rPr>
          <w:rFonts w:hint="default" w:ascii="Times New Roman" w:hAnsi="Times New Roman" w:cs="Times New Roman"/>
          <w:b/>
          <w:bCs/>
          <w:color w:val="000000" w:themeColor="text1"/>
          <w:lang w:val="en-US" w:eastAsia="zh-CN"/>
          <w14:textFill>
            <w14:solidFill>
              <w14:schemeClr w14:val="tx1"/>
            </w14:solidFill>
          </w14:textFill>
        </w:rPr>
      </w:pPr>
      <w:bookmarkStart w:id="327" w:name="_Toc22010"/>
      <w:bookmarkStart w:id="328" w:name="_Toc22883"/>
      <w:r>
        <w:rPr>
          <w:rFonts w:hint="eastAsia" w:ascii="Times New Roman" w:hAnsi="Times New Roman" w:cs="Times New Roman"/>
          <w:b/>
          <w:bCs/>
          <w:color w:val="000000" w:themeColor="text1"/>
          <w:lang w:val="en-US" w:eastAsia="zh-CN"/>
          <w14:textFill>
            <w14:solidFill>
              <w14:schemeClr w14:val="tx1"/>
            </w14:solidFill>
          </w14:textFill>
        </w:rPr>
        <w:t>10.实施梯队化企业培育，</w:t>
      </w:r>
      <w:r>
        <w:rPr>
          <w:rFonts w:hint="default" w:ascii="Times New Roman" w:hAnsi="Times New Roman" w:eastAsia="仿宋_GB2312" w:cs="Times New Roman"/>
          <w:b/>
          <w:bCs/>
          <w:color w:val="000000" w:themeColor="text1"/>
          <w:sz w:val="32"/>
          <w:szCs w:val="24"/>
          <w14:textFill>
            <w14:solidFill>
              <w14:schemeClr w14:val="tx1"/>
            </w14:solidFill>
          </w14:textFill>
        </w:rPr>
        <w:t>做强市场经营主体</w:t>
      </w:r>
      <w:bookmarkEnd w:id="327"/>
      <w:bookmarkEnd w:id="328"/>
    </w:p>
    <w:p>
      <w:pPr>
        <w:bidi w:val="0"/>
        <w:rPr>
          <w:rFonts w:hint="default"/>
          <w:lang w:val="en-US" w:eastAsia="zh-CN"/>
        </w:rPr>
      </w:pPr>
      <w:r>
        <w:rPr>
          <w:rFonts w:hint="default"/>
          <w:lang w:val="en-US" w:eastAsia="zh-CN"/>
        </w:rPr>
        <w:t>培优扶强龙头企业。引导龙头企业结合产业规划、市场需求实施增资扩产、技术改造项目，同步推进技术改造、产能提质升级，助力企业优化生产布局、拓宽内外市场、扩大经营规模，持续实施龙头企业梯度培优工作。鼓励龙头企业推进全球化布局，搭建面向全球的资源统筹、市场开拓、人才引育及生产服务一体化体系，持续拓展海外市场。引导企业通过并购重组、股权合作、战略合作、组建产业联盟等市场化方式整合优质资源，持续优化业务布局，扩大规模效应。</w:t>
      </w:r>
    </w:p>
    <w:p>
      <w:pPr>
        <w:bidi w:val="0"/>
        <w:rPr>
          <w:rFonts w:hint="default"/>
          <w:lang w:val="en-US" w:eastAsia="zh-CN"/>
        </w:rPr>
      </w:pPr>
      <w:r>
        <w:rPr>
          <w:rFonts w:hint="default"/>
          <w:lang w:val="en-US" w:eastAsia="zh-CN"/>
        </w:rPr>
        <w:t>筑牢中小企业培育基础。</w:t>
      </w:r>
      <w:r>
        <w:t>完善</w:t>
      </w:r>
      <w:r>
        <w:rPr>
          <w:rFonts w:hint="eastAsia"/>
          <w:lang w:eastAsia="zh-CN"/>
        </w:rPr>
        <w:t>“</w:t>
      </w:r>
      <w:r>
        <w:t>小升规、专精特新、</w:t>
      </w:r>
      <w:r>
        <w:rPr>
          <w:rFonts w:hint="eastAsia"/>
          <w:lang w:eastAsia="zh-CN"/>
        </w:rPr>
        <w:t>专精特新‘小巨人’”</w:t>
      </w:r>
      <w:r>
        <w:t>全梯度企业培育库</w:t>
      </w:r>
      <w:r>
        <w:rPr>
          <w:rFonts w:hint="default"/>
          <w:lang w:val="en-US" w:eastAsia="zh-CN"/>
        </w:rPr>
        <w:t>，对入库企业实施“一企一策”精准辅导，畅通中小企业梯度成长体系，持续充实产业后备力量，厚植产业配套根基。深入挖掘市域中小企业发展潜力，规范企业培育准入标准，重点遴选主营业务收入占比高、细分市场占有率高、研发投入强度达标的优质市场主体。</w:t>
      </w:r>
    </w:p>
    <w:p>
      <w:pPr>
        <w:keepNext w:val="0"/>
        <w:keepLines w:val="0"/>
        <w:widowControl/>
        <w:snapToGrid/>
        <w:spacing w:before="0" w:after="0" w:line="560" w:lineRule="exact"/>
        <w:jc w:val="left"/>
        <w:outlineLvl w:val="2"/>
        <w:rPr>
          <w:rFonts w:hint="default" w:ascii="仿宋_GB2312" w:hAnsi="仿宋_GB2312" w:eastAsia="仿宋_GB2312" w:cs="仿宋_GB2312"/>
          <w:b w:val="0"/>
          <w:bCs/>
          <w:color w:val="000000" w:themeColor="text1"/>
          <w:sz w:val="32"/>
          <w:szCs w:val="32"/>
          <w:lang w:val="en-US" w:eastAsia="zh-CN"/>
          <w14:textFill>
            <w14:solidFill>
              <w14:schemeClr w14:val="tx1"/>
            </w14:solidFill>
          </w14:textFill>
        </w:rPr>
      </w:pPr>
      <w:bookmarkStart w:id="329" w:name="_Toc9950"/>
      <w:bookmarkStart w:id="330" w:name="_Toc31592"/>
      <w:r>
        <w:rPr>
          <w:rFonts w:hint="eastAsia" w:cs="Times New Roman"/>
          <w:b/>
          <w:bCs/>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w:t>
      </w:r>
      <w:r>
        <w:rPr>
          <w:rFonts w:hint="default"/>
          <w:b/>
          <w:bCs/>
          <w:color w:val="000000" w:themeColor="text1"/>
          <w:lang w:val="en-US" w:eastAsia="zh-CN"/>
          <w14:textFill>
            <w14:solidFill>
              <w14:schemeClr w14:val="tx1"/>
            </w14:solidFill>
          </w14:textFill>
        </w:rPr>
        <w:t>促进大中小企业融通，凝聚产业发展合力</w:t>
      </w:r>
      <w:bookmarkEnd w:id="329"/>
      <w:bookmarkEnd w:id="330"/>
    </w:p>
    <w:p>
      <w:pPr>
        <w:bidi w:val="0"/>
        <w:rPr>
          <w:rFonts w:hint="eastAsia"/>
          <w:lang w:val="en-US" w:eastAsia="zh-CN"/>
        </w:rPr>
      </w:pPr>
      <w:r>
        <w:rPr>
          <w:rFonts w:hint="default" w:ascii="仿宋_GB2312" w:hAnsi="仿宋_GB2312" w:eastAsia="仿宋_GB2312" w:cs="仿宋_GB2312"/>
          <w:b w:val="0"/>
          <w:bCs/>
          <w:color w:val="000000" w:themeColor="text1"/>
          <w:szCs w:val="32"/>
          <w:lang w:val="en-US" w:eastAsia="zh-CN"/>
          <w14:textFill>
            <w14:solidFill>
              <w14:schemeClr w14:val="tx1"/>
            </w14:solidFill>
          </w14:textFill>
        </w:rPr>
        <w:t>深化</w:t>
      </w:r>
      <w:r>
        <w:rPr>
          <w:rFonts w:hint="eastAsia" w:ascii="仿宋_GB2312" w:hAnsi="仿宋_GB2312" w:eastAsia="仿宋_GB2312" w:cs="仿宋_GB2312"/>
          <w:b w:val="0"/>
          <w:bCs/>
          <w:color w:val="000000" w:themeColor="text1"/>
          <w:szCs w:val="32"/>
          <w:lang w:val="en-US" w:eastAsia="zh-CN"/>
          <w14:textFill>
            <w14:solidFill>
              <w14:schemeClr w14:val="tx1"/>
            </w14:solidFill>
          </w14:textFill>
        </w:rPr>
        <w:t>“</w:t>
      </w:r>
      <w:r>
        <w:rPr>
          <w:rFonts w:hint="default" w:ascii="仿宋_GB2312" w:hAnsi="仿宋_GB2312" w:eastAsia="仿宋_GB2312" w:cs="仿宋_GB2312"/>
          <w:b w:val="0"/>
          <w:bCs/>
          <w:color w:val="000000" w:themeColor="text1"/>
          <w:szCs w:val="32"/>
          <w:lang w:val="en-US" w:eastAsia="zh-CN"/>
          <w14:textFill>
            <w14:solidFill>
              <w14:schemeClr w14:val="tx1"/>
            </w14:solidFill>
          </w14:textFill>
        </w:rPr>
        <w:t>以大带小</w:t>
      </w:r>
      <w:r>
        <w:rPr>
          <w:rFonts w:hint="eastAsia" w:ascii="仿宋_GB2312" w:hAnsi="仿宋_GB2312" w:eastAsia="仿宋_GB2312" w:cs="仿宋_GB2312"/>
          <w:b w:val="0"/>
          <w:bCs/>
          <w:color w:val="000000" w:themeColor="text1"/>
          <w:szCs w:val="32"/>
          <w:lang w:val="en-US" w:eastAsia="zh-CN"/>
          <w14:textFill>
            <w14:solidFill>
              <w14:schemeClr w14:val="tx1"/>
            </w14:solidFill>
          </w14:textFill>
        </w:rPr>
        <w:t>”联动融通。依托本土龙头企业定期发布</w:t>
      </w:r>
      <w:r>
        <w:rPr>
          <w:rFonts w:hint="eastAsia"/>
          <w:lang w:val="en-US" w:eastAsia="zh-CN"/>
        </w:rPr>
        <w:t>配套采购清单、行业技术标准及产能配套需求，充分发挥龙头企业技术、标准、资金、项目、平台资源优势，以定向采购、订单牵引、技术赋能、设备共享为抓手，打通龙头、骨干企业与本地中小配套企业在产品配套、技术研发、市场开拓领域的协同对接渠道，引导中小微企业深度嵌入龙头产业链，打造分工清晰、衔接顺畅的产业链配套体系</w:t>
      </w:r>
      <w:r>
        <w:rPr>
          <w:rFonts w:hint="eastAsia"/>
        </w:rPr>
        <w:t>。</w:t>
      </w:r>
    </w:p>
    <w:p>
      <w:pPr>
        <w:bidi w:val="0"/>
        <w:rPr>
          <w:rFonts w:hint="default"/>
          <w:color w:val="000000" w:themeColor="text1"/>
          <w:lang w:val="en-US" w:eastAsia="zh-CN"/>
          <w14:textFill>
            <w14:solidFill>
              <w14:schemeClr w14:val="tx1"/>
            </w14:solidFill>
          </w14:textFill>
        </w:rPr>
      </w:pPr>
      <w:r>
        <w:rPr>
          <w:rFonts w:hint="default"/>
          <w:lang w:val="en-US" w:eastAsia="zh-CN"/>
        </w:rPr>
        <w:t>强化</w:t>
      </w:r>
      <w:r>
        <w:rPr>
          <w:rFonts w:hint="eastAsia"/>
          <w:lang w:val="en-US" w:eastAsia="zh-CN"/>
        </w:rPr>
        <w:t>“</w:t>
      </w:r>
      <w:r>
        <w:rPr>
          <w:rFonts w:hint="default"/>
          <w:lang w:val="en-US" w:eastAsia="zh-CN"/>
        </w:rPr>
        <w:t>以小托大</w:t>
      </w:r>
      <w:r>
        <w:rPr>
          <w:rFonts w:hint="eastAsia"/>
          <w:lang w:val="en-US" w:eastAsia="zh-CN"/>
        </w:rPr>
        <w:t>”</w:t>
      </w:r>
      <w:r>
        <w:rPr>
          <w:rFonts w:hint="default"/>
          <w:lang w:val="en-US" w:eastAsia="zh-CN"/>
        </w:rPr>
        <w:t>支撑能力。持续提升本地产业配套整体水平，以优质本地化配套反哺龙头企业，切实</w:t>
      </w:r>
      <w:r>
        <w:rPr>
          <w:rFonts w:hint="eastAsia"/>
          <w:lang w:val="en-US" w:eastAsia="zh-CN"/>
        </w:rPr>
        <w:t>降低</w:t>
      </w:r>
      <w:r>
        <w:rPr>
          <w:rFonts w:hint="default"/>
          <w:lang w:val="en-US" w:eastAsia="zh-CN"/>
        </w:rPr>
        <w:t>企业生产经营</w:t>
      </w:r>
      <w:r>
        <w:rPr>
          <w:rFonts w:hint="eastAsia"/>
          <w:lang w:val="en-US" w:eastAsia="zh-CN"/>
        </w:rPr>
        <w:t>、</w:t>
      </w:r>
      <w:r>
        <w:rPr>
          <w:rFonts w:hint="default"/>
          <w:lang w:val="en-US" w:eastAsia="zh-CN"/>
        </w:rPr>
        <w:t>产业链协作综合成本</w:t>
      </w:r>
      <w:r>
        <w:rPr>
          <w:rFonts w:hint="eastAsia"/>
          <w:lang w:val="en-US" w:eastAsia="zh-CN"/>
        </w:rPr>
        <w:t>，</w:t>
      </w:r>
      <w:r>
        <w:rPr>
          <w:rFonts w:hint="default"/>
          <w:lang w:val="en-US" w:eastAsia="zh-CN"/>
        </w:rPr>
        <w:t>提升供需协作效率，构建龙头牵引、配套集聚、双向协同的产业融通生态。引导中小企业聚焦新能源汽车零部件、海工装备配套件、电子元器件、精密模具细分领域，运用新工艺、新设备、新技术开展生产线适应性技改，深耕细分配套赛道</w:t>
      </w:r>
      <w:r>
        <w:rPr>
          <w:rFonts w:hint="eastAsia"/>
          <w:lang w:val="en-US" w:eastAsia="zh-CN"/>
        </w:rPr>
        <w:t>，</w:t>
      </w:r>
      <w:r>
        <w:t>攻关配套领域核心实用技术</w:t>
      </w:r>
      <w:r>
        <w:rPr>
          <w:rFonts w:hint="default"/>
          <w:lang w:val="en-US" w:eastAsia="zh-CN"/>
        </w:rPr>
        <w:t>，走</w:t>
      </w:r>
      <w:r>
        <w:rPr>
          <w:rFonts w:hint="default" w:ascii="仿宋_GB2312" w:hAnsi="仿宋_GB2312" w:eastAsia="仿宋_GB2312" w:cs="仿宋_GB2312"/>
          <w:b w:val="0"/>
          <w:bCs/>
          <w:color w:val="000000" w:themeColor="text1"/>
          <w:szCs w:val="32"/>
          <w:lang w:val="en-US" w:eastAsia="zh-CN"/>
          <w14:textFill>
            <w14:solidFill>
              <w14:schemeClr w14:val="tx1"/>
            </w14:solidFill>
          </w14:textFill>
        </w:rPr>
        <w:t>专业化、精细化、特色化发展路径，筑牢服务龙头企业的配套供给根基</w:t>
      </w:r>
      <w:r>
        <w:rPr>
          <w:rFonts w:hint="default"/>
          <w:b w:val="0"/>
          <w:color w:val="000000" w:themeColor="text1"/>
          <w:lang w:val="en-US" w:eastAsia="zh-CN"/>
          <w14:textFill>
            <w14:solidFill>
              <w14:schemeClr w14:val="tx1"/>
            </w14:solidFill>
          </w14:textFill>
        </w:rPr>
        <w:t>。</w:t>
      </w:r>
    </w:p>
    <w:p>
      <w:pPr>
        <w:pStyle w:val="4"/>
        <w:keepNext/>
        <w:keepLines w:val="0"/>
        <w:pageBreakBefore w:val="0"/>
        <w:widowControl w:val="0"/>
        <w:numPr>
          <w:ilvl w:val="0"/>
          <w:numId w:val="0"/>
        </w:numPr>
        <w:suppressLineNumbers w:val="0"/>
        <w:kinsoku/>
        <w:wordWrap/>
        <w:overflowPunct/>
        <w:topLinePunct w:val="0"/>
        <w:autoSpaceDE/>
        <w:autoSpaceDN/>
        <w:bidi w:val="0"/>
        <w:adjustRightInd w:val="0"/>
        <w:snapToGrid w:val="0"/>
        <w:spacing w:line="560" w:lineRule="exact"/>
        <w:ind w:firstLine="640"/>
        <w:jc w:val="left"/>
        <w:textAlignment w:val="auto"/>
        <w:outlineLvl w:val="1"/>
        <w:rPr>
          <w:rFonts w:hint="eastAsia" w:ascii="Times New Roman" w:hAnsi="Times New Roman" w:eastAsia="楷体_GB2312" w:cs="Times New Roman"/>
          <w:b w:val="0"/>
          <w:bCs/>
          <w:color w:val="000000" w:themeColor="text1"/>
          <w:sz w:val="32"/>
          <w:szCs w:val="24"/>
          <w:lang w:val="en-US" w:eastAsia="zh-CN"/>
          <w14:textFill>
            <w14:solidFill>
              <w14:schemeClr w14:val="tx1"/>
            </w14:solidFill>
          </w14:textFill>
        </w:rPr>
      </w:pPr>
      <w:bookmarkStart w:id="331" w:name="_Toc23931"/>
      <w:bookmarkStart w:id="332" w:name="_Toc13164"/>
      <w:r>
        <w:rPr>
          <w:rFonts w:hint="eastAsia" w:ascii="Times New Roman" w:hAnsi="Times New Roman" w:eastAsia="楷体_GB2312" w:cs="Times New Roman"/>
          <w:b w:val="0"/>
          <w:bCs/>
          <w:color w:val="000000" w:themeColor="text1"/>
          <w:sz w:val="32"/>
          <w:szCs w:val="24"/>
          <w:lang w:val="en-US" w:eastAsia="zh-CN"/>
          <w14:textFill>
            <w14:solidFill>
              <w14:schemeClr w14:val="tx1"/>
            </w14:solidFill>
          </w14:textFill>
        </w:rPr>
        <w:t>（</w:t>
      </w:r>
      <w:r>
        <w:rPr>
          <w:rFonts w:hint="eastAsia" w:cs="Times New Roman"/>
          <w:b w:val="0"/>
          <w:bCs/>
          <w:color w:val="000000" w:themeColor="text1"/>
          <w:sz w:val="32"/>
          <w:szCs w:val="24"/>
          <w:lang w:val="en-US" w:eastAsia="zh-CN"/>
          <w14:textFill>
            <w14:solidFill>
              <w14:schemeClr w14:val="tx1"/>
            </w14:solidFill>
          </w14:textFill>
        </w:rPr>
        <w:t>六</w:t>
      </w:r>
      <w:r>
        <w:rPr>
          <w:rFonts w:hint="eastAsia" w:ascii="Times New Roman" w:hAnsi="Times New Roman" w:eastAsia="楷体_GB2312" w:cs="Times New Roman"/>
          <w:b w:val="0"/>
          <w:bCs/>
          <w:color w:val="000000" w:themeColor="text1"/>
          <w:sz w:val="32"/>
          <w:szCs w:val="24"/>
          <w:lang w:val="en-US" w:eastAsia="zh-CN"/>
          <w14:textFill>
            <w14:solidFill>
              <w14:schemeClr w14:val="tx1"/>
            </w14:solidFill>
          </w14:textFill>
        </w:rPr>
        <w:t>）推动园区跃升，打造集约发展</w:t>
      </w:r>
      <w:r>
        <w:rPr>
          <w:rFonts w:hint="eastAsia" w:cs="Times New Roman"/>
          <w:b w:val="0"/>
          <w:bCs/>
          <w:color w:val="000000" w:themeColor="text1"/>
          <w:sz w:val="32"/>
          <w:szCs w:val="24"/>
          <w:lang w:val="en-US" w:eastAsia="zh-CN"/>
          <w14:textFill>
            <w14:solidFill>
              <w14:schemeClr w14:val="tx1"/>
            </w14:solidFill>
          </w14:textFill>
        </w:rPr>
        <w:t>平台</w:t>
      </w:r>
      <w:bookmarkEnd w:id="331"/>
      <w:bookmarkEnd w:id="332"/>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outlineLvl w:val="2"/>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33" w:name="_Toc18336"/>
      <w:bookmarkStart w:id="334" w:name="_Toc20660"/>
      <w:r>
        <w:rPr>
          <w:rFonts w:hint="eastAsia" w:cs="Times New Roman"/>
          <w:b/>
          <w:bCs/>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.强化园区要素保障能力，支撑园区高质量发展</w:t>
      </w:r>
      <w:bookmarkEnd w:id="333"/>
      <w:bookmarkEnd w:id="334"/>
    </w:p>
    <w:p>
      <w:pPr>
        <w:bidi w:val="0"/>
        <w:rPr>
          <w:rFonts w:hint="default"/>
          <w:lang w:val="en-US" w:eastAsia="zh-CN"/>
        </w:rPr>
      </w:pPr>
      <w:r>
        <w:rPr>
          <w:rFonts w:hint="default"/>
          <w:b w:val="0"/>
          <w:bCs w:val="0"/>
          <w:color w:val="000000" w:themeColor="text1"/>
          <w:lang w:val="en-US" w:eastAsia="zh-CN"/>
          <w14:textFill>
            <w14:solidFill>
              <w14:schemeClr w14:val="tx1"/>
            </w14:solidFill>
          </w14:textFill>
        </w:rPr>
        <w:t>推进土地要素保障</w:t>
      </w:r>
      <w:r>
        <w:rPr>
          <w:rFonts w:hint="eastAsia"/>
          <w:b w:val="0"/>
          <w:bCs w:val="0"/>
          <w:color w:val="000000" w:themeColor="text1"/>
          <w:lang w:val="en-US" w:eastAsia="zh-CN"/>
          <w14:textFill>
            <w14:solidFill>
              <w14:schemeClr w14:val="tx1"/>
            </w14:solidFill>
          </w14:textFill>
        </w:rPr>
        <w:t>。</w:t>
      </w:r>
      <w:r>
        <w:rPr>
          <w:rFonts w:hint="default"/>
          <w:b w:val="0"/>
          <w:bCs w:val="0"/>
          <w:color w:val="000000" w:themeColor="text1"/>
          <w:lang w:val="en-US" w:eastAsia="zh-CN"/>
          <w14:textFill>
            <w14:solidFill>
              <w14:schemeClr w14:val="tx1"/>
            </w14:solidFill>
          </w14:textFill>
        </w:rPr>
        <w:t>支持工业园区加快高标准厂房建设，</w:t>
      </w:r>
      <w:r>
        <w:rPr>
          <w:rFonts w:hint="default"/>
          <w:lang w:val="en-US" w:eastAsia="zh-CN"/>
        </w:rPr>
        <w:t>严控用地准入门槛，提升土地集约利用水平</w:t>
      </w:r>
      <w:r>
        <w:rPr>
          <w:rFonts w:hint="eastAsia"/>
          <w:lang w:val="en-US" w:eastAsia="zh-CN"/>
        </w:rPr>
        <w:t>；</w:t>
      </w:r>
      <w:r>
        <w:rPr>
          <w:rFonts w:hint="default"/>
          <w:lang w:val="en-US" w:eastAsia="zh-CN"/>
        </w:rPr>
        <w:t>鼓励利用存量工业房产发展生产性服务业、众创空间，改造载体在规定</w:t>
      </w:r>
      <w:r>
        <w:t>过渡期内</w:t>
      </w:r>
      <w:r>
        <w:rPr>
          <w:rFonts w:hint="default"/>
          <w:lang w:val="en-US" w:eastAsia="zh-CN"/>
        </w:rPr>
        <w:t>可按原有土地用途、权属类型管理，用地期满或发生权属转让、需变更用地性质的，可依据新用途、新权利类型及市场评估价格，通过协议方式办理用地变更手续。</w:t>
      </w:r>
    </w:p>
    <w:p>
      <w:pPr>
        <w:bidi w:val="0"/>
        <w:rPr>
          <w:rFonts w:hint="default"/>
          <w:lang w:val="en-US" w:eastAsia="zh-CN"/>
        </w:rPr>
      </w:pPr>
      <w:r>
        <w:rPr>
          <w:rFonts w:hint="default"/>
          <w:lang w:val="en-US" w:eastAsia="zh-CN"/>
        </w:rPr>
        <w:t>强化资金要素保障。</w:t>
      </w:r>
      <w:r>
        <w:rPr>
          <w:rFonts w:hint="eastAsia"/>
          <w:lang w:val="en-US" w:eastAsia="zh-CN"/>
        </w:rPr>
        <w:t>用足</w:t>
      </w:r>
      <w:r>
        <w:rPr>
          <w:rFonts w:hint="default"/>
          <w:lang w:val="en-US" w:eastAsia="zh-CN"/>
        </w:rPr>
        <w:t>用好老区苏区扶持政策，积极争取中央预算内投资、地方政府专项债</w:t>
      </w:r>
      <w:r>
        <w:rPr>
          <w:rFonts w:hint="eastAsia"/>
          <w:lang w:val="en-US" w:eastAsia="zh-CN"/>
        </w:rPr>
        <w:t>及</w:t>
      </w:r>
      <w:r>
        <w:rPr>
          <w:rFonts w:hint="default"/>
          <w:lang w:val="en-US" w:eastAsia="zh-CN"/>
        </w:rPr>
        <w:t>老区苏区发展专项奖补等</w:t>
      </w:r>
      <w:r>
        <w:rPr>
          <w:rFonts w:hint="eastAsia"/>
          <w:lang w:val="en-US" w:eastAsia="zh-CN"/>
        </w:rPr>
        <w:t>各类资金支持</w:t>
      </w:r>
      <w:r>
        <w:rPr>
          <w:rFonts w:hint="default"/>
          <w:lang w:val="en-US" w:eastAsia="zh-CN"/>
        </w:rPr>
        <w:t>，为园区基础设施</w:t>
      </w:r>
      <w:r>
        <w:rPr>
          <w:rFonts w:hint="eastAsia"/>
          <w:lang w:val="en-US" w:eastAsia="zh-CN"/>
        </w:rPr>
        <w:t>建设</w:t>
      </w:r>
      <w:r>
        <w:rPr>
          <w:rFonts w:hint="default"/>
          <w:lang w:val="en-US" w:eastAsia="zh-CN"/>
        </w:rPr>
        <w:t>、产业转型升级提供稳定资金</w:t>
      </w:r>
      <w:r>
        <w:rPr>
          <w:rFonts w:hint="eastAsia"/>
          <w:lang w:val="en-US" w:eastAsia="zh-CN"/>
        </w:rPr>
        <w:t>保障</w:t>
      </w:r>
      <w:r>
        <w:rPr>
          <w:rFonts w:hint="default"/>
          <w:lang w:val="en-US" w:eastAsia="zh-CN"/>
        </w:rPr>
        <w:t>。加强与各类金融机构对接，引导</w:t>
      </w:r>
      <w:r>
        <w:rPr>
          <w:rFonts w:hint="eastAsia"/>
          <w:lang w:val="en-US" w:eastAsia="zh-CN"/>
        </w:rPr>
        <w:t>园区依法依规拓宽信贷融资渠道，</w:t>
      </w:r>
      <w:r>
        <w:rPr>
          <w:rFonts w:hint="default"/>
          <w:lang w:val="en-US" w:eastAsia="zh-CN"/>
        </w:rPr>
        <w:t>多元化解园区</w:t>
      </w:r>
      <w:r>
        <w:rPr>
          <w:rFonts w:hint="eastAsia"/>
          <w:lang w:val="en-US" w:eastAsia="zh-CN"/>
        </w:rPr>
        <w:t>开发</w:t>
      </w:r>
      <w:r>
        <w:rPr>
          <w:rFonts w:hint="default"/>
          <w:lang w:val="en-US" w:eastAsia="zh-CN"/>
        </w:rPr>
        <w:t>建设</w:t>
      </w:r>
      <w:r>
        <w:rPr>
          <w:rFonts w:hint="eastAsia"/>
          <w:lang w:val="en-US" w:eastAsia="zh-CN"/>
        </w:rPr>
        <w:t>的资金</w:t>
      </w:r>
      <w:r>
        <w:rPr>
          <w:rFonts w:hint="default"/>
          <w:lang w:val="en-US" w:eastAsia="zh-CN"/>
        </w:rPr>
        <w:t>难题，持续筑牢产业</w:t>
      </w:r>
      <w:r>
        <w:rPr>
          <w:rFonts w:hint="eastAsia"/>
          <w:lang w:val="en-US" w:eastAsia="zh-CN"/>
        </w:rPr>
        <w:t>平台</w:t>
      </w:r>
      <w:r>
        <w:rPr>
          <w:rFonts w:hint="default"/>
          <w:lang w:val="en-US" w:eastAsia="zh-CN"/>
        </w:rPr>
        <w:t>发展</w:t>
      </w:r>
      <w:r>
        <w:rPr>
          <w:rFonts w:hint="eastAsia"/>
          <w:lang w:val="en-US" w:eastAsia="zh-CN"/>
        </w:rPr>
        <w:t>的</w:t>
      </w:r>
      <w:r>
        <w:rPr>
          <w:rFonts w:hint="default"/>
          <w:lang w:val="en-US" w:eastAsia="zh-CN"/>
        </w:rPr>
        <w:t>资金支撑。</w:t>
      </w:r>
    </w:p>
    <w:p>
      <w:pPr>
        <w:bidi w:val="0"/>
        <w:rPr>
          <w:rFonts w:hint="default"/>
          <w:lang w:val="en-US" w:eastAsia="zh-CN"/>
        </w:rPr>
      </w:pPr>
      <w:r>
        <w:rPr>
          <w:rFonts w:hint="default"/>
          <w:lang w:val="en-US" w:eastAsia="zh-CN"/>
        </w:rPr>
        <w:t>加强基础设施保障。按照现代化产业园区标准，全域</w:t>
      </w:r>
      <w:r>
        <w:rPr>
          <w:rFonts w:hint="eastAsia"/>
          <w:lang w:val="en-US" w:eastAsia="zh-CN"/>
        </w:rPr>
        <w:t>推进</w:t>
      </w:r>
      <w:r>
        <w:rPr>
          <w:rFonts w:hint="default"/>
          <w:lang w:val="en-US" w:eastAsia="zh-CN"/>
        </w:rPr>
        <w:t>园区</w:t>
      </w:r>
      <w:r>
        <w:rPr>
          <w:rFonts w:hint="eastAsia"/>
          <w:lang w:val="en-US" w:eastAsia="zh-CN"/>
        </w:rPr>
        <w:t>“</w:t>
      </w:r>
      <w:r>
        <w:rPr>
          <w:rFonts w:hint="default"/>
          <w:lang w:val="en-US" w:eastAsia="zh-CN"/>
        </w:rPr>
        <w:t>七通一平</w:t>
      </w:r>
      <w:r>
        <w:rPr>
          <w:rFonts w:hint="eastAsia"/>
          <w:lang w:val="en-US" w:eastAsia="zh-CN"/>
        </w:rPr>
        <w:t>”</w:t>
      </w:r>
      <w:r>
        <w:rPr>
          <w:rFonts w:hint="default"/>
          <w:lang w:val="en-US" w:eastAsia="zh-CN"/>
        </w:rPr>
        <w:t>建设</w:t>
      </w:r>
      <w:r>
        <w:rPr>
          <w:rFonts w:hint="eastAsia"/>
          <w:lang w:val="en-US" w:eastAsia="zh-CN"/>
        </w:rPr>
        <w:t>改造，</w:t>
      </w:r>
      <w:r>
        <w:rPr>
          <w:rFonts w:hint="default"/>
          <w:lang w:val="en-US" w:eastAsia="zh-CN"/>
        </w:rPr>
        <w:t>推进新型信息基础设施建设，统筹布局通信网络基础设施，推动信息技术与传统基础设施数字化深度融合。加快红海湾绿色制造产业园、汕尾高新区、海丰产业园区天星湖片区等一批</w:t>
      </w:r>
      <w:r>
        <w:rPr>
          <w:rFonts w:hint="eastAsia"/>
          <w:lang w:val="en-US" w:eastAsia="zh-CN"/>
        </w:rPr>
        <w:t>园区</w:t>
      </w:r>
      <w:r>
        <w:rPr>
          <w:rFonts w:hint="default"/>
          <w:lang w:val="en-US" w:eastAsia="zh-CN"/>
        </w:rPr>
        <w:t>重大基础设施项目建设。</w:t>
      </w:r>
    </w:p>
    <w:p>
      <w:pPr>
        <w:bidi w:val="0"/>
        <w:rPr>
          <w:rFonts w:hint="default"/>
          <w:lang w:val="en-US" w:eastAsia="zh-CN"/>
        </w:rPr>
      </w:pPr>
      <w:r>
        <w:rPr>
          <w:rFonts w:hint="default"/>
          <w:lang w:val="en-US" w:eastAsia="zh-CN"/>
        </w:rPr>
        <w:t>强化科技教育人才保障。聚焦重点产业发展需求，精准引进高层次急需紧缺人</w:t>
      </w:r>
      <w:r>
        <w:rPr>
          <w:rFonts w:hint="default"/>
          <w:b w:val="0"/>
          <w:bCs w:val="0"/>
          <w:color w:val="000000" w:themeColor="text1"/>
          <w:lang w:val="en-US" w:eastAsia="zh-CN"/>
          <w14:textFill>
            <w14:solidFill>
              <w14:schemeClr w14:val="tx1"/>
            </w14:solidFill>
          </w14:textFill>
        </w:rPr>
        <w:t>才，系统培育本土科技与技能人才</w:t>
      </w:r>
      <w:r>
        <w:rPr>
          <w:rFonts w:hint="eastAsia"/>
          <w:b w:val="0"/>
          <w:bCs w:val="0"/>
          <w:color w:val="000000" w:themeColor="text1"/>
          <w:lang w:val="en-US" w:eastAsia="zh-CN"/>
          <w14:textFill>
            <w14:solidFill>
              <w14:schemeClr w14:val="tx1"/>
            </w14:solidFill>
          </w14:textFill>
        </w:rPr>
        <w:t>，</w:t>
      </w:r>
      <w:r>
        <w:rPr>
          <w:rFonts w:hint="default"/>
          <w:b w:val="0"/>
          <w:bCs w:val="0"/>
          <w:color w:val="000000" w:themeColor="text1"/>
          <w:lang w:val="en-US" w:eastAsia="zh-CN"/>
          <w14:textFill>
            <w14:solidFill>
              <w14:schemeClr w14:val="tx1"/>
            </w14:solidFill>
          </w14:textFill>
        </w:rPr>
        <w:t>持续优化创新创业环境，吸引优秀大学毕业生回乡创新创业</w:t>
      </w:r>
      <w:r>
        <w:rPr>
          <w:rFonts w:hint="eastAsia"/>
          <w:b w:val="0"/>
          <w:bCs w:val="0"/>
          <w:color w:val="000000" w:themeColor="text1"/>
          <w:lang w:val="en-US" w:eastAsia="zh-CN"/>
          <w14:textFill>
            <w14:solidFill>
              <w14:schemeClr w14:val="tx1"/>
            </w14:solidFill>
          </w14:textFill>
        </w:rPr>
        <w:t>。</w:t>
      </w:r>
      <w:r>
        <w:rPr>
          <w:rFonts w:hint="default"/>
          <w:b w:val="0"/>
          <w:bCs w:val="0"/>
          <w:color w:val="000000" w:themeColor="text1"/>
          <w:lang w:val="en-US" w:eastAsia="zh-CN"/>
          <w14:textFill>
            <w14:solidFill>
              <w14:schemeClr w14:val="tx1"/>
            </w14:solidFill>
          </w14:textFill>
        </w:rPr>
        <w:t>深</w:t>
      </w:r>
      <w:r>
        <w:rPr>
          <w:rFonts w:hint="eastAsia"/>
          <w:b w:val="0"/>
          <w:bCs w:val="0"/>
          <w:color w:val="000000" w:themeColor="text1"/>
          <w:lang w:val="en-US" w:eastAsia="zh-CN"/>
          <w14:textFill>
            <w14:solidFill>
              <w14:schemeClr w14:val="tx1"/>
            </w14:solidFill>
          </w14:textFill>
        </w:rPr>
        <w:t>化</w:t>
      </w:r>
      <w:r>
        <w:rPr>
          <w:rFonts w:hint="default"/>
          <w:b w:val="0"/>
          <w:bCs w:val="0"/>
          <w:color w:val="000000" w:themeColor="text1"/>
          <w:lang w:val="en-US" w:eastAsia="zh-CN"/>
          <w14:textFill>
            <w14:solidFill>
              <w14:schemeClr w14:val="tx1"/>
            </w14:solidFill>
          </w14:textFill>
        </w:rPr>
        <w:t>园区企业与本地院校深度对接，开展人才定向交流合作，探</w:t>
      </w:r>
      <w:r>
        <w:rPr>
          <w:rFonts w:hint="default"/>
          <w:lang w:val="en-US" w:eastAsia="zh-CN"/>
        </w:rPr>
        <w:t>索开设产业对口专业及岗位直通班，精准补齐企业用工缺口</w:t>
      </w:r>
      <w:r>
        <w:rPr>
          <w:rFonts w:hint="eastAsia"/>
          <w:lang w:val="en-US" w:eastAsia="zh-CN"/>
        </w:rPr>
        <w:t>，夯实园区产业人才支撑。</w:t>
      </w:r>
    </w:p>
    <w:p>
      <w:pPr>
        <w:bidi w:val="0"/>
        <w:rPr>
          <w:rFonts w:hint="default" w:ascii="Times New Roman" w:hAnsi="Times New Roman" w:eastAsia="仿宋_GB2312" w:cs="Times New Roman"/>
          <w:color w:val="000000" w:themeColor="text1"/>
          <w:szCs w:val="32"/>
          <w:lang w:val="en-US" w:eastAsia="zh-CN"/>
          <w14:textFill>
            <w14:solidFill>
              <w14:schemeClr w14:val="tx1"/>
            </w14:solidFill>
          </w14:textFill>
        </w:rPr>
      </w:pPr>
      <w:r>
        <w:rPr>
          <w:rFonts w:hint="default"/>
          <w:lang w:val="en-US" w:eastAsia="zh-CN"/>
        </w:rPr>
        <w:t>完善公共生活服务保障。统筹园区生活服务设施一体化建设，有序配</w:t>
      </w:r>
      <w:r>
        <w:rPr>
          <w:rFonts w:hint="default"/>
          <w:b w:val="0"/>
          <w:bCs w:val="0"/>
          <w:color w:val="000000" w:themeColor="text1"/>
          <w:lang w:val="en-US" w:eastAsia="zh-CN"/>
          <w14:textFill>
            <w14:solidFill>
              <w14:schemeClr w14:val="tx1"/>
            </w14:solidFill>
          </w14:textFill>
        </w:rPr>
        <w:t>建人才公寓、</w:t>
      </w:r>
      <w:r>
        <w:rPr>
          <w:rFonts w:hint="eastAsia"/>
          <w:b w:val="0"/>
          <w:bCs w:val="0"/>
          <w:color w:val="000000" w:themeColor="text1"/>
          <w:lang w:val="en-US" w:eastAsia="zh-CN"/>
          <w14:textFill>
            <w14:solidFill>
              <w14:schemeClr w14:val="tx1"/>
            </w14:solidFill>
          </w14:textFill>
        </w:rPr>
        <w:t>企业</w:t>
      </w:r>
      <w:r>
        <w:rPr>
          <w:rFonts w:hint="default"/>
          <w:b w:val="0"/>
          <w:bCs w:val="0"/>
          <w:color w:val="000000" w:themeColor="text1"/>
          <w:lang w:val="en-US" w:eastAsia="zh-CN"/>
          <w14:textFill>
            <w14:solidFill>
              <w14:schemeClr w14:val="tx1"/>
            </w14:solidFill>
          </w14:textFill>
        </w:rPr>
        <w:t>员工宿舍，畅通园区职工子女就学、就近就医渠道</w:t>
      </w:r>
      <w:r>
        <w:rPr>
          <w:rFonts w:hint="eastAsia"/>
          <w:b w:val="0"/>
          <w:bCs w:val="0"/>
          <w:color w:val="000000" w:themeColor="text1"/>
          <w:lang w:val="en-US" w:eastAsia="zh-CN"/>
          <w14:textFill>
            <w14:solidFill>
              <w14:schemeClr w14:val="tx1"/>
            </w14:solidFill>
          </w14:textFill>
        </w:rPr>
        <w:t>，补齐商贸、文体等便民配套短板，打造业态丰富、层级完善的园区宜居服务体系</w:t>
      </w:r>
      <w:r>
        <w:rPr>
          <w:rFonts w:hint="eastAsia" w:ascii="仿宋_GB2312" w:hAnsi="仿宋_GB2312" w:eastAsia="仿宋_GB2312" w:cs="仿宋_GB2312"/>
          <w:b w:val="0"/>
          <w:bCs w:val="0"/>
          <w:color w:val="000000" w:themeColor="text1"/>
          <w:szCs w:val="32"/>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outlineLvl w:val="2"/>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35" w:name="_Toc454"/>
      <w:bookmarkStart w:id="336" w:name="_Toc2617"/>
      <w:r>
        <w:rPr>
          <w:rFonts w:hint="default" w:ascii="Times New Roman" w:hAnsi="Times New Roman" w:cs="Times New Roman"/>
          <w:b/>
          <w:bCs/>
          <w:color w:val="000000" w:themeColor="text1"/>
          <w:sz w:val="32"/>
          <w:szCs w:val="32"/>
          <w:lang w:val="en-US" w:eastAsia="zh-CN"/>
          <w14:textFill>
            <w14:solidFill>
              <w14:schemeClr w14:val="tx1"/>
            </w14:solidFill>
          </w14:textFill>
        </w:rPr>
        <w:t>13</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.创新园区运营管理模式，提升园区运营效能</w:t>
      </w:r>
      <w:bookmarkEnd w:id="335"/>
      <w:bookmarkEnd w:id="336"/>
    </w:p>
    <w:p>
      <w:pPr>
        <w:bidi w:val="0"/>
        <w:rPr>
          <w:rFonts w:hint="default"/>
          <w:lang w:val="en-US" w:eastAsia="zh-CN"/>
        </w:rPr>
      </w:pPr>
      <w:r>
        <w:rPr>
          <w:rFonts w:hint="eastAsia"/>
          <w:b w:val="0"/>
          <w:bCs w:val="0"/>
          <w:color w:val="000000" w:themeColor="text1"/>
          <w:lang w:val="en-US" w:eastAsia="zh-CN"/>
          <w14:textFill>
            <w14:solidFill>
              <w14:schemeClr w14:val="tx1"/>
            </w14:solidFill>
          </w14:textFill>
        </w:rPr>
        <w:t>强化市级统筹。建立由市主要领导任组长的市级园区统筹发展领导小组，统筹全市园区规划、项目布局、指标调配工作，由相</w:t>
      </w:r>
      <w:r>
        <w:rPr>
          <w:rFonts w:hint="eastAsia"/>
          <w:lang w:val="en-US" w:eastAsia="zh-CN"/>
        </w:rPr>
        <w:t>关职能部门、各县（市、区）及园区管委会主要负责人组成领导小组，强化市级顶层设计与跨区域、跨部门统筹协调，统筹审定全市园区发展规划、布局重大产业项目、推进跨区域基础设施建设、调配市级土地与能耗指标等，从源头规避园区同质化竞争与重复建设，凝聚全市园区发展“一盘棋”工作合力。</w:t>
      </w:r>
    </w:p>
    <w:p>
      <w:pPr>
        <w:bidi w:val="0"/>
        <w:rPr>
          <w:rFonts w:hint="default" w:ascii="Times New Roman" w:hAnsi="Times New Roman" w:eastAsia="仿宋_GB2312" w:cs="Times New Roman"/>
          <w:color w:val="000000" w:themeColor="text1"/>
          <w:szCs w:val="32"/>
          <w:lang w:val="en-US" w:eastAsia="zh-CN"/>
          <w14:textFill>
            <w14:solidFill>
              <w14:schemeClr w14:val="tx1"/>
            </w14:solidFill>
          </w14:textFill>
        </w:rPr>
      </w:pPr>
      <w:r>
        <w:rPr>
          <w:rFonts w:hint="default"/>
          <w:lang w:val="en-US" w:eastAsia="zh-CN"/>
        </w:rPr>
        <w:t>建立优质企业跟踪服务机制。构建园区企业评价与分类数据库，实现企业运行动态监测</w:t>
      </w:r>
      <w:r>
        <w:t>、精准画像、分类管控</w:t>
      </w:r>
      <w:r>
        <w:rPr>
          <w:rFonts w:hint="default"/>
          <w:lang w:val="en-US" w:eastAsia="zh-CN"/>
        </w:rPr>
        <w:t>，为精准化施策提供数据</w:t>
      </w:r>
      <w:r>
        <w:rPr>
          <w:rFonts w:hint="default" w:ascii="Times New Roman" w:hAnsi="Times New Roman" w:cs="Times New Roman"/>
          <w:b w:val="0"/>
          <w:bCs w:val="0"/>
          <w:color w:val="000000" w:themeColor="text1"/>
          <w:lang w:val="en-US" w:eastAsia="zh-CN"/>
          <w14:textFill>
            <w14:solidFill>
              <w14:schemeClr w14:val="tx1"/>
            </w14:solidFill>
          </w14:textFill>
        </w:rPr>
        <w:t>支撑。推行</w:t>
      </w:r>
      <w:r>
        <w:rPr>
          <w:rFonts w:hint="eastAsia"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一企一策</w:t>
      </w:r>
      <w:r>
        <w:rPr>
          <w:rFonts w:hint="eastAsia"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精准帮扶，落实高新技术企业认定奖励、研发费用</w:t>
      </w:r>
      <w:r>
        <w:rPr>
          <w:rFonts w:hint="default"/>
          <w:b w:val="0"/>
          <w:bCs w:val="0"/>
          <w:color w:val="000000" w:themeColor="text1"/>
          <w:lang w:val="en-US" w:eastAsia="zh-CN"/>
          <w14:textFill>
            <w14:solidFill>
              <w14:schemeClr w14:val="tx1"/>
            </w14:solidFill>
          </w14:textFill>
        </w:rPr>
        <w:t>加计扣除辅导、知识产权质押融资、出口信用保险补贴等政策举措，切实降低企业综合运营成本。组建园区专属服务专班，常态化上门走访、主动对接企业，提供政策宣讲、资质预审、材料申报等全流程代办服务；畅通企业常态化诉求反馈处置通道，高效协调化解各类跨部门经营难题。</w:t>
      </w:r>
    </w:p>
    <w:p>
      <w:pPr>
        <w:pStyle w:val="4"/>
        <w:keepNext/>
        <w:adjustRightInd w:val="0"/>
        <w:snapToGrid w:val="0"/>
        <w:ind w:firstLine="640"/>
        <w:rPr>
          <w:rFonts w:hint="eastAsia" w:ascii="Times New Roman" w:hAnsi="Times New Roman" w:cs="Times New Roman"/>
          <w:b w:val="0"/>
          <w:bCs/>
          <w:color w:val="000000" w:themeColor="text1"/>
          <w:lang w:val="en-US" w:eastAsia="zh-CN"/>
          <w14:textFill>
            <w14:solidFill>
              <w14:schemeClr w14:val="tx1"/>
            </w14:solidFill>
          </w14:textFill>
        </w:rPr>
      </w:pPr>
      <w:bookmarkStart w:id="337" w:name="_Toc11400"/>
      <w:bookmarkStart w:id="338" w:name="_Toc23296"/>
      <w:r>
        <w:rPr>
          <w:rFonts w:hint="eastAsia" w:cs="Times New Roman"/>
          <w:b w:val="0"/>
          <w:bCs/>
          <w:color w:val="000000" w:themeColor="text1"/>
          <w:lang w:val="en-US" w:eastAsia="zh-CN"/>
          <w14:textFill>
            <w14:solidFill>
              <w14:schemeClr w14:val="tx1"/>
            </w14:solidFill>
          </w14:textFill>
        </w:rPr>
        <w:t>（七）实施</w:t>
      </w:r>
      <w:r>
        <w:rPr>
          <w:rFonts w:hint="eastAsia" w:ascii="Times New Roman" w:hAnsi="Times New Roman" w:cs="Times New Roman"/>
          <w:b w:val="0"/>
          <w:bCs/>
          <w:color w:val="000000" w:themeColor="text1"/>
          <w:lang w:val="en-US" w:eastAsia="zh-CN"/>
          <w14:textFill>
            <w14:solidFill>
              <w14:schemeClr w14:val="tx1"/>
            </w14:solidFill>
          </w14:textFill>
        </w:rPr>
        <w:t>绿色转型，</w:t>
      </w:r>
      <w:r>
        <w:rPr>
          <w:rFonts w:hint="eastAsia" w:cs="Times New Roman"/>
          <w:b w:val="0"/>
          <w:bCs/>
          <w:color w:val="000000" w:themeColor="text1"/>
          <w:lang w:val="en-US" w:eastAsia="zh-CN"/>
          <w14:textFill>
            <w14:solidFill>
              <w14:schemeClr w14:val="tx1"/>
            </w14:solidFill>
          </w14:textFill>
        </w:rPr>
        <w:t>推进</w:t>
      </w:r>
      <w:r>
        <w:rPr>
          <w:rFonts w:hint="eastAsia" w:ascii="Times New Roman" w:hAnsi="Times New Roman" w:cs="Times New Roman"/>
          <w:b w:val="0"/>
          <w:bCs/>
          <w:color w:val="000000" w:themeColor="text1"/>
          <w:lang w:val="en-US" w:eastAsia="zh-CN"/>
          <w14:textFill>
            <w14:solidFill>
              <w14:schemeClr w14:val="tx1"/>
            </w14:solidFill>
          </w14:textFill>
        </w:rPr>
        <w:t>产业</w:t>
      </w:r>
      <w:r>
        <w:rPr>
          <w:rFonts w:hint="eastAsia" w:cs="Times New Roman"/>
          <w:b w:val="0"/>
          <w:bCs/>
          <w:color w:val="000000" w:themeColor="text1"/>
          <w:lang w:val="en-US" w:eastAsia="zh-CN"/>
          <w14:textFill>
            <w14:solidFill>
              <w14:schemeClr w14:val="tx1"/>
            </w14:solidFill>
          </w14:textFill>
        </w:rPr>
        <w:t>绿色</w:t>
      </w:r>
      <w:r>
        <w:rPr>
          <w:rFonts w:hint="eastAsia" w:ascii="Times New Roman" w:hAnsi="Times New Roman" w:cs="Times New Roman"/>
          <w:b w:val="0"/>
          <w:bCs/>
          <w:color w:val="000000" w:themeColor="text1"/>
          <w:lang w:val="en-US" w:eastAsia="zh-CN"/>
          <w14:textFill>
            <w14:solidFill>
              <w14:schemeClr w14:val="tx1"/>
            </w14:solidFill>
          </w14:textFill>
        </w:rPr>
        <w:t>发展</w:t>
      </w:r>
      <w:bookmarkEnd w:id="337"/>
      <w:bookmarkEnd w:id="338"/>
    </w:p>
    <w:p>
      <w:pPr>
        <w:keepNext w:val="0"/>
        <w:keepLines w:val="0"/>
        <w:pageBreakBefore w:val="0"/>
        <w:widowControl/>
        <w:tabs>
          <w:tab w:val="left" w:pos="5440"/>
        </w:tabs>
        <w:kinsoku/>
        <w:wordWrap/>
        <w:overflowPunct/>
        <w:topLinePunct w:val="0"/>
        <w:autoSpaceDE/>
        <w:autoSpaceDN/>
        <w:bidi w:val="0"/>
        <w:adjustRightInd/>
        <w:snapToGrid/>
        <w:spacing w:line="560" w:lineRule="exact"/>
        <w:ind w:firstLine="642" w:firstLineChars="200"/>
        <w:textAlignment w:val="auto"/>
        <w:outlineLvl w:val="2"/>
        <w:rPr>
          <w:rFonts w:hint="eastAsia" w:ascii="Times New Roman" w:hAnsi="Times New Roman" w:cs="Times New Roman"/>
          <w:b/>
          <w:bCs/>
          <w:color w:val="000000" w:themeColor="text1"/>
          <w14:textFill>
            <w14:solidFill>
              <w14:schemeClr w14:val="tx1"/>
            </w14:solidFill>
          </w14:textFill>
        </w:rPr>
      </w:pPr>
      <w:bookmarkStart w:id="339" w:name="_Toc6100"/>
      <w:bookmarkStart w:id="340" w:name="_Toc7252"/>
      <w:r>
        <w:rPr>
          <w:rFonts w:hint="eastAsia" w:cs="Times New Roman"/>
          <w:b/>
          <w:bCs/>
          <w:color w:val="000000" w:themeColor="text1"/>
          <w:lang w:val="en-US" w:eastAsia="zh-CN"/>
          <w14:textFill>
            <w14:solidFill>
              <w14:schemeClr w14:val="tx1"/>
            </w14:solidFill>
          </w14:textFill>
        </w:rPr>
        <w:t>14</w:t>
      </w:r>
      <w:r>
        <w:rPr>
          <w:rFonts w:hint="eastAsia" w:ascii="Times New Roman" w:hAnsi="Times New Roman" w:cs="Times New Roman"/>
          <w:b/>
          <w:bCs/>
          <w:color w:val="000000" w:themeColor="text1"/>
          <w14:textFill>
            <w14:solidFill>
              <w14:schemeClr w14:val="tx1"/>
            </w14:solidFill>
          </w14:textFill>
        </w:rPr>
        <w:t>.以绿色低碳</w:t>
      </w:r>
      <w:r>
        <w:rPr>
          <w:rFonts w:hint="eastAsia" w:ascii="Times New Roman" w:hAnsi="Times New Roman" w:cs="Times New Roman"/>
          <w:b/>
          <w:bCs/>
          <w:color w:val="000000" w:themeColor="text1"/>
          <w:lang w:val="en-US" w:eastAsia="zh-CN"/>
          <w14:textFill>
            <w14:solidFill>
              <w14:schemeClr w14:val="tx1"/>
            </w14:solidFill>
          </w14:textFill>
        </w:rPr>
        <w:t>为导向，</w:t>
      </w:r>
      <w:r>
        <w:rPr>
          <w:rFonts w:hint="eastAsia" w:ascii="Times New Roman" w:hAnsi="Times New Roman" w:cs="Times New Roman"/>
          <w:b/>
          <w:bCs/>
          <w:color w:val="000000" w:themeColor="text1"/>
          <w14:textFill>
            <w14:solidFill>
              <w14:schemeClr w14:val="tx1"/>
            </w14:solidFill>
          </w14:textFill>
        </w:rPr>
        <w:t>探索</w:t>
      </w:r>
      <w:r>
        <w:rPr>
          <w:rFonts w:hint="eastAsia" w:ascii="Times New Roman" w:hAnsi="Times New Roman" w:cs="Times New Roman"/>
          <w:b/>
          <w:bCs/>
          <w:color w:val="000000" w:themeColor="text1"/>
          <w:lang w:val="en-US" w:eastAsia="zh-CN"/>
          <w14:textFill>
            <w14:solidFill>
              <w14:schemeClr w14:val="tx1"/>
            </w14:solidFill>
          </w14:textFill>
        </w:rPr>
        <w:t>产业</w:t>
      </w:r>
      <w:r>
        <w:rPr>
          <w:rFonts w:hint="eastAsia" w:ascii="Times New Roman" w:hAnsi="Times New Roman" w:cs="Times New Roman"/>
          <w:b/>
          <w:bCs/>
          <w:color w:val="000000" w:themeColor="text1"/>
          <w14:textFill>
            <w14:solidFill>
              <w14:schemeClr w14:val="tx1"/>
            </w14:solidFill>
          </w14:textFill>
        </w:rPr>
        <w:t>零碳</w:t>
      </w:r>
      <w:r>
        <w:rPr>
          <w:rFonts w:hint="eastAsia" w:ascii="Times New Roman" w:hAnsi="Times New Roman" w:cs="Times New Roman"/>
          <w:b/>
          <w:bCs/>
          <w:color w:val="000000" w:themeColor="text1"/>
          <w:lang w:val="en-US" w:eastAsia="zh-CN"/>
          <w14:textFill>
            <w14:solidFill>
              <w14:schemeClr w14:val="tx1"/>
            </w14:solidFill>
          </w14:textFill>
        </w:rPr>
        <w:t>发展</w:t>
      </w:r>
      <w:r>
        <w:rPr>
          <w:rFonts w:hint="eastAsia" w:ascii="Times New Roman" w:hAnsi="Times New Roman" w:cs="Times New Roman"/>
          <w:b/>
          <w:bCs/>
          <w:color w:val="000000" w:themeColor="text1"/>
          <w14:textFill>
            <w14:solidFill>
              <w14:schemeClr w14:val="tx1"/>
            </w14:solidFill>
          </w14:textFill>
        </w:rPr>
        <w:t>路径</w:t>
      </w:r>
      <w:bookmarkEnd w:id="339"/>
      <w:bookmarkEnd w:id="340"/>
    </w:p>
    <w:p>
      <w:pPr>
        <w:bidi w:val="0"/>
        <w:rPr>
          <w:rFonts w:hint="eastAsia"/>
        </w:rPr>
      </w:pPr>
      <w:r>
        <w:rPr>
          <w:rFonts w:hint="eastAsia"/>
          <w:color w:val="000000" w:themeColor="text1"/>
          <w14:textFill>
            <w14:solidFill>
              <w14:schemeClr w14:val="tx1"/>
            </w14:solidFill>
          </w14:textFill>
        </w:rPr>
        <w:t>推动重点</w:t>
      </w:r>
      <w:r>
        <w:rPr>
          <w:rFonts w:hint="eastAsia"/>
          <w:color w:val="000000" w:themeColor="text1"/>
          <w:lang w:val="en-US" w:eastAsia="zh-CN"/>
          <w14:textFill>
            <w14:solidFill>
              <w14:schemeClr w14:val="tx1"/>
            </w14:solidFill>
          </w14:textFill>
        </w:rPr>
        <w:t>产业</w:t>
      </w:r>
      <w:r>
        <w:rPr>
          <w:rFonts w:hint="eastAsia"/>
          <w:color w:val="000000" w:themeColor="text1"/>
          <w14:textFill>
            <w14:solidFill>
              <w14:schemeClr w14:val="tx1"/>
            </w14:solidFill>
          </w14:textFill>
        </w:rPr>
        <w:t>节能降碳。依托“风光水火核储”清洁能源产业基底</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搭建</w:t>
      </w:r>
      <w:r>
        <w:rPr>
          <w:rFonts w:hint="eastAsia"/>
          <w:color w:val="000000" w:themeColor="text1"/>
          <w14:textFill>
            <w14:solidFill>
              <w14:schemeClr w14:val="tx1"/>
            </w14:solidFill>
          </w14:textFill>
        </w:rPr>
        <w:t>“源网荷储”一体化绿色供电网络，推动辖区工业企业接入本地绿电</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积极引导龙头企业创建绿色工厂、培育</w:t>
      </w:r>
      <w:r>
        <w:rPr>
          <w:rFonts w:hint="eastAsia"/>
          <w:lang w:val="en-US" w:eastAsia="zh-CN"/>
        </w:rPr>
        <w:t>绿色供应链，示范带动行业整体向低碳化、绿色化转型。引导新一代电子信息企业推广低功耗芯片、绿色封装工艺，高端装备产业研发节能型核心部件与生产设备智能化改造，新材料行业发展低碳环保型材料，新能源汽车行业完善动力电池生产的全流程低碳管控。</w:t>
      </w:r>
    </w:p>
    <w:p>
      <w:pPr>
        <w:bidi w:val="0"/>
        <w:rPr>
          <w:color w:val="000000" w:themeColor="text1"/>
          <w14:textFill>
            <w14:solidFill>
              <w14:schemeClr w14:val="tx1"/>
            </w14:solidFill>
          </w14:textFill>
        </w:rPr>
      </w:pPr>
      <w:r>
        <w:rPr>
          <w:rFonts w:hint="eastAsia"/>
        </w:rPr>
        <w:t>完善循环经济</w:t>
      </w:r>
      <w:r>
        <w:rPr>
          <w:rFonts w:hint="eastAsia"/>
          <w:lang w:val="en-US" w:eastAsia="zh-CN"/>
        </w:rPr>
        <w:t>产业链</w:t>
      </w:r>
      <w:r>
        <w:rPr>
          <w:rFonts w:hint="eastAsia"/>
        </w:rPr>
        <w:t>。聚焦工业制造业全链条，</w:t>
      </w:r>
      <w:r>
        <w:rPr>
          <w:rFonts w:hint="eastAsia"/>
          <w:lang w:val="en-US" w:eastAsia="zh-CN"/>
        </w:rPr>
        <w:t>强化细分领域特色资源循环利用，推动退役动力电池、老旧风电叶片、海工装备废钢、珠宝加工废料等大宗及特色固废规范化回收、无害化处置与资源化再生利用。夯实循环经济技术工艺支撑，推广应用湿法冶金、物理分选、固废精深加工等先进适用技术，提升有价资源回收转化率和综合利用水平。</w:t>
      </w:r>
      <w:r>
        <w:rPr>
          <w:rFonts w:hint="eastAsia"/>
        </w:rPr>
        <w:t>探索</w:t>
      </w:r>
      <w:r>
        <w:rPr>
          <w:rFonts w:hint="eastAsia"/>
          <w:lang w:val="en-US" w:eastAsia="zh-CN"/>
        </w:rPr>
        <w:t>搭建</w:t>
      </w:r>
      <w:r>
        <w:rPr>
          <w:rFonts w:hint="eastAsia"/>
        </w:rPr>
        <w:t>工业循环</w:t>
      </w:r>
      <w:r>
        <w:rPr>
          <w:rFonts w:hint="eastAsia"/>
          <w:lang w:val="en-US" w:eastAsia="zh-CN"/>
        </w:rPr>
        <w:t>公共</w:t>
      </w:r>
      <w:r>
        <w:rPr>
          <w:rFonts w:hint="eastAsia"/>
        </w:rPr>
        <w:t>服务平台，整合产废</w:t>
      </w:r>
      <w:r>
        <w:rPr>
          <w:rFonts w:hint="eastAsia"/>
          <w:lang w:val="en-US" w:eastAsia="zh-CN"/>
        </w:rPr>
        <w:t>与</w:t>
      </w:r>
      <w:r>
        <w:rPr>
          <w:rFonts w:hint="eastAsia"/>
        </w:rPr>
        <w:t>再生利用主体资源</w:t>
      </w:r>
      <w:r>
        <w:rPr>
          <w:rFonts w:hint="eastAsia"/>
          <w:lang w:val="en-US" w:eastAsia="zh-CN"/>
        </w:rPr>
        <w:t>，实现供需精准对接</w:t>
      </w:r>
      <w:r>
        <w:rPr>
          <w:rFonts w:hint="eastAsia" w:ascii="Times New Roman" w:hAnsi="Times New Roman" w:cs="Times New Roman"/>
          <w:bCs/>
          <w:color w:val="000000" w:themeColor="text1"/>
          <w:lang w:val="en-US" w:eastAsia="zh-CN"/>
          <w14:textFill>
            <w14:solidFill>
              <w14:schemeClr w14:val="tx1"/>
            </w14:solidFill>
          </w14:textFill>
        </w:rPr>
        <w:t>与要素高效</w:t>
      </w:r>
      <w:r>
        <w:rPr>
          <w:rFonts w:hint="eastAsia"/>
          <w:color w:val="000000" w:themeColor="text1"/>
          <w:lang w:val="en-US" w:eastAsia="zh-CN"/>
          <w14:textFill>
            <w14:solidFill>
              <w14:schemeClr w14:val="tx1"/>
            </w14:solidFill>
          </w14:textFill>
        </w:rPr>
        <w:t>配置，加快形成闭环式、规模化、高值化的循环经济发展格局</w:t>
      </w:r>
      <w:r>
        <w:rPr>
          <w:rFonts w:hint="eastAsia"/>
          <w:color w:val="000000" w:themeColor="text1"/>
          <w14:textFill>
            <w14:solidFill>
              <w14:schemeClr w14:val="tx1"/>
            </w14:solidFill>
          </w14:textFill>
        </w:rPr>
        <w:t>。</w:t>
      </w:r>
    </w:p>
    <w:p>
      <w:pPr>
        <w:keepNext w:val="0"/>
        <w:keepLines w:val="0"/>
        <w:pageBreakBefore w:val="0"/>
        <w:widowControl/>
        <w:tabs>
          <w:tab w:val="left" w:pos="5440"/>
        </w:tabs>
        <w:kinsoku/>
        <w:wordWrap/>
        <w:overflowPunct/>
        <w:topLinePunct w:val="0"/>
        <w:autoSpaceDE/>
        <w:autoSpaceDN/>
        <w:bidi w:val="0"/>
        <w:adjustRightInd/>
        <w:snapToGrid/>
        <w:spacing w:line="560" w:lineRule="exact"/>
        <w:ind w:firstLine="642" w:firstLineChars="200"/>
        <w:textAlignment w:val="auto"/>
        <w:outlineLvl w:val="2"/>
        <w:rPr>
          <w:rFonts w:hint="eastAsia" w:ascii="Times New Roman" w:hAnsi="Times New Roman" w:cs="Times New Roman"/>
          <w:b/>
          <w:bCs/>
          <w:color w:val="000000" w:themeColor="text1"/>
          <w:lang w:val="en-US" w:eastAsia="zh-CN"/>
          <w14:textFill>
            <w14:solidFill>
              <w14:schemeClr w14:val="tx1"/>
            </w14:solidFill>
          </w14:textFill>
        </w:rPr>
      </w:pPr>
      <w:bookmarkStart w:id="341" w:name="_Toc28069"/>
      <w:bookmarkStart w:id="342" w:name="_Toc31305"/>
      <w:r>
        <w:rPr>
          <w:rFonts w:hint="eastAsia" w:ascii="Times New Roman" w:hAnsi="Times New Roman" w:cs="Times New Roman"/>
          <w:b/>
          <w:bCs/>
          <w:color w:val="000000" w:themeColor="text1"/>
          <w:lang w:val="en-US" w:eastAsia="zh-CN"/>
          <w14:textFill>
            <w14:solidFill>
              <w14:schemeClr w14:val="tx1"/>
            </w14:solidFill>
          </w14:textFill>
        </w:rPr>
        <w:t>1</w:t>
      </w:r>
      <w:r>
        <w:rPr>
          <w:rFonts w:hint="eastAsia" w:cs="Times New Roman"/>
          <w:b/>
          <w:bCs/>
          <w:color w:val="000000" w:themeColor="text1"/>
          <w:lang w:val="en-US" w:eastAsia="zh-CN"/>
          <w14:textFill>
            <w14:solidFill>
              <w14:schemeClr w14:val="tx1"/>
            </w14:solidFill>
          </w14:textFill>
        </w:rPr>
        <w:t>5</w:t>
      </w:r>
      <w:r>
        <w:rPr>
          <w:rFonts w:hint="eastAsia" w:ascii="Times New Roman" w:hAnsi="Times New Roman" w:cs="Times New Roman"/>
          <w:b/>
          <w:bCs/>
          <w:color w:val="000000" w:themeColor="text1"/>
          <w:lang w:val="en-US" w:eastAsia="zh-CN"/>
          <w14:textFill>
            <w14:solidFill>
              <w14:schemeClr w14:val="tx1"/>
            </w14:solidFill>
          </w14:textFill>
        </w:rPr>
        <w:t>.深化园区绿色低碳转型，夯实制造业高质量绿色发展支撑</w:t>
      </w:r>
      <w:bookmarkEnd w:id="341"/>
      <w:bookmarkEnd w:id="342"/>
    </w:p>
    <w:p>
      <w:pPr>
        <w:bidi w:val="0"/>
        <w:rPr>
          <w:rFonts w:hint="eastAsia"/>
        </w:rPr>
      </w:pPr>
      <w:r>
        <w:rPr>
          <w:rFonts w:hint="eastAsia"/>
          <w:color w:val="000000" w:themeColor="text1"/>
          <w14:textFill>
            <w14:solidFill>
              <w14:schemeClr w14:val="tx1"/>
            </w14:solidFill>
          </w14:textFill>
        </w:rPr>
        <w:t>推动绿色低</w:t>
      </w:r>
      <w:r>
        <w:rPr>
          <w:rFonts w:hint="eastAsia"/>
        </w:rPr>
        <w:t>碳循环发展。健全资源节约集约利用管控机制，从严落实能源、水资源、建设用地总量与强度双控管理。完善清洁生产正向激励政策，分步实施园区循环化改造工程，加快推动重点园区创建省级绿色升级示范工业园区，打造资源集约、低碳循环的标准化绿色产业载体。</w:t>
      </w:r>
      <w:r>
        <w:rPr>
          <w:rFonts w:hint="eastAsia"/>
          <w:lang w:val="en-US" w:eastAsia="zh-CN"/>
        </w:rPr>
        <w:t>探索搭建</w:t>
      </w:r>
      <w:r>
        <w:rPr>
          <w:rFonts w:hint="eastAsia"/>
        </w:rPr>
        <w:t>园区工业资源梯级利用共享平台</w:t>
      </w:r>
      <w:r>
        <w:t>，</w:t>
      </w:r>
      <w:r>
        <w:rPr>
          <w:rFonts w:hint="eastAsia"/>
        </w:rPr>
        <w:t>鼓励龙头企业开放余热、余压、边角料等资源，推动企业间资源梯级利用，</w:t>
      </w:r>
      <w:r>
        <w:rPr>
          <w:rFonts w:hint="eastAsia"/>
          <w:lang w:val="en-US" w:eastAsia="zh-CN"/>
        </w:rPr>
        <w:t>构建</w:t>
      </w:r>
      <w:r>
        <w:rPr>
          <w:rFonts w:hint="eastAsia"/>
        </w:rPr>
        <w:t>“上游废料</w:t>
      </w:r>
      <w:r>
        <w:rPr>
          <w:rFonts w:hint="eastAsia"/>
          <w:lang w:eastAsia="zh-CN"/>
        </w:rPr>
        <w:t>、</w:t>
      </w:r>
      <w:r>
        <w:rPr>
          <w:rFonts w:hint="eastAsia"/>
        </w:rPr>
        <w:t>下游原料”的</w:t>
      </w:r>
      <w:r>
        <w:rPr>
          <w:rFonts w:hint="eastAsia"/>
          <w:lang w:val="en-US" w:eastAsia="zh-CN"/>
        </w:rPr>
        <w:t>循环体系</w:t>
      </w:r>
      <w:r>
        <w:rPr>
          <w:rFonts w:hint="eastAsia"/>
          <w:lang w:eastAsia="zh-CN"/>
        </w:rPr>
        <w:t>。</w:t>
      </w:r>
    </w:p>
    <w:p>
      <w:pPr>
        <w:bidi w:val="0"/>
        <w:rPr>
          <w:rFonts w:hint="eastAsia"/>
          <w:color w:val="000000" w:themeColor="text1"/>
          <w14:textFill>
            <w14:solidFill>
              <w14:schemeClr w14:val="tx1"/>
            </w14:solidFill>
          </w14:textFill>
        </w:rPr>
      </w:pPr>
      <w:r>
        <w:rPr>
          <w:rFonts w:hint="eastAsia"/>
        </w:rPr>
        <w:t>强化</w:t>
      </w:r>
      <w:r>
        <w:rPr>
          <w:rFonts w:hint="eastAsia"/>
          <w:lang w:val="en-US" w:eastAsia="zh-CN"/>
        </w:rPr>
        <w:t>生态</w:t>
      </w:r>
      <w:r>
        <w:rPr>
          <w:rFonts w:hint="eastAsia"/>
        </w:rPr>
        <w:t>环境管控。常态化开展园区环境综合整治，落实工程减排增容量，依托工程治理、产业结构优化、日常监管多措并举</w:t>
      </w:r>
      <w:r>
        <w:rPr>
          <w:rFonts w:hint="eastAsia"/>
          <w:lang w:val="en-US" w:eastAsia="zh-CN"/>
        </w:rPr>
        <w:t>，</w:t>
      </w:r>
      <w:r>
        <w:rPr>
          <w:rFonts w:hint="eastAsia"/>
        </w:rPr>
        <w:t>深挖减排潜力</w:t>
      </w:r>
      <w:r>
        <w:rPr>
          <w:rFonts w:hint="eastAsia"/>
          <w:lang w:eastAsia="zh-CN"/>
        </w:rPr>
        <w:t>，</w:t>
      </w:r>
      <w:r>
        <w:rPr>
          <w:rFonts w:hint="eastAsia"/>
        </w:rPr>
        <w:t>拓宽环境容量，统筹</w:t>
      </w:r>
      <w:r>
        <w:rPr>
          <w:rFonts w:hint="eastAsia"/>
          <w:lang w:val="en-US" w:eastAsia="zh-CN"/>
        </w:rPr>
        <w:t>推进</w:t>
      </w:r>
      <w:r>
        <w:rPr>
          <w:rFonts w:hint="eastAsia"/>
        </w:rPr>
        <w:t>产业扩容与生态保护协同发展。</w:t>
      </w:r>
      <w:r>
        <w:rPr>
          <w:rFonts w:hint="eastAsia"/>
          <w:lang w:val="en-US" w:eastAsia="zh-CN"/>
        </w:rPr>
        <w:t>规范</w:t>
      </w:r>
      <w:r>
        <w:rPr>
          <w:rFonts w:hint="eastAsia"/>
        </w:rPr>
        <w:t>园区</w:t>
      </w:r>
      <w:r>
        <w:rPr>
          <w:rFonts w:hint="eastAsia"/>
          <w:lang w:val="en-US" w:eastAsia="zh-CN"/>
        </w:rPr>
        <w:t>新</w:t>
      </w:r>
      <w:r>
        <w:rPr>
          <w:rFonts w:hint="eastAsia"/>
        </w:rPr>
        <w:t>建设项目环评审批</w:t>
      </w:r>
      <w:r>
        <w:rPr>
          <w:rFonts w:hint="eastAsia"/>
          <w:lang w:eastAsia="zh-CN"/>
        </w:rPr>
        <w:t>、</w:t>
      </w:r>
      <w:r>
        <w:rPr>
          <w:rFonts w:hint="eastAsia"/>
        </w:rPr>
        <w:t>排污许可证核发</w:t>
      </w:r>
      <w:r>
        <w:rPr>
          <w:rFonts w:hint="eastAsia"/>
          <w:lang w:val="en-US" w:eastAsia="zh-CN"/>
        </w:rPr>
        <w:t>管理</w:t>
      </w:r>
      <w:r>
        <w:rPr>
          <w:rFonts w:hint="eastAsia"/>
          <w:color w:val="000000" w:themeColor="text1"/>
          <w14:textFill>
            <w14:solidFill>
              <w14:schemeClr w14:val="tx1"/>
            </w14:solidFill>
          </w14:textFill>
        </w:rPr>
        <w:t>，</w:t>
      </w:r>
      <w:r>
        <w:rPr>
          <w:rFonts w:hint="eastAsia" w:ascii="Times New Roman" w:hAnsi="Times New Roman" w:eastAsia="仿宋_GB2312" w:cs="Times New Roman"/>
          <w:color w:val="000000" w:themeColor="text1"/>
          <w:szCs w:val="24"/>
          <w14:textFill>
            <w14:solidFill>
              <w14:schemeClr w14:val="tx1"/>
            </w14:solidFill>
          </w14:textFill>
        </w:rPr>
        <w:t>全面摸排未纳入环境统计的市场主体</w:t>
      </w:r>
      <w:r>
        <w:rPr>
          <w:rFonts w:hint="eastAsia" w:cs="Times New Roman"/>
          <w:color w:val="000000" w:themeColor="text1"/>
          <w:szCs w:val="24"/>
          <w:lang w:eastAsia="zh-CN"/>
          <w14:textFill>
            <w14:solidFill>
              <w14:schemeClr w14:val="tx1"/>
            </w14:solidFill>
          </w14:textFill>
        </w:rPr>
        <w:t>，</w:t>
      </w:r>
      <w:r>
        <w:rPr>
          <w:rFonts w:hint="eastAsia"/>
          <w:color w:val="000000" w:themeColor="text1"/>
          <w14:textFill>
            <w14:solidFill>
              <w14:schemeClr w14:val="tx1"/>
            </w14:solidFill>
          </w14:textFill>
        </w:rPr>
        <w:t>建立</w:t>
      </w:r>
      <w:r>
        <w:rPr>
          <w:rFonts w:hint="eastAsia"/>
          <w:color w:val="000000" w:themeColor="text1"/>
          <w:lang w:val="en-US" w:eastAsia="zh-CN"/>
          <w14:textFill>
            <w14:solidFill>
              <w14:schemeClr w14:val="tx1"/>
            </w14:solidFill>
          </w14:textFill>
        </w:rPr>
        <w:t>企业</w:t>
      </w:r>
      <w:r>
        <w:rPr>
          <w:rFonts w:hint="eastAsia"/>
          <w:color w:val="000000" w:themeColor="text1"/>
          <w14:textFill>
            <w14:solidFill>
              <w14:schemeClr w14:val="tx1"/>
            </w14:solidFill>
          </w14:textFill>
        </w:rPr>
        <w:t>全口径管理</w:t>
      </w:r>
      <w:r>
        <w:rPr>
          <w:rFonts w:hint="eastAsia"/>
          <w:color w:val="000000" w:themeColor="text1"/>
          <w:lang w:val="en-US" w:eastAsia="zh-CN"/>
          <w14:textFill>
            <w14:solidFill>
              <w14:schemeClr w14:val="tx1"/>
            </w14:solidFill>
          </w14:textFill>
        </w:rPr>
        <w:t>台账</w:t>
      </w:r>
      <w:r>
        <w:rPr>
          <w:rFonts w:hint="eastAsia"/>
          <w:color w:val="000000" w:themeColor="text1"/>
          <w14:textFill>
            <w14:solidFill>
              <w14:schemeClr w14:val="tx1"/>
            </w14:solidFill>
          </w14:textFill>
        </w:rPr>
        <w:t>，严厉查处各类环境违法违规行为。强化环境风险危险源常态化</w:t>
      </w:r>
      <w:r>
        <w:rPr>
          <w:rFonts w:hint="eastAsia"/>
          <w:color w:val="000000" w:themeColor="text1"/>
          <w:lang w:val="en-US" w:eastAsia="zh-CN"/>
          <w14:textFill>
            <w14:solidFill>
              <w14:schemeClr w14:val="tx1"/>
            </w14:solidFill>
          </w14:textFill>
        </w:rPr>
        <w:t>在线</w:t>
      </w:r>
      <w:r>
        <w:rPr>
          <w:rFonts w:hint="eastAsia"/>
          <w:color w:val="000000" w:themeColor="text1"/>
          <w14:textFill>
            <w14:solidFill>
              <w14:schemeClr w14:val="tx1"/>
            </w14:solidFill>
          </w14:textFill>
        </w:rPr>
        <w:t>监测，动态完善突发环境事件应急预案体系，</w:t>
      </w:r>
      <w:r>
        <w:rPr>
          <w:rFonts w:hint="eastAsia"/>
          <w:color w:val="000000" w:themeColor="text1"/>
          <w:lang w:val="en-US" w:eastAsia="zh-CN"/>
          <w14:textFill>
            <w14:solidFill>
              <w14:schemeClr w14:val="tx1"/>
            </w14:solidFill>
          </w14:textFill>
        </w:rPr>
        <w:t>持续</w:t>
      </w:r>
      <w:r>
        <w:rPr>
          <w:rFonts w:hint="eastAsia"/>
          <w:color w:val="000000" w:themeColor="text1"/>
          <w14:textFill>
            <w14:solidFill>
              <w14:schemeClr w14:val="tx1"/>
            </w14:solidFill>
          </w14:textFill>
        </w:rPr>
        <w:t>提升应急处置</w:t>
      </w:r>
      <w:r>
        <w:rPr>
          <w:rFonts w:hint="eastAsia"/>
          <w:color w:val="000000" w:themeColor="text1"/>
          <w:lang w:val="en-US" w:eastAsia="zh-CN"/>
          <w14:textFill>
            <w14:solidFill>
              <w14:schemeClr w14:val="tx1"/>
            </w14:solidFill>
          </w14:textFill>
        </w:rPr>
        <w:t>水平</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坚守园区环境安全底线</w:t>
      </w:r>
      <w:r>
        <w:rPr>
          <w:rFonts w:hint="eastAsia"/>
          <w:color w:val="000000" w:themeColor="text1"/>
          <w14:textFill>
            <w14:solidFill>
              <w14:schemeClr w14:val="tx1"/>
            </w14:solidFill>
          </w14:textFill>
        </w:rPr>
        <w:t>。</w:t>
      </w:r>
    </w:p>
    <w:p>
      <w:pPr>
        <w:pStyle w:val="4"/>
        <w:keepNext w:val="0"/>
        <w:keepLines/>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b/>
          <w:bCs w:val="0"/>
          <w:color w:val="000000" w:themeColor="text1"/>
          <w:lang w:val="en-US" w:eastAsia="zh-CN"/>
          <w14:textFill>
            <w14:solidFill>
              <w14:schemeClr w14:val="tx1"/>
            </w14:solidFill>
          </w14:textFill>
        </w:rPr>
      </w:pPr>
      <w:bookmarkStart w:id="343" w:name="_Toc968"/>
      <w:bookmarkStart w:id="344" w:name="_Toc21956"/>
      <w:r>
        <w:rPr>
          <w:rFonts w:hint="eastAsia"/>
          <w:b w:val="0"/>
          <w:bCs/>
          <w:color w:val="000000" w:themeColor="text1"/>
          <w:lang w:val="en-US" w:eastAsia="zh-CN"/>
          <w14:textFill>
            <w14:solidFill>
              <w14:schemeClr w14:val="tx1"/>
            </w14:solidFill>
          </w14:textFill>
        </w:rPr>
        <w:t>（八）</w:t>
      </w:r>
      <w:r>
        <w:rPr>
          <w:rFonts w:hint="eastAsia"/>
          <w:b w:val="0"/>
          <w:bCs/>
          <w:color w:val="000000" w:themeColor="text1"/>
          <w14:textFill>
            <w14:solidFill>
              <w14:schemeClr w14:val="tx1"/>
            </w14:solidFill>
          </w14:textFill>
        </w:rPr>
        <w:t>深化区域协同，拓展开放发展空间</w:t>
      </w:r>
      <w:bookmarkEnd w:id="343"/>
      <w:bookmarkEnd w:id="344"/>
    </w:p>
    <w:p>
      <w:pPr>
        <w:pStyle w:val="5"/>
        <w:keepNext/>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cs="Times New Roman"/>
          <w:b/>
          <w:bCs w:val="0"/>
          <w:color w:val="000000" w:themeColor="text1"/>
          <w:lang w:val="en-US" w:eastAsia="zh-CN"/>
          <w14:textFill>
            <w14:solidFill>
              <w14:schemeClr w14:val="tx1"/>
            </w14:solidFill>
          </w14:textFill>
        </w:rPr>
      </w:pPr>
      <w:bookmarkStart w:id="345" w:name="_Toc3744"/>
      <w:bookmarkStart w:id="346" w:name="_Toc8609"/>
      <w:r>
        <w:rPr>
          <w:rFonts w:hint="eastAsia"/>
          <w:b/>
          <w:bCs w:val="0"/>
          <w:color w:val="000000" w:themeColor="text1"/>
          <w:lang w:val="en-US" w:eastAsia="zh-CN"/>
          <w14:textFill>
            <w14:solidFill>
              <w14:schemeClr w14:val="tx1"/>
            </w14:solidFill>
          </w14:textFill>
        </w:rPr>
        <w:t>16.</w:t>
      </w:r>
      <w:r>
        <w:rPr>
          <w:rFonts w:hint="eastAsia"/>
          <w:b/>
          <w:bCs w:val="0"/>
          <w:color w:val="000000" w:themeColor="text1"/>
          <w14:textFill>
            <w14:solidFill>
              <w14:schemeClr w14:val="tx1"/>
            </w14:solidFill>
          </w14:textFill>
        </w:rPr>
        <w:t>深度</w:t>
      </w:r>
      <w:r>
        <w:rPr>
          <w:rFonts w:hint="eastAsia"/>
          <w:b/>
          <w:bCs w:val="0"/>
          <w:color w:val="000000" w:themeColor="text1"/>
          <w:lang w:val="en-US" w:eastAsia="zh-CN"/>
          <w14:textFill>
            <w14:solidFill>
              <w14:schemeClr w14:val="tx1"/>
            </w14:solidFill>
          </w14:textFill>
        </w:rPr>
        <w:t>融入</w:t>
      </w:r>
      <w:r>
        <w:rPr>
          <w:rFonts w:hint="eastAsia"/>
          <w:b/>
          <w:bCs w:val="0"/>
          <w:color w:val="000000" w:themeColor="text1"/>
          <w14:textFill>
            <w14:solidFill>
              <w14:schemeClr w14:val="tx1"/>
            </w14:solidFill>
          </w14:textFill>
        </w:rPr>
        <w:t>粤港澳大湾区，</w:t>
      </w:r>
      <w:r>
        <w:rPr>
          <w:rFonts w:hint="eastAsia" w:ascii="Times New Roman" w:hAnsi="Times New Roman" w:cs="Times New Roman"/>
          <w:color w:val="000000" w:themeColor="text1"/>
          <w:lang w:val="en-US" w:eastAsia="zh-CN"/>
          <w14:textFill>
            <w14:solidFill>
              <w14:schemeClr w14:val="tx1"/>
            </w14:solidFill>
          </w14:textFill>
        </w:rPr>
        <w:t>打造粤港澳大湾区产业协同发展承载地</w:t>
      </w:r>
      <w:bookmarkEnd w:id="345"/>
      <w:bookmarkEnd w:id="346"/>
    </w:p>
    <w:p>
      <w:pPr>
        <w:bidi w:val="0"/>
        <w:rPr>
          <w:rFonts w:hint="eastAsia"/>
          <w:lang w:val="en-US" w:eastAsia="zh-CN"/>
        </w:rPr>
      </w:pPr>
      <w:r>
        <w:rPr>
          <w:rFonts w:hint="eastAsia" w:ascii="Times New Roman" w:hAnsi="Times New Roman" w:cs="Times New Roman"/>
          <w:color w:val="000000" w:themeColor="text1"/>
          <w:lang w:val="en-US" w:eastAsia="zh-CN"/>
          <w14:textFill>
            <w14:solidFill>
              <w14:schemeClr w14:val="tx1"/>
            </w14:solidFill>
          </w14:textFill>
        </w:rPr>
        <w:t>深化多赛道产业协同布局。统筹先进制造协同布局，深耕海洋先进制造</w:t>
      </w:r>
      <w:r>
        <w:rPr>
          <w:rFonts w:hint="eastAsia" w:ascii="Times New Roman" w:hAnsi="Times New Roman" w:cs="Times New Roman"/>
          <w:color w:val="000000" w:themeColor="text1"/>
          <w:u w:val="none"/>
          <w:lang w:val="en-US" w:eastAsia="zh-CN" w:bidi="ar"/>
          <w14:textFill>
            <w14:solidFill>
              <w14:schemeClr w14:val="tx1"/>
            </w14:solidFill>
          </w14:textFill>
        </w:rPr>
        <w:t>，</w:t>
      </w:r>
      <w:r>
        <w:rPr>
          <w:rFonts w:hint="eastAsia" w:ascii="Times New Roman" w:hAnsi="Times New Roman" w:eastAsia="仿宋_GB2312" w:cs="Times New Roman"/>
          <w:color w:val="000000" w:themeColor="text1"/>
          <w:szCs w:val="24"/>
          <w:u w:val="none"/>
          <w:lang w:bidi="ar"/>
          <w14:textFill>
            <w14:solidFill>
              <w14:schemeClr w14:val="tx1"/>
            </w14:solidFill>
          </w14:textFill>
        </w:rPr>
        <w:t>聚焦</w:t>
      </w:r>
      <w:r>
        <w:rPr>
          <w:rFonts w:hint="eastAsia" w:ascii="Times New Roman" w:hAnsi="Times New Roman" w:cs="Times New Roman"/>
          <w:b w:val="0"/>
          <w:bCs w:val="0"/>
          <w:color w:val="000000" w:themeColor="text1"/>
          <w:kern w:val="2"/>
          <w:szCs w:val="24"/>
          <w:u w:val="none" w:color="auto"/>
          <w:shd w:val="clear" w:color="auto" w:fill="auto"/>
          <w:lang w:val="en-US" w:eastAsia="zh-CN" w:bidi="ar"/>
          <w14:textFill>
            <w14:solidFill>
              <w14:schemeClr w14:val="tx1"/>
            </w14:solidFill>
          </w14:textFill>
        </w:rPr>
        <w:t>绿色氢能、海底算力、</w:t>
      </w:r>
      <w:r>
        <w:rPr>
          <w:rFonts w:hint="eastAsia" w:ascii="Times New Roman" w:hAnsi="Times New Roman" w:cs="Times New Roman"/>
          <w:b w:val="0"/>
          <w:bCs w:val="0"/>
          <w:color w:val="000000" w:themeColor="text1"/>
          <w:kern w:val="2"/>
          <w:szCs w:val="24"/>
          <w:u w:val="none"/>
          <w:shd w:val="clear"/>
          <w:lang w:val="en-US" w:eastAsia="zh-CN" w:bidi="ar"/>
          <w14:textFill>
            <w14:solidFill>
              <w14:schemeClr w14:val="tx1"/>
            </w14:solidFill>
          </w14:textFill>
        </w:rPr>
        <w:t>深海装备共建海洋科技创新走廊</w:t>
      </w:r>
      <w:r>
        <w:rPr>
          <w:rFonts w:hint="eastAsia" w:ascii="Times New Roman" w:hAnsi="Times New Roman" w:cs="Times New Roman"/>
          <w:b w:val="0"/>
          <w:bCs w:val="0"/>
          <w:color w:val="000000" w:themeColor="text1"/>
          <w:kern w:val="2"/>
          <w:szCs w:val="24"/>
          <w:u w:val="none" w:color="auto"/>
          <w:shd w:val="clear" w:color="auto" w:fill="auto"/>
          <w:lang w:val="en-US" w:eastAsia="zh-CN" w:bidi="ar"/>
          <w14:textFill>
            <w14:solidFill>
              <w14:schemeClr w14:val="tx1"/>
            </w14:solidFill>
          </w14:textFill>
        </w:rPr>
        <w:t>，打造大湾区海工装备产业重要配套基地</w:t>
      </w:r>
      <w:r>
        <w:rPr>
          <w:rFonts w:hint="eastAsia" w:ascii="Times New Roman" w:hAnsi="Times New Roman" w:cs="Times New Roman"/>
          <w:b w:val="0"/>
          <w:bCs w:val="0"/>
          <w:color w:val="000000" w:themeColor="text1"/>
          <w:kern w:val="2"/>
          <w:szCs w:val="24"/>
          <w:u w:val="none"/>
          <w:shd w:val="clear"/>
          <w:lang w:val="en-US" w:eastAsia="zh-CN" w:bidi="ar"/>
          <w14:textFill>
            <w14:solidFill>
              <w14:schemeClr w14:val="tx1"/>
            </w14:solidFill>
          </w14:textFill>
        </w:rPr>
        <w:t>；做强</w:t>
      </w:r>
      <w:r>
        <w:rPr>
          <w:rFonts w:hint="eastAsia" w:cs="Times New Roman"/>
          <w:color w:val="000000" w:themeColor="text1"/>
          <w:kern w:val="2"/>
          <w:szCs w:val="24"/>
          <w:lang w:val="en-US" w:eastAsia="zh-CN" w:bidi="ar-SA"/>
          <w14:textFill>
            <w14:solidFill>
              <w14:schemeClr w14:val="tx1"/>
            </w14:solidFill>
          </w14:textFill>
        </w:rPr>
        <w:t>新一代电</w:t>
      </w:r>
      <w:r>
        <w:rPr>
          <w:rFonts w:hint="eastAsia"/>
          <w:lang w:val="en-US" w:eastAsia="zh-CN"/>
        </w:rPr>
        <w:t>子信息产业，主动融入珠江东岸电子信息产业带，持续提升本地电子信息产品市场份额与品牌影响力；发展新能源汽车产业，以比亚迪等链主企业为牵引，承接大湾区电池、电机等核心零部件产能，联动广州、肇庆共建零部件配套基地，构建“深圳研发设计—汕尾精密制造—湾区整车装配”跨区域产业链，聚力打造具有国际竞争力的深汕新能源汽车产业基地。提质升级传统优势产业，引入大湾区设计、检测、品牌运营资源，将梅陇、可塘打造为“粤港澳珠宝供应链枢纽”，实现“汕尾制造+湾区品牌”双驱动。前瞻布局未来产业新赛道，围绕新型储能、低空经济等领域，健全“基础研究+技术攻关+成果转化+科技金融+人才支撑”全过程创新生态链。</w:t>
      </w:r>
    </w:p>
    <w:p>
      <w:pPr>
        <w:bidi w:val="0"/>
        <w:rPr>
          <w:rFonts w:hint="eastAsia"/>
          <w:color w:val="000000" w:themeColor="text1"/>
          <w14:textFill>
            <w14:solidFill>
              <w14:schemeClr w14:val="tx1"/>
            </w14:solidFill>
          </w14:textFill>
        </w:rPr>
      </w:pPr>
      <w:r>
        <w:rPr>
          <w:rFonts w:hint="eastAsia"/>
          <w:lang w:val="en-US" w:eastAsia="zh-CN"/>
        </w:rPr>
        <w:t>搭建全域产业对接平台。建立跨区域常态化对接机制，定期举办产业转移、创新资源供需对接会。深化与大湾区核心城市的产业协作，联合</w:t>
      </w:r>
      <w:r>
        <w:rPr>
          <w:rFonts w:hint="eastAsia"/>
          <w:color w:val="000000" w:themeColor="text1"/>
          <w:lang w:val="en-US" w:eastAsia="zh-CN"/>
          <w14:textFill>
            <w14:solidFill>
              <w14:schemeClr w14:val="tx1"/>
            </w14:solidFill>
          </w14:textFill>
        </w:rPr>
        <w:t>梳理储备、落地实施一批产业链共建、创新资源共享类重大合作项目，从要素互通、项目联建、园区共建多维度发力，探索打造产业协同发展先行示范区，畅通湾区高端制造、创新资源向汕尾有序转移落地通道。</w:t>
      </w:r>
    </w:p>
    <w:p>
      <w:pPr>
        <w:pStyle w:val="5"/>
        <w:keepNext/>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eastAsia="仿宋_GB2312"/>
          <w:b/>
          <w:bCs w:val="0"/>
          <w:color w:val="000000" w:themeColor="text1"/>
          <w:lang w:val="en-US" w:eastAsia="zh-CN"/>
          <w14:textFill>
            <w14:solidFill>
              <w14:schemeClr w14:val="tx1"/>
            </w14:solidFill>
          </w14:textFill>
        </w:rPr>
      </w:pPr>
      <w:bookmarkStart w:id="347" w:name="_Toc27593"/>
      <w:bookmarkStart w:id="348" w:name="_Toc18068"/>
      <w:r>
        <w:rPr>
          <w:rFonts w:hint="eastAsia"/>
          <w:b/>
          <w:bCs w:val="0"/>
          <w:color w:val="000000" w:themeColor="text1"/>
          <w:lang w:val="en-US" w:eastAsia="zh-CN"/>
          <w14:textFill>
            <w14:solidFill>
              <w14:schemeClr w14:val="tx1"/>
            </w14:solidFill>
          </w14:textFill>
        </w:rPr>
        <w:t>17</w:t>
      </w:r>
      <w:r>
        <w:rPr>
          <w:rFonts w:hint="eastAsia"/>
          <w:b/>
          <w:bCs w:val="0"/>
          <w:color w:val="000000" w:themeColor="text1"/>
          <w14:textFill>
            <w14:solidFill>
              <w14:schemeClr w14:val="tx1"/>
            </w14:solidFill>
          </w14:textFill>
        </w:rPr>
        <w:t>.强化深汕合作，</w:t>
      </w:r>
      <w:r>
        <w:rPr>
          <w:rFonts w:hint="eastAsia"/>
          <w:b/>
          <w:bCs w:val="0"/>
          <w:color w:val="000000" w:themeColor="text1"/>
          <w:lang w:val="en-US" w:eastAsia="zh-CN"/>
          <w14:textFill>
            <w14:solidFill>
              <w14:schemeClr w14:val="tx1"/>
            </w14:solidFill>
          </w14:textFill>
        </w:rPr>
        <w:t>探索“</w:t>
      </w:r>
      <w:r>
        <w:rPr>
          <w:rFonts w:hint="default"/>
          <w:b/>
          <w:bCs w:val="0"/>
          <w:color w:val="000000" w:themeColor="text1"/>
          <w:lang w:val="en-US"/>
          <w14:textFill>
            <w14:solidFill>
              <w14:schemeClr w14:val="tx1"/>
            </w14:solidFill>
          </w14:textFill>
        </w:rPr>
        <w:t>飞地经济</w:t>
      </w:r>
      <w:r>
        <w:rPr>
          <w:rFonts w:hint="eastAsia"/>
          <w:b/>
          <w:bCs w:val="0"/>
          <w:color w:val="000000" w:themeColor="text1"/>
          <w:lang w:val="en-US" w:eastAsia="zh-CN"/>
          <w14:textFill>
            <w14:solidFill>
              <w14:schemeClr w14:val="tx1"/>
            </w14:solidFill>
          </w14:textFill>
        </w:rPr>
        <w:t>”</w:t>
      </w:r>
      <w:r>
        <w:rPr>
          <w:rFonts w:hint="default"/>
          <w:b/>
          <w:bCs w:val="0"/>
          <w:color w:val="000000" w:themeColor="text1"/>
          <w:lang w:val="en-US"/>
          <w14:textFill>
            <w14:solidFill>
              <w14:schemeClr w14:val="tx1"/>
            </w14:solidFill>
          </w14:textFill>
        </w:rPr>
        <w:t>融合发展新路径</w:t>
      </w:r>
      <w:bookmarkEnd w:id="347"/>
      <w:bookmarkEnd w:id="348"/>
    </w:p>
    <w:p>
      <w:pPr>
        <w:bidi w:val="0"/>
        <w:rPr>
          <w:rFonts w:hint="default"/>
          <w:lang w:val="en-US" w:eastAsia="zh-CN"/>
        </w:rPr>
      </w:pPr>
      <w:r>
        <w:rPr>
          <w:rFonts w:hint="default" w:ascii="Times New Roman" w:hAnsi="Times New Roman" w:cs="Times New Roman"/>
          <w:b w:val="0"/>
          <w:bCs w:val="0"/>
          <w:color w:val="000000" w:themeColor="text1"/>
          <w:lang w:val="en-US" w:eastAsia="zh-CN"/>
          <w14:textFill>
            <w14:solidFill>
              <w14:schemeClr w14:val="tx1"/>
            </w14:solidFill>
          </w14:textFill>
        </w:rPr>
        <w:t>深化</w:t>
      </w:r>
      <w:r>
        <w:rPr>
          <w:rFonts w:hint="eastAsia" w:cs="Times New Roman"/>
          <w:b w:val="0"/>
          <w:bCs w:val="0"/>
          <w:color w:val="000000" w:themeColor="text1"/>
          <w:lang w:val="en-US" w:eastAsia="zh-CN"/>
          <w14:textFill>
            <w14:solidFill>
              <w14:schemeClr w14:val="tx1"/>
            </w14:solidFill>
          </w14:textFill>
        </w:rPr>
        <w:t>深汕</w:t>
      </w:r>
      <w:r>
        <w:rPr>
          <w:rFonts w:hint="default" w:ascii="Times New Roman" w:hAnsi="Times New Roman" w:cs="Times New Roman"/>
          <w:b w:val="0"/>
          <w:bCs w:val="0"/>
          <w:color w:val="000000" w:themeColor="text1"/>
          <w:lang w:val="en-US" w:eastAsia="zh-CN"/>
          <w14:textFill>
            <w14:solidFill>
              <w14:schemeClr w14:val="tx1"/>
            </w14:solidFill>
          </w14:textFill>
        </w:rPr>
        <w:t>产业协同联动。依托深汕特别合作区及拓展区，持续做强</w:t>
      </w:r>
      <w:r>
        <w:rPr>
          <w:rFonts w:hint="eastAsia"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深圳总部+汕尾基地</w:t>
      </w:r>
      <w:r>
        <w:rPr>
          <w:rFonts w:hint="eastAsia"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深圳研发+汕尾转化</w:t>
      </w:r>
      <w:r>
        <w:rPr>
          <w:rFonts w:hint="eastAsia"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联动模式</w:t>
      </w:r>
      <w:r>
        <w:rPr>
          <w:rFonts w:hint="eastAsia" w:ascii="Times New Roman" w:hAnsi="Times New Roman" w:cs="Times New Roman"/>
          <w:b w:val="0"/>
          <w:bCs w:val="0"/>
          <w:color w:val="000000" w:themeColor="text1"/>
          <w:lang w:val="en-US" w:eastAsia="zh-CN"/>
          <w14:textFill>
            <w14:solidFill>
              <w14:schemeClr w14:val="tx1"/>
            </w14:solidFill>
          </w14:textFill>
        </w:rPr>
        <w:t>。以“深汕协同、全链构建”为抓手，围绕新能源汽车、新能源、新材料、新一代</w:t>
      </w:r>
      <w:r>
        <w:rPr>
          <w:rFonts w:hint="eastAsia"/>
          <w:lang w:val="en-US" w:eastAsia="zh-CN"/>
        </w:rPr>
        <w:t>电子信息、海洋城市建设等领域形成上下游协作，重点承接新能源汽车“三电三智”产业生态和基础零部件配套业态，以“大红海湾区”建设为牵引，深度参与深圳全球海洋中心城市建设。</w:t>
      </w:r>
    </w:p>
    <w:p>
      <w:pPr>
        <w:bidi w:val="0"/>
        <w:rPr>
          <w:rFonts w:hint="default"/>
          <w:lang w:val="en-US" w:eastAsia="zh-CN"/>
        </w:rPr>
      </w:pPr>
      <w:r>
        <w:rPr>
          <w:rFonts w:hint="default"/>
          <w:lang w:val="en-US" w:eastAsia="zh-CN"/>
        </w:rPr>
        <w:t>创新跨区域管理服务机制。积极复制推广深圳</w:t>
      </w:r>
      <w:r>
        <w:rPr>
          <w:rFonts w:hint="eastAsia"/>
          <w:lang w:val="en-US" w:eastAsia="zh-CN"/>
        </w:rPr>
        <w:t>“</w:t>
      </w:r>
      <w:r>
        <w:rPr>
          <w:rFonts w:hint="default"/>
          <w:lang w:val="en-US" w:eastAsia="zh-CN"/>
        </w:rPr>
        <w:t>园区管家</w:t>
      </w:r>
      <w:r>
        <w:rPr>
          <w:rFonts w:hint="eastAsia"/>
          <w:lang w:val="en-US" w:eastAsia="zh-CN"/>
        </w:rPr>
        <w:t>”</w:t>
      </w:r>
      <w:r>
        <w:rPr>
          <w:rFonts w:hint="default"/>
          <w:lang w:val="en-US" w:eastAsia="zh-CN"/>
        </w:rPr>
        <w:t>服务模式</w:t>
      </w:r>
      <w:r>
        <w:rPr>
          <w:rFonts w:hint="eastAsia"/>
          <w:lang w:val="en-US" w:eastAsia="zh-CN"/>
        </w:rPr>
        <w:t>，</w:t>
      </w:r>
      <w:r>
        <w:rPr>
          <w:rFonts w:hint="default"/>
          <w:lang w:val="en-US" w:eastAsia="zh-CN"/>
        </w:rPr>
        <w:t>为合作园区企业提供一站式落地配套服务。创新跨区域要素统筹调配方式，加快建立产值、税收、能耗等指标共享及统计分算机制，充分激发跨区域协同内生动力，保障合作区高效运</w:t>
      </w:r>
      <w:r>
        <w:rPr>
          <w:rFonts w:hint="eastAsia"/>
          <w:lang w:val="en-US" w:eastAsia="zh-CN"/>
        </w:rPr>
        <w:t>转</w:t>
      </w:r>
      <w:r>
        <w:rPr>
          <w:rFonts w:hint="default"/>
          <w:lang w:val="en-US" w:eastAsia="zh-CN"/>
        </w:rPr>
        <w:t>。</w:t>
      </w:r>
    </w:p>
    <w:p>
      <w:pPr>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lang w:val="en-US" w:eastAsia="zh-CN"/>
        </w:rPr>
        <w:t>推动深汕联合招商。完善深汕联合招商常态化工作机制，统筹两市力量组建联合招商专班，推动招商资源共享。搭建两地招商信息共享平台，</w:t>
      </w:r>
      <w:r>
        <w:rPr>
          <w:rFonts w:hint="default" w:ascii="Times New Roman" w:hAnsi="Times New Roman" w:cs="Times New Roman"/>
          <w:b w:val="0"/>
          <w:bCs w:val="0"/>
          <w:color w:val="000000" w:themeColor="text1"/>
          <w:lang w:val="en-US" w:eastAsia="zh-CN"/>
          <w14:textFill>
            <w14:solidFill>
              <w14:schemeClr w14:val="tx1"/>
            </w14:solidFill>
          </w14:textFill>
        </w:rPr>
        <w:t>常态化开展产业对接、企业走访、项目推介等系列交流活动，推动优质科创项目、产业投资资源双向流动，</w:t>
      </w:r>
      <w:r>
        <w:rPr>
          <w:rFonts w:hint="eastAsia" w:cs="Times New Roman"/>
          <w:b w:val="0"/>
          <w:bCs w:val="0"/>
          <w:color w:val="000000" w:themeColor="text1"/>
          <w:lang w:val="en-US" w:eastAsia="zh-CN"/>
          <w14:textFill>
            <w14:solidFill>
              <w14:schemeClr w14:val="tx1"/>
            </w14:solidFill>
          </w14:textFill>
        </w:rPr>
        <w:t>助推</w:t>
      </w:r>
      <w:r>
        <w:rPr>
          <w:rFonts w:hint="default" w:ascii="Times New Roman" w:hAnsi="Times New Roman" w:cs="Times New Roman"/>
          <w:b w:val="0"/>
          <w:bCs w:val="0"/>
          <w:color w:val="000000" w:themeColor="text1"/>
          <w:lang w:val="en-US" w:eastAsia="zh-CN"/>
          <w14:textFill>
            <w14:solidFill>
              <w14:schemeClr w14:val="tx1"/>
            </w14:solidFill>
          </w14:textFill>
        </w:rPr>
        <w:t>两地招商资源互通共享。</w:t>
      </w:r>
    </w:p>
    <w:p>
      <w:pPr>
        <w:pStyle w:val="21"/>
        <w:keepNext/>
        <w:numPr>
          <w:ilvl w:val="-1"/>
          <w:numId w:val="0"/>
        </w:numPr>
        <w:spacing w:after="0"/>
        <w:ind w:left="0" w:leftChars="0" w:firstLine="642" w:firstLineChars="200"/>
        <w:outlineLvl w:val="2"/>
        <w:rPr>
          <w:rFonts w:hint="eastAsia"/>
          <w:b/>
          <w:bCs w:val="0"/>
          <w:color w:val="000000" w:themeColor="text1"/>
          <w:lang w:val="en-US" w:eastAsia="zh-CN"/>
          <w14:textFill>
            <w14:solidFill>
              <w14:schemeClr w14:val="tx1"/>
            </w14:solidFill>
          </w14:textFill>
        </w:rPr>
      </w:pPr>
      <w:bookmarkStart w:id="349" w:name="_Toc27181"/>
      <w:bookmarkStart w:id="350" w:name="_Toc5264"/>
      <w:r>
        <w:rPr>
          <w:rFonts w:hint="eastAsia"/>
          <w:b/>
          <w:bCs w:val="0"/>
          <w:color w:val="000000" w:themeColor="text1"/>
          <w:lang w:val="en-US" w:eastAsia="zh-CN"/>
          <w14:textFill>
            <w14:solidFill>
              <w14:schemeClr w14:val="tx1"/>
            </w14:solidFill>
          </w14:textFill>
        </w:rPr>
        <w:t>18.加强与粤东沿海经济带协同联动，共建共赢发展格局</w:t>
      </w:r>
      <w:bookmarkEnd w:id="349"/>
      <w:bookmarkEnd w:id="350"/>
    </w:p>
    <w:p>
      <w:pPr>
        <w:bidi w:val="0"/>
        <w:rPr>
          <w:rFonts w:hint="eastAsia"/>
          <w:lang w:val="en-US" w:eastAsia="zh-CN"/>
        </w:rPr>
      </w:pPr>
      <w:r>
        <w:rPr>
          <w:rFonts w:hint="eastAsia" w:ascii="仿宋_GB2312" w:hAnsi="仿宋_GB2312" w:eastAsia="仿宋_GB2312" w:cs="仿宋_GB2312"/>
          <w:b w:val="0"/>
          <w:bCs/>
          <w:color w:val="000000" w:themeColor="text1"/>
          <w:szCs w:val="32"/>
          <w:lang w:val="en-US" w:eastAsia="zh-CN"/>
          <w14:textFill>
            <w14:solidFill>
              <w14:schemeClr w14:val="tx1"/>
            </w14:solidFill>
          </w14:textFill>
        </w:rPr>
        <w:t>积极融入粤东沿海经济带一体化发展大局。深化区域协同协作，推动形成优势互补、资源共享、联动发展的良好格局；深度参与汕潮揭都市圈建设，加强与汕头、潮州、揭阳等兄弟城市全方位对</w:t>
      </w:r>
      <w:r>
        <w:rPr>
          <w:rFonts w:hint="eastAsia"/>
          <w:lang w:val="en-US" w:eastAsia="zh-CN"/>
        </w:rPr>
        <w:t>接合作，聚焦能源开发、科技创新、市场互通、产业配套等重点领域搭建常态化协作机制，推动要素自由流动与资源高效配置，携手提升粤东地区制造业综合竞争力。</w:t>
      </w:r>
    </w:p>
    <w:p>
      <w:pPr>
        <w:bidi w:val="0"/>
        <w:rPr>
          <w:rFonts w:hint="eastAsia" w:ascii="仿宋_GB2312" w:hAnsi="仿宋_GB2312" w:eastAsia="仿宋_GB2312" w:cs="仿宋_GB2312"/>
          <w:b w:val="0"/>
          <w:bCs/>
          <w:color w:val="000000" w:themeColor="text1"/>
          <w:szCs w:val="32"/>
          <w:lang w:val="en-US" w:eastAsia="zh-CN"/>
          <w14:textFill>
            <w14:solidFill>
              <w14:schemeClr w14:val="tx1"/>
            </w14:solidFill>
          </w14:textFill>
        </w:rPr>
      </w:pPr>
      <w:r>
        <w:rPr>
          <w:rFonts w:hint="eastAsia"/>
          <w:lang w:val="en-US" w:eastAsia="zh-CN"/>
        </w:rPr>
        <w:t>深化临港产业协同联动。聚焦海洋经济与清洁能源产业强化跨市协作，统筹推进粤东海上风电产业一体化布局，优化海上能源资源开发利用</w:t>
      </w:r>
      <w:r>
        <w:rPr>
          <w:rFonts w:hint="eastAsia" w:ascii="仿宋_GB2312" w:hAnsi="仿宋_GB2312" w:eastAsia="仿宋_GB2312" w:cs="仿宋_GB2312"/>
          <w:b w:val="0"/>
          <w:bCs/>
          <w:color w:val="000000" w:themeColor="text1"/>
          <w:szCs w:val="32"/>
          <w:lang w:val="en-US" w:eastAsia="zh-CN"/>
          <w14:textFill>
            <w14:solidFill>
              <w14:schemeClr w14:val="tx1"/>
            </w14:solidFill>
          </w14:textFill>
        </w:rPr>
        <w:t>，推动汕尾海洋工程装备基地与汕头国际风电创新港、揭阳风电运维基地功能互补；依托揭阳大南海石化产业园原料配套优势，积极探索“隔墙供应”</w:t>
      </w:r>
      <w:r>
        <w:rPr>
          <w:rFonts w:hint="eastAsia" w:ascii="仿宋_GB2312" w:hAnsi="仿宋_GB2312" w:eastAsia="仿宋_GB2312" w:cs="仿宋_GB2312"/>
          <w:b w:val="0"/>
          <w:bCs/>
          <w:color w:val="000000" w:themeColor="text1"/>
          <w:szCs w:val="32"/>
          <w14:textFill>
            <w14:solidFill>
              <w14:schemeClr w14:val="tx1"/>
            </w14:solidFill>
          </w14:textFill>
        </w:rPr>
        <w:t>、产业链配套共建协同模式</w:t>
      </w:r>
      <w:r>
        <w:rPr>
          <w:rFonts w:hint="eastAsia" w:ascii="仿宋_GB2312" w:hAnsi="仿宋_GB2312" w:eastAsia="仿宋_GB2312" w:cs="仿宋_GB2312"/>
          <w:b w:val="0"/>
          <w:bCs/>
          <w:color w:val="000000" w:themeColor="text1"/>
          <w:szCs w:val="32"/>
          <w:lang w:val="en-US" w:eastAsia="zh-CN"/>
          <w14:textFill>
            <w14:solidFill>
              <w14:schemeClr w14:val="tx1"/>
            </w14:solidFill>
          </w14:textFill>
        </w:rPr>
        <w:t>，延伸新材料产业发展链条，培育壮大特色新材料产业集群，以区域产业协同赋能汕尾高质量发展。</w:t>
      </w:r>
    </w:p>
    <w:bookmarkEnd w:id="292"/>
    <w:bookmarkEnd w:id="293"/>
    <w:bookmarkEnd w:id="294"/>
    <w:bookmarkEnd w:id="295"/>
    <w:bookmarkEnd w:id="296"/>
    <w:bookmarkEnd w:id="297"/>
    <w:bookmarkEnd w:id="298"/>
    <w:bookmarkEnd w:id="299"/>
    <w:bookmarkEnd w:id="300"/>
    <w:bookmarkEnd w:id="301"/>
    <w:p>
      <w:pPr>
        <w:pStyle w:val="3"/>
        <w:ind w:firstLine="643"/>
        <w:rPr>
          <w:rFonts w:hint="eastAsia"/>
          <w:color w:val="000000" w:themeColor="text1"/>
          <w14:textFill>
            <w14:solidFill>
              <w14:schemeClr w14:val="tx1"/>
            </w14:solidFill>
          </w14:textFill>
        </w:rPr>
      </w:pPr>
      <w:bookmarkStart w:id="351" w:name="_Toc25198"/>
      <w:bookmarkStart w:id="352" w:name="_Toc15607"/>
      <w:bookmarkStart w:id="353" w:name="_Toc20432"/>
      <w:bookmarkStart w:id="354" w:name="_Toc19770"/>
      <w:bookmarkStart w:id="355" w:name="_Toc7593"/>
      <w:bookmarkStart w:id="356" w:name="_Toc22370"/>
      <w:bookmarkStart w:id="357" w:name="_Toc16540"/>
      <w:r>
        <w:rPr>
          <w:rFonts w:hint="eastAsia"/>
          <w:color w:val="000000" w:themeColor="text1"/>
          <w:lang w:val="en-US" w:eastAsia="zh-CN"/>
          <w14:textFill>
            <w14:solidFill>
              <w14:schemeClr w14:val="tx1"/>
            </w14:solidFill>
          </w14:textFill>
        </w:rPr>
        <w:t>五</w:t>
      </w:r>
      <w:r>
        <w:rPr>
          <w:rFonts w:hint="eastAsia"/>
          <w:color w:val="000000" w:themeColor="text1"/>
          <w14:textFill>
            <w14:solidFill>
              <w14:schemeClr w14:val="tx1"/>
            </w14:solidFill>
          </w14:textFill>
        </w:rPr>
        <w:t>、</w:t>
      </w:r>
      <w:bookmarkEnd w:id="351"/>
      <w:bookmarkEnd w:id="352"/>
      <w:bookmarkEnd w:id="353"/>
      <w:bookmarkEnd w:id="354"/>
      <w:bookmarkEnd w:id="355"/>
      <w:r>
        <w:rPr>
          <w:rFonts w:hint="eastAsia"/>
          <w:color w:val="000000" w:themeColor="text1"/>
          <w14:textFill>
            <w14:solidFill>
              <w14:schemeClr w14:val="tx1"/>
            </w14:solidFill>
          </w14:textFill>
        </w:rPr>
        <w:t>组织实施</w:t>
      </w:r>
      <w:bookmarkEnd w:id="356"/>
      <w:bookmarkEnd w:id="357"/>
    </w:p>
    <w:p>
      <w:pPr>
        <w:widowControl/>
        <w:spacing w:beforeLines="-2147483648" w:afterLines="-2147483648"/>
        <w:ind w:firstLine="0"/>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仿宋_GB2312" w:cs="Times New Roman"/>
          <w:i w:val="0"/>
          <w:iCs w:val="0"/>
          <w:caps w:val="0"/>
          <w:color w:val="000000" w:themeColor="text1"/>
          <w:spacing w:val="0"/>
          <w:kern w:val="2"/>
          <w:sz w:val="32"/>
          <w:szCs w:val="24"/>
          <w:highlight w:val="none"/>
          <w:shd w:val="clear" w:fill="auto"/>
          <w:lang w:val="en-US" w:eastAsia="zh-CN" w:bidi="ar"/>
          <w14:textFill>
            <w14:solidFill>
              <w14:schemeClr w14:val="tx1"/>
            </w14:solidFill>
          </w14:textFill>
        </w:rPr>
        <w:t>市工信局牵头联动各相关部门建立规划统筹推进机制，深化制造业高质量发展专项研究，一体推进政策宣讲、技术跟踪、行业研判、运行监测与成效评估，持续优化工作方式，压实规划目标与重点任务落地责任。各属地结合自身发展条件完善制造业发展工作领导架构，保障规划落地推进顺畅有序。</w:t>
      </w:r>
    </w:p>
    <w:p>
      <w:pPr>
        <w:ind w:firstLine="640"/>
        <w:rPr>
          <w:rFonts w:hint="eastAsia"/>
          <w:color w:val="000000" w:themeColor="text1"/>
          <w:lang w:eastAsia="zh-CN"/>
          <w14:textFill>
            <w14:solidFill>
              <w14:schemeClr w14:val="tx1"/>
            </w14:solidFill>
          </w14:textFill>
        </w:rPr>
      </w:pPr>
    </w:p>
    <w:p>
      <w:pPr>
        <w:rPr>
          <w:rFonts w:hint="default"/>
          <w:color w:val="000000" w:themeColor="text1"/>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pStyle w:val="3"/>
        <w:keepNext/>
        <w:keepLines/>
        <w:pageBreakBefore w:val="0"/>
        <w:widowControl w:val="0"/>
        <w:kinsoku/>
        <w:wordWrap/>
        <w:overflowPunct/>
        <w:topLinePunct w:val="0"/>
        <w:autoSpaceDE/>
        <w:autoSpaceDN/>
        <w:bidi w:val="0"/>
        <w:adjustRightInd/>
        <w:snapToGrid/>
        <w:ind w:firstLineChars="0"/>
        <w:textAlignment w:val="auto"/>
        <w:outlineLvl w:val="0"/>
        <w:rPr>
          <w:rFonts w:hint="eastAsia" w:ascii="黑体" w:hAnsi="黑体" w:cs="黑体"/>
          <w:color w:val="000000" w:themeColor="text1"/>
          <w:lang w:val="en-US" w:eastAsia="zh-CN"/>
          <w14:textFill>
            <w14:solidFill>
              <w14:schemeClr w14:val="tx1"/>
            </w14:solidFill>
          </w14:textFill>
        </w:rPr>
      </w:pPr>
      <w:bookmarkStart w:id="358" w:name="_Toc25007"/>
      <w:bookmarkStart w:id="359" w:name="_Toc20462"/>
      <w:bookmarkStart w:id="360" w:name="_Toc29221"/>
      <w:bookmarkStart w:id="361" w:name="_Toc12488"/>
      <w:bookmarkStart w:id="362" w:name="_Toc9696"/>
      <w:bookmarkStart w:id="363" w:name="_Toc17156"/>
      <w:bookmarkStart w:id="364" w:name="_Toc21267"/>
      <w:bookmarkStart w:id="365" w:name="_Toc10124"/>
      <w:bookmarkStart w:id="366" w:name="_Toc25703"/>
      <w:bookmarkStart w:id="367" w:name="_Toc10875"/>
      <w:bookmarkStart w:id="368" w:name="_Toc25488"/>
      <w:r>
        <w:rPr>
          <w:rFonts w:hint="eastAsia" w:ascii="黑体" w:hAnsi="黑体" w:eastAsia="黑体" w:cs="黑体"/>
          <w:color w:val="000000" w:themeColor="text1"/>
          <w:lang w:val="en-US" w:eastAsia="zh-CN"/>
          <w14:textFill>
            <w14:solidFill>
              <w14:schemeClr w14:val="tx1"/>
            </w14:solidFill>
          </w14:textFill>
        </w:rPr>
        <w:t>附件</w:t>
      </w:r>
      <w:r>
        <w:rPr>
          <w:rFonts w:hint="eastAsia" w:ascii="黑体" w:hAnsi="黑体" w:cs="黑体"/>
          <w:color w:val="000000" w:themeColor="text1"/>
          <w:lang w:val="en-US" w:eastAsia="zh-CN"/>
          <w14:textFill>
            <w14:solidFill>
              <w14:schemeClr w14:val="tx1"/>
            </w14:solidFill>
          </w14:textFill>
        </w:rPr>
        <w:t>：</w:t>
      </w:r>
    </w:p>
    <w:p>
      <w:pPr>
        <w:bidi w:val="0"/>
        <w:jc w:val="center"/>
        <w:rPr>
          <w:rFonts w:hint="eastAsia" w:ascii="方正小标宋简体" w:hAnsi="方正小标宋简体" w:eastAsia="方正小标宋简体" w:cs="方正小标宋简体"/>
          <w:sz w:val="44"/>
          <w:szCs w:val="36"/>
        </w:rPr>
      </w:pPr>
      <w:r>
        <w:rPr>
          <w:rFonts w:hint="eastAsia" w:ascii="方正小标宋简体" w:hAnsi="方正小标宋简体" w:eastAsia="方正小标宋简体" w:cs="方正小标宋简体"/>
          <w:sz w:val="44"/>
          <w:szCs w:val="36"/>
          <w:lang w:val="en-US" w:eastAsia="zh-CN"/>
        </w:rPr>
        <w:t>汕尾市重点建设项目计划表</w:t>
      </w:r>
      <w:bookmarkEnd w:id="358"/>
      <w:bookmarkEnd w:id="359"/>
      <w:bookmarkEnd w:id="360"/>
      <w:bookmarkEnd w:id="361"/>
      <w:bookmarkEnd w:id="362"/>
      <w:bookmarkEnd w:id="363"/>
      <w:bookmarkEnd w:id="364"/>
      <w:bookmarkEnd w:id="365"/>
      <w:bookmarkEnd w:id="366"/>
      <w:bookmarkEnd w:id="367"/>
      <w:bookmarkEnd w:id="368"/>
    </w:p>
    <w:tbl>
      <w:tblPr>
        <w:tblStyle w:val="22"/>
        <w:tblW w:w="142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2186"/>
        <w:gridCol w:w="880"/>
        <w:gridCol w:w="4200"/>
        <w:gridCol w:w="1120"/>
        <w:gridCol w:w="1080"/>
        <w:gridCol w:w="1100"/>
        <w:gridCol w:w="30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blHeader/>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b/>
                <w:bCs/>
                <w:i w:val="0"/>
                <w:iCs w:val="0"/>
                <w:color w:val="000000" w:themeColor="text1"/>
                <w:kern w:val="0"/>
                <w:sz w:val="24"/>
                <w:szCs w:val="24"/>
                <w:u w:val="none"/>
                <w:lang w:val="en-US" w:eastAsia="zh-CN" w:bidi="ar"/>
                <w14:textFill>
                  <w14:solidFill>
                    <w14:schemeClr w14:val="tx1"/>
                  </w14:solidFill>
                </w14:textFill>
              </w:rPr>
              <w:t>序号</w:t>
            </w:r>
          </w:p>
        </w:tc>
        <w:tc>
          <w:tcPr>
            <w:tcW w:w="21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b/>
                <w:bCs/>
                <w:i w:val="0"/>
                <w:iCs w:val="0"/>
                <w:color w:val="000000" w:themeColor="text1"/>
                <w:kern w:val="0"/>
                <w:sz w:val="24"/>
                <w:szCs w:val="24"/>
                <w:u w:val="none"/>
                <w:lang w:val="en-US" w:eastAsia="zh-CN" w:bidi="ar"/>
                <w14:textFill>
                  <w14:solidFill>
                    <w14:schemeClr w14:val="tx1"/>
                  </w14:solidFill>
                </w14:textFill>
              </w:rPr>
              <w:t>项目名称</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b/>
                <w:bCs/>
                <w:i w:val="0"/>
                <w:iCs w:val="0"/>
                <w:color w:val="000000" w:themeColor="text1"/>
                <w:kern w:val="0"/>
                <w:sz w:val="24"/>
                <w:szCs w:val="24"/>
                <w:u w:val="none"/>
                <w:lang w:val="en-US" w:eastAsia="zh-CN" w:bidi="ar"/>
                <w14:textFill>
                  <w14:solidFill>
                    <w14:schemeClr w14:val="tx1"/>
                  </w14:solidFill>
                </w14:textFill>
              </w:rPr>
              <w:t>建设起止年限</w:t>
            </w:r>
          </w:p>
        </w:tc>
        <w:tc>
          <w:tcPr>
            <w:tcW w:w="4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b/>
                <w:bCs/>
                <w:i w:val="0"/>
                <w:iCs w:val="0"/>
                <w:color w:val="000000" w:themeColor="text1"/>
                <w:kern w:val="0"/>
                <w:sz w:val="24"/>
                <w:szCs w:val="24"/>
                <w:u w:val="none"/>
                <w:lang w:val="en-US" w:eastAsia="zh-CN" w:bidi="ar"/>
                <w14:textFill>
                  <w14:solidFill>
                    <w14:schemeClr w14:val="tx1"/>
                  </w14:solidFill>
                </w14:textFill>
              </w:rPr>
              <w:t>建设规模和内容</w:t>
            </w:r>
          </w:p>
        </w:tc>
        <w:tc>
          <w:tcPr>
            <w:tcW w:w="1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b/>
                <w:bCs/>
                <w:i w:val="0"/>
                <w:iCs w:val="0"/>
                <w:color w:val="000000" w:themeColor="text1"/>
                <w:kern w:val="0"/>
                <w:sz w:val="24"/>
                <w:szCs w:val="24"/>
                <w:u w:val="none"/>
                <w:lang w:val="en-US" w:eastAsia="zh-CN" w:bidi="ar"/>
                <w14:textFill>
                  <w14:solidFill>
                    <w14:schemeClr w14:val="tx1"/>
                  </w14:solidFill>
                </w14:textFill>
              </w:rPr>
              <w:t>总投资</w:t>
            </w:r>
            <w:r>
              <w:rPr>
                <w:rFonts w:hint="eastAsia" w:ascii="Times New Roman" w:hAnsi="Times New Roman" w:eastAsia="宋体" w:cs="Times New Roman"/>
                <w:b/>
                <w:bCs/>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Times New Roman" w:hAnsi="Times New Roman" w:eastAsia="宋体" w:cs="Times New Roman"/>
                <w:b/>
                <w:bCs/>
                <w:i w:val="0"/>
                <w:iCs w:val="0"/>
                <w:color w:val="000000" w:themeColor="text1"/>
                <w:kern w:val="0"/>
                <w:sz w:val="24"/>
                <w:szCs w:val="24"/>
                <w:u w:val="none"/>
                <w:lang w:val="en-US" w:eastAsia="zh-CN" w:bidi="ar"/>
                <w14:textFill>
                  <w14:solidFill>
                    <w14:schemeClr w14:val="tx1"/>
                  </w14:solidFill>
                </w14:textFill>
              </w:rPr>
              <w:t>（万元）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b/>
                <w:bCs/>
                <w:i w:val="0"/>
                <w:iCs w:val="0"/>
                <w:color w:val="000000" w:themeColor="text1"/>
                <w:kern w:val="0"/>
                <w:sz w:val="24"/>
                <w:szCs w:val="24"/>
                <w:u w:val="none"/>
                <w:lang w:val="en-US" w:eastAsia="zh-CN" w:bidi="ar"/>
                <w14:textFill>
                  <w14:solidFill>
                    <w14:schemeClr w14:val="tx1"/>
                  </w14:solidFill>
                </w14:textFill>
              </w:rPr>
              <w:t>截止（上年）底累计完成投资（万元）</w:t>
            </w: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b/>
                <w:bCs/>
                <w:i w:val="0"/>
                <w:iCs w:val="0"/>
                <w:color w:val="000000" w:themeColor="text1"/>
                <w:kern w:val="0"/>
                <w:sz w:val="24"/>
                <w:szCs w:val="24"/>
                <w:u w:val="none"/>
                <w:lang w:val="en-US" w:eastAsia="zh-CN" w:bidi="ar"/>
                <w14:textFill>
                  <w14:solidFill>
                    <w14:schemeClr w14:val="tx1"/>
                  </w14:solidFill>
                </w14:textFill>
              </w:rPr>
              <w:t>2026年计划投资（万元）</w:t>
            </w:r>
          </w:p>
        </w:tc>
        <w:tc>
          <w:tcPr>
            <w:tcW w:w="30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b/>
                <w:bCs/>
                <w:i w:val="0"/>
                <w:iCs w:val="0"/>
                <w:color w:val="000000" w:themeColor="text1"/>
                <w:kern w:val="0"/>
                <w:sz w:val="24"/>
                <w:szCs w:val="24"/>
                <w:u w:val="none"/>
                <w:lang w:val="en-US" w:eastAsia="zh-CN" w:bidi="ar"/>
                <w14:textFill>
                  <w14:solidFill>
                    <w14:schemeClr w14:val="tx1"/>
                  </w14:solidFill>
                </w14:textFill>
              </w:rPr>
              <w:t>本年工作目标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 w:hRule="atLeast"/>
          <w:tblHeader/>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p>
        </w:tc>
        <w:tc>
          <w:tcPr>
            <w:tcW w:w="21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p>
        </w:tc>
        <w:tc>
          <w:tcPr>
            <w:tcW w:w="4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p>
        </w:tc>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bCs/>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广东陆丰核电1、2号机组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2025-2030</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装机容量2×124.5万千瓦。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4207567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3113200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650000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1、2号机组顺利开工，正在进行工程建设。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广东陆丰核电5、6号机组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2022-2028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装机容量2×120万千瓦。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4127908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2625200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750000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全面继续现场施工、设备采购等工作。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广东陆河抽水蓄能电站项目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2022-2029</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装机容量140万千瓦。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902746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167864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开展业主营地、上水库工程、下水库工程、输水发电系统工程、机电安装工程等主体工程。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广东陆丰甲湖湾电厂3、4号机组扩建工程（2×1000MW）</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2022-2027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装机容量2×100万千瓦。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780656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510000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填海工程、码头施工、设备安装调试等。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汕尾电厂二期5、6号机组（2x1000MW）扩建工程项目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2024-2027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装机容量2×100万千瓦。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779456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190812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集控楼、汽机房交付安装，锅炉钢架、受热面吊装，汽轮发电机基础交安，烟囱施工完成，海淡土建交付安装。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粤东海上风电001项目Ⅰ区</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装机容量60万千瓦。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727091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风电机组、海上升压站、陆上集控中心。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汕尾红海湾六海上风电项目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装机容量50万千瓦。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630000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海上风场、海上送出工程及陆上集控中心施工。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汕尾红海湾四海上风电项目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装机容量50万千瓦。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590000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风机基础施工和风机吊装以及集电海缆施工。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汕尾红海湾五海上风电项目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装机容量50万千瓦。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574000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1.陆上集控中心土建施工；</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2.开展主要设备招标采购、制造；3.完成海上风电风机钢结构基础陆上制作，首批风机基础海上施工，力争首台风机海上安装。4.送出与集电线路开始陆上海缆制作。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汕尾红海湾三海上风电项目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装机容量50万千瓦。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开工建设，并完成一批风机并网。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汕尾红海湾三、四海上风电集中送出项目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建设海上升压站、海底电缆等。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370000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拟计划于2025年5月与红海湾三海上风电场址同步开工建设。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汕尾高新区200MW/800MWh锂钠新型储能示范项目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储能电站容量200MW/800MWh。</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建设200MW/800MWh锂钠混合储能电站一座。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汕尾市城区推动绿色低碳发展清洁能源示范建设一期项目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对城区和红海湾开发区总可利用屋顶进行光伏设施及相关储能设备安装。</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35751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项目建设进度完成至60%。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14</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海丰县公共机构屋顶分布式光伏项目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建设分布式光伏的屋顶面积约361865.26平方米。设计总装机容量约61517.09kWp，并按需配置新型储能系统。</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44151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推进项目前期立项、融资工作，项目开工建设。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陆河县陆财光能屋顶分布式光伏项目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利用的现有的公共机构屋顶面积约为265260.80㎡。项目光伏装机容量约为47746.94kWp，标准发电量为5550.36万kWh。</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34000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16000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完成项目建设的80%。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陆河县企业屋顶分布式光伏项目（一期）</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设计总装机容量为60787.20千瓦，标准发电量为7066.23万千瓦时。</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26331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1100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完成屋顶光伏建设1万平方米。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陆丰市公共机构屋顶分布式光伏项目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用陆丰市公共机构屋顶布设分布式光伏，屋顶面积约605637.54平方米。设计总装机容量约90845.63kWp。装机规模：90.846兆瓦。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67100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11000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建设分布式光伏的屋顶面积约200000平方米。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综合能源岛陆上试验基地项目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开发建设风、光发电规模52MW，同时配套制氢、制氨试验及储能设备，制氢规模700Nm3/h（其中碱性电解水制氢规模500Nm3/h，PEM电解水制氢规模200Nm3/h），储氢规模3000kg，开展绿氨制储运试验。项目建设内容包括建设一座110kV升压站、风电机组、制氢、制氨试验设备、箱变、储能电池和低压交流电缆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40404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开发建设风、光发电规模52MW，同时配套制氢、制氨试验及储能设备。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中广核陆丰电化学储能电站</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储能电站容量100MW/200MWh。</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37473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电站建设。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汕尾市200MW/200MWh独立储能电站项目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储能电站容量200MW/200MWh。</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建设站房式200MW/200MWh独立储能系统。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广东华电汕尾华侨管理区新型电化学储能电站项目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2024-2026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建设一座200MW/400MWh的新型电化学储能电站。</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建成投产一座200MW/400MWh的新型电化学储能电站，项目配套建设一座额定容量为240MVA的220kV升压站和1回220kV架空送出线路。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500千伏陆丰核电一期接入系统工程（5、6号机组）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新建500千伏线路80.5公里。</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101214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61153</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基础全部完成、组塔85%，架线60%。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汕尾红海湾绿色制造产业园比亚迪项目一期（N1）</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2026-2031</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建设面积约141.5万平方米，建设新能源汽车核心零部件工厂及供电配套设施等，生产新能源汽车核心零部件等。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750000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电池项目占地约900亩，完成厂房、配套仓库辅房及宿舍等22栋单体的建设，满足电池电芯生产需要。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24</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深汕合作拓展区比亚迪项目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建设新能源汽车核心零部件工厂。</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190000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厂房及宿舍楼建设。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汕尾市锦合电子科技有限公司年产500万平方米电路板项目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2024-2027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建设生产厂房、办公楼、宿舍楼、废水处理站等，生产设计能力500万平方米/年。</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完成项目一期建设，包含厂房6栋（含连廊2座）、宿舍2栋、地下室1个、废水处理中心1栋、危化仓库1座、其他仓库2座、门卫室2个。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绿色低碳高端海陆缆光电项目（南海海缆二期）</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新建厂房，淘汰落后产能并引进74台（套）先进设备，构建多套高效、绿色、智能的示范性生产线。</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项目开工建设，完成计划投资和工程量。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海丰一本首饰智能制造及供应链基地建设项目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2026-2029</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项目主要建设办公写字楼，生产制造中心、商品质量检测中心、产品设计研发中心、商品展示中心，仓储中心，助农公益展示中心、直播间、拍摄基地、园区宿舍、文体设施及配套建设。</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厂房和配套建设。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新能源汽车线材线束研发与生产项目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2026-2029</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投建厂房4栋、办公研发大楼1栋、宿舍2栋。主要生产设备为端子机，剥线机，套管机等，研发生产新能源汽车线束、线材、电子元器件、电子产品、通讯产品。设计生产能力预计8000万条/年，年产值预计2.2亿元人民币。</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厂房和配套建设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海丰县大康生物环保全降解新材料研发生产基地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2020-2027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办公大楼、生产车间、研发实验基地、储藏仓库等，购置双螺杆挤出机、片材机、研发实验设备等百余台。主要生产生物环保全降解新原料及农用地膜、包装容器、餐饮具、医用生物降解材料等可降解产品。</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72000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完成消防设施的安装、室内外装修工作。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海丰县力晖新型环保塑料塑胶制品研发生产项目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2020-2026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办公大楼，生产车间、检测车间、研发/实验中心、储藏仓库等。购置塑料配混、成型、二次加工、产品检测等生产、研发、检测设备百余台，主要生产塑料环保设备、新型环卫垃圾分类桶等环保环卫配套设施。</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完成项目建设。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海丰县立威新能源合成材料研发生产项目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2020-2026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主要建设5栋厂房，2栋宿舍，1栋办公楼。主要生产精密五金制品、金属表面处理、集成电路、5G通讯、新能源汽车零部件。</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完成项目建设。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海丰县可塘珠宝产业环保集聚区建设项目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3栋11层厂房及54栋6层厂房，用于宝石研发、设计、加工等。同时，在用地西南及东侧建设两处废水处理站，两处废水处理用房为225平方米，共450平方米。废水处理能力60立方米/天。废水处理站地下分别设置有效容积350立方米，共700立方米的事故应急池（暂时存储预处理废水），本项目不涉及危险废物处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18000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进行厂房建设及室内外装修。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广东康诺生物科技研发生产项目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2024-2027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主要建设办公大楼、宿舍、研发中心及配套，安装配套设备及生产线约46台，主要生产卫生用品、汽车护理用品、卫生杀虫剂、杀虫气雾剂、驱蚊露、电热蚊香液（有效</w:t>
            </w: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成分</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：除虫菊酯类）、有害生物防</w:t>
            </w: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治</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研发生产。</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进行室内外装修及市政道路管网工程。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34</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海丰县铭德智能制造研发生产项目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2021-2026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主要建设综合厂房配套宿舍及办公配套综合楼，研发生产产品主要包括通讯类，影音设备类，医疗及汽车零件类。全面投产后，年产量达到285万件，年度销售收入可达到30000万元。</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46000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完成项目建设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海丰现代智造基地建设项目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2026-2029</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主要建设研发楼、生产厂房、行政办公大楼、员工宿舍及配套设施。主要生产并联机器人、机器人控制系统、成套系统集成。预计年产量10000套，预计年产值50000万元。</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3#厂房、6#宿舍、9#配电房的主体建设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海丰依仕智能家居半自动化生产基地建设项目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主要建设生产厂房，办公研发综合大楼，员工宿舍以及相应配套建筑，购置木工自动裁床、面料自动裁床、数控缝纫机、自动定型切割机、电脑数控加工设备等各类生产设备。项目主要生产电动智能功能沙发，新能源汽车配套智能座椅，抗菌沙发面料，自动化家居生产设备等。预计年产值1亿元。</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室内装修及室外附属工程。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海丰高迪装配式整装研发生产项目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2022-2027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建设内容包括智造基地、文创基地、研发中心、生产厂房、宿舍及配套等设施建设。主要生产金属制品、装饰固装、装配式部件及成品。预计生产设计能力2万件/年。</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主体工程装修和配套建设。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广东鼎汇环保科技新材料建设项目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标准化无尘环保生产车间、办公研发中心、员工宿舍、产品展销以及培训办公楼，配套绿化、道路硬化、围墙、大门、监控、室外电气、室外给排水、室外消防、燃气、通讯等工程，并配置配套设备和车辆。项目主要生产包括绿色复合材料、镁质胶凝材料以及纤维增强覆面木基材料等建筑环保材料，年产值约1亿元。</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完成图纸设计，完成图纸审批，办理施工许可证，入场开工建设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4"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东鹏饮料海丰生产基地扩建项目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建设高标准仓库，用于存储东鹏饮料集团名下系列产品，项目扩建后预估年产值2</w:t>
            </w: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亿元</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、年税收450</w:t>
            </w: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万元</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23000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完成项目备案等前期工作争取开工建设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海丰永利成金属日用品加工生产建设项目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项目主要建设金属日用品制品加工车间、成品生产车间、材料仓库，并购置一批生产设备、运输设备。主要生产淋浴门、金属门窗、保温杯、酒店用品等金属制日用品。预计年产值18000万元。</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厂房、行政楼主体建设及室内外装修。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海丰贺兴新材料智慧创研基地建设项目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主要建设生产车间、办公楼、办公楼辅楼、食堂、宿舍以及水泵房、消防水池、电房、污水池等配套用房。购置涂布机、烘箱、分切机、切纸管机、空压机、上料机等设备。项目主要生产超薄防水泡棉、石墨胶带、遮光胶带、新能源无卤素阻燃双面胶带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完成图纸设计工作、报建相关工作，开工建设。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海丰县可塘彩宝生产研发中心项目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规划建设1栋高层厂房，地上6层、地下1层，厂房用于宝石研发、设计、加工等，主要设备分别为光谱分析设备、物理性质检测设备、绘图设备、数字建模设备、3D打印机、压片机、高频感应熔金机、金属切割机、压边机、微镶机、激光点焊机、切割机、微雕机、超声波雕刻机、激光内雕机、抛光机、激光打孔机、分色机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厂房和配套建设。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广东金东环境科技产业园项目（广东金东环境科技有限公司危废处理处置项目）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2023-2027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一期建设内容：设计规模 9.8万 t/a，其中焚烧 3 万 t/a、物化处理 3.4 万 t/a、含铜蚀刻废液综合利用 2.9 万 t/a等。二期建设内容：设计规模 4.7 万 t/a， 其中矿物油综合利用 3 万 t/a、废催化剂 1 万 t/a、等离子熔融 0.7 万 t/a。</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55600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23770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一期投产运营，二期厂房主体施工。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44</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中船高端海洋装备制造基地（一期）风机总装配套附属设施项目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新建主机总装车间、甲类库、丙类库房、动力中心、综合中心周边道路、绿化等相关附属配套设施。</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建设厂房及引进生产线。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陆丰替代蛋白生物制造新技术项目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主要建设厂房、办公区、污水处理站、相关配套设施。</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22000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13000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主要建设厂房、办公区、污水处理站、相关配套设施。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广东司碧林科技有限公司SCR脱硝催化剂再生项目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2024-2027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建设废SCR脱硝催化剂循环再生与处置生产线，建成后年可再生处置2万吨废SCR脱硝催化剂。纯水制备、废水处理、通风、废气收集等系统各1套、除尘系统、破碎系统、磨制系统各1套。</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主要是建设厂房、流水线，员工住宿房等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恒明盛电缆辅助材料生产项目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建设生产较大规模的镀锌钢丝制品、镀锌钢带制品、高圆整度复合海缆填充组件、陶瓷化塑料制品生产基地，产品主要为海工基地产业链配套，供应园区内南海海缆等企业。</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2800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完成厂房建设。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汕尾市宝创科技有限公司宝石加工共性工厂项目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建设一栋5层珠宝加工厂房，内设宝石加工车间230间、注胶工艺车间一间、金刚石研磨盘退镍加工车间一间。</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5400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3400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成珠宝加工厂房，内设宝石加工车间230间、注胶工艺车间一间、金刚石研磨盘退镍加工车间一间。购置自动化和半自动加工设备，消防设施、环保净化设备等。建成后引进珠宝相关企业进行宝石加工、宝石泡酸注胶工序，金刚砂研磨盘退镍加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陆丰市宝珅建材公司－-富华纳米隔热瓦生产项目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2023-2027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建设厂房，引进国内先进生产设备，采用具有抗氧化、耐腐蚀高纯度技术生产纳米隔热瓦、纳米隔热板、ASA合成树脂瓦、阻燃型采光板FRP防腐板等新型材料。</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5300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建设厂房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陆河中奕环保流态高温处理废线路板及金属新材料建设项目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主要建设内容包括主体工程、储运工程、公用工程、辅助工程、环保工程以及研发综合大楼。主体工程由原料制备配伍系统、流态高温炉、余热锅炉、溴化钠制备系统组成；环保工程由事故应急池、喷淋塔、烟气过滤水池、静电除尘、活性炭吸附塔组成。</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加快钢结构主体工程及研发综合大楼建设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陆河奥普新声谷项目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建设涵盖扬声器智能自动化生产车间、声学研发实验基地、综合办公楼、智能物流仓储及员工宿舍等配套设施；并引进60条智能先进扬声器生产线，生产电声器件及零件。</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进行厂房建设。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比亚迪规划院汽车研发（汕尾）试验基地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2023-2026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主要建设定位高技术、全功能、可扩展的汽车研发试验场，以新能源汽车研发为核心，覆盖智能驾驶、易四方、越野无人机等开发为主的试验场景和新能源实验室等配套项目，该项目建成投产后可提供公司最新研发车型测试任务。</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42000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完成项目建设。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陆河雅美家新型材料研发生产及配套项目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2022-2027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项目主要建设办公楼、材料研发楼、宿舍、厂房</w:t>
            </w: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及其他配套设施</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，安装生产线6条，主要生产装饰耐火板材。项目投产后预计年产值2亿元，项目年综合能源消耗当量值为4327.81tce。</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28521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19000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厂房建设。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54</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陆河睿电智能制造与研发实验基地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将建设涵盖智能化生产车间、创新研发中心、综合办公楼、物流仓储及员工生活配套在内的完整设施，并引进4条先进电容笔生产线，配套变配电等辅助设备，打造智能制造与研发实验基地。</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进行厂房建设。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陆河新型复合材料生产基地项目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用于建设办公楼、生产车间、综合实验检测中心及产品研发中心等基础设施，项目主要生产绝缘材料及其他新型复合材料，引进6条国内最先进的高耐温、耐磨新型复合材料生产线及10套后加工设备。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进行厂房建设。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陆河再生高分子材料及绿色绳缆项目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计划用于新建智能化分洗、再生造粒、改性研发及绿色绳缆制造车间，并配套综合办公楼、环保处理设施和标准化仓库，引进自动化分选清洗线、熔融挤出造粒机组、高效过滤系统及绳缆智能生产线等先进设备。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进行厂房建设。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汕尾泽浩电子信息产品研发及配套产业项目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2020-2026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建设厂房、办公楼、宿舍楼、污水处理站、仓库等。主要生产线路板约240万平方米/年，液晶显示屏1000万片/年；主要设备有钻孔机，涂布机，喷锡机，自动电镀线等。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室内外装修、引入设备。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奥登医疗牙科产品基台及附件生产项目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主要建设牙科产品基台及附件的研发、生产和销售基地。生产的主要产品是个性化基台。</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完成厂房建设。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特展电子背光源、显示模组研发及生产项目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2021-2026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拟建设生产工艺车间3幢（每幢七层），生活宿舍3幢（每幢五层）；主要生产显示模组80万套/年、背光源60万套/年及电子元器件20万套/年。</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厂房主体建设，投产。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百草堂红海湾体培牛黄制药基地及国医馆项目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2026-2029</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提取车间、制药车间（包括丸剂、散剂、液剂、膏剂、颗粒剂等），中药饮片车间，国医馆康养中心。</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开工建设，年底前完成主体工程。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海丰县海盈畜禽饲料生产项目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项目建设一号厂房4层，二号厂房1层及地下基础设施，主要研发生产饲料、食品加工。</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厂房和配套建设。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广东能源微藻减排转化利用火电机组二氧化碳产业化示范工程项目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主要利用微藻生长过程吸收CO2，生产藻液、藻粉并提取高附加值活性物质。项目拟建设三条养殖生产线，利用不同的光生物反应器养殖微藻；同步建设产学研综合办公大楼、生产加工车间、仓库及配套附属设施。</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13009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8500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主体建筑工程完工，主要设备进场安装等。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汕尾市新型建材产业基地建设项目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2023-2026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本项目预计新建2条安迈Universal 400（5000型） 沥青混凝土生产线， 预计年产预制混凝土160万吨。同时配备60台运料环保车，以配合搅拌站混凝土运输。新建海绵城市透水砖生产线2条，预计年产海绵透水砖6万吨。</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2500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新建2条安迈Universal 400</w:t>
            </w: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5000型） 沥青混凝土生产线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5"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64</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陆丰星都珠宝产业园建设项目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项目主要建设厂房，包括宝石酸洗加工车间、宝石注胶加工车间，金刚石研磨盘退镍加工车间。购置自动化和半自动加工设备，消防设施、环保净化设备等。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标准化厂房、大型仓库、员工公寓与商业综合体等核心设施。配备废水处理站（占地1200平方米）、高效酸雾废气处理站及先进的车间换气系统。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陆河县锦丝线及织布生产基地项目（一期）</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一期计划投资4500万元，用地约12亩，建设生产电声行业配件锦丝线、高档医疗机械设备线材等产品的研发生产基地、综合办公楼等；二期项目拟用地约28亩，计划投资约10500万元，新建研发生产基地、综合办公楼等设施，增设锦丝线、高档医疗线材等生产线，扩大产能。</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完成厂房建设。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陆河县河田镇河北村富民兴村服装产业园</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建筑4幢2层钢结构厂房及其他配套设施；主要安装服装生产线，生产各类服装。</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完成厂房及相关配套设施建设，招引企业进驻。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陆河金泰模具制造生产基地项目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项目主要购置深加工数控生产设备，建设研发生产汽车模具、注塑机、油压机铸件等产品基地。</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完成项目建设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圆尚智能终端设备生产基地项目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2022-2026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包括行政楼，标准厂房，宿舍楼等。项目主要生产移动电源，充电器，蓝牙外设，路由器，扩展坞等智能数码产品。土地交付后三年半达产，达产年实现产值不低于10</w:t>
            </w: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亿元</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，年产能约280万片，主要设备是SMT贴片机、检测设备。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厂房室内外装修，设备安装调试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中亿智能管网系统及装备生产制造基地产业园项目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2023-2026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包括智能管道车间、智能装备车间、智能传感车间、实验试产车间、原材料及成品智能化仓库等设施，建设综合楼以及员工宿舍等配套设施；主要生产智能排水、给水、电力、燃气等管道产品，生产能力100万米/年，主要设备HDPE、给水管挤出机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30560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23500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完成厂房建设。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9"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怡昌新材料生产基地项目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内容涵盖生产基地、研发中心、办公楼、员工公寓等多个功能区域，主要生产碳纤维高科技材料，包括织带、汽车安全带、绳带等。项目引入先进的碳纤维材料生产设备，包括自动高速针织绳带机、圆绳带编织机、络筒机等设备，实现生产过程的全自动化操作。建成后，将形成年产2万吨碳纤维的生产能力。</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厂房主体建设。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恒诚元再生资源回收拆解生产基地项目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主要建设拆解加工车间、仓库、办公大楼，该项目采用先进的拆解工艺流程，对各类废物进行分类处理，达产后可实现年处理20000吨废金属（废料）的能力。</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加快厂房主体建设。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葆丰牙科手术器械生产基地项目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计划建设厂房、污水处理站等配套设施。主要研发和生产牙科手术器械，预计年生产400万盒，主要生产设备有数控磨床、冲压设备等。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1800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1800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完成厂房建设。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龙龙金总部基地项目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2024-2029</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建设生态农业观光营业厅、生态农业服务部、服务配套楼、文旅餐饮购物区、游客服务中心等，开展甘薯精深加工研究，开发甘薯特色食品等项目。</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生态农业服务部主楼建设完成，完成装修，并开始投入使用。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74</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陆丰市预制菜产业园建设项目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2023-2027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项目改造孵化中心1栋，新建生产配套楼1栋、综合车间1栋、生产车间4栋、配套冷库1栋、连廊2条，包含门卫房、固废房、室外道路、入园道路，以及水、电、暖通、消防安装、弱电工程等配套工程。</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62100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6600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2026年计划新建生产配套楼1栋、生产车间1栋、配套冷库1栋。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陆丰市海洋牧场养殖科创产业园项目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建设海洋牧场种苗产业项目4万平方米以上，水产品加工项目1.5万平方米以上。</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完成深水网箱的投放运营，配套建设海上牧场种苗产业项目和鱼类深海养殖项目。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陆河鸿鼎食品生产基地项目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规划建设生产车间、原料仓库、办公楼、员工宿舍及专用晒场，并配套自动化清洗、分拣及腌制等生产线，主要从事青梅半成品加工，产品涵盖青梅干和咸水梅等。项目建成后，预计可实现年加工青梅3500吨。</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完成生产车间、原料仓库、办公楼、员工宿舍及专用晒场的建设并投入使用。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陆河南万青梅产业基地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主要建设厂房2栋，设置青梅精深加工技术中心、青梅产品展示厅，同时屋顶增设光伏发电站等配套设施，生产半成品话梅、蜜饯等青梅产品。</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完成项目建设。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陆河吉溪“奇楠”沉香项目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2024-2027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分两期建设。一期投资1亿元，打造沉香种植、育苗基地，主要种植沉香900亩。沉香产品加工厂建设，主要生产茶叶、珠链、精油、香枝等系列产品。二期投资8500万元，扩大生产规模，生产沉香酒、家私产品、将沉香树结香后加工精油和线香，加工珠链，用沉香鲜叶制作。预计每年总产值10000万元，可提供就业岗位200个。</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18500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2260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完成沉香产品加工厂建设及1000亩沉香种植。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陆河县河口虹兴达服装产业基地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一期租赁厂房1300平方米，安装先进生产线，进行服装服饰制造；二期拟拿地建设，用于创意研发设计中心及扩充仓储空间。</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安装先进生产线，进行服装服饰制造，扩充仓储空间。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陆丰电镀万洋众创城项目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2024-2035</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主要建设电镀产业集聚赋能平台，将项目打造成为集电镀生产、研发科创、电子商务、生产生活配套、金融服务和智慧园区管理为一体的新型电镀专业园区。</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新开工6万方，电镀厂房。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陆丰万洋众创城项目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2023-2035</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建设制造业产业集聚赋能平台，将项目打造成为集制造研发、电子商务、仓储物流、生产生活配套、金融服务和智慧园区管理为一体的新型产业园区。</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建设厂房。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陆丰产业转移工业园（省级）基础设施建设项目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园区路网26条市政道路总长51km、11处智慧停车场，污水管网（管径400-1400）89公里、雨水管网（管径300-1600）135.91公里、给水管网（管径200-1200）79.17公里，以及地下综合管线（电力管线31公里、燃气管线36公里、弱电管线28.3公里）和交通设施、配套信息化工程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399259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开展项目一期一标段施工。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陆丰星都经济开发区产业园区基础设施配套工程（二期）</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2023-2028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土方平整、道路及相关配套设施建设，220KV高压线迁改工程、电力管网迁改及建设工程。</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281012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37885</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1、产业园区场地土方平整工程；2、产业园区道路工程及相关配套设施建设；3、产业园区排洪渠整治工程；4、产业园区220KV高压线迁改工程；5、产业园区电力管网迁改及建设工程。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84</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陆丰市碣石海工基地（二期）项目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2022-2026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道路、给排水、电力、通信、照明、地基处理工程、配套燃气管道、景观绿化、交通、消防及污水处理等相关工程。</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46000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本项目全部完成。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陆丰东海经济开发区产业园区二期基础设施配套项目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2022-2026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分为两标段建设。建设规模：①辅道建设工程，总长4410m，宽26/30m；②上海南路道路升级改造工程，道路全长3938米，宽30米；③龙湖路道路升级改造工程，道路全长1850米，宽36米。④康佳产业园及工业园一期基础设施配套工程；⑤全路段埋设雨污分流管长5674m，环状供水管网管径DN200-1400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21689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完成其他配套设施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汕尾市光明科技产业园区（一期）基础设施建设项目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2025-2031</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市光明科技产业园（一期）基础设施建设项目规划占地面积约1200亩。主要建设内容包括：建设园区道路约5.6公里，管径DN200-DN800污水管网11.2公里，给排水管网约11.2公里；建设园区内地上、地下停车位2908个及充电桩200个；建设集研发、试验、生产等综合的高标准厂房，总建筑面积约36.62万㎡，建设科技产业孵化基地，总建筑面积约3.24万㎡；建设职工宿舍和饭堂等生活配套基础设施，总建筑面积约18.54万㎡；建设供配电、动力、通风、给排水、停车场及充电桩等园区配套基础设施工程。</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337807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（一标段）环境治理及土地平整工程：本项目填埋区治理范围约为5.6万平方米，已填埋垃圾约为706786.42立方米（636107.78 吨），其中355.07立方米为近期填埋的垃圾。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海丰海迪时尚美都产业园项目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2022-2028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以美妆、服装、鞋帽、箱包、家纺、珠宝首饰为主导产业，打造时尚产业集聚平台。</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240000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进行C地块开发建设及海迪时尚美都园区代建二纵二横2.35公里市政道路建设。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海丰梅陇珠宝首饰国际商贸城建设项目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一期建设：建筑主体为三层大平层及四栋高层配套综合楼，一、二层为大型珠宝首饰交易商场，三层为写字楼、抖音、直播平台，一栋国际酒店，一栋酒店式公寓，两栋宿舍配套公寓；二期建设：建设用途为珠宝首饰设计、研发、培训、生产工业配套；三期建设：建设用途为珠宝首饰生产、办公工业配套。</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19000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开展室内外装修，完成二次结构砌筑、各区域面层铺装及外立面装饰，匹配不同功能区使用需求；实施机电系统建设，完成强弱电、给排水、消防等管线敷设、设备安装与系统调试；推进室外工程及收尾，完成绿化种植、道路硬化，并组织一期工程验收，确保年底具备验收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海丰县津泽创意文化产业园建设项目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2024-2027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项目建设生产厂房、综合楼及门卫室，购置印刷机、CTP机、商标机、拼图机、油压机、天地盒全自动粘盒机等设备，主要产品：纸制智力拼图、彩盒、彩咭、胶片印刷等，年产值2</w:t>
            </w: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亿元</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，总产量17000万公斤。</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进行室内外装修及市政道路管网工程。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马宫现代渔业产业园区基础设施建设项目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2025-2031</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建设内容包括功能区建设工程、道路工程、其他基础设施工程。</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397531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22000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推进一期马宫大道项目开工并形成一定工程量。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海丰县深汕特别合作区拓展区基础设施建设项目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2022-2029</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建设污水处理设施、标准厂房、停车场、道路等基础设施。</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180000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对园区的道路、标准化厂房、污水处理厂等进行建设。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海丰首饰产业环保集聚地金银首饰加工厂房建设项目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2018-2028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主要包括六大功能区域：加工</w:t>
            </w: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厂房</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区、综合服务区、电镀生产区、废水和废渣液回收处理区、配套服务区、物流仓储区。</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265500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建设A-01-01地块建设项目（三期）、危险化学品仓库、B-02-01地块建设项目（五期）、一栋宿舍楼。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海丰县产业转移工业园基础建设项目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2014-2027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园区以海丰经济开发区（省级）为依托，整合城东北部工业区，金园工业区等土地资源，总规划15平方公里，其中6平方公里已被省认定为省级产业转移工业园。园区分为综合服务产业，传统优势产业和大学科技产业三个功能区。</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230837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201000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进行产业转移园生态4期建设。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94</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深圳汕尾产业转移合作园基础设施配套工程项目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w:t>
            </w: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7</w:t>
            </w: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-2030</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赤梅快线海丰段约7.058公里，包括道路、桥涵、山体隧道、照明、交通、绿化、水土保持等。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194392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配合深汕合作区推进赤梅快线合作区段立项等前期工作进展。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深汕协作产业园建设项目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2026-2028</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打造“1+1+N”的园区产业业态新平台，建设新能源汽车零部件制造、新材料、新能源、智能终端等配套设施。</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180000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34000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建设钢筋混凝土结构的标准化厂房及综合服务配套设施。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海丰县可塘镇长桥工业园区配套基础建设项目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2023-2026</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道路与交通设施工程；（2）园区综合服务配套设施；（3）给排水工程；（4）防洪排涝工程；（5）燃气工程；（6）供电工程；（7）通信工程；（8）绿化工程；（9）场地平整；（10）园区配套外部污水管网连接工程。</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83000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46000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一期二标段建设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深圳龙岗－汕尾海丰共建园区公共配套设施提升项目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2024-2027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污水管道建设、河道治理及生态提升、综合服务中心的装修和安装工程、口袋公园建设、东园小学升级建设等。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12687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1738</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对污水管道、口袋公园等进行建设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陆河县产业转移工业园区东片区基础配套设施建设项目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新建共享研发中心10200㎡、配套食堂7900㎡、配套宿舍楼47400㎡、停车场6100㎡（含73个充电桩）、标准化厂房60000㎡、1座日处理规模8000吨污水处理厂3000m2；新建外接水唇水质净化厂污水管工程，DN600污水管总长2000米；新增拓宽11米辅道工程，长度1281米；新建园区道路工程，总长10885米；以及相应给水、排水、通信、电力、路灯照明工程等配套设施。</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132010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组织实施外接污水管网、高新四路、东坑一路、东坑标准化厂房、场地平整一期项目。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陆河县产业转移工业园区基础设施配套建设项目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2021-2027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建设11条道路，共计21649米；铺设高压下地电缆管网及电缆830米；消防配套设施建设；消防站装备设施；工业污水处理站及管网工程；政务服务中心建设，E-11地块挡土墙建设。</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111792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44500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组织实施园区三期B线道路建设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4"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陆河县产业转移工业园区西片区基础配套设施建设项目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道路及市政配套项目：（1）新田片区新建道路工程，路线全长5213米；（2）河口片区新建道路工程，道路全长4048米；（3）上护片区新建道路工程；（4）其他市政配套项目包括坪山大道交通安全设施工程。基础配套设施建设项目：园区配套租赁公寓改造工程建筑面积32138㎡、标准化厂房建筑面积40000㎡、孵化器建筑面积20000㎡、配套充电桩144个、屋顶光伏发电工程建筑面积18470㎡及高低压变配电工程。</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94582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11000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环城路一期验收结算、连接线改扩建验收结算；组织实施比亚迪南侧道路、坪山大道交通安全设施项目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汕尾高新区红草园区基础设施建设六期项目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2020-2027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建设园区道路约11.83公里以及配套的交通工程、给排水工程、电气工程、绿化工程；建设洪坑渠北侧堤身1800米；建设园区绿化设施约23万平方米和水利防护栏约11公里。</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136000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70000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完成六期项目（南西路、红草西路南段、红草西路支路）和六期项目（洪坑北路东段、东坑路）等标段建设，推进六期项目（沿河路）、六期项目（水利防护栏等配套工程）等新开工标段建设。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汕尾高新区红草园区基础设施八期项目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2025-2027</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汕尾高新区红草园区基础设施八期项目共建设园区4条道路，总长度约2370m，改造一处路口面积约24520㎡，新建110kV拾和站Ⅱ回线接入电缆线路工程，线路长约2.7km。</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27876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完成项目前期工作及部分道路桩基及基础工程施工。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汕尾红海湾经济开发区汕尾新港白沙湖作业区基础设施建设项目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2026-2029</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主要建设内容包括：新建园区道路长 2.392 公里；DN160 电力管道约 3000 米，DN110 通信管道约 3000 米，DN200～1400 雨水管道约 5200 米，DN300～800 污水管道约 3500 米，DN800～1000 中水管道约 500 米，DN200～300 给水管道约 3300 米，DN300～400 燃气管道约 1100 米，DN500 蒸汽管道约 1000 米；新建及改造排洪渠 2450 米；场地平整、智慧充电桩路灯、农业用水计量设备等配套设施。</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48830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20000</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完成建设项目1/3工作量。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总计</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24837941.61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8833838.58</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3359353</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eastAsia" w:eastAsia="宋体" w:cs="Times New Roman"/>
                <w:i w:val="0"/>
                <w:iCs w:val="0"/>
                <w:color w:val="000000" w:themeColor="text1"/>
                <w:kern w:val="0"/>
                <w:sz w:val="24"/>
                <w:szCs w:val="24"/>
                <w:u w:val="none"/>
                <w:lang w:val="en-US" w:eastAsia="zh-CN" w:bidi="ar"/>
                <w14:textFill>
                  <w14:solidFill>
                    <w14:schemeClr w14:val="tx1"/>
                  </w14:solidFill>
                </w14:textFill>
              </w:rPr>
              <w:t>——</w:t>
            </w:r>
          </w:p>
        </w:tc>
      </w:tr>
    </w:tbl>
    <w:p>
      <w:pPr>
        <w:ind w:firstLine="0" w:firstLineChars="0"/>
        <w:rPr>
          <w:color w:val="000000" w:themeColor="text1"/>
          <w14:textFill>
            <w14:solidFill>
              <w14:schemeClr w14:val="tx1"/>
            </w14:solidFill>
          </w14:textFill>
        </w:rPr>
      </w:pPr>
    </w:p>
    <w:sectPr>
      <w:footerReference r:id="rId12" w:type="default"/>
      <w:pgSz w:w="16838" w:h="11906" w:orient="landscape"/>
      <w:pgMar w:top="1800" w:right="1440" w:bottom="1800" w:left="144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Microsoft YaHei">
    <w:altName w:val="黑体"/>
    <w:panose1 w:val="00000000000000000000"/>
    <w:charset w:val="00"/>
    <w:family w:val="auto"/>
    <w:pitch w:val="default"/>
    <w:sig w:usb0="00000000" w:usb1="00000000" w:usb2="00000000" w:usb3="00000000" w:csb0="00000000" w:csb1="00000000"/>
  </w:font>
  <w:font w:name="Tahoma">
    <w:altName w:val="Droid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lear" w:pos="4153"/>
      </w:tabs>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9672"/>
      <w:docPartObj>
        <w:docPartGallery w:val="autotext"/>
      </w:docPartObj>
    </w:sdtPr>
    <w:sdtEndPr>
      <w:rPr>
        <w:color w:val="0D0D0D" w:themeColor="text1" w:themeTint="F2"/>
        <w14:textFill>
          <w14:solidFill>
            <w14:schemeClr w14:val="tx1">
              <w14:lumMod w14:val="95000"/>
              <w14:lumOff w14:val="5000"/>
            </w14:schemeClr>
          </w14:solidFill>
        </w14:textFill>
      </w:rPr>
    </w:sdtEndPr>
    <w:sdtContent>
      <w:p>
        <w:pPr>
          <w:pStyle w:val="14"/>
          <w:ind w:firstLine="360"/>
          <w:jc w:val="center"/>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PAGE   \* MERGEFORMAT</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lang w:val="zh-CN"/>
            <w14:textFill>
              <w14:solidFill>
                <w14:schemeClr w14:val="tx1">
                  <w14:lumMod w14:val="95000"/>
                  <w14:lumOff w14:val="5000"/>
                </w14:schemeClr>
              </w14:solidFill>
            </w14:textFill>
          </w:rPr>
          <w:t>2</w:t>
        </w:r>
        <w:r>
          <w:rPr>
            <w:color w:val="0D0D0D" w:themeColor="text1" w:themeTint="F2"/>
            <w14:textFill>
              <w14:solidFill>
                <w14:schemeClr w14:val="tx1">
                  <w14:lumMod w14:val="95000"/>
                  <w14:lumOff w14:val="5000"/>
                </w14:schemeClr>
              </w14:solidFill>
            </w14:textFill>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rPr>
        <w:rFonts w:hint="eastAsia"/>
        <w:color w:val="0D0D0D" w:themeColor="text1" w:themeTint="F2"/>
        <w14:textFill>
          <w14:solidFill>
            <w14:schemeClr w14:val="tx1">
              <w14:lumMod w14:val="95000"/>
              <w14:lumOff w14:val="5000"/>
            </w14:schemeClr>
          </w14:solidFill>
        </w14:textFill>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5CA89"/>
    <w:multiLevelType w:val="singleLevel"/>
    <w:tmpl w:val="00D5CA89"/>
    <w:lvl w:ilvl="0" w:tentative="0">
      <w:start w:val="2"/>
      <w:numFmt w:val="chineseCounting"/>
      <w:suff w:val="nothing"/>
      <w:lvlText w:val="（%1）"/>
      <w:lvlJc w:val="left"/>
      <w:rPr>
        <w:rFonts w:hint="eastAsia"/>
      </w:rPr>
    </w:lvl>
  </w:abstractNum>
  <w:abstractNum w:abstractNumId="1">
    <w:nsid w:val="65B0CD7F"/>
    <w:multiLevelType w:val="multilevel"/>
    <w:tmpl w:val="65B0CD7F"/>
    <w:lvl w:ilvl="0" w:tentative="0">
      <w:start w:val="1"/>
      <w:numFmt w:val="chineseCountingThousand"/>
      <w:suff w:val="nothing"/>
      <w:lvlText w:val="第%1章  "/>
      <w:legacy w:legacy="1" w:legacySpace="0" w:legacyIndent="288"/>
      <w:lvlJc w:val="center"/>
      <w:pPr>
        <w:ind w:left="0" w:firstLine="288"/>
      </w:pPr>
      <w:rPr>
        <w:rFonts w:hint="eastAsia" w:eastAsia="黑体"/>
        <w:sz w:val="28"/>
        <w:szCs w:val="28"/>
      </w:rPr>
    </w:lvl>
    <w:lvl w:ilvl="1" w:tentative="0">
      <w:start w:val="1"/>
      <w:numFmt w:val="chineseCountingThousand"/>
      <w:suff w:val="nothing"/>
      <w:lvlText w:val="第%2节  "/>
      <w:legacy w:legacy="1" w:legacySpace="0" w:legacyIndent="0"/>
      <w:lvlJc w:val="left"/>
      <w:pPr>
        <w:ind w:left="0" w:firstLine="0"/>
      </w:pPr>
      <w:rPr>
        <w:rFonts w:hint="eastAsia" w:ascii="宋体" w:hAnsi="宋体" w:eastAsia="宋体"/>
        <w:b w:val="0"/>
        <w:sz w:val="28"/>
        <w:szCs w:val="28"/>
      </w:rPr>
    </w:lvl>
    <w:lvl w:ilvl="2" w:tentative="0">
      <w:start w:val="1"/>
      <w:numFmt w:val="none"/>
      <w:suff w:val="nothing"/>
      <w:lvlText w:val=""/>
      <w:legacy w:legacy="1" w:legacySpace="0" w:legacyIndent="0"/>
      <w:lvlJc w:val="left"/>
      <w:pPr>
        <w:ind w:left="0" w:firstLine="0"/>
      </w:pPr>
      <w:rPr>
        <w:rFonts w:hint="eastAsia"/>
      </w:rPr>
    </w:lvl>
    <w:lvl w:ilvl="3" w:tentative="0">
      <w:start w:val="1"/>
      <w:numFmt w:val="none"/>
      <w:suff w:val="nothing"/>
      <w:lvlText w:val=""/>
      <w:legacy w:legacy="1" w:legacySpace="0" w:legacyIndent="0"/>
      <w:lvlJc w:val="left"/>
      <w:pPr>
        <w:ind w:left="0" w:firstLine="0"/>
      </w:pPr>
      <w:rPr>
        <w:rFonts w:hint="eastAsia"/>
      </w:rPr>
    </w:lvl>
    <w:lvl w:ilvl="4" w:tentative="0">
      <w:start w:val="1"/>
      <w:numFmt w:val="none"/>
      <w:suff w:val="nothing"/>
      <w:lvlText w:val=""/>
      <w:legacy w:legacy="1" w:legacySpace="0" w:legacyIndent="0"/>
      <w:lvlJc w:val="left"/>
      <w:pPr>
        <w:ind w:left="0" w:firstLine="0"/>
      </w:pPr>
      <w:rPr>
        <w:rFonts w:hint="eastAsia"/>
      </w:rPr>
    </w:lvl>
    <w:lvl w:ilvl="5" w:tentative="0">
      <w:start w:val="1"/>
      <w:numFmt w:val="none"/>
      <w:pStyle w:val="7"/>
      <w:suff w:val="nothing"/>
      <w:lvlText w:val=""/>
      <w:legacy w:legacy="1" w:legacySpace="0" w:legacyIndent="0"/>
      <w:lvlJc w:val="left"/>
      <w:pPr>
        <w:ind w:left="0" w:firstLine="0"/>
      </w:pPr>
      <w:rPr>
        <w:rFonts w:hint="eastAsia"/>
      </w:rPr>
    </w:lvl>
    <w:lvl w:ilvl="6" w:tentative="0">
      <w:start w:val="1"/>
      <w:numFmt w:val="none"/>
      <w:suff w:val="nothing"/>
      <w:lvlText w:val=""/>
      <w:legacy w:legacy="1" w:legacySpace="0" w:legacyIndent="0"/>
      <w:lvlJc w:val="left"/>
      <w:pPr>
        <w:ind w:left="0" w:firstLine="0"/>
      </w:pPr>
      <w:rPr>
        <w:rFonts w:hint="eastAsia"/>
      </w:rPr>
    </w:lvl>
    <w:lvl w:ilvl="7" w:tentative="0">
      <w:start w:val="1"/>
      <w:numFmt w:val="none"/>
      <w:suff w:val="nothing"/>
      <w:lvlText w:val=""/>
      <w:legacy w:legacy="1" w:legacySpace="0" w:legacyIndent="0"/>
      <w:lvlJc w:val="left"/>
      <w:pPr>
        <w:ind w:left="0" w:firstLine="0"/>
      </w:pPr>
      <w:rPr>
        <w:rFonts w:hint="eastAsia"/>
      </w:rPr>
    </w:lvl>
    <w:lvl w:ilvl="8" w:tentative="0">
      <w:start w:val="1"/>
      <w:numFmt w:val="none"/>
      <w:suff w:val="nothing"/>
      <w:lvlText w:val=""/>
      <w:legacy w:legacy="1" w:legacySpace="0" w:legacyIndent="0"/>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kMGI3OWQwZjU0ZTU4ZDZiNGJkYTk3MzkxYzY2Y2IifQ=="/>
  </w:docVars>
  <w:rsids>
    <w:rsidRoot w:val="00172A27"/>
    <w:rsid w:val="000071BB"/>
    <w:rsid w:val="000418FE"/>
    <w:rsid w:val="00050006"/>
    <w:rsid w:val="00172A27"/>
    <w:rsid w:val="001A2968"/>
    <w:rsid w:val="001E08F9"/>
    <w:rsid w:val="00271F9D"/>
    <w:rsid w:val="002B6923"/>
    <w:rsid w:val="003C1F04"/>
    <w:rsid w:val="004B0D73"/>
    <w:rsid w:val="005602F8"/>
    <w:rsid w:val="005714C6"/>
    <w:rsid w:val="005F481F"/>
    <w:rsid w:val="0061268A"/>
    <w:rsid w:val="00661709"/>
    <w:rsid w:val="006731E0"/>
    <w:rsid w:val="0069744B"/>
    <w:rsid w:val="006B3FCD"/>
    <w:rsid w:val="006D6F3B"/>
    <w:rsid w:val="00724903"/>
    <w:rsid w:val="007C24D9"/>
    <w:rsid w:val="007C717F"/>
    <w:rsid w:val="008D418D"/>
    <w:rsid w:val="008D7F24"/>
    <w:rsid w:val="00914615"/>
    <w:rsid w:val="009C3294"/>
    <w:rsid w:val="00A244DD"/>
    <w:rsid w:val="00A255DC"/>
    <w:rsid w:val="00B269F2"/>
    <w:rsid w:val="00B84E29"/>
    <w:rsid w:val="00BF3129"/>
    <w:rsid w:val="00BF7567"/>
    <w:rsid w:val="00C73000"/>
    <w:rsid w:val="00D35B66"/>
    <w:rsid w:val="00DC09F6"/>
    <w:rsid w:val="00DC272A"/>
    <w:rsid w:val="00E3646C"/>
    <w:rsid w:val="00E42A18"/>
    <w:rsid w:val="00E46AD2"/>
    <w:rsid w:val="00E766B8"/>
    <w:rsid w:val="00FA67D1"/>
    <w:rsid w:val="00FC02BE"/>
    <w:rsid w:val="00FC02BF"/>
    <w:rsid w:val="00FE1064"/>
    <w:rsid w:val="01021EB0"/>
    <w:rsid w:val="010C705D"/>
    <w:rsid w:val="011123D5"/>
    <w:rsid w:val="012B735D"/>
    <w:rsid w:val="01383E81"/>
    <w:rsid w:val="014460DC"/>
    <w:rsid w:val="01466397"/>
    <w:rsid w:val="01560234"/>
    <w:rsid w:val="016043AA"/>
    <w:rsid w:val="01785B98"/>
    <w:rsid w:val="017B5611"/>
    <w:rsid w:val="017F669D"/>
    <w:rsid w:val="01843692"/>
    <w:rsid w:val="01951EFD"/>
    <w:rsid w:val="0196601E"/>
    <w:rsid w:val="019C4418"/>
    <w:rsid w:val="019D3E3D"/>
    <w:rsid w:val="01A1135E"/>
    <w:rsid w:val="01A22C15"/>
    <w:rsid w:val="01B023F4"/>
    <w:rsid w:val="01CF7782"/>
    <w:rsid w:val="01D628BE"/>
    <w:rsid w:val="01D92F9F"/>
    <w:rsid w:val="01DE77E3"/>
    <w:rsid w:val="01EE1D39"/>
    <w:rsid w:val="01F86854"/>
    <w:rsid w:val="0207305F"/>
    <w:rsid w:val="02073B86"/>
    <w:rsid w:val="020E4338"/>
    <w:rsid w:val="02105650"/>
    <w:rsid w:val="02330296"/>
    <w:rsid w:val="023615AF"/>
    <w:rsid w:val="0240659B"/>
    <w:rsid w:val="024263C4"/>
    <w:rsid w:val="0250441F"/>
    <w:rsid w:val="02516E82"/>
    <w:rsid w:val="02667537"/>
    <w:rsid w:val="02685C0C"/>
    <w:rsid w:val="026C01DD"/>
    <w:rsid w:val="026E580B"/>
    <w:rsid w:val="02851B46"/>
    <w:rsid w:val="028B637C"/>
    <w:rsid w:val="02A56E89"/>
    <w:rsid w:val="02AF6965"/>
    <w:rsid w:val="02B87FFB"/>
    <w:rsid w:val="02C46BBB"/>
    <w:rsid w:val="02C8787C"/>
    <w:rsid w:val="02C941D1"/>
    <w:rsid w:val="02CE534C"/>
    <w:rsid w:val="02F56D74"/>
    <w:rsid w:val="03045209"/>
    <w:rsid w:val="03103B27"/>
    <w:rsid w:val="031B7E6F"/>
    <w:rsid w:val="031F474C"/>
    <w:rsid w:val="032A55EF"/>
    <w:rsid w:val="0333760E"/>
    <w:rsid w:val="03364ED1"/>
    <w:rsid w:val="034120B4"/>
    <w:rsid w:val="0359498D"/>
    <w:rsid w:val="035E2049"/>
    <w:rsid w:val="03764359"/>
    <w:rsid w:val="0388682E"/>
    <w:rsid w:val="03977E2B"/>
    <w:rsid w:val="03A01B4F"/>
    <w:rsid w:val="03AE3AF3"/>
    <w:rsid w:val="03AF33C7"/>
    <w:rsid w:val="03BE2277"/>
    <w:rsid w:val="03CA3AB5"/>
    <w:rsid w:val="03D96696"/>
    <w:rsid w:val="03F84D6E"/>
    <w:rsid w:val="04082D1D"/>
    <w:rsid w:val="040C6A6B"/>
    <w:rsid w:val="041A1DAA"/>
    <w:rsid w:val="041D1215"/>
    <w:rsid w:val="04437768"/>
    <w:rsid w:val="04457D3F"/>
    <w:rsid w:val="04564B89"/>
    <w:rsid w:val="0460786C"/>
    <w:rsid w:val="046C0DB7"/>
    <w:rsid w:val="046E5030"/>
    <w:rsid w:val="047D1139"/>
    <w:rsid w:val="047F4634"/>
    <w:rsid w:val="047F723D"/>
    <w:rsid w:val="04843C28"/>
    <w:rsid w:val="04926387"/>
    <w:rsid w:val="049D3B67"/>
    <w:rsid w:val="04A50D82"/>
    <w:rsid w:val="04BA0275"/>
    <w:rsid w:val="04BF6FA3"/>
    <w:rsid w:val="04C17856"/>
    <w:rsid w:val="04D70E27"/>
    <w:rsid w:val="04E32541"/>
    <w:rsid w:val="04E76918"/>
    <w:rsid w:val="04F14B3B"/>
    <w:rsid w:val="04F33787"/>
    <w:rsid w:val="04FE4606"/>
    <w:rsid w:val="05034C75"/>
    <w:rsid w:val="05080520"/>
    <w:rsid w:val="050E50E5"/>
    <w:rsid w:val="0512765A"/>
    <w:rsid w:val="05203B59"/>
    <w:rsid w:val="05385864"/>
    <w:rsid w:val="053C02DB"/>
    <w:rsid w:val="053F0FCB"/>
    <w:rsid w:val="056613C4"/>
    <w:rsid w:val="056F0AF9"/>
    <w:rsid w:val="05A50F26"/>
    <w:rsid w:val="05B922DB"/>
    <w:rsid w:val="05BE6294"/>
    <w:rsid w:val="05BF41AB"/>
    <w:rsid w:val="05C3315A"/>
    <w:rsid w:val="05C33E86"/>
    <w:rsid w:val="05CA44E8"/>
    <w:rsid w:val="05CF7D50"/>
    <w:rsid w:val="05E03D0C"/>
    <w:rsid w:val="05E337FC"/>
    <w:rsid w:val="05FA0335"/>
    <w:rsid w:val="05FA6691"/>
    <w:rsid w:val="061B33AB"/>
    <w:rsid w:val="06230B81"/>
    <w:rsid w:val="06330293"/>
    <w:rsid w:val="063B4B64"/>
    <w:rsid w:val="065D35AE"/>
    <w:rsid w:val="06640499"/>
    <w:rsid w:val="066D1C16"/>
    <w:rsid w:val="066E238C"/>
    <w:rsid w:val="06841CCA"/>
    <w:rsid w:val="068E3E81"/>
    <w:rsid w:val="069A14F1"/>
    <w:rsid w:val="06AE2FA5"/>
    <w:rsid w:val="06B84C89"/>
    <w:rsid w:val="06CC7F39"/>
    <w:rsid w:val="06EB1C93"/>
    <w:rsid w:val="06ED4932"/>
    <w:rsid w:val="06F63C98"/>
    <w:rsid w:val="06FD1A86"/>
    <w:rsid w:val="070C28DE"/>
    <w:rsid w:val="07195068"/>
    <w:rsid w:val="07506C6F"/>
    <w:rsid w:val="075A1EFF"/>
    <w:rsid w:val="07724E37"/>
    <w:rsid w:val="07797E70"/>
    <w:rsid w:val="07807554"/>
    <w:rsid w:val="078E795F"/>
    <w:rsid w:val="07A64EC2"/>
    <w:rsid w:val="07AB20F7"/>
    <w:rsid w:val="07B34F9D"/>
    <w:rsid w:val="07B407BE"/>
    <w:rsid w:val="07D4164E"/>
    <w:rsid w:val="07E37AE3"/>
    <w:rsid w:val="081538B4"/>
    <w:rsid w:val="081D1247"/>
    <w:rsid w:val="08204893"/>
    <w:rsid w:val="0822386C"/>
    <w:rsid w:val="082805EC"/>
    <w:rsid w:val="08350B60"/>
    <w:rsid w:val="08420CAE"/>
    <w:rsid w:val="084773F1"/>
    <w:rsid w:val="08564296"/>
    <w:rsid w:val="08597DA5"/>
    <w:rsid w:val="085A3CD2"/>
    <w:rsid w:val="085D7E4F"/>
    <w:rsid w:val="0874347A"/>
    <w:rsid w:val="08762705"/>
    <w:rsid w:val="08807006"/>
    <w:rsid w:val="0882554E"/>
    <w:rsid w:val="088E5CA1"/>
    <w:rsid w:val="088F5575"/>
    <w:rsid w:val="08901FC1"/>
    <w:rsid w:val="08936990"/>
    <w:rsid w:val="08A234FA"/>
    <w:rsid w:val="08B111EB"/>
    <w:rsid w:val="08B6414A"/>
    <w:rsid w:val="08B651F8"/>
    <w:rsid w:val="08B80F70"/>
    <w:rsid w:val="08D10970"/>
    <w:rsid w:val="08D37B58"/>
    <w:rsid w:val="08D51800"/>
    <w:rsid w:val="08DC5452"/>
    <w:rsid w:val="08DF64FD"/>
    <w:rsid w:val="08E05248"/>
    <w:rsid w:val="08ED6854"/>
    <w:rsid w:val="08F1563F"/>
    <w:rsid w:val="09002C0C"/>
    <w:rsid w:val="091066B6"/>
    <w:rsid w:val="09114435"/>
    <w:rsid w:val="0912051F"/>
    <w:rsid w:val="091C14FF"/>
    <w:rsid w:val="0924573B"/>
    <w:rsid w:val="092C0DD4"/>
    <w:rsid w:val="09430C49"/>
    <w:rsid w:val="09442803"/>
    <w:rsid w:val="094E04B7"/>
    <w:rsid w:val="097A6225"/>
    <w:rsid w:val="09931A4E"/>
    <w:rsid w:val="09AF0D44"/>
    <w:rsid w:val="09CF031F"/>
    <w:rsid w:val="09D76CAB"/>
    <w:rsid w:val="09DC55E5"/>
    <w:rsid w:val="09F37B41"/>
    <w:rsid w:val="09F77876"/>
    <w:rsid w:val="09F95EC0"/>
    <w:rsid w:val="0A090062"/>
    <w:rsid w:val="0A1202CA"/>
    <w:rsid w:val="0A1B7A08"/>
    <w:rsid w:val="0A252635"/>
    <w:rsid w:val="0A2D5046"/>
    <w:rsid w:val="0A36214C"/>
    <w:rsid w:val="0A3E54A5"/>
    <w:rsid w:val="0A4E6FBD"/>
    <w:rsid w:val="0A503D1B"/>
    <w:rsid w:val="0A5C680F"/>
    <w:rsid w:val="0A5D191E"/>
    <w:rsid w:val="0A6F75BD"/>
    <w:rsid w:val="0A735943"/>
    <w:rsid w:val="0A8119D2"/>
    <w:rsid w:val="0A825391"/>
    <w:rsid w:val="0A8D3D36"/>
    <w:rsid w:val="0A9B46A5"/>
    <w:rsid w:val="0AB45767"/>
    <w:rsid w:val="0AB6762E"/>
    <w:rsid w:val="0AB70971"/>
    <w:rsid w:val="0AB84675"/>
    <w:rsid w:val="0ABA0DF8"/>
    <w:rsid w:val="0ABD2BDF"/>
    <w:rsid w:val="0ABF5171"/>
    <w:rsid w:val="0AC20FD5"/>
    <w:rsid w:val="0ACC0D02"/>
    <w:rsid w:val="0AD007F3"/>
    <w:rsid w:val="0AE24082"/>
    <w:rsid w:val="0AEB6B61"/>
    <w:rsid w:val="0AF25580"/>
    <w:rsid w:val="0AF554FA"/>
    <w:rsid w:val="0AF80FBD"/>
    <w:rsid w:val="0B022912"/>
    <w:rsid w:val="0B2D79F3"/>
    <w:rsid w:val="0B332E62"/>
    <w:rsid w:val="0B36617C"/>
    <w:rsid w:val="0B4D1E43"/>
    <w:rsid w:val="0B5807A3"/>
    <w:rsid w:val="0B6B22C9"/>
    <w:rsid w:val="0B6C55AF"/>
    <w:rsid w:val="0B8C2EFD"/>
    <w:rsid w:val="0B93265A"/>
    <w:rsid w:val="0BA22FC1"/>
    <w:rsid w:val="0BC049CF"/>
    <w:rsid w:val="0BC35860"/>
    <w:rsid w:val="0BCB063F"/>
    <w:rsid w:val="0BE96EEC"/>
    <w:rsid w:val="0BEB51B8"/>
    <w:rsid w:val="0C107EC4"/>
    <w:rsid w:val="0C503E37"/>
    <w:rsid w:val="0C5745FC"/>
    <w:rsid w:val="0C6F2567"/>
    <w:rsid w:val="0C743400"/>
    <w:rsid w:val="0C7927C4"/>
    <w:rsid w:val="0C7A1229"/>
    <w:rsid w:val="0C81708A"/>
    <w:rsid w:val="0C825B1D"/>
    <w:rsid w:val="0C842373"/>
    <w:rsid w:val="0C8B18B5"/>
    <w:rsid w:val="0C8C699B"/>
    <w:rsid w:val="0C985340"/>
    <w:rsid w:val="0CA94959"/>
    <w:rsid w:val="0CAD02C0"/>
    <w:rsid w:val="0CAF56D5"/>
    <w:rsid w:val="0CB324A4"/>
    <w:rsid w:val="0CBB3BD3"/>
    <w:rsid w:val="0CD342B6"/>
    <w:rsid w:val="0CD65E68"/>
    <w:rsid w:val="0CE9794A"/>
    <w:rsid w:val="0CF00BEA"/>
    <w:rsid w:val="0CF423FB"/>
    <w:rsid w:val="0CF956B3"/>
    <w:rsid w:val="0D1418BD"/>
    <w:rsid w:val="0D1A3FA7"/>
    <w:rsid w:val="0D272220"/>
    <w:rsid w:val="0D2E2895"/>
    <w:rsid w:val="0D305579"/>
    <w:rsid w:val="0D336E17"/>
    <w:rsid w:val="0D3C66C5"/>
    <w:rsid w:val="0D7336B7"/>
    <w:rsid w:val="0D821B4C"/>
    <w:rsid w:val="0D867C8B"/>
    <w:rsid w:val="0D870F11"/>
    <w:rsid w:val="0D935B07"/>
    <w:rsid w:val="0DA11FD2"/>
    <w:rsid w:val="0DBA6F5E"/>
    <w:rsid w:val="0DC74BB1"/>
    <w:rsid w:val="0DD05F2E"/>
    <w:rsid w:val="0DD201F4"/>
    <w:rsid w:val="0DD57ECE"/>
    <w:rsid w:val="0DD95C10"/>
    <w:rsid w:val="0DE018EF"/>
    <w:rsid w:val="0DE16873"/>
    <w:rsid w:val="0DE446CB"/>
    <w:rsid w:val="0DFD0FF8"/>
    <w:rsid w:val="0DFE11D3"/>
    <w:rsid w:val="0E0A35FC"/>
    <w:rsid w:val="0E0C2274"/>
    <w:rsid w:val="0E124C7E"/>
    <w:rsid w:val="0E1A1D85"/>
    <w:rsid w:val="0E1B7FD7"/>
    <w:rsid w:val="0E1D59E6"/>
    <w:rsid w:val="0E465AFE"/>
    <w:rsid w:val="0E4C33AE"/>
    <w:rsid w:val="0E620BAE"/>
    <w:rsid w:val="0E6D6E46"/>
    <w:rsid w:val="0E764425"/>
    <w:rsid w:val="0E8C787B"/>
    <w:rsid w:val="0E8D1EBF"/>
    <w:rsid w:val="0E924096"/>
    <w:rsid w:val="0E963B01"/>
    <w:rsid w:val="0EAF7272"/>
    <w:rsid w:val="0EB52A91"/>
    <w:rsid w:val="0EBB23DF"/>
    <w:rsid w:val="0EBC6F03"/>
    <w:rsid w:val="0ED26512"/>
    <w:rsid w:val="0EF4232E"/>
    <w:rsid w:val="0EF425D6"/>
    <w:rsid w:val="0EFD592E"/>
    <w:rsid w:val="0F225395"/>
    <w:rsid w:val="0F3B253B"/>
    <w:rsid w:val="0F40581B"/>
    <w:rsid w:val="0F5F5CA1"/>
    <w:rsid w:val="0F883B32"/>
    <w:rsid w:val="0F894D98"/>
    <w:rsid w:val="0F906E55"/>
    <w:rsid w:val="0F9F69E6"/>
    <w:rsid w:val="0FAE6F8F"/>
    <w:rsid w:val="0FB74F6A"/>
    <w:rsid w:val="0FDF6DE2"/>
    <w:rsid w:val="0FE45294"/>
    <w:rsid w:val="0FE67D3D"/>
    <w:rsid w:val="0FE80FB7"/>
    <w:rsid w:val="0FED14FF"/>
    <w:rsid w:val="0FF20B75"/>
    <w:rsid w:val="0FF3288D"/>
    <w:rsid w:val="0FF85EDB"/>
    <w:rsid w:val="0FF86DF4"/>
    <w:rsid w:val="100D2C3B"/>
    <w:rsid w:val="100D7DF3"/>
    <w:rsid w:val="10362DC0"/>
    <w:rsid w:val="10405D16"/>
    <w:rsid w:val="10612472"/>
    <w:rsid w:val="107339EC"/>
    <w:rsid w:val="10947BCD"/>
    <w:rsid w:val="109B6F44"/>
    <w:rsid w:val="10C832C3"/>
    <w:rsid w:val="10CD1330"/>
    <w:rsid w:val="10CF02AC"/>
    <w:rsid w:val="10D34B99"/>
    <w:rsid w:val="10E16330"/>
    <w:rsid w:val="11042EEF"/>
    <w:rsid w:val="110A553C"/>
    <w:rsid w:val="110D797F"/>
    <w:rsid w:val="110F36F7"/>
    <w:rsid w:val="110F6BF8"/>
    <w:rsid w:val="11131439"/>
    <w:rsid w:val="11193E5E"/>
    <w:rsid w:val="11333889"/>
    <w:rsid w:val="113C2AA5"/>
    <w:rsid w:val="1142469E"/>
    <w:rsid w:val="11657521"/>
    <w:rsid w:val="11677FF5"/>
    <w:rsid w:val="117874EE"/>
    <w:rsid w:val="1182211B"/>
    <w:rsid w:val="119B4F8B"/>
    <w:rsid w:val="11A2456B"/>
    <w:rsid w:val="11A6405B"/>
    <w:rsid w:val="11A77DD3"/>
    <w:rsid w:val="11AE1162"/>
    <w:rsid w:val="11B76268"/>
    <w:rsid w:val="11C10E95"/>
    <w:rsid w:val="11C42733"/>
    <w:rsid w:val="11C4534D"/>
    <w:rsid w:val="11C61808"/>
    <w:rsid w:val="11CE710E"/>
    <w:rsid w:val="11DD02B7"/>
    <w:rsid w:val="11E10533"/>
    <w:rsid w:val="12096398"/>
    <w:rsid w:val="12157FC9"/>
    <w:rsid w:val="1230066B"/>
    <w:rsid w:val="123C0D32"/>
    <w:rsid w:val="127F69EA"/>
    <w:rsid w:val="12880BE8"/>
    <w:rsid w:val="129739A4"/>
    <w:rsid w:val="12A6200E"/>
    <w:rsid w:val="12B34077"/>
    <w:rsid w:val="12C2709B"/>
    <w:rsid w:val="12C46D87"/>
    <w:rsid w:val="12D2780D"/>
    <w:rsid w:val="12D44A81"/>
    <w:rsid w:val="12D8182D"/>
    <w:rsid w:val="12DB5F87"/>
    <w:rsid w:val="12E12E71"/>
    <w:rsid w:val="12E40460"/>
    <w:rsid w:val="12FD0B6A"/>
    <w:rsid w:val="13070B2A"/>
    <w:rsid w:val="133438E9"/>
    <w:rsid w:val="13405DEA"/>
    <w:rsid w:val="13406A79"/>
    <w:rsid w:val="134E6759"/>
    <w:rsid w:val="13830281"/>
    <w:rsid w:val="138C1B26"/>
    <w:rsid w:val="139C3430"/>
    <w:rsid w:val="13C0517C"/>
    <w:rsid w:val="13D2292A"/>
    <w:rsid w:val="13DE01AE"/>
    <w:rsid w:val="13DF24ED"/>
    <w:rsid w:val="13E238D3"/>
    <w:rsid w:val="13E62E35"/>
    <w:rsid w:val="140D682E"/>
    <w:rsid w:val="141D437D"/>
    <w:rsid w:val="142174E2"/>
    <w:rsid w:val="142252EA"/>
    <w:rsid w:val="14334118"/>
    <w:rsid w:val="143376FC"/>
    <w:rsid w:val="143850E3"/>
    <w:rsid w:val="143D057B"/>
    <w:rsid w:val="143E36BA"/>
    <w:rsid w:val="14563F45"/>
    <w:rsid w:val="146A26EA"/>
    <w:rsid w:val="146A5814"/>
    <w:rsid w:val="14784E69"/>
    <w:rsid w:val="14883EEC"/>
    <w:rsid w:val="148E215F"/>
    <w:rsid w:val="149F6A09"/>
    <w:rsid w:val="14A33EAB"/>
    <w:rsid w:val="14A93841"/>
    <w:rsid w:val="14B24AC5"/>
    <w:rsid w:val="14C842E9"/>
    <w:rsid w:val="14CC01A1"/>
    <w:rsid w:val="14DB717D"/>
    <w:rsid w:val="14E55BD9"/>
    <w:rsid w:val="1500393A"/>
    <w:rsid w:val="150414A8"/>
    <w:rsid w:val="150A76A2"/>
    <w:rsid w:val="15127C5A"/>
    <w:rsid w:val="151F77A7"/>
    <w:rsid w:val="152C0D1B"/>
    <w:rsid w:val="153951E6"/>
    <w:rsid w:val="15400323"/>
    <w:rsid w:val="15552B80"/>
    <w:rsid w:val="156564B1"/>
    <w:rsid w:val="1587456B"/>
    <w:rsid w:val="158E5532"/>
    <w:rsid w:val="15910B7E"/>
    <w:rsid w:val="15A11C7D"/>
    <w:rsid w:val="15CD1B01"/>
    <w:rsid w:val="15D46A1A"/>
    <w:rsid w:val="15D62A35"/>
    <w:rsid w:val="15D91091"/>
    <w:rsid w:val="15DA78F3"/>
    <w:rsid w:val="15DD3DC4"/>
    <w:rsid w:val="15E038B4"/>
    <w:rsid w:val="15E04CF1"/>
    <w:rsid w:val="15E2762C"/>
    <w:rsid w:val="15E32034"/>
    <w:rsid w:val="15EB593E"/>
    <w:rsid w:val="15EF35C9"/>
    <w:rsid w:val="15F27E2C"/>
    <w:rsid w:val="15FE0ECE"/>
    <w:rsid w:val="160305A0"/>
    <w:rsid w:val="161B25E6"/>
    <w:rsid w:val="16493341"/>
    <w:rsid w:val="16604EB9"/>
    <w:rsid w:val="167A5FAD"/>
    <w:rsid w:val="167B0268"/>
    <w:rsid w:val="16905364"/>
    <w:rsid w:val="16AF39B2"/>
    <w:rsid w:val="16CF5E02"/>
    <w:rsid w:val="16D451C7"/>
    <w:rsid w:val="16ED6288"/>
    <w:rsid w:val="16F77107"/>
    <w:rsid w:val="17131EB5"/>
    <w:rsid w:val="17171557"/>
    <w:rsid w:val="1719707D"/>
    <w:rsid w:val="17305017"/>
    <w:rsid w:val="173B3498"/>
    <w:rsid w:val="174844D9"/>
    <w:rsid w:val="17514A69"/>
    <w:rsid w:val="17530D80"/>
    <w:rsid w:val="17657940"/>
    <w:rsid w:val="17686429"/>
    <w:rsid w:val="17832E52"/>
    <w:rsid w:val="17872239"/>
    <w:rsid w:val="179901BE"/>
    <w:rsid w:val="17B15508"/>
    <w:rsid w:val="17B4766F"/>
    <w:rsid w:val="17BB6387"/>
    <w:rsid w:val="17BD5C5B"/>
    <w:rsid w:val="17C734E0"/>
    <w:rsid w:val="17CC0594"/>
    <w:rsid w:val="17DA1F62"/>
    <w:rsid w:val="17DD00AB"/>
    <w:rsid w:val="182C4B8E"/>
    <w:rsid w:val="18383533"/>
    <w:rsid w:val="183F6C04"/>
    <w:rsid w:val="184536BA"/>
    <w:rsid w:val="184E65D2"/>
    <w:rsid w:val="18602A8A"/>
    <w:rsid w:val="1864257A"/>
    <w:rsid w:val="186E33F9"/>
    <w:rsid w:val="18915F7D"/>
    <w:rsid w:val="189F659D"/>
    <w:rsid w:val="18A24A16"/>
    <w:rsid w:val="18D05AC7"/>
    <w:rsid w:val="18D25736"/>
    <w:rsid w:val="19000B7B"/>
    <w:rsid w:val="190301C9"/>
    <w:rsid w:val="1904491B"/>
    <w:rsid w:val="19126B92"/>
    <w:rsid w:val="192166BD"/>
    <w:rsid w:val="19235F91"/>
    <w:rsid w:val="19306328"/>
    <w:rsid w:val="19397563"/>
    <w:rsid w:val="194126BA"/>
    <w:rsid w:val="19445F08"/>
    <w:rsid w:val="1959724A"/>
    <w:rsid w:val="19645891"/>
    <w:rsid w:val="1975388D"/>
    <w:rsid w:val="19806F7E"/>
    <w:rsid w:val="19A075E2"/>
    <w:rsid w:val="19B0396B"/>
    <w:rsid w:val="19B34E36"/>
    <w:rsid w:val="19B41802"/>
    <w:rsid w:val="19BD0194"/>
    <w:rsid w:val="19BF4733"/>
    <w:rsid w:val="19C257AA"/>
    <w:rsid w:val="19CB76F3"/>
    <w:rsid w:val="19CD342F"/>
    <w:rsid w:val="19DB2D10"/>
    <w:rsid w:val="19DC576F"/>
    <w:rsid w:val="19E0285F"/>
    <w:rsid w:val="19F90CE5"/>
    <w:rsid w:val="19FC3140"/>
    <w:rsid w:val="1A0444B0"/>
    <w:rsid w:val="1A2752E4"/>
    <w:rsid w:val="1A457F17"/>
    <w:rsid w:val="1A5F124B"/>
    <w:rsid w:val="1A734CF7"/>
    <w:rsid w:val="1A7F0380"/>
    <w:rsid w:val="1A804910"/>
    <w:rsid w:val="1A83675C"/>
    <w:rsid w:val="1A836FA3"/>
    <w:rsid w:val="1A975A4B"/>
    <w:rsid w:val="1AA255DC"/>
    <w:rsid w:val="1AA80E44"/>
    <w:rsid w:val="1AB64489"/>
    <w:rsid w:val="1AD902B2"/>
    <w:rsid w:val="1AE3773B"/>
    <w:rsid w:val="1AF916A0"/>
    <w:rsid w:val="1B10433A"/>
    <w:rsid w:val="1B124510"/>
    <w:rsid w:val="1B133F19"/>
    <w:rsid w:val="1B1C670C"/>
    <w:rsid w:val="1B1E5F75"/>
    <w:rsid w:val="1B261D69"/>
    <w:rsid w:val="1B2644A6"/>
    <w:rsid w:val="1B293C2A"/>
    <w:rsid w:val="1B3F0E7A"/>
    <w:rsid w:val="1B430B7C"/>
    <w:rsid w:val="1B522F1E"/>
    <w:rsid w:val="1B5508A0"/>
    <w:rsid w:val="1B642891"/>
    <w:rsid w:val="1B721373"/>
    <w:rsid w:val="1B7A180A"/>
    <w:rsid w:val="1B7A3E63"/>
    <w:rsid w:val="1B7C0178"/>
    <w:rsid w:val="1B7C7BDB"/>
    <w:rsid w:val="1B814880"/>
    <w:rsid w:val="1B860996"/>
    <w:rsid w:val="1B866CAC"/>
    <w:rsid w:val="1B896E09"/>
    <w:rsid w:val="1B8C53D5"/>
    <w:rsid w:val="1B900434"/>
    <w:rsid w:val="1BAF6799"/>
    <w:rsid w:val="1BB50B63"/>
    <w:rsid w:val="1BCB238C"/>
    <w:rsid w:val="1BDA7974"/>
    <w:rsid w:val="1BDC53E1"/>
    <w:rsid w:val="1BED7499"/>
    <w:rsid w:val="1BF400B9"/>
    <w:rsid w:val="1C024584"/>
    <w:rsid w:val="1C0D6BFC"/>
    <w:rsid w:val="1C0E26F1"/>
    <w:rsid w:val="1C204A0A"/>
    <w:rsid w:val="1C2C3BED"/>
    <w:rsid w:val="1C3A1F70"/>
    <w:rsid w:val="1C3C5D9B"/>
    <w:rsid w:val="1C3F5DAD"/>
    <w:rsid w:val="1C641D3B"/>
    <w:rsid w:val="1C7F7983"/>
    <w:rsid w:val="1C890801"/>
    <w:rsid w:val="1C8F393E"/>
    <w:rsid w:val="1C9666B6"/>
    <w:rsid w:val="1CC932F4"/>
    <w:rsid w:val="1CCF653B"/>
    <w:rsid w:val="1CD2589C"/>
    <w:rsid w:val="1D082370"/>
    <w:rsid w:val="1D091942"/>
    <w:rsid w:val="1D152095"/>
    <w:rsid w:val="1D315B90"/>
    <w:rsid w:val="1D3D339A"/>
    <w:rsid w:val="1D4854B7"/>
    <w:rsid w:val="1D505712"/>
    <w:rsid w:val="1D567413"/>
    <w:rsid w:val="1D7019C1"/>
    <w:rsid w:val="1D81772B"/>
    <w:rsid w:val="1D860ECB"/>
    <w:rsid w:val="1D933C61"/>
    <w:rsid w:val="1D951428"/>
    <w:rsid w:val="1DA05C02"/>
    <w:rsid w:val="1DA05FD2"/>
    <w:rsid w:val="1DA13929"/>
    <w:rsid w:val="1DA530EA"/>
    <w:rsid w:val="1DAD14C3"/>
    <w:rsid w:val="1DBA49EB"/>
    <w:rsid w:val="1DBE097F"/>
    <w:rsid w:val="1DC07CF2"/>
    <w:rsid w:val="1DC43408"/>
    <w:rsid w:val="1DC74A9A"/>
    <w:rsid w:val="1DDA3D8E"/>
    <w:rsid w:val="1DF328A6"/>
    <w:rsid w:val="1DFC27A3"/>
    <w:rsid w:val="1E1265D5"/>
    <w:rsid w:val="1E133217"/>
    <w:rsid w:val="1E1377DC"/>
    <w:rsid w:val="1E200CF1"/>
    <w:rsid w:val="1E2875EE"/>
    <w:rsid w:val="1E2B03AB"/>
    <w:rsid w:val="1E2B1061"/>
    <w:rsid w:val="1E2B71DE"/>
    <w:rsid w:val="1E37603B"/>
    <w:rsid w:val="1E3F2047"/>
    <w:rsid w:val="1E403142"/>
    <w:rsid w:val="1E404CC6"/>
    <w:rsid w:val="1E422367"/>
    <w:rsid w:val="1E43073E"/>
    <w:rsid w:val="1E524B92"/>
    <w:rsid w:val="1E5906A7"/>
    <w:rsid w:val="1E5C0E57"/>
    <w:rsid w:val="1E62235C"/>
    <w:rsid w:val="1E65704C"/>
    <w:rsid w:val="1E764B43"/>
    <w:rsid w:val="1E831280"/>
    <w:rsid w:val="1EA81BFC"/>
    <w:rsid w:val="1EAC619A"/>
    <w:rsid w:val="1EB83620"/>
    <w:rsid w:val="1EC15DEE"/>
    <w:rsid w:val="1ED01DDC"/>
    <w:rsid w:val="1ED82831"/>
    <w:rsid w:val="1EDB691E"/>
    <w:rsid w:val="1EDE58F5"/>
    <w:rsid w:val="1EE2244B"/>
    <w:rsid w:val="1EEC12C4"/>
    <w:rsid w:val="1EF35394"/>
    <w:rsid w:val="1EF434A8"/>
    <w:rsid w:val="1F046865"/>
    <w:rsid w:val="1F073C5F"/>
    <w:rsid w:val="1F0B3750"/>
    <w:rsid w:val="1F136AA8"/>
    <w:rsid w:val="1F19696F"/>
    <w:rsid w:val="1F270B53"/>
    <w:rsid w:val="1F3C49A5"/>
    <w:rsid w:val="1F4076C7"/>
    <w:rsid w:val="1F432641"/>
    <w:rsid w:val="1F4849A4"/>
    <w:rsid w:val="1F5A46D7"/>
    <w:rsid w:val="1F6B2314"/>
    <w:rsid w:val="1F813A12"/>
    <w:rsid w:val="1F8F364F"/>
    <w:rsid w:val="1F9279CD"/>
    <w:rsid w:val="1F9E2816"/>
    <w:rsid w:val="1FA21B7E"/>
    <w:rsid w:val="1FB65DB1"/>
    <w:rsid w:val="1FBC0BD7"/>
    <w:rsid w:val="1FBD4056"/>
    <w:rsid w:val="1FC33368"/>
    <w:rsid w:val="1FD86127"/>
    <w:rsid w:val="1FD9384E"/>
    <w:rsid w:val="1FE521F3"/>
    <w:rsid w:val="1FF40688"/>
    <w:rsid w:val="1FFF79EC"/>
    <w:rsid w:val="20032679"/>
    <w:rsid w:val="200563F1"/>
    <w:rsid w:val="2016157C"/>
    <w:rsid w:val="202334B1"/>
    <w:rsid w:val="202A2D2D"/>
    <w:rsid w:val="202F7912"/>
    <w:rsid w:val="203369E9"/>
    <w:rsid w:val="203C4592"/>
    <w:rsid w:val="204D5FEA"/>
    <w:rsid w:val="204E7DDF"/>
    <w:rsid w:val="205348E9"/>
    <w:rsid w:val="20542ED4"/>
    <w:rsid w:val="20672C08"/>
    <w:rsid w:val="206F7D1F"/>
    <w:rsid w:val="207417C9"/>
    <w:rsid w:val="208714FC"/>
    <w:rsid w:val="20A434D5"/>
    <w:rsid w:val="20AD0A3C"/>
    <w:rsid w:val="20AD3B69"/>
    <w:rsid w:val="20B6313A"/>
    <w:rsid w:val="20B63B8F"/>
    <w:rsid w:val="20CE0ED9"/>
    <w:rsid w:val="20D008CD"/>
    <w:rsid w:val="20D02813"/>
    <w:rsid w:val="20D21C2E"/>
    <w:rsid w:val="20EA4B1C"/>
    <w:rsid w:val="20EC6894"/>
    <w:rsid w:val="20F6718A"/>
    <w:rsid w:val="20FC2D16"/>
    <w:rsid w:val="21021787"/>
    <w:rsid w:val="21042B4C"/>
    <w:rsid w:val="211F1734"/>
    <w:rsid w:val="212D634D"/>
    <w:rsid w:val="213177ED"/>
    <w:rsid w:val="213C22E6"/>
    <w:rsid w:val="214647E0"/>
    <w:rsid w:val="2147185A"/>
    <w:rsid w:val="214921EE"/>
    <w:rsid w:val="214A0E52"/>
    <w:rsid w:val="214C004F"/>
    <w:rsid w:val="214E6745"/>
    <w:rsid w:val="215208E1"/>
    <w:rsid w:val="215548C0"/>
    <w:rsid w:val="215D756B"/>
    <w:rsid w:val="215F3F86"/>
    <w:rsid w:val="216225C8"/>
    <w:rsid w:val="216F4B4A"/>
    <w:rsid w:val="217211F0"/>
    <w:rsid w:val="21780E44"/>
    <w:rsid w:val="21A47E8B"/>
    <w:rsid w:val="21B225A8"/>
    <w:rsid w:val="21BA76AF"/>
    <w:rsid w:val="21BE2E1C"/>
    <w:rsid w:val="21C11732"/>
    <w:rsid w:val="21DA219B"/>
    <w:rsid w:val="21DC13D3"/>
    <w:rsid w:val="21DE62DE"/>
    <w:rsid w:val="21E71F53"/>
    <w:rsid w:val="21F60142"/>
    <w:rsid w:val="21F901D7"/>
    <w:rsid w:val="21F93D33"/>
    <w:rsid w:val="21FC1A76"/>
    <w:rsid w:val="22090649"/>
    <w:rsid w:val="221943D6"/>
    <w:rsid w:val="22290796"/>
    <w:rsid w:val="22375668"/>
    <w:rsid w:val="223B434C"/>
    <w:rsid w:val="22401962"/>
    <w:rsid w:val="224274F3"/>
    <w:rsid w:val="22512A1A"/>
    <w:rsid w:val="22590C76"/>
    <w:rsid w:val="225A1BC4"/>
    <w:rsid w:val="2265586D"/>
    <w:rsid w:val="226F36A6"/>
    <w:rsid w:val="226F7C8D"/>
    <w:rsid w:val="229F54C2"/>
    <w:rsid w:val="22A35D77"/>
    <w:rsid w:val="22A6463F"/>
    <w:rsid w:val="22AF6AE8"/>
    <w:rsid w:val="22BA05C4"/>
    <w:rsid w:val="22BB6869"/>
    <w:rsid w:val="22BD7457"/>
    <w:rsid w:val="22D87DED"/>
    <w:rsid w:val="22F30891"/>
    <w:rsid w:val="22F664C5"/>
    <w:rsid w:val="2305495A"/>
    <w:rsid w:val="230636DC"/>
    <w:rsid w:val="230B3458"/>
    <w:rsid w:val="23133FE2"/>
    <w:rsid w:val="23160915"/>
    <w:rsid w:val="231F3C6E"/>
    <w:rsid w:val="232A43C0"/>
    <w:rsid w:val="232E2103"/>
    <w:rsid w:val="233A3EC0"/>
    <w:rsid w:val="234436D4"/>
    <w:rsid w:val="23541978"/>
    <w:rsid w:val="235651B5"/>
    <w:rsid w:val="235A0180"/>
    <w:rsid w:val="236819A8"/>
    <w:rsid w:val="237A70F6"/>
    <w:rsid w:val="23847DAA"/>
    <w:rsid w:val="238A5597"/>
    <w:rsid w:val="23B1503C"/>
    <w:rsid w:val="23B24AE2"/>
    <w:rsid w:val="23B7280F"/>
    <w:rsid w:val="23B84AD3"/>
    <w:rsid w:val="23C9261C"/>
    <w:rsid w:val="23D20DAA"/>
    <w:rsid w:val="23E821A6"/>
    <w:rsid w:val="23FA0D38"/>
    <w:rsid w:val="2412732E"/>
    <w:rsid w:val="2428717D"/>
    <w:rsid w:val="243D77FA"/>
    <w:rsid w:val="2455546D"/>
    <w:rsid w:val="24596D0B"/>
    <w:rsid w:val="246851A0"/>
    <w:rsid w:val="246B72F0"/>
    <w:rsid w:val="247722A3"/>
    <w:rsid w:val="248C70E1"/>
    <w:rsid w:val="24951ADC"/>
    <w:rsid w:val="24992818"/>
    <w:rsid w:val="249B0281"/>
    <w:rsid w:val="24BA1F38"/>
    <w:rsid w:val="24C525F3"/>
    <w:rsid w:val="24D42836"/>
    <w:rsid w:val="24E862E1"/>
    <w:rsid w:val="250E55C8"/>
    <w:rsid w:val="252B1B61"/>
    <w:rsid w:val="252E0C6B"/>
    <w:rsid w:val="25320E04"/>
    <w:rsid w:val="253B3189"/>
    <w:rsid w:val="253F05F7"/>
    <w:rsid w:val="254A2AF8"/>
    <w:rsid w:val="255A01BB"/>
    <w:rsid w:val="255B6CF1"/>
    <w:rsid w:val="25675458"/>
    <w:rsid w:val="257007B0"/>
    <w:rsid w:val="257B0F03"/>
    <w:rsid w:val="257C5270"/>
    <w:rsid w:val="258C7A71"/>
    <w:rsid w:val="259124D5"/>
    <w:rsid w:val="25AB0F73"/>
    <w:rsid w:val="25AB23F1"/>
    <w:rsid w:val="25BF23D2"/>
    <w:rsid w:val="25C428AA"/>
    <w:rsid w:val="25CB270A"/>
    <w:rsid w:val="25E22D30"/>
    <w:rsid w:val="25FD362C"/>
    <w:rsid w:val="26025181"/>
    <w:rsid w:val="262944FD"/>
    <w:rsid w:val="262F5BC1"/>
    <w:rsid w:val="26527EC1"/>
    <w:rsid w:val="26551965"/>
    <w:rsid w:val="2665408D"/>
    <w:rsid w:val="26753BA5"/>
    <w:rsid w:val="267A11BB"/>
    <w:rsid w:val="267E65D2"/>
    <w:rsid w:val="267F4B73"/>
    <w:rsid w:val="26807CBA"/>
    <w:rsid w:val="2685203A"/>
    <w:rsid w:val="268A673E"/>
    <w:rsid w:val="26A12BEB"/>
    <w:rsid w:val="26AD372B"/>
    <w:rsid w:val="26B1053A"/>
    <w:rsid w:val="26B474A7"/>
    <w:rsid w:val="26C012C4"/>
    <w:rsid w:val="26C467F8"/>
    <w:rsid w:val="26DE4430"/>
    <w:rsid w:val="26F1147D"/>
    <w:rsid w:val="26F86BA8"/>
    <w:rsid w:val="26FA4A89"/>
    <w:rsid w:val="27111B1F"/>
    <w:rsid w:val="27174C5C"/>
    <w:rsid w:val="27227239"/>
    <w:rsid w:val="272A2BE1"/>
    <w:rsid w:val="272D02DE"/>
    <w:rsid w:val="272D2876"/>
    <w:rsid w:val="273E4BBB"/>
    <w:rsid w:val="27550449"/>
    <w:rsid w:val="275A34C6"/>
    <w:rsid w:val="2762237B"/>
    <w:rsid w:val="27725547"/>
    <w:rsid w:val="27A72484"/>
    <w:rsid w:val="27AD6EC3"/>
    <w:rsid w:val="27AF0C9F"/>
    <w:rsid w:val="27AF30E6"/>
    <w:rsid w:val="27BA21B7"/>
    <w:rsid w:val="27BC40CB"/>
    <w:rsid w:val="27C70430"/>
    <w:rsid w:val="27C84A9A"/>
    <w:rsid w:val="280B42F7"/>
    <w:rsid w:val="280B656E"/>
    <w:rsid w:val="282C063D"/>
    <w:rsid w:val="284326B1"/>
    <w:rsid w:val="28532DE7"/>
    <w:rsid w:val="28643ED1"/>
    <w:rsid w:val="28723C10"/>
    <w:rsid w:val="287700A8"/>
    <w:rsid w:val="288822B5"/>
    <w:rsid w:val="28887BBF"/>
    <w:rsid w:val="28930636"/>
    <w:rsid w:val="289B1FE8"/>
    <w:rsid w:val="289C366A"/>
    <w:rsid w:val="28AA7C89"/>
    <w:rsid w:val="28B46C06"/>
    <w:rsid w:val="28B704A4"/>
    <w:rsid w:val="28DE3C83"/>
    <w:rsid w:val="28E26D4E"/>
    <w:rsid w:val="28EF7246"/>
    <w:rsid w:val="28FB61EE"/>
    <w:rsid w:val="28FC3BD8"/>
    <w:rsid w:val="28FD6E53"/>
    <w:rsid w:val="290A0F1C"/>
    <w:rsid w:val="2913412E"/>
    <w:rsid w:val="291853E7"/>
    <w:rsid w:val="2919115F"/>
    <w:rsid w:val="29220014"/>
    <w:rsid w:val="292B7EB0"/>
    <w:rsid w:val="292F2731"/>
    <w:rsid w:val="29424212"/>
    <w:rsid w:val="294363FE"/>
    <w:rsid w:val="29502A8A"/>
    <w:rsid w:val="29693E94"/>
    <w:rsid w:val="297B49C8"/>
    <w:rsid w:val="298258D7"/>
    <w:rsid w:val="298C5FF3"/>
    <w:rsid w:val="29912F65"/>
    <w:rsid w:val="299407E6"/>
    <w:rsid w:val="29972B38"/>
    <w:rsid w:val="29BD5F8E"/>
    <w:rsid w:val="29E75BF0"/>
    <w:rsid w:val="29EC0622"/>
    <w:rsid w:val="29F81E64"/>
    <w:rsid w:val="29F86353"/>
    <w:rsid w:val="29FB6096"/>
    <w:rsid w:val="2A062858"/>
    <w:rsid w:val="2A133007"/>
    <w:rsid w:val="2A1701AF"/>
    <w:rsid w:val="2A1856DC"/>
    <w:rsid w:val="2A21651D"/>
    <w:rsid w:val="2A281705"/>
    <w:rsid w:val="2A2D4EC2"/>
    <w:rsid w:val="2A510485"/>
    <w:rsid w:val="2A542C2C"/>
    <w:rsid w:val="2A5F0DF4"/>
    <w:rsid w:val="2A620962"/>
    <w:rsid w:val="2A6E7289"/>
    <w:rsid w:val="2A771053"/>
    <w:rsid w:val="2A7826B4"/>
    <w:rsid w:val="2A7A6782"/>
    <w:rsid w:val="2A88034A"/>
    <w:rsid w:val="2A8E0C2D"/>
    <w:rsid w:val="2AAD3254"/>
    <w:rsid w:val="2ABE5B1A"/>
    <w:rsid w:val="2AC96530"/>
    <w:rsid w:val="2AF02EFE"/>
    <w:rsid w:val="2AF23A16"/>
    <w:rsid w:val="2AF57C94"/>
    <w:rsid w:val="2AFB149F"/>
    <w:rsid w:val="2B074811"/>
    <w:rsid w:val="2B0F281A"/>
    <w:rsid w:val="2B2D02F9"/>
    <w:rsid w:val="2B4D20BD"/>
    <w:rsid w:val="2B4F4EC4"/>
    <w:rsid w:val="2B5446D0"/>
    <w:rsid w:val="2B72656A"/>
    <w:rsid w:val="2B732DA8"/>
    <w:rsid w:val="2B860901"/>
    <w:rsid w:val="2B995746"/>
    <w:rsid w:val="2BA07916"/>
    <w:rsid w:val="2BA71C0E"/>
    <w:rsid w:val="2BA77321"/>
    <w:rsid w:val="2BC01D66"/>
    <w:rsid w:val="2BC34C2A"/>
    <w:rsid w:val="2BCF651F"/>
    <w:rsid w:val="2BD30F7C"/>
    <w:rsid w:val="2BD575BF"/>
    <w:rsid w:val="2C0359EB"/>
    <w:rsid w:val="2C147850"/>
    <w:rsid w:val="2C210A56"/>
    <w:rsid w:val="2C26606D"/>
    <w:rsid w:val="2C3F194B"/>
    <w:rsid w:val="2C541062"/>
    <w:rsid w:val="2C5B070C"/>
    <w:rsid w:val="2C5E6435"/>
    <w:rsid w:val="2C6273B8"/>
    <w:rsid w:val="2C7D7263"/>
    <w:rsid w:val="2C8209C3"/>
    <w:rsid w:val="2C820DC9"/>
    <w:rsid w:val="2C821E22"/>
    <w:rsid w:val="2C906987"/>
    <w:rsid w:val="2C9B134F"/>
    <w:rsid w:val="2C9E3E55"/>
    <w:rsid w:val="2C9F197B"/>
    <w:rsid w:val="2CA70830"/>
    <w:rsid w:val="2CB400F6"/>
    <w:rsid w:val="2CC31B0E"/>
    <w:rsid w:val="2CC56979"/>
    <w:rsid w:val="2CD755B9"/>
    <w:rsid w:val="2CE27EF2"/>
    <w:rsid w:val="2CE657FC"/>
    <w:rsid w:val="2CEA36EB"/>
    <w:rsid w:val="2CF717B7"/>
    <w:rsid w:val="2CFE05A2"/>
    <w:rsid w:val="2D012C77"/>
    <w:rsid w:val="2D097D9C"/>
    <w:rsid w:val="2D1F7A15"/>
    <w:rsid w:val="2D2140BE"/>
    <w:rsid w:val="2D286F51"/>
    <w:rsid w:val="2D287BC3"/>
    <w:rsid w:val="2D2A3A58"/>
    <w:rsid w:val="2D310B09"/>
    <w:rsid w:val="2D3318FE"/>
    <w:rsid w:val="2D3C5C02"/>
    <w:rsid w:val="2D404F0C"/>
    <w:rsid w:val="2D542E65"/>
    <w:rsid w:val="2D564730"/>
    <w:rsid w:val="2D5E25CD"/>
    <w:rsid w:val="2D6A05F9"/>
    <w:rsid w:val="2D6F134E"/>
    <w:rsid w:val="2D71509A"/>
    <w:rsid w:val="2D7921CC"/>
    <w:rsid w:val="2D937732"/>
    <w:rsid w:val="2D9D29C5"/>
    <w:rsid w:val="2D9F507D"/>
    <w:rsid w:val="2DB94B12"/>
    <w:rsid w:val="2DC23B73"/>
    <w:rsid w:val="2DD44D7C"/>
    <w:rsid w:val="2DEA5B9A"/>
    <w:rsid w:val="2DF14458"/>
    <w:rsid w:val="2E1354C0"/>
    <w:rsid w:val="2E1F2D74"/>
    <w:rsid w:val="2E327793"/>
    <w:rsid w:val="2E402CEA"/>
    <w:rsid w:val="2E422F06"/>
    <w:rsid w:val="2E4945EC"/>
    <w:rsid w:val="2E4B2CC7"/>
    <w:rsid w:val="2E521173"/>
    <w:rsid w:val="2E701821"/>
    <w:rsid w:val="2E8157DC"/>
    <w:rsid w:val="2E8B2A9B"/>
    <w:rsid w:val="2E9279E9"/>
    <w:rsid w:val="2E9C2616"/>
    <w:rsid w:val="2EA1070F"/>
    <w:rsid w:val="2EBF6305"/>
    <w:rsid w:val="2EDA2C9E"/>
    <w:rsid w:val="2EE43A78"/>
    <w:rsid w:val="2F002B74"/>
    <w:rsid w:val="2F0D407F"/>
    <w:rsid w:val="2F120B2A"/>
    <w:rsid w:val="2F164BE0"/>
    <w:rsid w:val="2F176141"/>
    <w:rsid w:val="2F2907E2"/>
    <w:rsid w:val="2F2B2ABE"/>
    <w:rsid w:val="2F2C13A9"/>
    <w:rsid w:val="2F414F6C"/>
    <w:rsid w:val="2F436AB3"/>
    <w:rsid w:val="2F45680A"/>
    <w:rsid w:val="2F4C54B3"/>
    <w:rsid w:val="2F5527C5"/>
    <w:rsid w:val="2F562255"/>
    <w:rsid w:val="2F572C19"/>
    <w:rsid w:val="2F7610B9"/>
    <w:rsid w:val="2F8310E0"/>
    <w:rsid w:val="2F86136D"/>
    <w:rsid w:val="2F882B9B"/>
    <w:rsid w:val="2FA56BF9"/>
    <w:rsid w:val="2FC021F3"/>
    <w:rsid w:val="2FC11140"/>
    <w:rsid w:val="2FC11CB9"/>
    <w:rsid w:val="2FC25559"/>
    <w:rsid w:val="2FD91648"/>
    <w:rsid w:val="2FF31AF5"/>
    <w:rsid w:val="2FF41FDE"/>
    <w:rsid w:val="2FF63FA8"/>
    <w:rsid w:val="2FFD2195"/>
    <w:rsid w:val="300A4F7D"/>
    <w:rsid w:val="30183F1E"/>
    <w:rsid w:val="301F2B6C"/>
    <w:rsid w:val="303B1A02"/>
    <w:rsid w:val="303E07C3"/>
    <w:rsid w:val="30467C1B"/>
    <w:rsid w:val="304A60A2"/>
    <w:rsid w:val="304D122A"/>
    <w:rsid w:val="304E7940"/>
    <w:rsid w:val="30545824"/>
    <w:rsid w:val="30566560"/>
    <w:rsid w:val="30683E50"/>
    <w:rsid w:val="30803A07"/>
    <w:rsid w:val="30843FBD"/>
    <w:rsid w:val="309C29BF"/>
    <w:rsid w:val="30AA7F1D"/>
    <w:rsid w:val="30B86B7A"/>
    <w:rsid w:val="30BA5405"/>
    <w:rsid w:val="30BA71DB"/>
    <w:rsid w:val="30C40855"/>
    <w:rsid w:val="30C474F7"/>
    <w:rsid w:val="30C5195E"/>
    <w:rsid w:val="30CC6AB7"/>
    <w:rsid w:val="30DD3FF4"/>
    <w:rsid w:val="30F06A5F"/>
    <w:rsid w:val="30F501B0"/>
    <w:rsid w:val="30FC739C"/>
    <w:rsid w:val="3101732D"/>
    <w:rsid w:val="310224D9"/>
    <w:rsid w:val="311727EF"/>
    <w:rsid w:val="31321010"/>
    <w:rsid w:val="313C1E8F"/>
    <w:rsid w:val="31462D0D"/>
    <w:rsid w:val="314A41D7"/>
    <w:rsid w:val="314B3E80"/>
    <w:rsid w:val="31592B38"/>
    <w:rsid w:val="3159659D"/>
    <w:rsid w:val="315B0955"/>
    <w:rsid w:val="315C1E73"/>
    <w:rsid w:val="317E4255"/>
    <w:rsid w:val="31883AA4"/>
    <w:rsid w:val="318F2D1D"/>
    <w:rsid w:val="31A041CB"/>
    <w:rsid w:val="31C7260D"/>
    <w:rsid w:val="31CD0D39"/>
    <w:rsid w:val="31D245A1"/>
    <w:rsid w:val="31D52A69"/>
    <w:rsid w:val="31E32279"/>
    <w:rsid w:val="31F24737"/>
    <w:rsid w:val="31FB7654"/>
    <w:rsid w:val="322A7FAB"/>
    <w:rsid w:val="32326DEE"/>
    <w:rsid w:val="323D2944"/>
    <w:rsid w:val="32835B02"/>
    <w:rsid w:val="32847688"/>
    <w:rsid w:val="32B67A1F"/>
    <w:rsid w:val="32C40510"/>
    <w:rsid w:val="32CB650C"/>
    <w:rsid w:val="32D46EB9"/>
    <w:rsid w:val="32E91BA2"/>
    <w:rsid w:val="32FC175E"/>
    <w:rsid w:val="32FC70BF"/>
    <w:rsid w:val="33060643"/>
    <w:rsid w:val="3316574C"/>
    <w:rsid w:val="33196C24"/>
    <w:rsid w:val="331974C0"/>
    <w:rsid w:val="331B019D"/>
    <w:rsid w:val="332B21BB"/>
    <w:rsid w:val="332B5D17"/>
    <w:rsid w:val="33550FE6"/>
    <w:rsid w:val="33552D94"/>
    <w:rsid w:val="335D0B51"/>
    <w:rsid w:val="336838EC"/>
    <w:rsid w:val="3371200F"/>
    <w:rsid w:val="337453DA"/>
    <w:rsid w:val="337879BA"/>
    <w:rsid w:val="337B08B1"/>
    <w:rsid w:val="33807630"/>
    <w:rsid w:val="338B4A07"/>
    <w:rsid w:val="338E555B"/>
    <w:rsid w:val="33C87A09"/>
    <w:rsid w:val="33D068BE"/>
    <w:rsid w:val="33ED67B0"/>
    <w:rsid w:val="33F151B2"/>
    <w:rsid w:val="33F3014A"/>
    <w:rsid w:val="33F67771"/>
    <w:rsid w:val="33F7209D"/>
    <w:rsid w:val="340B4DB4"/>
    <w:rsid w:val="3411146B"/>
    <w:rsid w:val="34136117"/>
    <w:rsid w:val="34256C0A"/>
    <w:rsid w:val="342A4220"/>
    <w:rsid w:val="34332284"/>
    <w:rsid w:val="343432F1"/>
    <w:rsid w:val="344A518B"/>
    <w:rsid w:val="344B63BD"/>
    <w:rsid w:val="34586FDF"/>
    <w:rsid w:val="345B4830"/>
    <w:rsid w:val="34605E94"/>
    <w:rsid w:val="346076B1"/>
    <w:rsid w:val="34833930"/>
    <w:rsid w:val="3487303E"/>
    <w:rsid w:val="349D49F2"/>
    <w:rsid w:val="34A418FC"/>
    <w:rsid w:val="34B34216"/>
    <w:rsid w:val="34C226AB"/>
    <w:rsid w:val="34DA5C46"/>
    <w:rsid w:val="34E95E89"/>
    <w:rsid w:val="34F073AF"/>
    <w:rsid w:val="350C5C16"/>
    <w:rsid w:val="35242B52"/>
    <w:rsid w:val="352A733C"/>
    <w:rsid w:val="35347ACA"/>
    <w:rsid w:val="35386E11"/>
    <w:rsid w:val="353C420B"/>
    <w:rsid w:val="35400FA3"/>
    <w:rsid w:val="35481FE4"/>
    <w:rsid w:val="354B6B44"/>
    <w:rsid w:val="35507CB7"/>
    <w:rsid w:val="35531DB4"/>
    <w:rsid w:val="35577297"/>
    <w:rsid w:val="3575771D"/>
    <w:rsid w:val="358955E7"/>
    <w:rsid w:val="3594272C"/>
    <w:rsid w:val="35A96497"/>
    <w:rsid w:val="35C91817"/>
    <w:rsid w:val="35CD57AB"/>
    <w:rsid w:val="35D54660"/>
    <w:rsid w:val="35E328D9"/>
    <w:rsid w:val="35F4636A"/>
    <w:rsid w:val="35FE71F3"/>
    <w:rsid w:val="360815A7"/>
    <w:rsid w:val="362979CB"/>
    <w:rsid w:val="362C1AE2"/>
    <w:rsid w:val="362D7FF8"/>
    <w:rsid w:val="363C023B"/>
    <w:rsid w:val="36415851"/>
    <w:rsid w:val="36462E68"/>
    <w:rsid w:val="36474D22"/>
    <w:rsid w:val="36502183"/>
    <w:rsid w:val="365C491B"/>
    <w:rsid w:val="366F23BE"/>
    <w:rsid w:val="368A544A"/>
    <w:rsid w:val="368D493E"/>
    <w:rsid w:val="369B092F"/>
    <w:rsid w:val="36C85441"/>
    <w:rsid w:val="36D73C60"/>
    <w:rsid w:val="36F33C0B"/>
    <w:rsid w:val="370C2303"/>
    <w:rsid w:val="37146FCD"/>
    <w:rsid w:val="371C179E"/>
    <w:rsid w:val="37263353"/>
    <w:rsid w:val="373A0062"/>
    <w:rsid w:val="374415A9"/>
    <w:rsid w:val="375A0120"/>
    <w:rsid w:val="377C4D93"/>
    <w:rsid w:val="378313F5"/>
    <w:rsid w:val="378B147A"/>
    <w:rsid w:val="378E072C"/>
    <w:rsid w:val="37AD7642"/>
    <w:rsid w:val="37B07AD7"/>
    <w:rsid w:val="37BF7BCD"/>
    <w:rsid w:val="37C14E9C"/>
    <w:rsid w:val="37C50D92"/>
    <w:rsid w:val="37E64902"/>
    <w:rsid w:val="37E80261"/>
    <w:rsid w:val="37F871E7"/>
    <w:rsid w:val="38156481"/>
    <w:rsid w:val="3826251B"/>
    <w:rsid w:val="383133CF"/>
    <w:rsid w:val="38555055"/>
    <w:rsid w:val="386046B4"/>
    <w:rsid w:val="3867502D"/>
    <w:rsid w:val="38795776"/>
    <w:rsid w:val="388A71FA"/>
    <w:rsid w:val="388B4630"/>
    <w:rsid w:val="38A63E9B"/>
    <w:rsid w:val="38B72CB1"/>
    <w:rsid w:val="38C34C43"/>
    <w:rsid w:val="38CB1C6F"/>
    <w:rsid w:val="38DB1189"/>
    <w:rsid w:val="38E528FD"/>
    <w:rsid w:val="38E74406"/>
    <w:rsid w:val="39096AFA"/>
    <w:rsid w:val="391B682D"/>
    <w:rsid w:val="39221E45"/>
    <w:rsid w:val="39581830"/>
    <w:rsid w:val="395A24AF"/>
    <w:rsid w:val="39674E21"/>
    <w:rsid w:val="39816C60"/>
    <w:rsid w:val="39891CA7"/>
    <w:rsid w:val="398A4590"/>
    <w:rsid w:val="398C5358"/>
    <w:rsid w:val="39915C5A"/>
    <w:rsid w:val="399834E3"/>
    <w:rsid w:val="39A317C3"/>
    <w:rsid w:val="39AF0A30"/>
    <w:rsid w:val="39B747A8"/>
    <w:rsid w:val="39C3553D"/>
    <w:rsid w:val="39C40C73"/>
    <w:rsid w:val="39E02ED5"/>
    <w:rsid w:val="39E60D85"/>
    <w:rsid w:val="39FD6559"/>
    <w:rsid w:val="3A020F0A"/>
    <w:rsid w:val="3A0A4E64"/>
    <w:rsid w:val="3A0B5AC2"/>
    <w:rsid w:val="3A105C66"/>
    <w:rsid w:val="3A1360EA"/>
    <w:rsid w:val="3A190DF5"/>
    <w:rsid w:val="3A1C0AAF"/>
    <w:rsid w:val="3A1F22D9"/>
    <w:rsid w:val="3A2B2622"/>
    <w:rsid w:val="3A2C26D8"/>
    <w:rsid w:val="3A402444"/>
    <w:rsid w:val="3A4C409B"/>
    <w:rsid w:val="3A5C70FE"/>
    <w:rsid w:val="3A5D0C34"/>
    <w:rsid w:val="3A6A35C8"/>
    <w:rsid w:val="3A7111E0"/>
    <w:rsid w:val="3A711271"/>
    <w:rsid w:val="3A7262AF"/>
    <w:rsid w:val="3A7F47F8"/>
    <w:rsid w:val="3A8723CC"/>
    <w:rsid w:val="3A8D16F2"/>
    <w:rsid w:val="3AA211EA"/>
    <w:rsid w:val="3AB71C38"/>
    <w:rsid w:val="3AD273C0"/>
    <w:rsid w:val="3AEA5A78"/>
    <w:rsid w:val="3AF6354C"/>
    <w:rsid w:val="3B0D21A6"/>
    <w:rsid w:val="3B111C96"/>
    <w:rsid w:val="3B32369C"/>
    <w:rsid w:val="3B3B46D6"/>
    <w:rsid w:val="3B443E1A"/>
    <w:rsid w:val="3B455DE4"/>
    <w:rsid w:val="3B53405D"/>
    <w:rsid w:val="3B5810D9"/>
    <w:rsid w:val="3B7A3CDF"/>
    <w:rsid w:val="3B7C7A57"/>
    <w:rsid w:val="3B7D37CF"/>
    <w:rsid w:val="3B81703B"/>
    <w:rsid w:val="3B820AA5"/>
    <w:rsid w:val="3B8C57C0"/>
    <w:rsid w:val="3B950B19"/>
    <w:rsid w:val="3BA22C44"/>
    <w:rsid w:val="3BA36D42"/>
    <w:rsid w:val="3BB96BD9"/>
    <w:rsid w:val="3BBC612A"/>
    <w:rsid w:val="3BBE26F4"/>
    <w:rsid w:val="3BC1690A"/>
    <w:rsid w:val="3BCF4395"/>
    <w:rsid w:val="3BD00ADD"/>
    <w:rsid w:val="3BD10EFB"/>
    <w:rsid w:val="3BD376AD"/>
    <w:rsid w:val="3BD53F6F"/>
    <w:rsid w:val="3BE13D5E"/>
    <w:rsid w:val="3BE956CF"/>
    <w:rsid w:val="3BED2703"/>
    <w:rsid w:val="3BFC1FA4"/>
    <w:rsid w:val="3C155E7F"/>
    <w:rsid w:val="3C363AD7"/>
    <w:rsid w:val="3C371BD0"/>
    <w:rsid w:val="3C3C71E7"/>
    <w:rsid w:val="3C3E3F2B"/>
    <w:rsid w:val="3C432323"/>
    <w:rsid w:val="3C4D430D"/>
    <w:rsid w:val="3C616D66"/>
    <w:rsid w:val="3C635A48"/>
    <w:rsid w:val="3C702719"/>
    <w:rsid w:val="3CAA05F4"/>
    <w:rsid w:val="3CB700CE"/>
    <w:rsid w:val="3CD130C0"/>
    <w:rsid w:val="3CD31C3F"/>
    <w:rsid w:val="3CEF4259"/>
    <w:rsid w:val="3CF63839"/>
    <w:rsid w:val="3CFE449C"/>
    <w:rsid w:val="3CFF03F0"/>
    <w:rsid w:val="3D033860"/>
    <w:rsid w:val="3D1D29E9"/>
    <w:rsid w:val="3D275291"/>
    <w:rsid w:val="3D2F0AF9"/>
    <w:rsid w:val="3D325D34"/>
    <w:rsid w:val="3D336868"/>
    <w:rsid w:val="3D347EBE"/>
    <w:rsid w:val="3D436353"/>
    <w:rsid w:val="3D495035"/>
    <w:rsid w:val="3D4C4075"/>
    <w:rsid w:val="3D65276D"/>
    <w:rsid w:val="3D69306B"/>
    <w:rsid w:val="3D763CD0"/>
    <w:rsid w:val="3D8471FE"/>
    <w:rsid w:val="3D9D1F07"/>
    <w:rsid w:val="3DA43295"/>
    <w:rsid w:val="3DA72308"/>
    <w:rsid w:val="3DB64929"/>
    <w:rsid w:val="3DD35929"/>
    <w:rsid w:val="3DD765B2"/>
    <w:rsid w:val="3DD82F3F"/>
    <w:rsid w:val="3DED69EA"/>
    <w:rsid w:val="3DFA2303"/>
    <w:rsid w:val="3E0274D7"/>
    <w:rsid w:val="3E126451"/>
    <w:rsid w:val="3E1F3AF2"/>
    <w:rsid w:val="3E353EED"/>
    <w:rsid w:val="3E4C0C00"/>
    <w:rsid w:val="3E5339E3"/>
    <w:rsid w:val="3E5C2562"/>
    <w:rsid w:val="3E810A46"/>
    <w:rsid w:val="3E9C0DD9"/>
    <w:rsid w:val="3EB372B8"/>
    <w:rsid w:val="3EC02F0A"/>
    <w:rsid w:val="3EC05EAD"/>
    <w:rsid w:val="3ED14F0B"/>
    <w:rsid w:val="3ED731F7"/>
    <w:rsid w:val="3EF21DDE"/>
    <w:rsid w:val="3EF73899"/>
    <w:rsid w:val="3F0538C0"/>
    <w:rsid w:val="3F0D0B21"/>
    <w:rsid w:val="3F1104B7"/>
    <w:rsid w:val="3F163D1F"/>
    <w:rsid w:val="3F1D3FB4"/>
    <w:rsid w:val="3F1D4C7E"/>
    <w:rsid w:val="3F23643C"/>
    <w:rsid w:val="3F2A5A1C"/>
    <w:rsid w:val="3F3055E4"/>
    <w:rsid w:val="3F3E0F5D"/>
    <w:rsid w:val="3F472E4B"/>
    <w:rsid w:val="3F4C08E9"/>
    <w:rsid w:val="3F5900B0"/>
    <w:rsid w:val="3F666E0D"/>
    <w:rsid w:val="3F6C7DE3"/>
    <w:rsid w:val="3F6D3EEE"/>
    <w:rsid w:val="3F732F1F"/>
    <w:rsid w:val="3F782604"/>
    <w:rsid w:val="3F852C53"/>
    <w:rsid w:val="3F927552"/>
    <w:rsid w:val="3FA27361"/>
    <w:rsid w:val="3FA806EF"/>
    <w:rsid w:val="3FAF7CCF"/>
    <w:rsid w:val="3FB02373"/>
    <w:rsid w:val="3FBA0816"/>
    <w:rsid w:val="3FDB2873"/>
    <w:rsid w:val="3FEA4714"/>
    <w:rsid w:val="3FEB5B69"/>
    <w:rsid w:val="3FF41B04"/>
    <w:rsid w:val="3FFD6C8D"/>
    <w:rsid w:val="40083624"/>
    <w:rsid w:val="400860D7"/>
    <w:rsid w:val="40161AFD"/>
    <w:rsid w:val="401F4E55"/>
    <w:rsid w:val="40210BCD"/>
    <w:rsid w:val="4022143E"/>
    <w:rsid w:val="402931E4"/>
    <w:rsid w:val="402C0157"/>
    <w:rsid w:val="403854EB"/>
    <w:rsid w:val="403C77B5"/>
    <w:rsid w:val="40442B0E"/>
    <w:rsid w:val="4044683B"/>
    <w:rsid w:val="405014B2"/>
    <w:rsid w:val="40570775"/>
    <w:rsid w:val="40583EC3"/>
    <w:rsid w:val="40612AE6"/>
    <w:rsid w:val="40671125"/>
    <w:rsid w:val="406B54A0"/>
    <w:rsid w:val="40704882"/>
    <w:rsid w:val="40717DB6"/>
    <w:rsid w:val="407F5F3B"/>
    <w:rsid w:val="408E5B37"/>
    <w:rsid w:val="40955A55"/>
    <w:rsid w:val="409666EE"/>
    <w:rsid w:val="409C4993"/>
    <w:rsid w:val="409F7A83"/>
    <w:rsid w:val="40AE351F"/>
    <w:rsid w:val="40B90071"/>
    <w:rsid w:val="40C52526"/>
    <w:rsid w:val="40C7391D"/>
    <w:rsid w:val="40CA000B"/>
    <w:rsid w:val="40D043A1"/>
    <w:rsid w:val="40D47DB4"/>
    <w:rsid w:val="40D81790"/>
    <w:rsid w:val="40E045E4"/>
    <w:rsid w:val="40E83499"/>
    <w:rsid w:val="40F260C6"/>
    <w:rsid w:val="40F938F8"/>
    <w:rsid w:val="40F97454"/>
    <w:rsid w:val="40FE2CBD"/>
    <w:rsid w:val="41021092"/>
    <w:rsid w:val="410F0A26"/>
    <w:rsid w:val="410F2AF6"/>
    <w:rsid w:val="411B05CB"/>
    <w:rsid w:val="412C6906"/>
    <w:rsid w:val="41314584"/>
    <w:rsid w:val="414244A0"/>
    <w:rsid w:val="414E5A60"/>
    <w:rsid w:val="4168282C"/>
    <w:rsid w:val="41744D2D"/>
    <w:rsid w:val="41765860"/>
    <w:rsid w:val="41801BCC"/>
    <w:rsid w:val="41864CEF"/>
    <w:rsid w:val="418A34C1"/>
    <w:rsid w:val="41923405"/>
    <w:rsid w:val="41A26A93"/>
    <w:rsid w:val="41B127B0"/>
    <w:rsid w:val="41B810BD"/>
    <w:rsid w:val="41D80832"/>
    <w:rsid w:val="41E33925"/>
    <w:rsid w:val="41E91761"/>
    <w:rsid w:val="41F27355"/>
    <w:rsid w:val="41F61BE6"/>
    <w:rsid w:val="41FA1B64"/>
    <w:rsid w:val="41FB36A0"/>
    <w:rsid w:val="42025BE2"/>
    <w:rsid w:val="420345BF"/>
    <w:rsid w:val="4228185B"/>
    <w:rsid w:val="42332E3A"/>
    <w:rsid w:val="423972F2"/>
    <w:rsid w:val="4250131F"/>
    <w:rsid w:val="4255690C"/>
    <w:rsid w:val="426D56E2"/>
    <w:rsid w:val="42731488"/>
    <w:rsid w:val="42925DB2"/>
    <w:rsid w:val="42986E48"/>
    <w:rsid w:val="42A20A61"/>
    <w:rsid w:val="42AB29D0"/>
    <w:rsid w:val="42AC04F6"/>
    <w:rsid w:val="42AE4A14"/>
    <w:rsid w:val="42BB191D"/>
    <w:rsid w:val="42CF20FD"/>
    <w:rsid w:val="42D10E7F"/>
    <w:rsid w:val="42D27F5D"/>
    <w:rsid w:val="42D86FCA"/>
    <w:rsid w:val="42E67ABD"/>
    <w:rsid w:val="42EE550D"/>
    <w:rsid w:val="42F74505"/>
    <w:rsid w:val="42FE1F2F"/>
    <w:rsid w:val="430B346F"/>
    <w:rsid w:val="43194258"/>
    <w:rsid w:val="43195B8C"/>
    <w:rsid w:val="431E7267"/>
    <w:rsid w:val="432D5ADB"/>
    <w:rsid w:val="4339622E"/>
    <w:rsid w:val="433F2437"/>
    <w:rsid w:val="43424987"/>
    <w:rsid w:val="43455072"/>
    <w:rsid w:val="43474A84"/>
    <w:rsid w:val="434F5A51"/>
    <w:rsid w:val="435B43F6"/>
    <w:rsid w:val="435B71B9"/>
    <w:rsid w:val="4366315A"/>
    <w:rsid w:val="436C7BA9"/>
    <w:rsid w:val="43707776"/>
    <w:rsid w:val="437710B2"/>
    <w:rsid w:val="437F3E16"/>
    <w:rsid w:val="43971411"/>
    <w:rsid w:val="43992A22"/>
    <w:rsid w:val="43A93F3B"/>
    <w:rsid w:val="43B03E7E"/>
    <w:rsid w:val="43BB6702"/>
    <w:rsid w:val="43E7AE1C"/>
    <w:rsid w:val="43ED0DC6"/>
    <w:rsid w:val="43F263DD"/>
    <w:rsid w:val="43FC0B0D"/>
    <w:rsid w:val="440B1130"/>
    <w:rsid w:val="44125964"/>
    <w:rsid w:val="44290050"/>
    <w:rsid w:val="442C2496"/>
    <w:rsid w:val="44366C11"/>
    <w:rsid w:val="443B5FD6"/>
    <w:rsid w:val="443D1E0E"/>
    <w:rsid w:val="444A7FC7"/>
    <w:rsid w:val="446D5D11"/>
    <w:rsid w:val="446E1F07"/>
    <w:rsid w:val="44823C05"/>
    <w:rsid w:val="44896D41"/>
    <w:rsid w:val="448A4586"/>
    <w:rsid w:val="44901B43"/>
    <w:rsid w:val="449A7EB1"/>
    <w:rsid w:val="44A75419"/>
    <w:rsid w:val="44B57B36"/>
    <w:rsid w:val="44BD1DF3"/>
    <w:rsid w:val="44BF57D9"/>
    <w:rsid w:val="44C735BB"/>
    <w:rsid w:val="44D75CFE"/>
    <w:rsid w:val="44DC1567"/>
    <w:rsid w:val="44DC50C3"/>
    <w:rsid w:val="44E003B0"/>
    <w:rsid w:val="44E1092B"/>
    <w:rsid w:val="44E26451"/>
    <w:rsid w:val="44E4666D"/>
    <w:rsid w:val="44E67283"/>
    <w:rsid w:val="44ED4010"/>
    <w:rsid w:val="45005E52"/>
    <w:rsid w:val="45036AF3"/>
    <w:rsid w:val="4515017A"/>
    <w:rsid w:val="45244CBC"/>
    <w:rsid w:val="4529736B"/>
    <w:rsid w:val="45343151"/>
    <w:rsid w:val="45372C41"/>
    <w:rsid w:val="4537689D"/>
    <w:rsid w:val="45383381"/>
    <w:rsid w:val="453848C5"/>
    <w:rsid w:val="454D5C68"/>
    <w:rsid w:val="456B75E9"/>
    <w:rsid w:val="45810DBE"/>
    <w:rsid w:val="45820089"/>
    <w:rsid w:val="459B31D0"/>
    <w:rsid w:val="45B621A1"/>
    <w:rsid w:val="45C75919"/>
    <w:rsid w:val="45C9535A"/>
    <w:rsid w:val="45CC3389"/>
    <w:rsid w:val="45DD10A6"/>
    <w:rsid w:val="45E61310"/>
    <w:rsid w:val="45EF121D"/>
    <w:rsid w:val="460B0785"/>
    <w:rsid w:val="4614088C"/>
    <w:rsid w:val="464748C5"/>
    <w:rsid w:val="46476EB4"/>
    <w:rsid w:val="464C5CDC"/>
    <w:rsid w:val="464C6278"/>
    <w:rsid w:val="464D38EE"/>
    <w:rsid w:val="46562030"/>
    <w:rsid w:val="465A58B4"/>
    <w:rsid w:val="467F0CF9"/>
    <w:rsid w:val="46821C9A"/>
    <w:rsid w:val="46911EDD"/>
    <w:rsid w:val="46A03D08"/>
    <w:rsid w:val="46A9191C"/>
    <w:rsid w:val="46B207D1"/>
    <w:rsid w:val="46B55FD0"/>
    <w:rsid w:val="46BB2CA5"/>
    <w:rsid w:val="46D6477E"/>
    <w:rsid w:val="46EE0CD7"/>
    <w:rsid w:val="46F3255C"/>
    <w:rsid w:val="47060EC7"/>
    <w:rsid w:val="471A45C8"/>
    <w:rsid w:val="473849AD"/>
    <w:rsid w:val="4742203B"/>
    <w:rsid w:val="475D1DCE"/>
    <w:rsid w:val="476D5360"/>
    <w:rsid w:val="47713DFB"/>
    <w:rsid w:val="47777325"/>
    <w:rsid w:val="477A03F9"/>
    <w:rsid w:val="477E06B3"/>
    <w:rsid w:val="47805AEC"/>
    <w:rsid w:val="478722ED"/>
    <w:rsid w:val="479422E2"/>
    <w:rsid w:val="47A01918"/>
    <w:rsid w:val="47A8585E"/>
    <w:rsid w:val="47AA221B"/>
    <w:rsid w:val="47AD250C"/>
    <w:rsid w:val="47B70069"/>
    <w:rsid w:val="47C01496"/>
    <w:rsid w:val="47C307BC"/>
    <w:rsid w:val="47C9092A"/>
    <w:rsid w:val="47DA18DA"/>
    <w:rsid w:val="47FF79BA"/>
    <w:rsid w:val="48027536"/>
    <w:rsid w:val="481903DC"/>
    <w:rsid w:val="48221986"/>
    <w:rsid w:val="48311BC9"/>
    <w:rsid w:val="48517B76"/>
    <w:rsid w:val="485860F7"/>
    <w:rsid w:val="486701DC"/>
    <w:rsid w:val="486E18AD"/>
    <w:rsid w:val="48783354"/>
    <w:rsid w:val="487C2831"/>
    <w:rsid w:val="48892001"/>
    <w:rsid w:val="488C26C1"/>
    <w:rsid w:val="48942A2D"/>
    <w:rsid w:val="48A05E4C"/>
    <w:rsid w:val="48A4694D"/>
    <w:rsid w:val="48A73C3A"/>
    <w:rsid w:val="48A82E66"/>
    <w:rsid w:val="48BB76E5"/>
    <w:rsid w:val="48C540C0"/>
    <w:rsid w:val="48C60564"/>
    <w:rsid w:val="48D13C35"/>
    <w:rsid w:val="48D62E9D"/>
    <w:rsid w:val="48D771FB"/>
    <w:rsid w:val="48E13798"/>
    <w:rsid w:val="48F0738F"/>
    <w:rsid w:val="48F90DAD"/>
    <w:rsid w:val="49116D94"/>
    <w:rsid w:val="4913450D"/>
    <w:rsid w:val="49145375"/>
    <w:rsid w:val="492B02EC"/>
    <w:rsid w:val="493A685C"/>
    <w:rsid w:val="493F3E51"/>
    <w:rsid w:val="49575660"/>
    <w:rsid w:val="495B7F3D"/>
    <w:rsid w:val="49637376"/>
    <w:rsid w:val="496A1E2F"/>
    <w:rsid w:val="4979677B"/>
    <w:rsid w:val="49802F75"/>
    <w:rsid w:val="49855F2D"/>
    <w:rsid w:val="499C7517"/>
    <w:rsid w:val="49A46DFB"/>
    <w:rsid w:val="49B66EB3"/>
    <w:rsid w:val="49B760FE"/>
    <w:rsid w:val="49CA3C29"/>
    <w:rsid w:val="49D051F2"/>
    <w:rsid w:val="49DF49A3"/>
    <w:rsid w:val="49E83B4B"/>
    <w:rsid w:val="49EC3FFA"/>
    <w:rsid w:val="49EC473C"/>
    <w:rsid w:val="49FF3829"/>
    <w:rsid w:val="4A00193A"/>
    <w:rsid w:val="4A037596"/>
    <w:rsid w:val="4A173F6A"/>
    <w:rsid w:val="4A1B043B"/>
    <w:rsid w:val="4A1C23CF"/>
    <w:rsid w:val="4A2812AD"/>
    <w:rsid w:val="4A332939"/>
    <w:rsid w:val="4A34774F"/>
    <w:rsid w:val="4A381F39"/>
    <w:rsid w:val="4A471230"/>
    <w:rsid w:val="4A596C44"/>
    <w:rsid w:val="4A5E652E"/>
    <w:rsid w:val="4A786501"/>
    <w:rsid w:val="4A7D4C52"/>
    <w:rsid w:val="4A873D23"/>
    <w:rsid w:val="4A940CA0"/>
    <w:rsid w:val="4AA03ECF"/>
    <w:rsid w:val="4AA06B93"/>
    <w:rsid w:val="4AA85A47"/>
    <w:rsid w:val="4AA87A9D"/>
    <w:rsid w:val="4AC07235"/>
    <w:rsid w:val="4AC22FAD"/>
    <w:rsid w:val="4AC60E43"/>
    <w:rsid w:val="4AC82949"/>
    <w:rsid w:val="4AD056CA"/>
    <w:rsid w:val="4AD65823"/>
    <w:rsid w:val="4AD866BE"/>
    <w:rsid w:val="4ADF76BB"/>
    <w:rsid w:val="4AE67788"/>
    <w:rsid w:val="4AE90539"/>
    <w:rsid w:val="4AED4A99"/>
    <w:rsid w:val="4AFB7094"/>
    <w:rsid w:val="4B204665"/>
    <w:rsid w:val="4B2058B1"/>
    <w:rsid w:val="4B4D1AAC"/>
    <w:rsid w:val="4B50324F"/>
    <w:rsid w:val="4B5C0D0B"/>
    <w:rsid w:val="4B6422B6"/>
    <w:rsid w:val="4B813EB0"/>
    <w:rsid w:val="4B8E4932"/>
    <w:rsid w:val="4BA206E8"/>
    <w:rsid w:val="4BB539E6"/>
    <w:rsid w:val="4BB75010"/>
    <w:rsid w:val="4BCF5981"/>
    <w:rsid w:val="4BE13907"/>
    <w:rsid w:val="4BE753D1"/>
    <w:rsid w:val="4BEB349F"/>
    <w:rsid w:val="4C0C0983"/>
    <w:rsid w:val="4C206DBA"/>
    <w:rsid w:val="4C215AFB"/>
    <w:rsid w:val="4C2F4672"/>
    <w:rsid w:val="4C417F01"/>
    <w:rsid w:val="4C435792"/>
    <w:rsid w:val="4C455C43"/>
    <w:rsid w:val="4C5B44D2"/>
    <w:rsid w:val="4C6F335A"/>
    <w:rsid w:val="4C7427EB"/>
    <w:rsid w:val="4C756DFD"/>
    <w:rsid w:val="4C8D7CE6"/>
    <w:rsid w:val="4C914294"/>
    <w:rsid w:val="4C982217"/>
    <w:rsid w:val="4C9C37CD"/>
    <w:rsid w:val="4CAC5CC3"/>
    <w:rsid w:val="4CD45888"/>
    <w:rsid w:val="4CE85A9D"/>
    <w:rsid w:val="4CEE659E"/>
    <w:rsid w:val="4CF907DC"/>
    <w:rsid w:val="4D07114B"/>
    <w:rsid w:val="4D1660F8"/>
    <w:rsid w:val="4D170083"/>
    <w:rsid w:val="4D1F5E1D"/>
    <w:rsid w:val="4D225F85"/>
    <w:rsid w:val="4D2E2B7B"/>
    <w:rsid w:val="4D3112F1"/>
    <w:rsid w:val="4D333CEE"/>
    <w:rsid w:val="4D602609"/>
    <w:rsid w:val="4D7D0C66"/>
    <w:rsid w:val="4D7D3885"/>
    <w:rsid w:val="4D7D6F47"/>
    <w:rsid w:val="4D7F5185"/>
    <w:rsid w:val="4D926C66"/>
    <w:rsid w:val="4DCA7E8F"/>
    <w:rsid w:val="4DCE3A17"/>
    <w:rsid w:val="4DFE3442"/>
    <w:rsid w:val="4DFF4C79"/>
    <w:rsid w:val="4E04244B"/>
    <w:rsid w:val="4E102281"/>
    <w:rsid w:val="4E1D7B05"/>
    <w:rsid w:val="4E212AEE"/>
    <w:rsid w:val="4E252DBF"/>
    <w:rsid w:val="4E263853"/>
    <w:rsid w:val="4E3E294A"/>
    <w:rsid w:val="4E434405"/>
    <w:rsid w:val="4E4A1A12"/>
    <w:rsid w:val="4E4C150B"/>
    <w:rsid w:val="4E591384"/>
    <w:rsid w:val="4E592D3B"/>
    <w:rsid w:val="4E5934A7"/>
    <w:rsid w:val="4E647566"/>
    <w:rsid w:val="4E6B74B7"/>
    <w:rsid w:val="4E7C16C5"/>
    <w:rsid w:val="4E822C4E"/>
    <w:rsid w:val="4E8E7D02"/>
    <w:rsid w:val="4E902A31"/>
    <w:rsid w:val="4E9B7D9D"/>
    <w:rsid w:val="4EB37FFC"/>
    <w:rsid w:val="4ED84B4D"/>
    <w:rsid w:val="4EDE412D"/>
    <w:rsid w:val="4EE01C53"/>
    <w:rsid w:val="4EE259CC"/>
    <w:rsid w:val="4EE73765"/>
    <w:rsid w:val="4EE96D5A"/>
    <w:rsid w:val="4EED3CA3"/>
    <w:rsid w:val="4EEF640A"/>
    <w:rsid w:val="4F18319B"/>
    <w:rsid w:val="4F1E5397"/>
    <w:rsid w:val="4F2C6C47"/>
    <w:rsid w:val="4F2E6E63"/>
    <w:rsid w:val="4F300AB3"/>
    <w:rsid w:val="4F3124AF"/>
    <w:rsid w:val="4F3176D2"/>
    <w:rsid w:val="4F3A0B9D"/>
    <w:rsid w:val="4F3D36D6"/>
    <w:rsid w:val="4F58517B"/>
    <w:rsid w:val="4F5B752C"/>
    <w:rsid w:val="4F5F3899"/>
    <w:rsid w:val="4F665FE3"/>
    <w:rsid w:val="4F674123"/>
    <w:rsid w:val="4F693CFF"/>
    <w:rsid w:val="4F6C798B"/>
    <w:rsid w:val="4F753FCD"/>
    <w:rsid w:val="4F791EF0"/>
    <w:rsid w:val="4F7C2CDA"/>
    <w:rsid w:val="4F7F177B"/>
    <w:rsid w:val="4F802737"/>
    <w:rsid w:val="4F844CD5"/>
    <w:rsid w:val="4F942E88"/>
    <w:rsid w:val="4FA143AC"/>
    <w:rsid w:val="4FA15887"/>
    <w:rsid w:val="4FA461CB"/>
    <w:rsid w:val="4FCF4CE1"/>
    <w:rsid w:val="4FD02DF6"/>
    <w:rsid w:val="4FD15077"/>
    <w:rsid w:val="4FD31B9F"/>
    <w:rsid w:val="4FF563CE"/>
    <w:rsid w:val="4FFC3921"/>
    <w:rsid w:val="4FFF25AD"/>
    <w:rsid w:val="50232EA5"/>
    <w:rsid w:val="50395ABF"/>
    <w:rsid w:val="504D156B"/>
    <w:rsid w:val="504F0E3F"/>
    <w:rsid w:val="50593AED"/>
    <w:rsid w:val="50640680"/>
    <w:rsid w:val="506D27D5"/>
    <w:rsid w:val="50721785"/>
    <w:rsid w:val="507A4D64"/>
    <w:rsid w:val="507B60D8"/>
    <w:rsid w:val="509A3440"/>
    <w:rsid w:val="50A33BAD"/>
    <w:rsid w:val="50AD3DB7"/>
    <w:rsid w:val="50AD3FE0"/>
    <w:rsid w:val="50B25281"/>
    <w:rsid w:val="50B77C63"/>
    <w:rsid w:val="50B93DF8"/>
    <w:rsid w:val="50C35389"/>
    <w:rsid w:val="50C5535E"/>
    <w:rsid w:val="50D10F23"/>
    <w:rsid w:val="50E53F3B"/>
    <w:rsid w:val="50F47C38"/>
    <w:rsid w:val="5100038B"/>
    <w:rsid w:val="510A0771"/>
    <w:rsid w:val="510A0978"/>
    <w:rsid w:val="511E00CE"/>
    <w:rsid w:val="51263104"/>
    <w:rsid w:val="51280962"/>
    <w:rsid w:val="514C4B63"/>
    <w:rsid w:val="514E3757"/>
    <w:rsid w:val="514F6668"/>
    <w:rsid w:val="51620E80"/>
    <w:rsid w:val="51666B76"/>
    <w:rsid w:val="516A3A56"/>
    <w:rsid w:val="516E13D9"/>
    <w:rsid w:val="517F4A6D"/>
    <w:rsid w:val="5189228F"/>
    <w:rsid w:val="519F112B"/>
    <w:rsid w:val="519F1952"/>
    <w:rsid w:val="51A11136"/>
    <w:rsid w:val="51B5549B"/>
    <w:rsid w:val="51C90454"/>
    <w:rsid w:val="51C94C21"/>
    <w:rsid w:val="51D05FAF"/>
    <w:rsid w:val="51DC2BA6"/>
    <w:rsid w:val="51E74D0F"/>
    <w:rsid w:val="51E753DE"/>
    <w:rsid w:val="51F223CA"/>
    <w:rsid w:val="51FC3A18"/>
    <w:rsid w:val="52181704"/>
    <w:rsid w:val="52183035"/>
    <w:rsid w:val="523E73BD"/>
    <w:rsid w:val="524B3888"/>
    <w:rsid w:val="525017DE"/>
    <w:rsid w:val="525F19A5"/>
    <w:rsid w:val="52611061"/>
    <w:rsid w:val="5268443A"/>
    <w:rsid w:val="52860D64"/>
    <w:rsid w:val="529214B7"/>
    <w:rsid w:val="52972F71"/>
    <w:rsid w:val="529F291F"/>
    <w:rsid w:val="52A0149C"/>
    <w:rsid w:val="52A758F3"/>
    <w:rsid w:val="52B044DE"/>
    <w:rsid w:val="52B43F8A"/>
    <w:rsid w:val="52BE400D"/>
    <w:rsid w:val="52BE634B"/>
    <w:rsid w:val="52C04276"/>
    <w:rsid w:val="52C5058C"/>
    <w:rsid w:val="52C5363A"/>
    <w:rsid w:val="52D06248"/>
    <w:rsid w:val="52E00EB9"/>
    <w:rsid w:val="52E42BB7"/>
    <w:rsid w:val="52E579D6"/>
    <w:rsid w:val="52E635B0"/>
    <w:rsid w:val="52EF526D"/>
    <w:rsid w:val="52F1442F"/>
    <w:rsid w:val="52FC4D46"/>
    <w:rsid w:val="53044A76"/>
    <w:rsid w:val="530B7CB6"/>
    <w:rsid w:val="53157FDF"/>
    <w:rsid w:val="531D1E76"/>
    <w:rsid w:val="531E3B27"/>
    <w:rsid w:val="53234805"/>
    <w:rsid w:val="532C0155"/>
    <w:rsid w:val="53320B51"/>
    <w:rsid w:val="533802B0"/>
    <w:rsid w:val="534327B1"/>
    <w:rsid w:val="53436211"/>
    <w:rsid w:val="534A1D91"/>
    <w:rsid w:val="53534C94"/>
    <w:rsid w:val="53560736"/>
    <w:rsid w:val="535A5ACE"/>
    <w:rsid w:val="53616B84"/>
    <w:rsid w:val="537F5627"/>
    <w:rsid w:val="53A414A2"/>
    <w:rsid w:val="53B316E5"/>
    <w:rsid w:val="53BE1361"/>
    <w:rsid w:val="53C02C55"/>
    <w:rsid w:val="53C43306"/>
    <w:rsid w:val="53C6241F"/>
    <w:rsid w:val="53D53D51"/>
    <w:rsid w:val="53D56834"/>
    <w:rsid w:val="53D705C2"/>
    <w:rsid w:val="53DA0CAB"/>
    <w:rsid w:val="5404273B"/>
    <w:rsid w:val="5406215C"/>
    <w:rsid w:val="54116070"/>
    <w:rsid w:val="541303D5"/>
    <w:rsid w:val="541C3AAD"/>
    <w:rsid w:val="54241F00"/>
    <w:rsid w:val="542A67AB"/>
    <w:rsid w:val="543145AD"/>
    <w:rsid w:val="543C16DA"/>
    <w:rsid w:val="54453590"/>
    <w:rsid w:val="544762D1"/>
    <w:rsid w:val="54482775"/>
    <w:rsid w:val="54631655"/>
    <w:rsid w:val="54754BEC"/>
    <w:rsid w:val="547846DC"/>
    <w:rsid w:val="548B0BCD"/>
    <w:rsid w:val="548B2661"/>
    <w:rsid w:val="548F2152"/>
    <w:rsid w:val="54A35BFD"/>
    <w:rsid w:val="54A61249"/>
    <w:rsid w:val="54B41BB8"/>
    <w:rsid w:val="54BA64A9"/>
    <w:rsid w:val="54C41A18"/>
    <w:rsid w:val="54C54A95"/>
    <w:rsid w:val="54EF25F9"/>
    <w:rsid w:val="54FE693D"/>
    <w:rsid w:val="55006F39"/>
    <w:rsid w:val="55115317"/>
    <w:rsid w:val="55173EF5"/>
    <w:rsid w:val="551C49F3"/>
    <w:rsid w:val="552B1C06"/>
    <w:rsid w:val="553C5E9D"/>
    <w:rsid w:val="554B22F9"/>
    <w:rsid w:val="55520F12"/>
    <w:rsid w:val="555B2034"/>
    <w:rsid w:val="555C53C5"/>
    <w:rsid w:val="556316CE"/>
    <w:rsid w:val="55637137"/>
    <w:rsid w:val="55821CB6"/>
    <w:rsid w:val="558535EF"/>
    <w:rsid w:val="559819EA"/>
    <w:rsid w:val="55983288"/>
    <w:rsid w:val="559A0800"/>
    <w:rsid w:val="559A7000"/>
    <w:rsid w:val="55A46EBE"/>
    <w:rsid w:val="55A8310A"/>
    <w:rsid w:val="55AD03B6"/>
    <w:rsid w:val="55AF7A72"/>
    <w:rsid w:val="55B00597"/>
    <w:rsid w:val="55B55BE8"/>
    <w:rsid w:val="55CA33E4"/>
    <w:rsid w:val="55F01A8B"/>
    <w:rsid w:val="560426CB"/>
    <w:rsid w:val="560A5808"/>
    <w:rsid w:val="560B6DEC"/>
    <w:rsid w:val="56101D2C"/>
    <w:rsid w:val="561A3C9D"/>
    <w:rsid w:val="561B7A15"/>
    <w:rsid w:val="562A12F0"/>
    <w:rsid w:val="565D3B8A"/>
    <w:rsid w:val="566C201F"/>
    <w:rsid w:val="56920712"/>
    <w:rsid w:val="569577C7"/>
    <w:rsid w:val="56962D99"/>
    <w:rsid w:val="569972B8"/>
    <w:rsid w:val="569A4DDE"/>
    <w:rsid w:val="56AB2AB9"/>
    <w:rsid w:val="56AE2637"/>
    <w:rsid w:val="56B0015D"/>
    <w:rsid w:val="56C7515D"/>
    <w:rsid w:val="56C9121F"/>
    <w:rsid w:val="56E55DC4"/>
    <w:rsid w:val="56E77687"/>
    <w:rsid w:val="570120E9"/>
    <w:rsid w:val="57122BC6"/>
    <w:rsid w:val="57160908"/>
    <w:rsid w:val="572F30D9"/>
    <w:rsid w:val="572F3778"/>
    <w:rsid w:val="57342B3C"/>
    <w:rsid w:val="57365DD5"/>
    <w:rsid w:val="574050C8"/>
    <w:rsid w:val="574D51C0"/>
    <w:rsid w:val="57622855"/>
    <w:rsid w:val="577C44E3"/>
    <w:rsid w:val="57845189"/>
    <w:rsid w:val="57854D26"/>
    <w:rsid w:val="57D8796C"/>
    <w:rsid w:val="57E5252E"/>
    <w:rsid w:val="57EF10CB"/>
    <w:rsid w:val="57F304BD"/>
    <w:rsid w:val="580144C9"/>
    <w:rsid w:val="58095919"/>
    <w:rsid w:val="58111F18"/>
    <w:rsid w:val="581179F5"/>
    <w:rsid w:val="5816182C"/>
    <w:rsid w:val="5822606F"/>
    <w:rsid w:val="58270B1D"/>
    <w:rsid w:val="583B0BA3"/>
    <w:rsid w:val="584371A7"/>
    <w:rsid w:val="5851771E"/>
    <w:rsid w:val="58552E90"/>
    <w:rsid w:val="585C6BAD"/>
    <w:rsid w:val="58613A3F"/>
    <w:rsid w:val="587F072F"/>
    <w:rsid w:val="58900AB5"/>
    <w:rsid w:val="58A6632B"/>
    <w:rsid w:val="58AB32D2"/>
    <w:rsid w:val="58D04AE7"/>
    <w:rsid w:val="58D51DCF"/>
    <w:rsid w:val="58D83900"/>
    <w:rsid w:val="58EB2CD9"/>
    <w:rsid w:val="58F31111"/>
    <w:rsid w:val="58F6033F"/>
    <w:rsid w:val="58F85DEC"/>
    <w:rsid w:val="590C01AF"/>
    <w:rsid w:val="59346185"/>
    <w:rsid w:val="593B28A8"/>
    <w:rsid w:val="593E42F7"/>
    <w:rsid w:val="593F15BA"/>
    <w:rsid w:val="594E2B77"/>
    <w:rsid w:val="596B111A"/>
    <w:rsid w:val="5975743C"/>
    <w:rsid w:val="59771406"/>
    <w:rsid w:val="597C6EA0"/>
    <w:rsid w:val="59914276"/>
    <w:rsid w:val="59B857E0"/>
    <w:rsid w:val="59C04B5B"/>
    <w:rsid w:val="59C86B3A"/>
    <w:rsid w:val="59CC128C"/>
    <w:rsid w:val="59DF4FA9"/>
    <w:rsid w:val="59E73ADE"/>
    <w:rsid w:val="59FE68ED"/>
    <w:rsid w:val="5A0272B1"/>
    <w:rsid w:val="5A0B6471"/>
    <w:rsid w:val="5A1D1FAE"/>
    <w:rsid w:val="5A353189"/>
    <w:rsid w:val="5A504131"/>
    <w:rsid w:val="5A580CEF"/>
    <w:rsid w:val="5A5D0F6B"/>
    <w:rsid w:val="5A625C12"/>
    <w:rsid w:val="5A63590E"/>
    <w:rsid w:val="5A6B7846"/>
    <w:rsid w:val="5A6C38CF"/>
    <w:rsid w:val="5A736072"/>
    <w:rsid w:val="5A8A7703"/>
    <w:rsid w:val="5A9009D2"/>
    <w:rsid w:val="5AB16465"/>
    <w:rsid w:val="5AB50325"/>
    <w:rsid w:val="5AB53F94"/>
    <w:rsid w:val="5ACF64C5"/>
    <w:rsid w:val="5AD36B10"/>
    <w:rsid w:val="5AE90C2D"/>
    <w:rsid w:val="5AE94178"/>
    <w:rsid w:val="5AEB5C08"/>
    <w:rsid w:val="5B0026A2"/>
    <w:rsid w:val="5B0D3DD0"/>
    <w:rsid w:val="5B12588A"/>
    <w:rsid w:val="5B1A047F"/>
    <w:rsid w:val="5B204DE6"/>
    <w:rsid w:val="5B336D03"/>
    <w:rsid w:val="5B4041A6"/>
    <w:rsid w:val="5B431DB8"/>
    <w:rsid w:val="5B4A7497"/>
    <w:rsid w:val="5B5150EA"/>
    <w:rsid w:val="5B557525"/>
    <w:rsid w:val="5B710F32"/>
    <w:rsid w:val="5B7756EE"/>
    <w:rsid w:val="5B882167"/>
    <w:rsid w:val="5B9D535B"/>
    <w:rsid w:val="5BA57B34"/>
    <w:rsid w:val="5BB64468"/>
    <w:rsid w:val="5BB667F6"/>
    <w:rsid w:val="5BBB7CD0"/>
    <w:rsid w:val="5BCF367F"/>
    <w:rsid w:val="5BDA1503"/>
    <w:rsid w:val="5BDC749B"/>
    <w:rsid w:val="5BDD7C46"/>
    <w:rsid w:val="5BE50E7B"/>
    <w:rsid w:val="5BFA4F23"/>
    <w:rsid w:val="5BFB1B7F"/>
    <w:rsid w:val="5C043980"/>
    <w:rsid w:val="5C0F6681"/>
    <w:rsid w:val="5C1271C4"/>
    <w:rsid w:val="5C202555"/>
    <w:rsid w:val="5C215FAE"/>
    <w:rsid w:val="5C254F42"/>
    <w:rsid w:val="5C3030FB"/>
    <w:rsid w:val="5C311A87"/>
    <w:rsid w:val="5C3166BC"/>
    <w:rsid w:val="5C361105"/>
    <w:rsid w:val="5C4019E8"/>
    <w:rsid w:val="5C4416C6"/>
    <w:rsid w:val="5C561FCA"/>
    <w:rsid w:val="5C5743AC"/>
    <w:rsid w:val="5C5E240A"/>
    <w:rsid w:val="5C82699B"/>
    <w:rsid w:val="5C952CA1"/>
    <w:rsid w:val="5CA264EC"/>
    <w:rsid w:val="5CB07109"/>
    <w:rsid w:val="5CB25F16"/>
    <w:rsid w:val="5CBA1D36"/>
    <w:rsid w:val="5CC30327"/>
    <w:rsid w:val="5CC61A99"/>
    <w:rsid w:val="5CCC13DE"/>
    <w:rsid w:val="5CD25B3D"/>
    <w:rsid w:val="5CF10E39"/>
    <w:rsid w:val="5CF321ED"/>
    <w:rsid w:val="5CF52D6E"/>
    <w:rsid w:val="5CFE7C3F"/>
    <w:rsid w:val="5D0131B3"/>
    <w:rsid w:val="5D042FB1"/>
    <w:rsid w:val="5D0A04EA"/>
    <w:rsid w:val="5D1A2A7C"/>
    <w:rsid w:val="5D1D0666"/>
    <w:rsid w:val="5D245401"/>
    <w:rsid w:val="5D287F86"/>
    <w:rsid w:val="5D291C06"/>
    <w:rsid w:val="5D340EF8"/>
    <w:rsid w:val="5D354D18"/>
    <w:rsid w:val="5D465377"/>
    <w:rsid w:val="5D5749A7"/>
    <w:rsid w:val="5D6B2C6D"/>
    <w:rsid w:val="5D796F08"/>
    <w:rsid w:val="5D887E95"/>
    <w:rsid w:val="5D8A268F"/>
    <w:rsid w:val="5D8E0811"/>
    <w:rsid w:val="5D9E3BCD"/>
    <w:rsid w:val="5DA12EF6"/>
    <w:rsid w:val="5DA51F0A"/>
    <w:rsid w:val="5DA64068"/>
    <w:rsid w:val="5DA779D9"/>
    <w:rsid w:val="5DAF73C1"/>
    <w:rsid w:val="5DB96185"/>
    <w:rsid w:val="5DC319A5"/>
    <w:rsid w:val="5DD24E5D"/>
    <w:rsid w:val="5DD45079"/>
    <w:rsid w:val="5DD97E74"/>
    <w:rsid w:val="5DF9422C"/>
    <w:rsid w:val="5DFA7592"/>
    <w:rsid w:val="5E042B62"/>
    <w:rsid w:val="5E1172C8"/>
    <w:rsid w:val="5E1F706D"/>
    <w:rsid w:val="5E21062F"/>
    <w:rsid w:val="5E2463C6"/>
    <w:rsid w:val="5E2751A9"/>
    <w:rsid w:val="5E394EDC"/>
    <w:rsid w:val="5E4A533B"/>
    <w:rsid w:val="5E5A16CB"/>
    <w:rsid w:val="5E862A06"/>
    <w:rsid w:val="5E877FEF"/>
    <w:rsid w:val="5E8E347A"/>
    <w:rsid w:val="5E9071F2"/>
    <w:rsid w:val="5E9D755E"/>
    <w:rsid w:val="5EB92998"/>
    <w:rsid w:val="5EC01DF2"/>
    <w:rsid w:val="5ECF633C"/>
    <w:rsid w:val="5ED72F89"/>
    <w:rsid w:val="5EE52C76"/>
    <w:rsid w:val="5EE53DB9"/>
    <w:rsid w:val="5EF71BAD"/>
    <w:rsid w:val="5F1D65AC"/>
    <w:rsid w:val="5F286FBC"/>
    <w:rsid w:val="5F4D6E91"/>
    <w:rsid w:val="5F506981"/>
    <w:rsid w:val="5F566CDA"/>
    <w:rsid w:val="5F5E11F6"/>
    <w:rsid w:val="5F6318C1"/>
    <w:rsid w:val="5F661D01"/>
    <w:rsid w:val="5F8959EF"/>
    <w:rsid w:val="5FA62A45"/>
    <w:rsid w:val="5FC16118"/>
    <w:rsid w:val="5FC22B81"/>
    <w:rsid w:val="5FCD52BA"/>
    <w:rsid w:val="5FCF3D4A"/>
    <w:rsid w:val="5FCF5791"/>
    <w:rsid w:val="5FCF779B"/>
    <w:rsid w:val="5FD02D75"/>
    <w:rsid w:val="5FDE3BAD"/>
    <w:rsid w:val="5FE14E2A"/>
    <w:rsid w:val="5FE201F5"/>
    <w:rsid w:val="5FED5F7E"/>
    <w:rsid w:val="5FF72831"/>
    <w:rsid w:val="5FFC08B7"/>
    <w:rsid w:val="5FFD62D0"/>
    <w:rsid w:val="600734E4"/>
    <w:rsid w:val="600D06FC"/>
    <w:rsid w:val="60116111"/>
    <w:rsid w:val="60182CB2"/>
    <w:rsid w:val="601A545D"/>
    <w:rsid w:val="60292503"/>
    <w:rsid w:val="602C3CF8"/>
    <w:rsid w:val="602E7326"/>
    <w:rsid w:val="605B2D6C"/>
    <w:rsid w:val="606E6BD0"/>
    <w:rsid w:val="60754471"/>
    <w:rsid w:val="60822B6A"/>
    <w:rsid w:val="608D72C8"/>
    <w:rsid w:val="60AA0313"/>
    <w:rsid w:val="60C5514D"/>
    <w:rsid w:val="60CC2038"/>
    <w:rsid w:val="60EB2416"/>
    <w:rsid w:val="60EE0200"/>
    <w:rsid w:val="61024FA7"/>
    <w:rsid w:val="612F3E61"/>
    <w:rsid w:val="61501D2B"/>
    <w:rsid w:val="61502C69"/>
    <w:rsid w:val="615710D9"/>
    <w:rsid w:val="61610EF5"/>
    <w:rsid w:val="61673788"/>
    <w:rsid w:val="616876BA"/>
    <w:rsid w:val="616F5CEA"/>
    <w:rsid w:val="617F67CC"/>
    <w:rsid w:val="61811074"/>
    <w:rsid w:val="61891CD7"/>
    <w:rsid w:val="61923D99"/>
    <w:rsid w:val="619470EB"/>
    <w:rsid w:val="619C4100"/>
    <w:rsid w:val="61A178F2"/>
    <w:rsid w:val="61AB4343"/>
    <w:rsid w:val="61AF7EBA"/>
    <w:rsid w:val="61B2747F"/>
    <w:rsid w:val="61B718F7"/>
    <w:rsid w:val="61BA27D8"/>
    <w:rsid w:val="61C62F2B"/>
    <w:rsid w:val="61D06F95"/>
    <w:rsid w:val="61D75993"/>
    <w:rsid w:val="61E756BD"/>
    <w:rsid w:val="61F555BE"/>
    <w:rsid w:val="62194391"/>
    <w:rsid w:val="62267F4B"/>
    <w:rsid w:val="622C1B47"/>
    <w:rsid w:val="62326812"/>
    <w:rsid w:val="624625DA"/>
    <w:rsid w:val="624B5CD1"/>
    <w:rsid w:val="625F161B"/>
    <w:rsid w:val="626369CC"/>
    <w:rsid w:val="62830E1C"/>
    <w:rsid w:val="628652DF"/>
    <w:rsid w:val="628D0270"/>
    <w:rsid w:val="6291178B"/>
    <w:rsid w:val="629A0DE3"/>
    <w:rsid w:val="629D40A2"/>
    <w:rsid w:val="62A326F5"/>
    <w:rsid w:val="62A36DC8"/>
    <w:rsid w:val="62A36FB4"/>
    <w:rsid w:val="62A768B8"/>
    <w:rsid w:val="62AD71FA"/>
    <w:rsid w:val="62BB0192"/>
    <w:rsid w:val="62BC5FD6"/>
    <w:rsid w:val="62C0797A"/>
    <w:rsid w:val="62CC13F5"/>
    <w:rsid w:val="62D13A59"/>
    <w:rsid w:val="62D21CBE"/>
    <w:rsid w:val="62EF64B1"/>
    <w:rsid w:val="62F04EE0"/>
    <w:rsid w:val="62F473D5"/>
    <w:rsid w:val="62F66AC6"/>
    <w:rsid w:val="63085D89"/>
    <w:rsid w:val="63086882"/>
    <w:rsid w:val="630B32EB"/>
    <w:rsid w:val="63422A85"/>
    <w:rsid w:val="634C7460"/>
    <w:rsid w:val="63502316"/>
    <w:rsid w:val="63626220"/>
    <w:rsid w:val="63672428"/>
    <w:rsid w:val="63786354"/>
    <w:rsid w:val="637A0E94"/>
    <w:rsid w:val="63840244"/>
    <w:rsid w:val="638E7A78"/>
    <w:rsid w:val="63B55F55"/>
    <w:rsid w:val="63BF5E84"/>
    <w:rsid w:val="63C4329E"/>
    <w:rsid w:val="63CA7358"/>
    <w:rsid w:val="63E6054C"/>
    <w:rsid w:val="63F024E1"/>
    <w:rsid w:val="63F105D5"/>
    <w:rsid w:val="63F975E8"/>
    <w:rsid w:val="63FF4645"/>
    <w:rsid w:val="6402496A"/>
    <w:rsid w:val="642E704C"/>
    <w:rsid w:val="64335620"/>
    <w:rsid w:val="64353894"/>
    <w:rsid w:val="644F0FB6"/>
    <w:rsid w:val="645E38EF"/>
    <w:rsid w:val="6468132B"/>
    <w:rsid w:val="64813E50"/>
    <w:rsid w:val="648318D7"/>
    <w:rsid w:val="648336D6"/>
    <w:rsid w:val="64835727"/>
    <w:rsid w:val="649324D1"/>
    <w:rsid w:val="649B069F"/>
    <w:rsid w:val="64AF23D7"/>
    <w:rsid w:val="64CB64F4"/>
    <w:rsid w:val="64D83F59"/>
    <w:rsid w:val="64D97995"/>
    <w:rsid w:val="64F14763"/>
    <w:rsid w:val="65077AE2"/>
    <w:rsid w:val="65085608"/>
    <w:rsid w:val="650A1380"/>
    <w:rsid w:val="650D264A"/>
    <w:rsid w:val="6510599E"/>
    <w:rsid w:val="653553D2"/>
    <w:rsid w:val="65442AE4"/>
    <w:rsid w:val="65662483"/>
    <w:rsid w:val="656B0071"/>
    <w:rsid w:val="6571026B"/>
    <w:rsid w:val="6582360D"/>
    <w:rsid w:val="658C1E21"/>
    <w:rsid w:val="65A26342"/>
    <w:rsid w:val="65B90DA9"/>
    <w:rsid w:val="65BE3F06"/>
    <w:rsid w:val="65BF03BD"/>
    <w:rsid w:val="65CE0600"/>
    <w:rsid w:val="65D54C8C"/>
    <w:rsid w:val="65D57BE0"/>
    <w:rsid w:val="65DB5AC8"/>
    <w:rsid w:val="65F20792"/>
    <w:rsid w:val="65FD4C4A"/>
    <w:rsid w:val="65FE7137"/>
    <w:rsid w:val="66000465"/>
    <w:rsid w:val="6605665B"/>
    <w:rsid w:val="660A500E"/>
    <w:rsid w:val="663012BB"/>
    <w:rsid w:val="66317058"/>
    <w:rsid w:val="66321F8D"/>
    <w:rsid w:val="66342B59"/>
    <w:rsid w:val="6642401D"/>
    <w:rsid w:val="665A3E1B"/>
    <w:rsid w:val="665F0CD7"/>
    <w:rsid w:val="6664682D"/>
    <w:rsid w:val="666B73A8"/>
    <w:rsid w:val="668D7512"/>
    <w:rsid w:val="669C6028"/>
    <w:rsid w:val="669D534D"/>
    <w:rsid w:val="66A3383B"/>
    <w:rsid w:val="66AD5344"/>
    <w:rsid w:val="66AE444A"/>
    <w:rsid w:val="66B5531C"/>
    <w:rsid w:val="66B7651C"/>
    <w:rsid w:val="66BB0D4F"/>
    <w:rsid w:val="66C11F13"/>
    <w:rsid w:val="66D656DD"/>
    <w:rsid w:val="66DB485A"/>
    <w:rsid w:val="66DF144C"/>
    <w:rsid w:val="66E107AF"/>
    <w:rsid w:val="66E94F45"/>
    <w:rsid w:val="66FB6A5C"/>
    <w:rsid w:val="66FFFA55"/>
    <w:rsid w:val="67021D28"/>
    <w:rsid w:val="671C0F5D"/>
    <w:rsid w:val="672131A8"/>
    <w:rsid w:val="6727446C"/>
    <w:rsid w:val="67334BBF"/>
    <w:rsid w:val="6738702B"/>
    <w:rsid w:val="674D208B"/>
    <w:rsid w:val="676254A4"/>
    <w:rsid w:val="676905E0"/>
    <w:rsid w:val="677F7E04"/>
    <w:rsid w:val="678A02D7"/>
    <w:rsid w:val="678E7152"/>
    <w:rsid w:val="679C6C08"/>
    <w:rsid w:val="67A20389"/>
    <w:rsid w:val="67AA29A7"/>
    <w:rsid w:val="67AB677A"/>
    <w:rsid w:val="67AE38B3"/>
    <w:rsid w:val="67B82464"/>
    <w:rsid w:val="67C021CA"/>
    <w:rsid w:val="67C91D21"/>
    <w:rsid w:val="67D15FCC"/>
    <w:rsid w:val="67E14F7F"/>
    <w:rsid w:val="67ED7463"/>
    <w:rsid w:val="67F91F70"/>
    <w:rsid w:val="68000819"/>
    <w:rsid w:val="680C4CB4"/>
    <w:rsid w:val="680F708F"/>
    <w:rsid w:val="68152516"/>
    <w:rsid w:val="681A7AE0"/>
    <w:rsid w:val="681C1AF7"/>
    <w:rsid w:val="683F7593"/>
    <w:rsid w:val="6842021D"/>
    <w:rsid w:val="68541290"/>
    <w:rsid w:val="685A261F"/>
    <w:rsid w:val="685C6397"/>
    <w:rsid w:val="68637725"/>
    <w:rsid w:val="686D4100"/>
    <w:rsid w:val="68727A20"/>
    <w:rsid w:val="687C07E7"/>
    <w:rsid w:val="687E630D"/>
    <w:rsid w:val="688651C2"/>
    <w:rsid w:val="688A18E7"/>
    <w:rsid w:val="68953657"/>
    <w:rsid w:val="689C0F90"/>
    <w:rsid w:val="689C49E5"/>
    <w:rsid w:val="68B25FB7"/>
    <w:rsid w:val="68D1119C"/>
    <w:rsid w:val="68D51395"/>
    <w:rsid w:val="68D51CA5"/>
    <w:rsid w:val="68D54BAD"/>
    <w:rsid w:val="68D86F6F"/>
    <w:rsid w:val="69076FCD"/>
    <w:rsid w:val="69156F4A"/>
    <w:rsid w:val="69191363"/>
    <w:rsid w:val="69273FD9"/>
    <w:rsid w:val="6933534A"/>
    <w:rsid w:val="69464588"/>
    <w:rsid w:val="695C60D9"/>
    <w:rsid w:val="695D5F42"/>
    <w:rsid w:val="6962178B"/>
    <w:rsid w:val="69645F05"/>
    <w:rsid w:val="697655C4"/>
    <w:rsid w:val="69847953"/>
    <w:rsid w:val="69934FDB"/>
    <w:rsid w:val="699B1675"/>
    <w:rsid w:val="699B4C9D"/>
    <w:rsid w:val="699F478D"/>
    <w:rsid w:val="69BE5413"/>
    <w:rsid w:val="69C435D6"/>
    <w:rsid w:val="69D35ABE"/>
    <w:rsid w:val="69F73170"/>
    <w:rsid w:val="69FC398E"/>
    <w:rsid w:val="6A0C3D78"/>
    <w:rsid w:val="6A18009C"/>
    <w:rsid w:val="6A1A7CF2"/>
    <w:rsid w:val="6A1D5C82"/>
    <w:rsid w:val="6A205136"/>
    <w:rsid w:val="6A224828"/>
    <w:rsid w:val="6A293470"/>
    <w:rsid w:val="6A41142C"/>
    <w:rsid w:val="6A647785"/>
    <w:rsid w:val="6A69484A"/>
    <w:rsid w:val="6A6B7365"/>
    <w:rsid w:val="6A6C792F"/>
    <w:rsid w:val="6A835E5D"/>
    <w:rsid w:val="6A917422"/>
    <w:rsid w:val="6A997812"/>
    <w:rsid w:val="6AA24062"/>
    <w:rsid w:val="6AAB2201"/>
    <w:rsid w:val="6AB956BB"/>
    <w:rsid w:val="6ABA645B"/>
    <w:rsid w:val="6ABA73A5"/>
    <w:rsid w:val="6AC36CF9"/>
    <w:rsid w:val="6AC801AA"/>
    <w:rsid w:val="6ACB7804"/>
    <w:rsid w:val="6ACC31BC"/>
    <w:rsid w:val="6AD761A9"/>
    <w:rsid w:val="6AE236E0"/>
    <w:rsid w:val="6AEF0926"/>
    <w:rsid w:val="6B100A03"/>
    <w:rsid w:val="6B1427A5"/>
    <w:rsid w:val="6B256F14"/>
    <w:rsid w:val="6B2E3678"/>
    <w:rsid w:val="6B366E12"/>
    <w:rsid w:val="6B371AA7"/>
    <w:rsid w:val="6B40072F"/>
    <w:rsid w:val="6B511AB7"/>
    <w:rsid w:val="6B5D66AE"/>
    <w:rsid w:val="6B6350FA"/>
    <w:rsid w:val="6B6562D0"/>
    <w:rsid w:val="6B712159"/>
    <w:rsid w:val="6B7670E2"/>
    <w:rsid w:val="6B7D27DC"/>
    <w:rsid w:val="6B8754D9"/>
    <w:rsid w:val="6B9032E0"/>
    <w:rsid w:val="6BA3608B"/>
    <w:rsid w:val="6BA4408F"/>
    <w:rsid w:val="6BB97B5D"/>
    <w:rsid w:val="6BDA5F51"/>
    <w:rsid w:val="6BDE07B0"/>
    <w:rsid w:val="6BDF3567"/>
    <w:rsid w:val="6C165841"/>
    <w:rsid w:val="6C30791F"/>
    <w:rsid w:val="6C3D21F4"/>
    <w:rsid w:val="6C3F5DB4"/>
    <w:rsid w:val="6C4920F3"/>
    <w:rsid w:val="6C4B4A70"/>
    <w:rsid w:val="6C5A2BED"/>
    <w:rsid w:val="6C5D5295"/>
    <w:rsid w:val="6C6521D9"/>
    <w:rsid w:val="6C6972D4"/>
    <w:rsid w:val="6C727F37"/>
    <w:rsid w:val="6C77554D"/>
    <w:rsid w:val="6C91013B"/>
    <w:rsid w:val="6C9454B4"/>
    <w:rsid w:val="6C9C4FB4"/>
    <w:rsid w:val="6CA44A36"/>
    <w:rsid w:val="6CB16231"/>
    <w:rsid w:val="6CB218E1"/>
    <w:rsid w:val="6CB22A29"/>
    <w:rsid w:val="6CBA368C"/>
    <w:rsid w:val="6CC637E4"/>
    <w:rsid w:val="6CC91B21"/>
    <w:rsid w:val="6CCD7863"/>
    <w:rsid w:val="6CCE7A47"/>
    <w:rsid w:val="6CD00DCB"/>
    <w:rsid w:val="6CD56938"/>
    <w:rsid w:val="6CF66F76"/>
    <w:rsid w:val="6CFA04A0"/>
    <w:rsid w:val="6D046742"/>
    <w:rsid w:val="6D06567B"/>
    <w:rsid w:val="6D1B4804"/>
    <w:rsid w:val="6D294052"/>
    <w:rsid w:val="6D472F36"/>
    <w:rsid w:val="6D5533B5"/>
    <w:rsid w:val="6D702F45"/>
    <w:rsid w:val="6D714693"/>
    <w:rsid w:val="6D7E6C73"/>
    <w:rsid w:val="6D83255E"/>
    <w:rsid w:val="6D855A48"/>
    <w:rsid w:val="6D910891"/>
    <w:rsid w:val="6D9E2A7D"/>
    <w:rsid w:val="6DA335C4"/>
    <w:rsid w:val="6DAD4F9F"/>
    <w:rsid w:val="6DAD615B"/>
    <w:rsid w:val="6DBE0F5A"/>
    <w:rsid w:val="6DC3327E"/>
    <w:rsid w:val="6DDE51E1"/>
    <w:rsid w:val="6DE06CD0"/>
    <w:rsid w:val="6DE17243"/>
    <w:rsid w:val="6DE36991"/>
    <w:rsid w:val="6DE74955"/>
    <w:rsid w:val="6DF6187E"/>
    <w:rsid w:val="6E1E5318"/>
    <w:rsid w:val="6E1F5E9D"/>
    <w:rsid w:val="6E36142B"/>
    <w:rsid w:val="6E3A2CD6"/>
    <w:rsid w:val="6E3B50E8"/>
    <w:rsid w:val="6E414065"/>
    <w:rsid w:val="6E613510"/>
    <w:rsid w:val="6E623065"/>
    <w:rsid w:val="6E6733A0"/>
    <w:rsid w:val="6E6E75D4"/>
    <w:rsid w:val="6E716BAF"/>
    <w:rsid w:val="6E8D6CB9"/>
    <w:rsid w:val="6E98633A"/>
    <w:rsid w:val="6EA142D6"/>
    <w:rsid w:val="6EB81E4D"/>
    <w:rsid w:val="6EC627BC"/>
    <w:rsid w:val="6EDA6598"/>
    <w:rsid w:val="6EE1128B"/>
    <w:rsid w:val="6EF530A1"/>
    <w:rsid w:val="6F04407F"/>
    <w:rsid w:val="6F0C3476"/>
    <w:rsid w:val="6F3D68D5"/>
    <w:rsid w:val="6F3E2352"/>
    <w:rsid w:val="6F467459"/>
    <w:rsid w:val="6F667AFB"/>
    <w:rsid w:val="6F7B25C1"/>
    <w:rsid w:val="6F7E3097"/>
    <w:rsid w:val="6F936CF5"/>
    <w:rsid w:val="6F9B4DC7"/>
    <w:rsid w:val="6FA6675B"/>
    <w:rsid w:val="6FAA79E8"/>
    <w:rsid w:val="6FAC3760"/>
    <w:rsid w:val="6FBE0EAD"/>
    <w:rsid w:val="6FC21A38"/>
    <w:rsid w:val="6FC65DF5"/>
    <w:rsid w:val="6FD50BCF"/>
    <w:rsid w:val="6FDA6E00"/>
    <w:rsid w:val="6FF9271D"/>
    <w:rsid w:val="701357A0"/>
    <w:rsid w:val="702C559D"/>
    <w:rsid w:val="70331B5F"/>
    <w:rsid w:val="703379DD"/>
    <w:rsid w:val="703B3B29"/>
    <w:rsid w:val="703B4AE4"/>
    <w:rsid w:val="704B7D8D"/>
    <w:rsid w:val="706B7016"/>
    <w:rsid w:val="707567AC"/>
    <w:rsid w:val="708F0257"/>
    <w:rsid w:val="709541F4"/>
    <w:rsid w:val="70BF39FA"/>
    <w:rsid w:val="70CE3BAA"/>
    <w:rsid w:val="70D00087"/>
    <w:rsid w:val="70DA60AB"/>
    <w:rsid w:val="70E56002"/>
    <w:rsid w:val="70FC1726"/>
    <w:rsid w:val="71002A41"/>
    <w:rsid w:val="711041C2"/>
    <w:rsid w:val="711710AD"/>
    <w:rsid w:val="711A6D17"/>
    <w:rsid w:val="71320FFA"/>
    <w:rsid w:val="713B6CCF"/>
    <w:rsid w:val="713C5FF9"/>
    <w:rsid w:val="71480D75"/>
    <w:rsid w:val="71753A9C"/>
    <w:rsid w:val="71780C71"/>
    <w:rsid w:val="71866233"/>
    <w:rsid w:val="71940A21"/>
    <w:rsid w:val="719C15B2"/>
    <w:rsid w:val="71C561B9"/>
    <w:rsid w:val="71CB7924"/>
    <w:rsid w:val="71CF7BDA"/>
    <w:rsid w:val="71EF5B86"/>
    <w:rsid w:val="72005FE5"/>
    <w:rsid w:val="720447E6"/>
    <w:rsid w:val="7214383E"/>
    <w:rsid w:val="721675B7"/>
    <w:rsid w:val="72192252"/>
    <w:rsid w:val="72192C03"/>
    <w:rsid w:val="721E646B"/>
    <w:rsid w:val="72313FCD"/>
    <w:rsid w:val="72320C13"/>
    <w:rsid w:val="7239220A"/>
    <w:rsid w:val="723B6919"/>
    <w:rsid w:val="724B3A15"/>
    <w:rsid w:val="724C2FD8"/>
    <w:rsid w:val="725D3437"/>
    <w:rsid w:val="725D421F"/>
    <w:rsid w:val="725E2D0C"/>
    <w:rsid w:val="727A3E41"/>
    <w:rsid w:val="727E18F1"/>
    <w:rsid w:val="728F1117"/>
    <w:rsid w:val="72955527"/>
    <w:rsid w:val="72A050D2"/>
    <w:rsid w:val="72A41D88"/>
    <w:rsid w:val="72A45685"/>
    <w:rsid w:val="72B50B7E"/>
    <w:rsid w:val="72B604C1"/>
    <w:rsid w:val="72B91E38"/>
    <w:rsid w:val="72D40328"/>
    <w:rsid w:val="72F0605A"/>
    <w:rsid w:val="72F21F81"/>
    <w:rsid w:val="72FD42D3"/>
    <w:rsid w:val="7301693A"/>
    <w:rsid w:val="730256BA"/>
    <w:rsid w:val="7315161C"/>
    <w:rsid w:val="7320374B"/>
    <w:rsid w:val="73462701"/>
    <w:rsid w:val="734906D2"/>
    <w:rsid w:val="737814DC"/>
    <w:rsid w:val="737D308C"/>
    <w:rsid w:val="737F4795"/>
    <w:rsid w:val="738172DC"/>
    <w:rsid w:val="7386076C"/>
    <w:rsid w:val="738B0EBB"/>
    <w:rsid w:val="73A155A6"/>
    <w:rsid w:val="73A34A08"/>
    <w:rsid w:val="73B26069"/>
    <w:rsid w:val="73B9469D"/>
    <w:rsid w:val="73D14701"/>
    <w:rsid w:val="73DC20DD"/>
    <w:rsid w:val="73EF00BF"/>
    <w:rsid w:val="73F2242D"/>
    <w:rsid w:val="73FD43FF"/>
    <w:rsid w:val="7415331D"/>
    <w:rsid w:val="742552BF"/>
    <w:rsid w:val="743326A2"/>
    <w:rsid w:val="74360DA7"/>
    <w:rsid w:val="745417F1"/>
    <w:rsid w:val="745F3497"/>
    <w:rsid w:val="746019E4"/>
    <w:rsid w:val="74724642"/>
    <w:rsid w:val="74780A2A"/>
    <w:rsid w:val="747D3C70"/>
    <w:rsid w:val="748A4983"/>
    <w:rsid w:val="74936C9D"/>
    <w:rsid w:val="74A12027"/>
    <w:rsid w:val="74B30951"/>
    <w:rsid w:val="74B6388F"/>
    <w:rsid w:val="74C90910"/>
    <w:rsid w:val="74EA4FDD"/>
    <w:rsid w:val="7510107A"/>
    <w:rsid w:val="751A0EF3"/>
    <w:rsid w:val="751D2A0A"/>
    <w:rsid w:val="7527366D"/>
    <w:rsid w:val="75330480"/>
    <w:rsid w:val="753871DF"/>
    <w:rsid w:val="753D12FE"/>
    <w:rsid w:val="75476CAA"/>
    <w:rsid w:val="755B653D"/>
    <w:rsid w:val="755D40CD"/>
    <w:rsid w:val="755F2B0A"/>
    <w:rsid w:val="756D3991"/>
    <w:rsid w:val="75760F5D"/>
    <w:rsid w:val="7577036C"/>
    <w:rsid w:val="75794B32"/>
    <w:rsid w:val="75823D9F"/>
    <w:rsid w:val="75952577"/>
    <w:rsid w:val="759A2D2F"/>
    <w:rsid w:val="75B710B1"/>
    <w:rsid w:val="75B85D2F"/>
    <w:rsid w:val="75BA294F"/>
    <w:rsid w:val="75BA734C"/>
    <w:rsid w:val="75C8567E"/>
    <w:rsid w:val="75E672A0"/>
    <w:rsid w:val="760A1338"/>
    <w:rsid w:val="760C31AA"/>
    <w:rsid w:val="760E58AB"/>
    <w:rsid w:val="761A1300"/>
    <w:rsid w:val="762D2E0A"/>
    <w:rsid w:val="763B4B15"/>
    <w:rsid w:val="7642015A"/>
    <w:rsid w:val="764A782F"/>
    <w:rsid w:val="76627753"/>
    <w:rsid w:val="76654669"/>
    <w:rsid w:val="76676633"/>
    <w:rsid w:val="76684494"/>
    <w:rsid w:val="76685F07"/>
    <w:rsid w:val="767174B1"/>
    <w:rsid w:val="76934E17"/>
    <w:rsid w:val="7697276E"/>
    <w:rsid w:val="76984881"/>
    <w:rsid w:val="76B247FD"/>
    <w:rsid w:val="76BA51F0"/>
    <w:rsid w:val="76C577FD"/>
    <w:rsid w:val="76C808E8"/>
    <w:rsid w:val="76CC336E"/>
    <w:rsid w:val="76D040B0"/>
    <w:rsid w:val="76DA1CAD"/>
    <w:rsid w:val="76E51514"/>
    <w:rsid w:val="76EB5CC7"/>
    <w:rsid w:val="76FB4FCD"/>
    <w:rsid w:val="76FB76A4"/>
    <w:rsid w:val="770C2D36"/>
    <w:rsid w:val="770F0450"/>
    <w:rsid w:val="77266D5B"/>
    <w:rsid w:val="77290F7D"/>
    <w:rsid w:val="774056FE"/>
    <w:rsid w:val="774249AA"/>
    <w:rsid w:val="775E4832"/>
    <w:rsid w:val="7769651F"/>
    <w:rsid w:val="7772528F"/>
    <w:rsid w:val="777B183A"/>
    <w:rsid w:val="777F2FEF"/>
    <w:rsid w:val="77846CDF"/>
    <w:rsid w:val="77855149"/>
    <w:rsid w:val="779121BD"/>
    <w:rsid w:val="779C5C9D"/>
    <w:rsid w:val="779D7F84"/>
    <w:rsid w:val="77A05B36"/>
    <w:rsid w:val="77A2369A"/>
    <w:rsid w:val="77A2719E"/>
    <w:rsid w:val="77A458E3"/>
    <w:rsid w:val="77AC54F3"/>
    <w:rsid w:val="77B77146"/>
    <w:rsid w:val="77B82363"/>
    <w:rsid w:val="77BD2AA6"/>
    <w:rsid w:val="77C4093A"/>
    <w:rsid w:val="77CB4ADD"/>
    <w:rsid w:val="77E2289D"/>
    <w:rsid w:val="77FF6D92"/>
    <w:rsid w:val="780334F2"/>
    <w:rsid w:val="782D036F"/>
    <w:rsid w:val="785E1CB7"/>
    <w:rsid w:val="786077DD"/>
    <w:rsid w:val="786170B2"/>
    <w:rsid w:val="786C017F"/>
    <w:rsid w:val="7876121D"/>
    <w:rsid w:val="7879341E"/>
    <w:rsid w:val="78794082"/>
    <w:rsid w:val="78857244"/>
    <w:rsid w:val="789816F7"/>
    <w:rsid w:val="789E0306"/>
    <w:rsid w:val="789F3838"/>
    <w:rsid w:val="78A27DF6"/>
    <w:rsid w:val="78A376CA"/>
    <w:rsid w:val="78B6564F"/>
    <w:rsid w:val="78BD69DE"/>
    <w:rsid w:val="78CB7157"/>
    <w:rsid w:val="78E82D76"/>
    <w:rsid w:val="78EE3C67"/>
    <w:rsid w:val="78F42CC0"/>
    <w:rsid w:val="78FB5758"/>
    <w:rsid w:val="78FB7506"/>
    <w:rsid w:val="79165A2F"/>
    <w:rsid w:val="79207C11"/>
    <w:rsid w:val="79226328"/>
    <w:rsid w:val="79242D6F"/>
    <w:rsid w:val="79266ACC"/>
    <w:rsid w:val="79312F28"/>
    <w:rsid w:val="793D18CD"/>
    <w:rsid w:val="794A3988"/>
    <w:rsid w:val="794E3ADA"/>
    <w:rsid w:val="79517126"/>
    <w:rsid w:val="7955704F"/>
    <w:rsid w:val="795804B5"/>
    <w:rsid w:val="795A5FDB"/>
    <w:rsid w:val="796706F8"/>
    <w:rsid w:val="79686716"/>
    <w:rsid w:val="796A4B47"/>
    <w:rsid w:val="79711576"/>
    <w:rsid w:val="7972002F"/>
    <w:rsid w:val="79786DA9"/>
    <w:rsid w:val="79876FC5"/>
    <w:rsid w:val="798E79CF"/>
    <w:rsid w:val="79A225C5"/>
    <w:rsid w:val="79A436FA"/>
    <w:rsid w:val="79A63514"/>
    <w:rsid w:val="79A92AE0"/>
    <w:rsid w:val="79A96F62"/>
    <w:rsid w:val="79AB2CDA"/>
    <w:rsid w:val="79AD6A52"/>
    <w:rsid w:val="79B81BF4"/>
    <w:rsid w:val="79C8388C"/>
    <w:rsid w:val="79C93160"/>
    <w:rsid w:val="79D16CED"/>
    <w:rsid w:val="79D36586"/>
    <w:rsid w:val="79D45CED"/>
    <w:rsid w:val="79E47F9A"/>
    <w:rsid w:val="7A010B4C"/>
    <w:rsid w:val="7A036672"/>
    <w:rsid w:val="7A055417"/>
    <w:rsid w:val="7A6148C7"/>
    <w:rsid w:val="7A726F30"/>
    <w:rsid w:val="7A7C6425"/>
    <w:rsid w:val="7A8333F9"/>
    <w:rsid w:val="7A8F6158"/>
    <w:rsid w:val="7A9D6AC7"/>
    <w:rsid w:val="7AA8541C"/>
    <w:rsid w:val="7AB157E6"/>
    <w:rsid w:val="7AC52D43"/>
    <w:rsid w:val="7AE71DB9"/>
    <w:rsid w:val="7AF81F4F"/>
    <w:rsid w:val="7AFF1777"/>
    <w:rsid w:val="7B191EC6"/>
    <w:rsid w:val="7B2E0DA0"/>
    <w:rsid w:val="7B2E3233"/>
    <w:rsid w:val="7B384EF0"/>
    <w:rsid w:val="7B3B1E3C"/>
    <w:rsid w:val="7B4E1B6F"/>
    <w:rsid w:val="7B4E22CE"/>
    <w:rsid w:val="7B4E6143"/>
    <w:rsid w:val="7B542EFE"/>
    <w:rsid w:val="7B5E06A9"/>
    <w:rsid w:val="7B8063CB"/>
    <w:rsid w:val="7B89704B"/>
    <w:rsid w:val="7B964991"/>
    <w:rsid w:val="7B991BC7"/>
    <w:rsid w:val="7B9E1624"/>
    <w:rsid w:val="7BB06386"/>
    <w:rsid w:val="7BB776C5"/>
    <w:rsid w:val="7BC27D34"/>
    <w:rsid w:val="7BDC4146"/>
    <w:rsid w:val="7BE10C35"/>
    <w:rsid w:val="7BF344C5"/>
    <w:rsid w:val="7BFA3AA5"/>
    <w:rsid w:val="7BFF2E69"/>
    <w:rsid w:val="7C005E12"/>
    <w:rsid w:val="7C016BE2"/>
    <w:rsid w:val="7C06069C"/>
    <w:rsid w:val="7C161DFC"/>
    <w:rsid w:val="7C1C72CB"/>
    <w:rsid w:val="7C2B2B1D"/>
    <w:rsid w:val="7C384BC5"/>
    <w:rsid w:val="7C5C4E60"/>
    <w:rsid w:val="7C6E384E"/>
    <w:rsid w:val="7C865339"/>
    <w:rsid w:val="7C8E41ED"/>
    <w:rsid w:val="7C8E750C"/>
    <w:rsid w:val="7C96077E"/>
    <w:rsid w:val="7CC02A4E"/>
    <w:rsid w:val="7CD7624D"/>
    <w:rsid w:val="7CE9012A"/>
    <w:rsid w:val="7CEA0082"/>
    <w:rsid w:val="7D1E1A15"/>
    <w:rsid w:val="7D2360EE"/>
    <w:rsid w:val="7D276B1C"/>
    <w:rsid w:val="7D3919F8"/>
    <w:rsid w:val="7D3B627A"/>
    <w:rsid w:val="7D4A45B8"/>
    <w:rsid w:val="7D4F6073"/>
    <w:rsid w:val="7D6E640E"/>
    <w:rsid w:val="7D7E6734"/>
    <w:rsid w:val="7D891584"/>
    <w:rsid w:val="7D8E6B9B"/>
    <w:rsid w:val="7DC74CB0"/>
    <w:rsid w:val="7DCE343B"/>
    <w:rsid w:val="7DD0267D"/>
    <w:rsid w:val="7DD16A88"/>
    <w:rsid w:val="7DDD71DA"/>
    <w:rsid w:val="7DE80F6C"/>
    <w:rsid w:val="7E097FCF"/>
    <w:rsid w:val="7E25732C"/>
    <w:rsid w:val="7E3F359E"/>
    <w:rsid w:val="7E4333AF"/>
    <w:rsid w:val="7E4600A7"/>
    <w:rsid w:val="7E477101"/>
    <w:rsid w:val="7E4F632A"/>
    <w:rsid w:val="7E573431"/>
    <w:rsid w:val="7E5C3F56"/>
    <w:rsid w:val="7E6568EB"/>
    <w:rsid w:val="7E77759E"/>
    <w:rsid w:val="7E811183"/>
    <w:rsid w:val="7E812B87"/>
    <w:rsid w:val="7E8528B6"/>
    <w:rsid w:val="7E8B6D51"/>
    <w:rsid w:val="7E926217"/>
    <w:rsid w:val="7E926EA7"/>
    <w:rsid w:val="7EA65BD8"/>
    <w:rsid w:val="7EAA50EC"/>
    <w:rsid w:val="7EC565EC"/>
    <w:rsid w:val="7EDFC1E4"/>
    <w:rsid w:val="7EE36A72"/>
    <w:rsid w:val="7EEF71C5"/>
    <w:rsid w:val="7EF73808"/>
    <w:rsid w:val="7F034FD4"/>
    <w:rsid w:val="7F040F9A"/>
    <w:rsid w:val="7F08472B"/>
    <w:rsid w:val="7F1017DB"/>
    <w:rsid w:val="7F1D6663"/>
    <w:rsid w:val="7F233313"/>
    <w:rsid w:val="7F2C427F"/>
    <w:rsid w:val="7F2D1F8D"/>
    <w:rsid w:val="7F3823EB"/>
    <w:rsid w:val="7F441075"/>
    <w:rsid w:val="7F4C0ABC"/>
    <w:rsid w:val="7F4E65E2"/>
    <w:rsid w:val="7F5C42F5"/>
    <w:rsid w:val="7F7A24C4"/>
    <w:rsid w:val="7F7E71C0"/>
    <w:rsid w:val="7FAF4C78"/>
    <w:rsid w:val="7FBD5515"/>
    <w:rsid w:val="7FBF128D"/>
    <w:rsid w:val="7FC05B1E"/>
    <w:rsid w:val="7FC32A70"/>
    <w:rsid w:val="7FCA030F"/>
    <w:rsid w:val="7FD37D8B"/>
    <w:rsid w:val="7FEFA39F"/>
    <w:rsid w:val="7FF151BF"/>
    <w:rsid w:val="BF2FD4BF"/>
    <w:rsid w:val="BFD34747"/>
    <w:rsid w:val="D76FA03C"/>
    <w:rsid w:val="DDB97399"/>
    <w:rsid w:val="DFCE0F72"/>
    <w:rsid w:val="F4F5DFD1"/>
    <w:rsid w:val="F5FAA10B"/>
    <w:rsid w:val="F7ED1F35"/>
    <w:rsid w:val="F9D5A820"/>
    <w:rsid w:val="FDBC6384"/>
    <w:rsid w:val="FEA7636A"/>
    <w:rsid w:val="FFF5D212"/>
    <w:rsid w:val="FFFD9E85"/>
    <w:rsid w:val="FFFDA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72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29"/>
    <w:qFormat/>
    <w:uiPriority w:val="0"/>
    <w:pPr>
      <w:keepNext/>
      <w:keepLines/>
      <w:ind w:firstLine="321"/>
      <w:outlineLvl w:val="0"/>
    </w:pPr>
    <w:rPr>
      <w:rFonts w:eastAsia="黑体" w:asciiTheme="minorHAnsi" w:hAnsiTheme="minorHAnsi" w:cstheme="minorBidi"/>
      <w:b/>
      <w:bCs/>
      <w:kern w:val="44"/>
      <w:szCs w:val="44"/>
    </w:rPr>
  </w:style>
  <w:style w:type="paragraph" w:styleId="4">
    <w:name w:val="heading 2"/>
    <w:basedOn w:val="1"/>
    <w:next w:val="1"/>
    <w:unhideWhenUsed/>
    <w:qFormat/>
    <w:uiPriority w:val="0"/>
    <w:pPr>
      <w:keepNext/>
      <w:keepLines/>
      <w:outlineLvl w:val="1"/>
    </w:pPr>
    <w:rPr>
      <w:rFonts w:eastAsia="楷体_GB2312"/>
      <w:b/>
    </w:rPr>
  </w:style>
  <w:style w:type="paragraph" w:styleId="5">
    <w:name w:val="heading 3"/>
    <w:basedOn w:val="1"/>
    <w:next w:val="1"/>
    <w:unhideWhenUsed/>
    <w:qFormat/>
    <w:uiPriority w:val="0"/>
    <w:pPr>
      <w:keepNext/>
      <w:outlineLvl w:val="2"/>
    </w:pPr>
    <w:rPr>
      <w:b/>
    </w:rPr>
  </w:style>
  <w:style w:type="paragraph" w:styleId="6">
    <w:name w:val="heading 4"/>
    <w:basedOn w:val="1"/>
    <w:next w:val="1"/>
    <w:unhideWhenUsed/>
    <w:qFormat/>
    <w:uiPriority w:val="0"/>
    <w:pPr>
      <w:keepNext/>
      <w:keepLines/>
      <w:outlineLvl w:val="3"/>
    </w:pPr>
    <w:rPr>
      <w:rFonts w:ascii="Arial" w:hAnsi="Arial"/>
      <w:b/>
    </w:rPr>
  </w:style>
  <w:style w:type="paragraph" w:styleId="7">
    <w:name w:val="heading 6"/>
    <w:basedOn w:val="1"/>
    <w:next w:val="1"/>
    <w:qFormat/>
    <w:uiPriority w:val="0"/>
    <w:pPr>
      <w:keepNext/>
      <w:keepLines/>
      <w:widowControl w:val="0"/>
      <w:numPr>
        <w:ilvl w:val="5"/>
        <w:numId w:val="1"/>
      </w:numPr>
      <w:spacing w:line="560" w:lineRule="exact"/>
      <w:ind w:left="0" w:firstLine="0"/>
      <w:outlineLvl w:val="5"/>
    </w:pPr>
    <w:rPr>
      <w:rFonts w:ascii="Arial" w:hAnsi="Arial" w:eastAsia="楷体_GB2312"/>
      <w:bCs/>
      <w:sz w:val="32"/>
      <w:szCs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cs="Times New Roman"/>
    </w:rPr>
  </w:style>
  <w:style w:type="paragraph" w:styleId="8">
    <w:name w:val="annotation text"/>
    <w:basedOn w:val="1"/>
    <w:qFormat/>
    <w:uiPriority w:val="0"/>
    <w:pPr>
      <w:jc w:val="left"/>
    </w:pPr>
  </w:style>
  <w:style w:type="paragraph" w:styleId="9">
    <w:name w:val="Body Text"/>
    <w:basedOn w:val="1"/>
    <w:qFormat/>
    <w:uiPriority w:val="0"/>
    <w:pPr>
      <w:spacing w:line="288" w:lineRule="auto"/>
      <w:ind w:firstLine="0" w:firstLineChars="0"/>
      <w:jc w:val="center"/>
    </w:pPr>
    <w:rPr>
      <w:rFonts w:ascii="仿宋_GB2312" w:hAnsi="仿宋_GB2312"/>
      <w:sz w:val="24"/>
    </w:rPr>
  </w:style>
  <w:style w:type="paragraph" w:styleId="10">
    <w:name w:val="Body Text Indent"/>
    <w:basedOn w:val="1"/>
    <w:next w:val="11"/>
    <w:qFormat/>
    <w:uiPriority w:val="99"/>
    <w:pPr>
      <w:spacing w:after="120"/>
      <w:ind w:left="420" w:leftChars="200"/>
    </w:pPr>
    <w:rPr>
      <w:rFonts w:ascii="Times New Roman" w:hAnsi="Times New Roman" w:cs="Times New Roman"/>
    </w:rPr>
  </w:style>
  <w:style w:type="paragraph" w:customStyle="1" w:styleId="11">
    <w:name w:val="样式 正文文本缩进 + 左侧:  2 字符"/>
    <w:qFormat/>
    <w:uiPriority w:val="0"/>
    <w:pPr>
      <w:widowControl w:val="0"/>
      <w:suppressAutoHyphens/>
      <w:spacing w:line="360" w:lineRule="auto"/>
      <w:ind w:firstLine="200"/>
      <w:jc w:val="both"/>
    </w:pPr>
    <w:rPr>
      <w:rFonts w:ascii="宋体" w:hAnsi="宋体" w:eastAsia="宋体" w:cs="宋体"/>
      <w:kern w:val="1"/>
      <w:sz w:val="21"/>
      <w:lang w:val="en-US" w:eastAsia="zh-CN" w:bidi="ar-SA"/>
    </w:rPr>
  </w:style>
  <w:style w:type="paragraph" w:styleId="12">
    <w:name w:val="toc 3"/>
    <w:basedOn w:val="1"/>
    <w:next w:val="1"/>
    <w:qFormat/>
    <w:uiPriority w:val="39"/>
    <w:pPr>
      <w:ind w:left="640" w:leftChars="200"/>
    </w:pPr>
    <w:rPr>
      <w:rFonts w:ascii="Times New Roman" w:hAnsi="Times New Roman"/>
    </w:rPr>
  </w:style>
  <w:style w:type="paragraph" w:styleId="13">
    <w:name w:val="Plain Text"/>
    <w:basedOn w:val="1"/>
    <w:next w:val="1"/>
    <w:qFormat/>
    <w:uiPriority w:val="0"/>
    <w:rPr>
      <w:rFonts w:cs="Courier New" w:asciiTheme="minorHAnsi" w:hAnsiTheme="minorHAnsi"/>
      <w:szCs w:val="20"/>
    </w:rPr>
  </w:style>
  <w:style w:type="paragraph" w:styleId="14">
    <w:name w:val="footer"/>
    <w:basedOn w:val="1"/>
    <w:link w:val="41"/>
    <w:qFormat/>
    <w:uiPriority w:val="99"/>
    <w:pPr>
      <w:tabs>
        <w:tab w:val="center" w:pos="4153"/>
        <w:tab w:val="right" w:pos="8306"/>
      </w:tabs>
      <w:snapToGrid w:val="0"/>
      <w:jc w:val="left"/>
    </w:pPr>
    <w:rPr>
      <w:sz w:val="18"/>
    </w:rPr>
  </w:style>
  <w:style w:type="paragraph" w:styleId="15">
    <w:name w:val="header"/>
    <w:basedOn w:val="1"/>
    <w:link w:val="4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6">
    <w:name w:val="toc 1"/>
    <w:basedOn w:val="1"/>
    <w:next w:val="1"/>
    <w:qFormat/>
    <w:uiPriority w:val="39"/>
    <w:pPr>
      <w:ind w:firstLine="0" w:firstLineChars="0"/>
    </w:pPr>
    <w:rPr>
      <w:rFonts w:ascii="Times New Roman" w:hAnsi="Times New Roman"/>
    </w:rPr>
  </w:style>
  <w:style w:type="paragraph" w:styleId="17">
    <w:name w:val="footnote text"/>
    <w:qFormat/>
    <w:uiPriority w:val="0"/>
    <w:pPr>
      <w:widowControl w:val="0"/>
      <w:snapToGrid w:val="0"/>
      <w:spacing w:line="560" w:lineRule="exact"/>
      <w:ind w:firstLine="880" w:firstLineChars="200"/>
    </w:pPr>
    <w:rPr>
      <w:rFonts w:ascii="Calibri" w:hAnsi="Calibri" w:eastAsia="仿宋_GB2312" w:cs="Times New Roman"/>
      <w:kern w:val="2"/>
      <w:sz w:val="18"/>
      <w:szCs w:val="18"/>
      <w:lang w:val="en-US" w:eastAsia="zh-CN" w:bidi="ar-SA"/>
    </w:rPr>
  </w:style>
  <w:style w:type="paragraph" w:styleId="18">
    <w:name w:val="table of figures"/>
    <w:basedOn w:val="1"/>
    <w:next w:val="1"/>
    <w:qFormat/>
    <w:uiPriority w:val="0"/>
    <w:pPr>
      <w:ind w:left="200" w:leftChars="200" w:firstLine="0" w:firstLineChars="0"/>
    </w:pPr>
  </w:style>
  <w:style w:type="paragraph" w:styleId="19">
    <w:name w:val="toc 2"/>
    <w:basedOn w:val="1"/>
    <w:next w:val="1"/>
    <w:qFormat/>
    <w:uiPriority w:val="39"/>
    <w:pPr>
      <w:ind w:left="0" w:leftChars="0"/>
    </w:pPr>
    <w:rPr>
      <w:rFonts w:ascii="Times New Roman" w:hAnsi="Times New Roman"/>
    </w:rPr>
  </w:style>
  <w:style w:type="paragraph" w:styleId="20">
    <w:name w:val="Normal (Web)"/>
    <w:basedOn w:val="1"/>
    <w:qFormat/>
    <w:uiPriority w:val="0"/>
    <w:pPr>
      <w:spacing w:beforeAutospacing="1" w:afterAutospacing="1"/>
      <w:ind w:firstLine="0" w:firstLineChars="0"/>
      <w:jc w:val="left"/>
    </w:pPr>
    <w:rPr>
      <w:kern w:val="0"/>
      <w:sz w:val="24"/>
    </w:rPr>
  </w:style>
  <w:style w:type="paragraph" w:styleId="21">
    <w:name w:val="Body Text First Indent 2"/>
    <w:basedOn w:val="10"/>
    <w:next w:val="1"/>
    <w:qFormat/>
    <w:uiPriority w:val="99"/>
    <w:pPr>
      <w:ind w:firstLine="420" w:firstLineChars="2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Emphasis"/>
    <w:basedOn w:val="24"/>
    <w:qFormat/>
    <w:uiPriority w:val="0"/>
    <w:rPr>
      <w:i/>
    </w:rPr>
  </w:style>
  <w:style w:type="character" w:styleId="27">
    <w:name w:val="Hyperlink"/>
    <w:basedOn w:val="24"/>
    <w:unhideWhenUsed/>
    <w:qFormat/>
    <w:uiPriority w:val="99"/>
    <w:rPr>
      <w:color w:val="0563C1" w:themeColor="hyperlink"/>
      <w:u w:val="single"/>
      <w14:textFill>
        <w14:solidFill>
          <w14:schemeClr w14:val="hlink"/>
        </w14:solidFill>
      </w14:textFill>
    </w:rPr>
  </w:style>
  <w:style w:type="character" w:styleId="28">
    <w:name w:val="footnote reference"/>
    <w:qFormat/>
    <w:uiPriority w:val="0"/>
    <w:rPr>
      <w:vertAlign w:val="superscript"/>
    </w:rPr>
  </w:style>
  <w:style w:type="character" w:customStyle="1" w:styleId="29">
    <w:name w:val="标题 1 字符"/>
    <w:basedOn w:val="24"/>
    <w:link w:val="3"/>
    <w:qFormat/>
    <w:uiPriority w:val="9"/>
    <w:rPr>
      <w:rFonts w:eastAsia="黑体" w:asciiTheme="minorHAnsi" w:hAnsiTheme="minorHAnsi"/>
      <w:b/>
      <w:bCs/>
      <w:kern w:val="44"/>
      <w:sz w:val="32"/>
      <w:szCs w:val="44"/>
    </w:rPr>
  </w:style>
  <w:style w:type="paragraph" w:customStyle="1" w:styleId="30">
    <w:name w:val="Heading6"/>
    <w:next w:val="1"/>
    <w:qFormat/>
    <w:uiPriority w:val="0"/>
    <w:pPr>
      <w:keepNext/>
      <w:keepLines/>
      <w:widowControl w:val="0"/>
      <w:spacing w:before="240" w:after="64" w:line="317" w:lineRule="auto"/>
      <w:jc w:val="both"/>
      <w:textAlignment w:val="baseline"/>
    </w:pPr>
    <w:rPr>
      <w:rFonts w:ascii="Arial" w:hAnsi="Arial" w:eastAsia="黑体" w:cs="Times New Roman"/>
      <w:b/>
      <w:bCs/>
      <w:kern w:val="2"/>
      <w:sz w:val="24"/>
      <w:szCs w:val="24"/>
      <w:lang w:val="en-US" w:eastAsia="zh-CN" w:bidi="ar-SA"/>
    </w:rPr>
  </w:style>
  <w:style w:type="paragraph" w:customStyle="1" w:styleId="31">
    <w:name w:val="报告内文"/>
    <w:basedOn w:val="1"/>
    <w:link w:val="32"/>
    <w:qFormat/>
    <w:uiPriority w:val="0"/>
    <w:pPr>
      <w:adjustRightInd w:val="0"/>
      <w:snapToGrid w:val="0"/>
      <w:spacing w:after="156" w:line="288" w:lineRule="auto"/>
    </w:pPr>
    <w:rPr>
      <w:rFonts w:ascii="微软雅黑" w:hAnsi="微软雅黑" w:eastAsia="微软雅黑" w:cstheme="minorBidi"/>
      <w:color w:val="404040" w:themeColor="text1" w:themeTint="BF"/>
      <w:sz w:val="18"/>
      <w:szCs w:val="18"/>
      <w14:textFill>
        <w14:solidFill>
          <w14:schemeClr w14:val="tx1">
            <w14:lumMod w14:val="75000"/>
            <w14:lumOff w14:val="25000"/>
          </w14:schemeClr>
        </w14:solidFill>
      </w14:textFill>
    </w:rPr>
  </w:style>
  <w:style w:type="character" w:customStyle="1" w:styleId="32">
    <w:name w:val="报告内文 字符"/>
    <w:basedOn w:val="24"/>
    <w:link w:val="31"/>
    <w:qFormat/>
    <w:uiPriority w:val="0"/>
    <w:rPr>
      <w:rFonts w:ascii="微软雅黑" w:hAnsi="微软雅黑" w:eastAsia="微软雅黑" w:cstheme="minorBidi"/>
      <w:color w:val="404040" w:themeColor="text1" w:themeTint="BF"/>
      <w:sz w:val="18"/>
      <w:szCs w:val="18"/>
      <w14:textFill>
        <w14:solidFill>
          <w14:schemeClr w14:val="tx1">
            <w14:lumMod w14:val="75000"/>
            <w14:lumOff w14:val="25000"/>
          </w14:schemeClr>
        </w14:solidFill>
      </w14:textFill>
    </w:rPr>
  </w:style>
  <w:style w:type="paragraph" w:customStyle="1" w:styleId="33">
    <w:name w:val="正文赛迪"/>
    <w:basedOn w:val="1"/>
    <w:link w:val="34"/>
    <w:qFormat/>
    <w:uiPriority w:val="0"/>
    <w:pPr>
      <w:ind w:firstLine="640"/>
    </w:pPr>
    <w:rPr>
      <w:kern w:val="0"/>
      <w:szCs w:val="32"/>
    </w:rPr>
  </w:style>
  <w:style w:type="character" w:customStyle="1" w:styleId="34">
    <w:name w:val="正文张峰 Char"/>
    <w:link w:val="33"/>
    <w:qFormat/>
    <w:uiPriority w:val="0"/>
    <w:rPr>
      <w:rFonts w:ascii="Times New Roman" w:hAnsi="Times New Roman" w:eastAsia="仿宋_GB2312" w:cs="Times New Roman"/>
      <w:kern w:val="0"/>
      <w:sz w:val="32"/>
      <w:szCs w:val="32"/>
    </w:rPr>
  </w:style>
  <w:style w:type="paragraph" w:customStyle="1" w:styleId="3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36">
    <w:name w:val="网格型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37">
    <w:name w:val="WPSOffice手动目录 1"/>
    <w:qFormat/>
    <w:uiPriority w:val="0"/>
    <w:rPr>
      <w:rFonts w:ascii="Times New Roman" w:hAnsi="Times New Roman" w:eastAsia="宋体" w:cs="Times New Roman"/>
      <w:lang w:val="en-US" w:eastAsia="zh-CN" w:bidi="ar-SA"/>
    </w:rPr>
  </w:style>
  <w:style w:type="paragraph" w:customStyle="1" w:styleId="3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40">
    <w:name w:val="页眉 字符"/>
    <w:basedOn w:val="24"/>
    <w:link w:val="15"/>
    <w:qFormat/>
    <w:uiPriority w:val="99"/>
    <w:rPr>
      <w:rFonts w:eastAsia="仿宋_GB2312"/>
      <w:kern w:val="2"/>
      <w:sz w:val="18"/>
      <w:szCs w:val="24"/>
    </w:rPr>
  </w:style>
  <w:style w:type="character" w:customStyle="1" w:styleId="41">
    <w:name w:val="页脚 字符"/>
    <w:basedOn w:val="24"/>
    <w:link w:val="14"/>
    <w:qFormat/>
    <w:uiPriority w:val="99"/>
    <w:rPr>
      <w:rFonts w:eastAsia="仿宋_GB2312"/>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61</Pages>
  <Words>32101</Words>
  <Characters>35376</Characters>
  <Lines>1098</Lines>
  <Paragraphs>372</Paragraphs>
  <TotalTime>3</TotalTime>
  <ScaleCrop>false</ScaleCrop>
  <LinksUpToDate>false</LinksUpToDate>
  <CharactersWithSpaces>35604</CharactersWithSpaces>
  <Application>WPS Office_11.8.2.10554_F1E327BC-269C-435d-A152-05C5408002CA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2023-01-06T10:41:00Z</dcterms:created>
  <dc:creator>lenovo</dc:creator>
  <cp:lastModifiedBy>zengzeqin</cp:lastModifiedBy>
  <cp:lastPrinted>2026-07-07T18:24:00Z</cp:lastPrinted>
  <dcterms:modified xsi:type="dcterms:W3CDTF">2026-07-14T16:02:24Z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2052-11.8.2.10554</vt:lpwstr>
  </property>
  <property fmtid="{D5CDD505-2E9C-101B-9397-08002B2CF9AE}" pid="3" name="ICV">
    <vt:lpwstr>3EB72A63CBF540A586B57EAB0422F078_13</vt:lpwstr>
  </property>
  <property fmtid="{D5CDD505-2E9C-101B-9397-08002B2CF9AE}" pid="4" name="KSOTemplateDocerSaveRecord">
    <vt:lpwstr>eyJoZGlkIjoiZThmNjAzMWJlZjFkMmQwODUwMTJkYzE2ODFiYmFmYTciLCJ1c2VySWQiOiIxMTQ5NzEyOTE3In0=</vt:lpwstr>
  </property>
</Properties>
</file>