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76BCFE">
      <w:pPr>
        <w:pStyle w:val="31"/>
        <w:widowControl/>
        <w:rPr>
          <w:color w:val="000000" w:themeColor="text1"/>
          <w14:textFill>
            <w14:solidFill>
              <w14:schemeClr w14:val="tx1"/>
            </w14:solidFill>
          </w14:textFill>
        </w:rPr>
      </w:pPr>
      <mc:AlternateContent>
        <mc:Choice Requires="wpsCustomData">
          <wpsCustomData:docfieldStart id="0" docfieldname="标题_1" hidden="0" print="1" readonly="0" index="1"/>
        </mc:Choice>
      </mc:AlternateContent>
      <w:r>
        <w:rPr>
          <w:color w:val="000000" w:themeColor="text1"/>
          <w14:textFill>
            <w14:solidFill>
              <w14:schemeClr w14:val="tx1"/>
            </w14:solidFill>
          </w14:textFill>
        </w:rPr>
        <w:t>汕尾市市区关于盘活存量土地和提高土地利用效率的实施意见</w:t>
      </w:r>
      <mc:AlternateContent>
        <mc:Choice Requires="wpsCustomData">
          <wpsCustomData:docfieldEnd id="0"/>
        </mc:Choice>
      </mc:AlternateContent>
    </w:p>
    <w:p w14:paraId="6BA8E4E9">
      <w:pPr>
        <w:pStyle w:val="19"/>
        <w:bidi w:val="0"/>
        <w:spacing w:beforeAutospacing="0" w:afterAutospacing="0" w:line="300" w:lineRule="exact"/>
        <w:rPr>
          <w:color w:val="000000" w:themeColor="text1"/>
          <w14:textFill>
            <w14:solidFill>
              <w14:schemeClr w14:val="tx1"/>
            </w14:solidFill>
          </w14:textFill>
        </w:rPr>
      </w:pPr>
    </w:p>
    <w:p w14:paraId="455EFD77">
      <w:pPr>
        <w:pStyle w:val="26"/>
        <w:widowControl/>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征求意见稿</w:t>
      </w:r>
      <w:r>
        <w:rPr>
          <w:color w:val="000000" w:themeColor="text1"/>
          <w14:textFill>
            <w14:solidFill>
              <w14:schemeClr w14:val="tx1"/>
            </w14:solidFill>
          </w14:textFill>
        </w:rPr>
        <w:t>）</w:t>
      </w:r>
    </w:p>
    <w:p w14:paraId="6A995DDE">
      <w:pPr>
        <w:rPr>
          <w:color w:val="000000" w:themeColor="text1"/>
          <w14:textFill>
            <w14:solidFill>
              <w14:schemeClr w14:val="tx1"/>
            </w14:solidFill>
          </w14:textFill>
        </w:rPr>
      </w:pPr>
    </w:p>
    <w:p w14:paraId="7B1B152A">
      <w:pPr>
        <w:pStyle w:val="19"/>
        <w:widowControl/>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为深入贯彻落实中央城市工作会议精神，落实《自然资源部 国家发展改革委关于实施妥善处置闲置存量土地若干政策措施的通知》《自然资源部 住房和城乡建设部关于进一步支持城市更新行动若干措施的通知》《广东省人民政府关于印发广东省全域推进低效用地再开发试点实施方案的通知》等要求，进一步盘活利用存量土地，推动土地节约集约利用。积极创新土地要素配置机制，更好满足新质生产力多元空间需求，制定本措施。</w:t>
      </w:r>
    </w:p>
    <w:p w14:paraId="28170552">
      <w:pPr>
        <w:pStyle w:val="3"/>
        <w:widowControl/>
        <w:numPr>
          <w:ilvl w:val="0"/>
          <w:numId w:val="0"/>
        </w:numPr>
        <w:topLinePunct w:val="0"/>
        <w:ind w:left="0" w:leftChars="0" w:firstLine="640"/>
        <w:rPr>
          <w:b w:val="0"/>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一、</w:t>
      </w:r>
      <w:r>
        <w:rPr>
          <w:color w:val="000000" w:themeColor="text1"/>
          <w14:textFill>
            <w14:solidFill>
              <w14:schemeClr w14:val="tx1"/>
            </w14:solidFill>
          </w14:textFill>
        </w:rPr>
        <w:t>强化规划引领作用，激活存量空间活力</w:t>
      </w:r>
    </w:p>
    <w:p w14:paraId="53C67C95">
      <w:pPr>
        <w:pStyle w:val="4"/>
        <w:widowControl/>
        <w:numPr>
          <w:ilvl w:val="0"/>
          <w:numId w:val="0"/>
        </w:numPr>
        <w:topLinePunct w:val="0"/>
        <w:ind w:left="0" w:leftChars="0" w:firstLine="640"/>
        <w:rPr>
          <w:rFonts w:hint="eastAsia" w:ascii="楷体_GB2312" w:hAnsi="楷体_GB2312" w:eastAsia="楷体_GB2312" w:cs="楷体_GB2312"/>
          <w:b w:val="0"/>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（一）</w:t>
      </w:r>
      <w:r>
        <w:rPr>
          <w:color w:val="000000" w:themeColor="text1"/>
          <w14:textFill>
            <w14:solidFill>
              <w14:schemeClr w14:val="tx1"/>
            </w14:solidFill>
          </w14:textFill>
        </w:rPr>
        <w:t>鼓励土地混合利用</w:t>
      </w:r>
    </w:p>
    <w:p w14:paraId="4EEE33F0">
      <w:pPr>
        <w:pStyle w:val="19"/>
        <w:widowControl/>
        <w:pBdr>
          <w:bottom w:val="none" w:color="auto" w:sz="0" w:space="0"/>
        </w:pBdr>
        <w:rPr>
          <w:rFonts w:ascii="Times New Roman" w:hAnsi="Times New Roman" w:eastAsia="仿宋_GB2312" w:cs="仿宋_GB2312"/>
          <w:color w:val="000000" w:themeColor="text1"/>
          <w:sz w:val="32"/>
          <w:szCs w:val="32"/>
          <w:highlight w:val="none"/>
          <w14:textFill>
            <w14:solidFill>
              <w14:schemeClr w14:val="tx1"/>
            </w14:solidFill>
          </w14:textFill>
        </w:rPr>
      </w:pPr>
      <w:r>
        <w:rPr>
          <w:rFonts w:ascii="Times New Roman" w:hAnsi="Times New Roman" w:eastAsia="仿宋_GB2312" w:cs="仿宋_GB2312"/>
          <w:color w:val="000000" w:themeColor="text1"/>
          <w:sz w:val="32"/>
          <w:szCs w:val="32"/>
          <w:highlight w:val="none"/>
          <w14:textFill>
            <w14:solidFill>
              <w14:schemeClr w14:val="tx1"/>
            </w14:solidFill>
          </w14:textFill>
        </w:rPr>
        <w:t>在满足安全、环保、卫生、消防、交通等相关要求及技术规范的前提下，鼓励存量用地或低效用地结合实际进行两种及以上土地用途的混合利用，增强土地使用的适应性和灵活性。混合利用应以地上建筑面积最大的土地用途为主导用地性质，且主导用地性质的地上建筑面积占地上总建筑面积的比例不小于50％，应保持主用途的主导地位并优先实现，兼容用途应服务于主导用途功能提升。以居住用地、公共管理与公共服务用地、商业服务业用地、工业用地、物流仓储用地、交通运输用地、公用设施用地为兼容主体，按照允许兼容、禁止兼容两种管理模式制定正负面清单。混合用地供应方式按主导用途进行管理，地价按不同用途分项评估后，加权确定评估总价。</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混合用地</w:t>
      </w:r>
      <w:r>
        <w:rPr>
          <w:rFonts w:hint="eastAsia" w:ascii="Times New Roman" w:hAnsi="Times New Roman" w:eastAsia="仿宋_GB2312" w:cs="仿宋_GB2312"/>
          <w:color w:val="000000" w:themeColor="text1"/>
          <w:sz w:val="32"/>
          <w:szCs w:val="32"/>
          <w:highlight w:val="none"/>
          <w14:textFill>
            <w14:solidFill>
              <w14:schemeClr w14:val="tx1"/>
            </w14:solidFill>
          </w14:textFill>
        </w:rPr>
        <w:t>按所包含的具体土地用途分别确定出让年限</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w:t>
      </w:r>
      <w:r>
        <w:rPr>
          <w:rFonts w:ascii="Times New Roman" w:hAnsi="Times New Roman" w:eastAsia="仿宋_GB2312" w:cs="仿宋_GB2312"/>
          <w:color w:val="000000" w:themeColor="text1"/>
          <w:sz w:val="32"/>
          <w:szCs w:val="32"/>
          <w:highlight w:val="none"/>
          <w14:textFill>
            <w14:solidFill>
              <w14:schemeClr w14:val="tx1"/>
            </w14:solidFill>
          </w14:textFill>
        </w:rPr>
        <w:t>（主要责任部门：市自然资源局、市住房和城乡建设局）</w:t>
      </w:r>
    </w:p>
    <w:p w14:paraId="67850163">
      <w:pPr>
        <w:pStyle w:val="4"/>
        <w:widowControl/>
        <w:numPr>
          <w:ilvl w:val="0"/>
          <w:numId w:val="0"/>
        </w:numPr>
        <w:topLinePunct w:val="0"/>
        <w:ind w:left="0" w:leftChars="0" w:firstLine="640"/>
        <w:rPr>
          <w:rFonts w:hint="eastAsia" w:ascii="楷体_GB2312" w:hAnsi="楷体_GB2312" w:eastAsia="楷体_GB2312" w:cs="楷体_GB2312"/>
          <w:b w:val="0"/>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（二）</w:t>
      </w:r>
      <w:r>
        <w:rPr>
          <w:color w:val="000000" w:themeColor="text1"/>
          <w14:textFill>
            <w14:solidFill>
              <w14:schemeClr w14:val="tx1"/>
            </w14:solidFill>
          </w14:textFill>
        </w:rPr>
        <w:t>支持建设用地类型合理转换</w:t>
      </w:r>
    </w:p>
    <w:p w14:paraId="623CCB9B">
      <w:pPr>
        <w:pStyle w:val="19"/>
        <w:widowControl/>
        <w:rPr>
          <w:rFonts w:ascii="Times New Roman" w:hAnsi="Times New Roman" w:eastAsia="仿宋_GB2312" w:cs="仿宋_GB2312"/>
          <w:color w:val="000000" w:themeColor="text1"/>
          <w:sz w:val="32"/>
          <w:szCs w:val="32"/>
          <w:highlight w:val="none"/>
          <w14:textFill>
            <w14:solidFill>
              <w14:schemeClr w14:val="tx1"/>
            </w14:solidFill>
          </w14:textFill>
        </w:rPr>
      </w:pPr>
      <w:r>
        <w:rPr>
          <w:rFonts w:ascii="Times New Roman" w:hAnsi="Times New Roman" w:eastAsia="仿宋_GB2312" w:cs="仿宋_GB2312"/>
          <w:color w:val="000000" w:themeColor="text1"/>
          <w:sz w:val="32"/>
          <w:szCs w:val="32"/>
          <w:highlight w:val="none"/>
          <w14:textFill>
            <w14:solidFill>
              <w14:schemeClr w14:val="tx1"/>
            </w14:solidFill>
          </w14:textFill>
        </w:rPr>
        <w:t>针对国家和省重大项目建设需要、城乡基础设施、公共服务设施和公共安全设施建设需要，因原批准土地用途与现行国土空间规划不符等原因不适宜按现有用途使用或转换用途有利于土地合理利用且调整内容不损害社会公共利益的存量土地，在满足相关规划并征得行业主管部门和利害关系人同意的前提下，允许申请用地类型合理转换</w:t>
      </w:r>
      <w:r>
        <w:rPr>
          <w:rFonts w:hint="eastAsia" w:cs="仿宋_GB2312"/>
          <w:color w:val="000000" w:themeColor="text1"/>
          <w:sz w:val="32"/>
          <w:szCs w:val="32"/>
          <w:highlight w:val="none"/>
          <w:lang w:val="en-US" w:eastAsia="zh-CN"/>
          <w14:textFill>
            <w14:solidFill>
              <w14:schemeClr w14:val="tx1"/>
            </w14:solidFill>
          </w14:textFill>
        </w:rPr>
        <w:t>并</w:t>
      </w:r>
      <w:r>
        <w:rPr>
          <w:rFonts w:ascii="Times New Roman" w:hAnsi="Times New Roman" w:eastAsia="仿宋_GB2312" w:cs="仿宋_GB2312"/>
          <w:color w:val="000000" w:themeColor="text1"/>
          <w:sz w:val="32"/>
          <w:szCs w:val="32"/>
          <w:highlight w:val="none"/>
          <w14:textFill>
            <w14:solidFill>
              <w14:schemeClr w14:val="tx1"/>
            </w14:solidFill>
          </w14:textFill>
        </w:rPr>
        <w:t>纳入规划执行。</w:t>
      </w:r>
      <w:r>
        <w:rPr>
          <w:rFonts w:hint="eastAsia" w:cs="仿宋_GB2312"/>
          <w:color w:val="000000" w:themeColor="text1"/>
          <w:sz w:val="32"/>
          <w:szCs w:val="32"/>
          <w:highlight w:val="none"/>
          <w:lang w:val="en-US" w:eastAsia="zh-CN"/>
          <w14:textFill>
            <w14:solidFill>
              <w14:schemeClr w14:val="tx1"/>
            </w14:solidFill>
          </w14:textFill>
        </w:rPr>
        <w:t>土地出让合同或</w:t>
      </w:r>
      <w:r>
        <w:rPr>
          <w:rFonts w:hint="eastAsia" w:ascii="Times New Roman" w:hAnsi="Times New Roman" w:eastAsia="仿宋_GB2312" w:cs="仿宋_GB2312"/>
          <w:color w:val="000000" w:themeColor="text1"/>
          <w:sz w:val="32"/>
          <w:szCs w:val="32"/>
          <w:highlight w:val="none"/>
          <w14:textFill>
            <w14:solidFill>
              <w14:schemeClr w14:val="tx1"/>
            </w14:solidFill>
          </w14:textFill>
        </w:rPr>
        <w:t>投资监管协议中明确约定不准改变用途的，不适用本</w:t>
      </w:r>
      <w:r>
        <w:rPr>
          <w:rFonts w:hint="eastAsia" w:cs="仿宋_GB2312"/>
          <w:color w:val="000000" w:themeColor="text1"/>
          <w:sz w:val="32"/>
          <w:szCs w:val="32"/>
          <w:highlight w:val="none"/>
          <w:lang w:val="en-US" w:eastAsia="zh-CN"/>
          <w14:textFill>
            <w14:solidFill>
              <w14:schemeClr w14:val="tx1"/>
            </w14:solidFill>
          </w14:textFill>
        </w:rPr>
        <w:t>意见</w:t>
      </w:r>
      <w:r>
        <w:rPr>
          <w:rFonts w:hint="eastAsia" w:ascii="Times New Roman" w:hAnsi="Times New Roman" w:eastAsia="仿宋_GB2312" w:cs="仿宋_GB2312"/>
          <w:color w:val="000000" w:themeColor="text1"/>
          <w:sz w:val="32"/>
          <w:szCs w:val="32"/>
          <w:highlight w:val="none"/>
          <w14:textFill>
            <w14:solidFill>
              <w14:schemeClr w14:val="tx1"/>
            </w14:solidFill>
          </w14:textFill>
        </w:rPr>
        <w:t>。</w:t>
      </w:r>
    </w:p>
    <w:p w14:paraId="739D9ED3">
      <w:pPr>
        <w:pStyle w:val="19"/>
        <w:numPr>
          <w:ilvl w:val="0"/>
          <w:numId w:val="7"/>
        </w:numPr>
        <w:pBdr>
          <w:bottom w:val="none" w:color="auto" w:sz="0" w:space="0"/>
        </w:pBdr>
        <w:rPr>
          <w:rFonts w:ascii="Times New Roman" w:hAnsi="Times New Roman" w:eastAsia="仿宋_GB2312" w:cs="仿宋_GB2312"/>
          <w:b w:val="0"/>
          <w:bCs w:val="0"/>
          <w:color w:val="000000" w:themeColor="text1"/>
          <w:sz w:val="32"/>
          <w:szCs w:val="32"/>
          <w:highlight w:val="none"/>
          <w14:textFill>
            <w14:solidFill>
              <w14:schemeClr w14:val="tx1"/>
            </w14:solidFill>
          </w14:textFill>
        </w:rPr>
      </w:pPr>
      <w:bookmarkStart w:id="0" w:name="OLE_LINK1"/>
      <w:r>
        <w:rPr>
          <w:rFonts w:ascii="Times New Roman" w:hAnsi="Times New Roman" w:eastAsia="仿宋_GB2312" w:cs="仿宋_GB2312"/>
          <w:color w:val="000000" w:themeColor="text1"/>
          <w:sz w:val="32"/>
          <w:szCs w:val="32"/>
          <w:highlight w:val="none"/>
          <w14:textFill>
            <w14:solidFill>
              <w14:schemeClr w14:val="tx1"/>
            </w14:solidFill>
          </w14:textFill>
        </w:rPr>
        <w:t>对已出让</w:t>
      </w:r>
      <w:r>
        <w:rPr>
          <w:rFonts w:ascii="Times New Roman" w:hAnsi="Times New Roman" w:eastAsia="仿宋_GB2312" w:cs="仿宋_GB2312"/>
          <w:b w:val="0"/>
          <w:bCs w:val="0"/>
          <w:color w:val="000000" w:themeColor="text1"/>
          <w:sz w:val="32"/>
          <w:szCs w:val="32"/>
          <w:highlight w:val="none"/>
          <w14:textFill>
            <w14:solidFill>
              <w14:schemeClr w14:val="tx1"/>
            </w14:solidFill>
          </w14:textFill>
        </w:rPr>
        <w:t>但未完全开发建设</w:t>
      </w: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商业</w:t>
      </w:r>
      <w:r>
        <w:rPr>
          <w:rFonts w:ascii="Times New Roman" w:hAnsi="Times New Roman" w:eastAsia="仿宋_GB2312" w:cs="仿宋_GB2312"/>
          <w:b w:val="0"/>
          <w:bCs w:val="0"/>
          <w:color w:val="000000" w:themeColor="text1"/>
          <w:sz w:val="32"/>
          <w:szCs w:val="32"/>
          <w:highlight w:val="none"/>
          <w14:textFill>
            <w14:solidFill>
              <w14:schemeClr w14:val="tx1"/>
            </w14:solidFill>
          </w14:textFill>
        </w:rPr>
        <w:t>用地</w:t>
      </w: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或商业</w:t>
      </w:r>
      <w:r>
        <w:rPr>
          <w:rFonts w:hint="eastAsia" w:cs="仿宋_GB2312"/>
          <w:b w:val="0"/>
          <w:bCs w:val="0"/>
          <w:color w:val="000000" w:themeColor="text1"/>
          <w:sz w:val="32"/>
          <w:szCs w:val="32"/>
          <w:highlight w:val="none"/>
          <w:lang w:val="en-US" w:eastAsia="zh-CN"/>
          <w14:textFill>
            <w14:solidFill>
              <w14:schemeClr w14:val="tx1"/>
            </w14:solidFill>
          </w14:textFill>
        </w:rPr>
        <w:t>混合</w:t>
      </w: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用地</w:t>
      </w:r>
      <w:r>
        <w:rPr>
          <w:rFonts w:hint="eastAsia" w:ascii="Times New Roman" w:hAnsi="Times New Roman" w:eastAsia="仿宋_GB2312" w:cs="仿宋_GB2312"/>
          <w:b w:val="0"/>
          <w:bCs w:val="0"/>
          <w:color w:val="000000" w:themeColor="text1"/>
          <w:sz w:val="32"/>
          <w:szCs w:val="32"/>
          <w:highlight w:val="none"/>
          <w14:textFill>
            <w14:solidFill>
              <w14:schemeClr w14:val="tx1"/>
            </w14:solidFill>
          </w14:textFill>
        </w:rPr>
        <w:t>，</w:t>
      </w:r>
      <w:r>
        <w:rPr>
          <w:rFonts w:ascii="Times New Roman" w:hAnsi="Times New Roman" w:eastAsia="仿宋_GB2312" w:cs="仿宋_GB2312"/>
          <w:b w:val="0"/>
          <w:bCs w:val="0"/>
          <w:color w:val="000000" w:themeColor="text1"/>
          <w:sz w:val="32"/>
          <w:szCs w:val="32"/>
          <w:highlight w:val="none"/>
          <w14:textFill>
            <w14:solidFill>
              <w14:schemeClr w14:val="tx1"/>
            </w14:solidFill>
          </w14:textFill>
        </w:rPr>
        <w:t>在满足公共服务设施和基础配套设施承载力、相关法律法规以及城市风貌管控要求的前提下，</w:t>
      </w:r>
      <w:r>
        <w:rPr>
          <w:rFonts w:hint="eastAsia" w:cs="仿宋_GB2312"/>
          <w:b w:val="0"/>
          <w:bCs w:val="0"/>
          <w:color w:val="000000" w:themeColor="text1"/>
          <w:sz w:val="32"/>
          <w:szCs w:val="32"/>
          <w:highlight w:val="none"/>
          <w:lang w:val="en-US" w:eastAsia="zh-CN"/>
          <w14:textFill>
            <w14:solidFill>
              <w14:schemeClr w14:val="tx1"/>
            </w14:solidFill>
          </w14:textFill>
        </w:rPr>
        <w:t>依法</w:t>
      </w:r>
      <w:r>
        <w:rPr>
          <w:rFonts w:ascii="Times New Roman" w:hAnsi="Times New Roman" w:eastAsia="仿宋_GB2312" w:cs="仿宋_GB2312"/>
          <w:b w:val="0"/>
          <w:bCs w:val="0"/>
          <w:color w:val="000000" w:themeColor="text1"/>
          <w:sz w:val="32"/>
          <w:szCs w:val="32"/>
          <w:highlight w:val="none"/>
          <w14:textFill>
            <w14:solidFill>
              <w14:schemeClr w14:val="tx1"/>
            </w14:solidFill>
          </w14:textFill>
        </w:rPr>
        <w:t>论证通过后可调整为居住、养老、文化、旅游、体育等适应市场需求的用地进行开发建设</w:t>
      </w:r>
      <w:r>
        <w:rPr>
          <w:rFonts w:hint="eastAsia" w:ascii="Times New Roman" w:hAnsi="Times New Roman" w:eastAsia="仿宋_GB2312" w:cs="仿宋_GB2312"/>
          <w:b w:val="0"/>
          <w:bCs w:val="0"/>
          <w:color w:val="000000" w:themeColor="text1"/>
          <w:sz w:val="32"/>
          <w:szCs w:val="32"/>
          <w:highlight w:val="none"/>
          <w:lang w:eastAsia="zh-CN"/>
          <w14:textFill>
            <w14:solidFill>
              <w14:schemeClr w14:val="tx1"/>
            </w14:solidFill>
          </w14:textFill>
        </w:rPr>
        <w:t>。</w:t>
      </w:r>
      <w:r>
        <w:rPr>
          <w:rFonts w:hint="default" w:cs="仿宋_GB2312"/>
          <w:b w:val="0"/>
          <w:bCs w:val="0"/>
          <w:color w:val="000000" w:themeColor="text1"/>
          <w:sz w:val="32"/>
          <w:szCs w:val="32"/>
          <w:highlight w:val="none"/>
          <w:lang w:val="en-US" w:eastAsia="zh-CN"/>
          <w14:textFill>
            <w14:solidFill>
              <w14:schemeClr w14:val="tx1"/>
            </w14:solidFill>
          </w14:textFill>
        </w:rPr>
        <w:t>商业</w:t>
      </w:r>
      <w:r>
        <w:rPr>
          <w:rFonts w:hint="eastAsia" w:cs="仿宋_GB2312"/>
          <w:b w:val="0"/>
          <w:bCs w:val="0"/>
          <w:color w:val="000000" w:themeColor="text1"/>
          <w:sz w:val="32"/>
          <w:szCs w:val="32"/>
          <w:highlight w:val="none"/>
          <w:lang w:val="en-US" w:eastAsia="zh-CN"/>
          <w14:textFill>
            <w14:solidFill>
              <w14:schemeClr w14:val="tx1"/>
            </w14:solidFill>
          </w14:textFill>
        </w:rPr>
        <w:t>混合</w:t>
      </w:r>
      <w:r>
        <w:rPr>
          <w:rFonts w:hint="default" w:cs="仿宋_GB2312"/>
          <w:b w:val="0"/>
          <w:bCs w:val="0"/>
          <w:color w:val="000000" w:themeColor="text1"/>
          <w:sz w:val="32"/>
          <w:szCs w:val="32"/>
          <w:highlight w:val="none"/>
          <w:lang w:val="en-US" w:eastAsia="zh-CN"/>
          <w14:textFill>
            <w14:solidFill>
              <w14:schemeClr w14:val="tx1"/>
            </w14:solidFill>
          </w14:textFill>
        </w:rPr>
        <w:t>用地经研究同意</w:t>
      </w:r>
      <w:r>
        <w:rPr>
          <w:rFonts w:hint="eastAsia" w:cs="仿宋_GB2312"/>
          <w:b w:val="0"/>
          <w:bCs w:val="0"/>
          <w:color w:val="000000" w:themeColor="text1"/>
          <w:sz w:val="32"/>
          <w:szCs w:val="32"/>
          <w:highlight w:val="none"/>
          <w:lang w:val="en-US" w:eastAsia="zh-CN"/>
          <w14:textFill>
            <w14:solidFill>
              <w14:schemeClr w14:val="tx1"/>
            </w14:solidFill>
          </w14:textFill>
        </w:rPr>
        <w:t>可</w:t>
      </w:r>
      <w:r>
        <w:rPr>
          <w:rFonts w:ascii="Times New Roman" w:hAnsi="Times New Roman" w:eastAsia="仿宋_GB2312" w:cs="仿宋_GB2312"/>
          <w:b w:val="0"/>
          <w:bCs w:val="0"/>
          <w:color w:val="000000" w:themeColor="text1"/>
          <w:sz w:val="32"/>
          <w:szCs w:val="32"/>
          <w:highlight w:val="none"/>
          <w14:textFill>
            <w14:solidFill>
              <w14:schemeClr w14:val="tx1"/>
            </w14:solidFill>
          </w14:textFill>
        </w:rPr>
        <w:t>适当降低</w:t>
      </w:r>
      <w:r>
        <w:rPr>
          <w:rFonts w:hint="eastAsia" w:cs="仿宋_GB2312"/>
          <w:b w:val="0"/>
          <w:bCs w:val="0"/>
          <w:color w:val="000000" w:themeColor="text1"/>
          <w:sz w:val="32"/>
          <w:szCs w:val="32"/>
          <w:highlight w:val="none"/>
          <w:lang w:val="en-US" w:eastAsia="zh-CN"/>
          <w14:textFill>
            <w14:solidFill>
              <w14:schemeClr w14:val="tx1"/>
            </w14:solidFill>
          </w14:textFill>
        </w:rPr>
        <w:t>商业功能占比，但不应低</w:t>
      </w: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于地块</w:t>
      </w:r>
      <w:r>
        <w:rPr>
          <w:rFonts w:hint="eastAsia" w:cs="仿宋_GB2312"/>
          <w:b w:val="0"/>
          <w:bCs w:val="0"/>
          <w:color w:val="000000" w:themeColor="text1"/>
          <w:sz w:val="32"/>
          <w:szCs w:val="32"/>
          <w:highlight w:val="none"/>
          <w:lang w:val="en-US" w:eastAsia="zh-CN"/>
          <w14:textFill>
            <w14:solidFill>
              <w14:schemeClr w14:val="tx1"/>
            </w14:solidFill>
          </w14:textFill>
        </w:rPr>
        <w:t>计容建筑</w:t>
      </w: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面积的</w:t>
      </w:r>
      <w:r>
        <w:rPr>
          <w:rFonts w:hint="eastAsia" w:cs="仿宋_GB2312"/>
          <w:b w:val="0"/>
          <w:bCs w:val="0"/>
          <w:color w:val="000000" w:themeColor="text1"/>
          <w:sz w:val="32"/>
          <w:szCs w:val="32"/>
          <w:highlight w:val="none"/>
          <w:lang w:val="en-US" w:eastAsia="zh-CN"/>
          <w14:textFill>
            <w14:solidFill>
              <w14:schemeClr w14:val="tx1"/>
            </w14:solidFill>
          </w14:textFill>
        </w:rPr>
        <w:t>20%（土地出让合同另有约定的除外）</w:t>
      </w:r>
      <w:r>
        <w:rPr>
          <w:rFonts w:ascii="Times New Roman" w:hAnsi="Times New Roman" w:eastAsia="仿宋_GB2312" w:cs="仿宋_GB2312"/>
          <w:b w:val="0"/>
          <w:bCs w:val="0"/>
          <w:color w:val="000000" w:themeColor="text1"/>
          <w:sz w:val="32"/>
          <w:szCs w:val="32"/>
          <w:highlight w:val="none"/>
          <w14:textFill>
            <w14:solidFill>
              <w14:schemeClr w14:val="tx1"/>
            </w14:solidFill>
          </w14:textFill>
        </w:rPr>
        <w:t>。</w:t>
      </w:r>
    </w:p>
    <w:p w14:paraId="34B740B3">
      <w:pPr>
        <w:pStyle w:val="19"/>
        <w:widowControl/>
        <w:numPr>
          <w:ilvl w:val="0"/>
          <w:numId w:val="0"/>
        </w:numPr>
        <w:ind w:left="0" w:leftChars="0" w:firstLine="616"/>
        <w:rPr>
          <w:rFonts w:ascii="Times New Roman" w:hAnsi="Times New Roman" w:eastAsia="仿宋_GB2312" w:cs="仿宋_GB2312"/>
          <w:b w:val="0"/>
          <w:color w:val="000000" w:themeColor="text1"/>
          <w:sz w:val="32"/>
          <w:szCs w:val="32"/>
          <w:highlight w:val="none"/>
          <w14:textFill>
            <w14:solidFill>
              <w14:schemeClr w14:val="tx1"/>
            </w14:solidFill>
          </w14:textFill>
        </w:rPr>
      </w:pPr>
      <w:r>
        <w:rPr>
          <w:rFonts w:hint="eastAsia" w:cs="仿宋_GB2312"/>
          <w:color w:val="000000" w:themeColor="text1"/>
          <w:sz w:val="32"/>
          <w:szCs w:val="32"/>
          <w:highlight w:val="none"/>
          <w:lang w:val="en-US" w:eastAsia="zh-CN"/>
          <w14:textFill>
            <w14:solidFill>
              <w14:schemeClr w14:val="tx1"/>
            </w14:solidFill>
          </w14:textFill>
        </w:rPr>
        <w:t>2</w:t>
      </w:r>
      <w:r>
        <w:rPr>
          <w:rFonts w:hint="eastAsia" w:cs="仿宋_GB2312"/>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pacing w:val="-6"/>
          <w:sz w:val="32"/>
          <w:szCs w:val="32"/>
          <w:highlight w:val="none"/>
          <w:lang w:eastAsia="zh-CN"/>
          <w14:textFill>
            <w14:solidFill>
              <w14:schemeClr w14:val="tx1"/>
            </w14:solidFill>
          </w14:textFill>
        </w:rPr>
        <w:t xml:space="preserve"> </w:t>
      </w:r>
      <w:r>
        <w:rPr>
          <w:rFonts w:ascii="Times New Roman" w:hAnsi="Times New Roman" w:eastAsia="仿宋_GB2312" w:cs="仿宋_GB2312"/>
          <w:color w:val="000000" w:themeColor="text1"/>
          <w:sz w:val="32"/>
          <w:szCs w:val="32"/>
          <w:highlight w:val="none"/>
          <w14:textFill>
            <w14:solidFill>
              <w14:schemeClr w14:val="tx1"/>
            </w14:solidFill>
          </w14:textFill>
        </w:rPr>
        <w:t>商业服务业用地内部细分地类之间功能可互相转换。居住用地也可按程序申请变更为商业服务业用地。居住用地和商业服务业用地可按程序申请变更为工矿用地、仓储用地等其他经营性用地或非经营性用地。</w:t>
      </w:r>
      <w:bookmarkEnd w:id="0"/>
    </w:p>
    <w:p w14:paraId="6D7F93C9">
      <w:pPr>
        <w:pStyle w:val="19"/>
        <w:widowControl/>
        <w:numPr>
          <w:ilvl w:val="0"/>
          <w:numId w:val="0"/>
        </w:numPr>
        <w:ind w:left="0" w:leftChars="0" w:firstLine="616"/>
        <w:rPr>
          <w:rFonts w:ascii="Times New Roman" w:hAnsi="Times New Roman" w:eastAsia="仿宋_GB2312" w:cs="仿宋_GB2312"/>
          <w:b w:val="0"/>
          <w:color w:val="000000" w:themeColor="text1"/>
          <w:sz w:val="32"/>
          <w:szCs w:val="32"/>
          <w:highlight w:val="none"/>
          <w14:textFill>
            <w14:solidFill>
              <w14:schemeClr w14:val="tx1"/>
            </w14:solidFill>
          </w14:textFill>
        </w:rPr>
      </w:pPr>
      <w:r>
        <w:rPr>
          <w:rFonts w:hint="eastAsia" w:cs="仿宋_GB2312"/>
          <w:color w:val="000000" w:themeColor="text1"/>
          <w:sz w:val="32"/>
          <w:szCs w:val="32"/>
          <w:highlight w:val="none"/>
          <w:lang w:val="en-US" w:eastAsia="zh-CN"/>
          <w14:textFill>
            <w14:solidFill>
              <w14:schemeClr w14:val="tx1"/>
            </w14:solidFill>
          </w14:textFill>
        </w:rPr>
        <w:t>3</w:t>
      </w:r>
      <w:r>
        <w:rPr>
          <w:rFonts w:hint="eastAsia" w:cs="仿宋_GB2312"/>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pacing w:val="-6"/>
          <w:sz w:val="32"/>
          <w:szCs w:val="32"/>
          <w:highlight w:val="none"/>
          <w:lang w:eastAsia="zh-CN"/>
          <w14:textFill>
            <w14:solidFill>
              <w14:schemeClr w14:val="tx1"/>
            </w14:solidFill>
          </w14:textFill>
        </w:rPr>
        <w:t xml:space="preserve"> </w:t>
      </w:r>
      <w:r>
        <w:rPr>
          <w:rFonts w:ascii="Times New Roman" w:hAnsi="Times New Roman" w:eastAsia="仿宋_GB2312" w:cs="仿宋_GB2312"/>
          <w:color w:val="000000" w:themeColor="text1"/>
          <w:sz w:val="32"/>
          <w:szCs w:val="32"/>
          <w:highlight w:val="none"/>
          <w14:textFill>
            <w14:solidFill>
              <w14:schemeClr w14:val="tx1"/>
            </w14:solidFill>
          </w14:textFill>
        </w:rPr>
        <w:t>工矿用地、仓储用地可按程序申请用途互相变更。</w:t>
      </w:r>
    </w:p>
    <w:p w14:paraId="4AFB4AC9">
      <w:pPr>
        <w:pStyle w:val="19"/>
        <w:widowControl/>
        <w:numPr>
          <w:ilvl w:val="0"/>
          <w:numId w:val="0"/>
        </w:numPr>
        <w:ind w:left="0" w:leftChars="0" w:firstLine="616"/>
        <w:rPr>
          <w:rFonts w:ascii="Times New Roman" w:hAnsi="Times New Roman" w:eastAsia="仿宋_GB2312" w:cs="仿宋_GB2312"/>
          <w:b w:val="0"/>
          <w:color w:val="000000" w:themeColor="text1"/>
          <w:sz w:val="32"/>
          <w:szCs w:val="32"/>
          <w:highlight w:val="none"/>
          <w14:textFill>
            <w14:solidFill>
              <w14:schemeClr w14:val="tx1"/>
            </w14:solidFill>
          </w14:textFill>
        </w:rPr>
      </w:pPr>
      <w:r>
        <w:rPr>
          <w:rFonts w:hint="eastAsia" w:cs="仿宋_GB2312"/>
          <w:color w:val="000000" w:themeColor="text1"/>
          <w:sz w:val="32"/>
          <w:szCs w:val="32"/>
          <w:highlight w:val="none"/>
          <w:lang w:val="en-US" w:eastAsia="zh-CN"/>
          <w14:textFill>
            <w14:solidFill>
              <w14:schemeClr w14:val="tx1"/>
            </w14:solidFill>
          </w14:textFill>
        </w:rPr>
        <w:t>4</w:t>
      </w:r>
      <w:r>
        <w:rPr>
          <w:rFonts w:hint="eastAsia" w:cs="仿宋_GB2312"/>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pacing w:val="-6"/>
          <w:sz w:val="32"/>
          <w:szCs w:val="32"/>
          <w:highlight w:val="none"/>
          <w:lang w:eastAsia="zh-CN"/>
          <w14:textFill>
            <w14:solidFill>
              <w14:schemeClr w14:val="tx1"/>
            </w14:solidFill>
          </w14:textFill>
        </w:rPr>
        <w:t xml:space="preserve"> </w:t>
      </w:r>
      <w:r>
        <w:rPr>
          <w:rFonts w:ascii="Times New Roman" w:hAnsi="Times New Roman" w:eastAsia="仿宋_GB2312" w:cs="仿宋_GB2312"/>
          <w:color w:val="000000" w:themeColor="text1"/>
          <w:sz w:val="32"/>
          <w:szCs w:val="32"/>
          <w:highlight w:val="none"/>
          <w14:textFill>
            <w14:solidFill>
              <w14:schemeClr w14:val="tx1"/>
            </w14:solidFill>
          </w14:textFill>
        </w:rPr>
        <w:t>公共管理与公共服务用地、交通运输用地、公用设施用地等非经营性用地可按程序申请用途互相变更。</w:t>
      </w:r>
    </w:p>
    <w:p w14:paraId="6705200C">
      <w:pPr>
        <w:pStyle w:val="19"/>
        <w:widowControl/>
        <w:rPr>
          <w:rFonts w:ascii="Times New Roman" w:hAnsi="Times New Roman" w:eastAsia="仿宋_GB2312" w:cs="仿宋_GB2312"/>
          <w:color w:val="000000" w:themeColor="text1"/>
          <w:sz w:val="32"/>
          <w:szCs w:val="32"/>
          <w:highlight w:val="none"/>
          <w14:textFill>
            <w14:solidFill>
              <w14:schemeClr w14:val="tx1"/>
            </w14:solidFill>
          </w14:textFill>
        </w:rPr>
      </w:pPr>
      <w:r>
        <w:rPr>
          <w:rFonts w:ascii="Times New Roman" w:hAnsi="Times New Roman" w:eastAsia="仿宋_GB2312" w:cs="仿宋_GB2312"/>
          <w:color w:val="000000" w:themeColor="text1"/>
          <w:sz w:val="32"/>
          <w:szCs w:val="32"/>
          <w:highlight w:val="none"/>
          <w14:textFill>
            <w14:solidFill>
              <w14:schemeClr w14:val="tx1"/>
            </w14:solidFill>
          </w14:textFill>
        </w:rPr>
        <w:t>国家法律法规另有规定或土地出让合同规定、约定应当收回土地使用权的除外。（牵头部门：市自然资源局、市住房和城乡建设局、市发展改革局）</w:t>
      </w:r>
    </w:p>
    <w:p w14:paraId="46C3D762">
      <w:pPr>
        <w:pStyle w:val="4"/>
        <w:widowControl/>
        <w:numPr>
          <w:ilvl w:val="0"/>
          <w:numId w:val="0"/>
        </w:numPr>
        <w:topLinePunct w:val="0"/>
        <w:ind w:left="0" w:leftChars="0" w:firstLine="640"/>
        <w:rPr>
          <w:rFonts w:hint="eastAsia" w:ascii="楷体_GB2312" w:hAnsi="楷体_GB2312" w:eastAsia="楷体_GB2312" w:cs="楷体_GB2312"/>
          <w:b w:val="0"/>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（三）</w:t>
      </w:r>
      <w:r>
        <w:rPr>
          <w:color w:val="000000" w:themeColor="text1"/>
          <w:highlight w:val="none"/>
          <w14:textFill>
            <w14:solidFill>
              <w14:schemeClr w14:val="tx1"/>
            </w14:solidFill>
          </w14:textFill>
        </w:rPr>
        <w:t>完善未约定容积率建设用地的管理</w:t>
      </w:r>
    </w:p>
    <w:p w14:paraId="73843540">
      <w:pPr>
        <w:pStyle w:val="19"/>
        <w:widowControl/>
        <w:rPr>
          <w:rFonts w:ascii="Times New Roman" w:hAnsi="Times New Roman" w:eastAsia="仿宋_GB2312" w:cs="仿宋_GB2312"/>
          <w:color w:val="000000" w:themeColor="text1"/>
          <w:sz w:val="32"/>
          <w:szCs w:val="32"/>
          <w:highlight w:val="none"/>
          <w14:textFill>
            <w14:solidFill>
              <w14:schemeClr w14:val="tx1"/>
            </w14:solidFill>
          </w14:textFill>
        </w:rPr>
      </w:pPr>
      <w:r>
        <w:rPr>
          <w:rFonts w:ascii="Times New Roman" w:hAnsi="Times New Roman" w:eastAsia="仿宋_GB2312" w:cs="仿宋_GB2312"/>
          <w:color w:val="000000" w:themeColor="text1"/>
          <w:sz w:val="32"/>
          <w:szCs w:val="32"/>
          <w:highlight w:val="none"/>
          <w14:textFill>
            <w14:solidFill>
              <w14:schemeClr w14:val="tx1"/>
            </w14:solidFill>
          </w14:textFill>
        </w:rPr>
        <w:t>因历史原因，已取得合法有效的土地使用权权属来源证明，但建设用地规划审批资料、土地使用权出让合同（或其他使用土地证明材料）未约定容积率或约定容积率低于现行控规的商服、住宅及营利性公共服务和市政设施用地等可依据以下规则确定容积率：</w:t>
      </w:r>
    </w:p>
    <w:p w14:paraId="10A387B5">
      <w:pPr>
        <w:pStyle w:val="19"/>
        <w:widowControl/>
        <w:numPr>
          <w:ilvl w:val="0"/>
          <w:numId w:val="0"/>
        </w:numPr>
        <w:ind w:left="0" w:leftChars="0" w:firstLine="616"/>
        <w:rPr>
          <w:rFonts w:ascii="Times New Roman" w:hAnsi="Times New Roman" w:eastAsia="仿宋_GB2312" w:cs="仿宋_GB2312"/>
          <w:b w:val="0"/>
          <w:color w:val="000000" w:themeColor="text1"/>
          <w:sz w:val="32"/>
          <w:szCs w:val="32"/>
          <w:highlight w:val="none"/>
          <w14:textFill>
            <w14:solidFill>
              <w14:schemeClr w14:val="tx1"/>
            </w14:solidFill>
          </w14:textFill>
        </w:rPr>
      </w:pPr>
      <w:r>
        <w:rPr>
          <w:rFonts w:hint="eastAsia" w:cs="仿宋_GB2312"/>
          <w:color w:val="000000" w:themeColor="text1"/>
          <w:sz w:val="32"/>
          <w:szCs w:val="32"/>
          <w:highlight w:val="none"/>
          <w:lang w:eastAsia="zh-CN"/>
          <w14:textFill>
            <w14:solidFill>
              <w14:schemeClr w14:val="tx1"/>
            </w14:solidFill>
          </w14:textFill>
        </w:rPr>
        <w:t>1.</w:t>
      </w:r>
      <w:r>
        <w:rPr>
          <w:rFonts w:hint="eastAsia" w:ascii="仿宋" w:hAnsi="仿宋" w:eastAsia="仿宋" w:cs="仿宋"/>
          <w:color w:val="000000" w:themeColor="text1"/>
          <w:spacing w:val="-6"/>
          <w:sz w:val="32"/>
          <w:szCs w:val="32"/>
          <w:highlight w:val="none"/>
          <w:lang w:eastAsia="zh-CN"/>
          <w14:textFill>
            <w14:solidFill>
              <w14:schemeClr w14:val="tx1"/>
            </w14:solidFill>
          </w14:textFill>
        </w:rPr>
        <w:t xml:space="preserve"> </w:t>
      </w:r>
      <w:r>
        <w:rPr>
          <w:rFonts w:ascii="Times New Roman" w:hAnsi="Times New Roman" w:eastAsia="仿宋_GB2312" w:cs="仿宋_GB2312"/>
          <w:color w:val="000000" w:themeColor="text1"/>
          <w:sz w:val="32"/>
          <w:szCs w:val="32"/>
          <w:highlight w:val="none"/>
          <w14:textFill>
            <w14:solidFill>
              <w14:schemeClr w14:val="tx1"/>
            </w14:solidFill>
          </w14:textFill>
        </w:rPr>
        <w:t>现行控规覆盖的已供未约定容积率经营性用地，若现行控规容积率小于1.8，规划条件按现行控规执行；</w:t>
      </w:r>
    </w:p>
    <w:p w14:paraId="6E060001">
      <w:pPr>
        <w:pStyle w:val="19"/>
        <w:widowControl/>
        <w:numPr>
          <w:ilvl w:val="0"/>
          <w:numId w:val="0"/>
        </w:numPr>
        <w:ind w:left="0" w:leftChars="0" w:firstLine="616"/>
        <w:rPr>
          <w:rFonts w:ascii="Times New Roman" w:hAnsi="Times New Roman" w:eastAsia="仿宋_GB2312" w:cs="仿宋_GB2312"/>
          <w:b w:val="0"/>
          <w:color w:val="000000" w:themeColor="text1"/>
          <w:sz w:val="32"/>
          <w:szCs w:val="32"/>
          <w:highlight w:val="none"/>
          <w14:textFill>
            <w14:solidFill>
              <w14:schemeClr w14:val="tx1"/>
            </w14:solidFill>
          </w14:textFill>
        </w:rPr>
      </w:pPr>
      <w:r>
        <w:rPr>
          <w:rFonts w:hint="eastAsia" w:cs="仿宋_GB2312"/>
          <w:color w:val="000000" w:themeColor="text1"/>
          <w:sz w:val="32"/>
          <w:szCs w:val="32"/>
          <w:highlight w:val="none"/>
          <w:lang w:eastAsia="zh-CN"/>
          <w14:textFill>
            <w14:solidFill>
              <w14:schemeClr w14:val="tx1"/>
            </w14:solidFill>
          </w14:textFill>
        </w:rPr>
        <w:t>2.</w:t>
      </w:r>
      <w:r>
        <w:rPr>
          <w:rFonts w:hint="eastAsia" w:ascii="仿宋" w:hAnsi="仿宋" w:eastAsia="仿宋" w:cs="仿宋"/>
          <w:color w:val="000000" w:themeColor="text1"/>
          <w:spacing w:val="-6"/>
          <w:sz w:val="32"/>
          <w:szCs w:val="32"/>
          <w:highlight w:val="none"/>
          <w:lang w:eastAsia="zh-CN"/>
          <w14:textFill>
            <w14:solidFill>
              <w14:schemeClr w14:val="tx1"/>
            </w14:solidFill>
          </w14:textFill>
        </w:rPr>
        <w:t xml:space="preserve"> </w:t>
      </w:r>
      <w:r>
        <w:rPr>
          <w:rFonts w:ascii="Times New Roman" w:hAnsi="Times New Roman" w:eastAsia="仿宋_GB2312" w:cs="仿宋_GB2312"/>
          <w:color w:val="000000" w:themeColor="text1"/>
          <w:sz w:val="32"/>
          <w:szCs w:val="32"/>
          <w:highlight w:val="none"/>
          <w14:textFill>
            <w14:solidFill>
              <w14:schemeClr w14:val="tx1"/>
            </w14:solidFill>
          </w14:textFill>
        </w:rPr>
        <w:t>若现行控规容积率大于1.8，规划条件可按1.8执行，也可按现行控规申请容积率指标，其他规划条件均按现行控规规定执行。申请容积率大于1.8部分需按申请时点对土地价值进行市场评估，按规定补缴土地价款</w:t>
      </w:r>
      <w:r>
        <w:rPr>
          <w:rFonts w:hint="eastAsia" w:cs="仿宋_GB2312"/>
          <w:color w:val="000000" w:themeColor="text1"/>
          <w:sz w:val="32"/>
          <w:szCs w:val="32"/>
          <w:highlight w:val="none"/>
          <w:lang w:eastAsia="zh-CN"/>
          <w14:textFill>
            <w14:solidFill>
              <w14:schemeClr w14:val="tx1"/>
            </w14:solidFill>
          </w14:textFill>
        </w:rPr>
        <w:t>，</w:t>
      </w:r>
      <w:r>
        <w:rPr>
          <w:rFonts w:hint="eastAsia" w:cs="仿宋_GB2312"/>
          <w:b/>
          <w:bCs/>
          <w:color w:val="000000" w:themeColor="text1"/>
          <w:sz w:val="32"/>
          <w:szCs w:val="32"/>
          <w:highlight w:val="none"/>
          <w:lang w:eastAsia="zh-CN"/>
          <w14:textFill>
            <w14:solidFill>
              <w14:schemeClr w14:val="tx1"/>
            </w14:solidFill>
          </w14:textFill>
        </w:rPr>
        <w:t>但规划用途为工业、仓储用地的除外。</w:t>
      </w:r>
    </w:p>
    <w:p w14:paraId="2C52783C">
      <w:pPr>
        <w:pStyle w:val="19"/>
        <w:widowControl/>
        <w:rPr>
          <w:rFonts w:ascii="Times New Roman" w:hAnsi="Times New Roman" w:eastAsia="仿宋_GB2312" w:cs="仿宋_GB2312"/>
          <w:color w:val="000000" w:themeColor="text1"/>
          <w:sz w:val="32"/>
          <w:szCs w:val="32"/>
          <w:highlight w:val="none"/>
          <w14:textFill>
            <w14:solidFill>
              <w14:schemeClr w14:val="tx1"/>
            </w14:solidFill>
          </w14:textFill>
        </w:rPr>
      </w:pPr>
      <w:r>
        <w:rPr>
          <w:rFonts w:hint="eastAsia" w:ascii="Times New Roman" w:hAnsi="Times New Roman" w:eastAsia="仿宋_GB2312" w:cs="仿宋_GB2312"/>
          <w:color w:val="000000" w:themeColor="text1"/>
          <w:sz w:val="32"/>
          <w:szCs w:val="32"/>
          <w:highlight w:val="none"/>
          <w14:textFill>
            <w14:solidFill>
              <w14:schemeClr w14:val="tx1"/>
            </w14:solidFill>
          </w14:textFill>
        </w:rPr>
        <w:t>3.</w:t>
      </w:r>
      <w:r>
        <w:rPr>
          <w:rFonts w:ascii="Times New Roman" w:hAnsi="Times New Roman" w:eastAsia="仿宋_GB2312" w:cs="仿宋_GB2312"/>
          <w:color w:val="000000" w:themeColor="text1"/>
          <w:sz w:val="32"/>
          <w:szCs w:val="32"/>
          <w:highlight w:val="none"/>
          <w14:textFill>
            <w14:solidFill>
              <w14:schemeClr w14:val="tx1"/>
            </w14:solidFill>
          </w14:textFill>
        </w:rPr>
        <w:t>已供有约定容积率经营性用地按现行容积率申请容积率的，超出约定容积率部分需按申请时点对土地价值进行市场评估，按规定补缴土地价款。（牵头部门：市自然资源局）</w:t>
      </w:r>
    </w:p>
    <w:p w14:paraId="72D804C8">
      <w:pPr>
        <w:pStyle w:val="3"/>
        <w:widowControl/>
        <w:numPr>
          <w:ilvl w:val="0"/>
          <w:numId w:val="0"/>
        </w:numPr>
        <w:topLinePunct w:val="0"/>
        <w:ind w:left="0" w:leftChars="0" w:firstLine="640"/>
        <w:rPr>
          <w:b w:val="0"/>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二、</w:t>
      </w:r>
      <w:r>
        <w:rPr>
          <w:color w:val="000000" w:themeColor="text1"/>
          <w14:textFill>
            <w14:solidFill>
              <w14:schemeClr w14:val="tx1"/>
            </w14:solidFill>
          </w14:textFill>
        </w:rPr>
        <w:t>健全低效用地处置机制，提升土地利用效率</w:t>
      </w:r>
    </w:p>
    <w:p w14:paraId="721D2E3B">
      <w:pPr>
        <w:pStyle w:val="4"/>
        <w:widowControl/>
        <w:rPr>
          <w:color w:val="000000" w:themeColor="text1"/>
          <w14:textFill>
            <w14:solidFill>
              <w14:schemeClr w14:val="tx1"/>
            </w14:solidFill>
          </w14:textFill>
        </w:rPr>
      </w:pPr>
      <w:r>
        <w:rPr>
          <w:color w:val="000000" w:themeColor="text1"/>
          <w14:textFill>
            <w14:solidFill>
              <w14:schemeClr w14:val="tx1"/>
            </w14:solidFill>
          </w14:textFill>
        </w:rPr>
        <w:t>（四）探索产业用地退出路径</w:t>
      </w:r>
    </w:p>
    <w:p w14:paraId="42C35103">
      <w:pPr>
        <w:pStyle w:val="19"/>
        <w:widowControl/>
        <w:rPr>
          <w:rFonts w:ascii="Times New Roman" w:hAnsi="Times New Roman" w:eastAsia="仿宋_GB2312" w:cs="仿宋_GB2312"/>
          <w:color w:val="000000" w:themeColor="text1"/>
          <w:sz w:val="32"/>
          <w:szCs w:val="32"/>
          <w:highlight w:val="none"/>
          <w14:textFill>
            <w14:solidFill>
              <w14:schemeClr w14:val="tx1"/>
            </w14:solidFill>
          </w14:textFill>
        </w:rPr>
      </w:pPr>
      <w:r>
        <w:rPr>
          <w:rFonts w:ascii="Times New Roman" w:hAnsi="Times New Roman" w:eastAsia="仿宋_GB2312" w:cs="仿宋_GB2312"/>
          <w:color w:val="000000" w:themeColor="text1"/>
          <w:sz w:val="32"/>
          <w:szCs w:val="32"/>
          <w:highlight w:val="none"/>
          <w14:textFill>
            <w14:solidFill>
              <w14:schemeClr w14:val="tx1"/>
            </w14:solidFill>
          </w14:textFill>
        </w:rPr>
        <w:t>建立低效用地主动退出机制，对于不符合城市规划、不再适合工业生产，原土地使用权人无法自主再开发的园区外已取得国有建设用地使用权的工业用地，鼓励通过“以物业换地”“以地换地”等方式向园区集聚，可按照协议方式办理置换地块出让手续，签订出让合同及履约监管协议，原地块建设用地使用权由批准权的人民政府收回，可先建设后腾退，确保生产平稳过渡；原地块评估价值可抵扣相应土地出让价款。（牵头部门：市自然资源局、各高新区、经济开发区）</w:t>
      </w:r>
    </w:p>
    <w:p w14:paraId="369A13C6">
      <w:pPr>
        <w:pStyle w:val="3"/>
        <w:widowControl/>
        <w:numPr>
          <w:ilvl w:val="0"/>
          <w:numId w:val="0"/>
        </w:numPr>
        <w:topLinePunct w:val="0"/>
        <w:ind w:left="0" w:leftChars="0" w:firstLine="640"/>
        <w:rPr>
          <w:b w:val="0"/>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三、</w:t>
      </w:r>
      <w:r>
        <w:rPr>
          <w:color w:val="000000" w:themeColor="text1"/>
          <w14:textFill>
            <w14:solidFill>
              <w14:schemeClr w14:val="tx1"/>
            </w14:solidFill>
          </w14:textFill>
        </w:rPr>
        <w:t>完善土地要素配置机制，拓宽存量盘活新路径</w:t>
      </w:r>
    </w:p>
    <w:p w14:paraId="712C963F">
      <w:pPr>
        <w:pStyle w:val="4"/>
        <w:widowControl/>
        <w:numPr>
          <w:ilvl w:val="0"/>
          <w:numId w:val="0"/>
        </w:numPr>
        <w:topLinePunct w:val="0"/>
        <w:ind w:left="0" w:leftChars="0" w:firstLine="640"/>
        <w:rPr>
          <w:rFonts w:hint="eastAsia" w:ascii="楷体_GB2312" w:hAnsi="楷体_GB2312" w:eastAsia="楷体_GB2312" w:cs="楷体_GB2312"/>
          <w:b w:val="0"/>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（五）</w:t>
      </w:r>
      <w:r>
        <w:rPr>
          <w:color w:val="000000" w:themeColor="text1"/>
          <w14:textFill>
            <w14:solidFill>
              <w14:schemeClr w14:val="tx1"/>
            </w14:solidFill>
          </w14:textFill>
        </w:rPr>
        <w:t>推行工业用地多元化方式供应</w:t>
      </w:r>
    </w:p>
    <w:p w14:paraId="11081D45">
      <w:pPr>
        <w:pStyle w:val="19"/>
        <w:widowControl/>
        <w:rPr>
          <w:rFonts w:ascii="Times New Roman" w:hAnsi="Times New Roman" w:eastAsia="仿宋_GB2312" w:cs="仿宋_GB2312"/>
          <w:color w:val="000000" w:themeColor="text1"/>
          <w:sz w:val="32"/>
          <w:szCs w:val="32"/>
          <w:highlight w:val="none"/>
          <w14:textFill>
            <w14:solidFill>
              <w14:schemeClr w14:val="tx1"/>
            </w14:solidFill>
          </w14:textFill>
        </w:rPr>
      </w:pPr>
      <w:r>
        <w:rPr>
          <w:rFonts w:ascii="Times New Roman" w:hAnsi="Times New Roman" w:eastAsia="仿宋_GB2312" w:cs="仿宋_GB2312"/>
          <w:color w:val="000000" w:themeColor="text1"/>
          <w:sz w:val="32"/>
          <w:szCs w:val="32"/>
          <w:highlight w:val="none"/>
          <w14:textFill>
            <w14:solidFill>
              <w14:schemeClr w14:val="tx1"/>
            </w14:solidFill>
          </w14:textFill>
        </w:rPr>
        <w:t>根据产业发展需求，灵活采用法定最高年期出让、弹性年期出让、长期租赁、“先租后让”等方式供应工业用地。</w:t>
      </w:r>
    </w:p>
    <w:p w14:paraId="4C459F49">
      <w:pPr>
        <w:pStyle w:val="19"/>
        <w:widowControl/>
        <w:numPr>
          <w:ilvl w:val="0"/>
          <w:numId w:val="0"/>
        </w:numPr>
        <w:ind w:left="0" w:leftChars="0" w:firstLine="616"/>
        <w:rPr>
          <w:rFonts w:ascii="Times New Roman" w:hAnsi="Times New Roman" w:eastAsia="仿宋_GB2312" w:cs="仿宋_GB2312"/>
          <w:b w:val="0"/>
          <w:color w:val="000000" w:themeColor="text1"/>
          <w:sz w:val="32"/>
          <w:szCs w:val="32"/>
          <w:highlight w:val="none"/>
          <w14:textFill>
            <w14:solidFill>
              <w14:schemeClr w14:val="tx1"/>
            </w14:solidFill>
          </w14:textFill>
        </w:rPr>
      </w:pPr>
      <w:r>
        <w:rPr>
          <w:rFonts w:hint="eastAsia" w:cs="仿宋_GB2312"/>
          <w:color w:val="000000" w:themeColor="text1"/>
          <w:sz w:val="32"/>
          <w:szCs w:val="32"/>
          <w:highlight w:val="none"/>
          <w:lang w:eastAsia="zh-CN"/>
          <w14:textFill>
            <w14:solidFill>
              <w14:schemeClr w14:val="tx1"/>
            </w14:solidFill>
          </w14:textFill>
        </w:rPr>
        <w:t>1.</w:t>
      </w:r>
      <w:r>
        <w:rPr>
          <w:rFonts w:hint="eastAsia" w:ascii="仿宋" w:hAnsi="仿宋" w:eastAsia="仿宋" w:cs="仿宋"/>
          <w:color w:val="000000" w:themeColor="text1"/>
          <w:spacing w:val="-6"/>
          <w:sz w:val="32"/>
          <w:szCs w:val="32"/>
          <w:highlight w:val="none"/>
          <w:lang w:eastAsia="zh-CN"/>
          <w14:textFill>
            <w14:solidFill>
              <w14:schemeClr w14:val="tx1"/>
            </w14:solidFill>
          </w14:textFill>
        </w:rPr>
        <w:t xml:space="preserve"> </w:t>
      </w:r>
      <w:r>
        <w:rPr>
          <w:rFonts w:ascii="Times New Roman" w:hAnsi="Times New Roman" w:eastAsia="仿宋_GB2312" w:cs="仿宋_GB2312"/>
          <w:color w:val="000000" w:themeColor="text1"/>
          <w:sz w:val="32"/>
          <w:szCs w:val="32"/>
          <w:highlight w:val="none"/>
          <w14:textFill>
            <w14:solidFill>
              <w14:schemeClr w14:val="tx1"/>
            </w14:solidFill>
          </w14:textFill>
        </w:rPr>
        <w:t>弹性年期工业用地的土地出让起始价根据工业用地使用权法定最高年期市场评估价格进行修正后确定，修正系数为弹性年期与法定最高年期的比值。</w:t>
      </w:r>
    </w:p>
    <w:p w14:paraId="66F27048">
      <w:pPr>
        <w:pStyle w:val="19"/>
        <w:widowControl/>
        <w:numPr>
          <w:ilvl w:val="0"/>
          <w:numId w:val="0"/>
        </w:numPr>
        <w:ind w:left="0" w:leftChars="0" w:firstLine="616"/>
        <w:rPr>
          <w:rFonts w:hint="eastAsia" w:cs="仿宋_GB2312"/>
          <w:color w:val="000000" w:themeColor="text1"/>
          <w:sz w:val="32"/>
          <w:szCs w:val="32"/>
          <w:highlight w:val="none"/>
          <w:lang w:eastAsia="zh-CN"/>
          <w14:textFill>
            <w14:solidFill>
              <w14:schemeClr w14:val="tx1"/>
            </w14:solidFill>
          </w14:textFill>
        </w:rPr>
      </w:pPr>
      <w:r>
        <w:rPr>
          <w:rFonts w:hint="eastAsia" w:cs="仿宋_GB2312"/>
          <w:color w:val="000000" w:themeColor="text1"/>
          <w:sz w:val="32"/>
          <w:szCs w:val="32"/>
          <w:highlight w:val="none"/>
          <w:lang w:eastAsia="zh-CN"/>
          <w14:textFill>
            <w14:solidFill>
              <w14:schemeClr w14:val="tx1"/>
            </w14:solidFill>
          </w14:textFill>
        </w:rPr>
        <w:t>2.</w:t>
      </w:r>
      <w:r>
        <w:rPr>
          <w:rFonts w:hint="eastAsia" w:ascii="仿宋" w:hAnsi="仿宋" w:eastAsia="仿宋" w:cs="仿宋"/>
          <w:color w:val="000000" w:themeColor="text1"/>
          <w:spacing w:val="-6"/>
          <w:sz w:val="32"/>
          <w:szCs w:val="32"/>
          <w:highlight w:val="none"/>
          <w:lang w:eastAsia="zh-CN"/>
          <w14:textFill>
            <w14:solidFill>
              <w14:schemeClr w14:val="tx1"/>
            </w14:solidFill>
          </w14:textFill>
        </w:rPr>
        <w:t xml:space="preserve"> </w:t>
      </w:r>
      <w:r>
        <w:rPr>
          <w:rFonts w:ascii="Times New Roman" w:hAnsi="Times New Roman" w:eastAsia="仿宋_GB2312" w:cs="仿宋_GB2312"/>
          <w:color w:val="000000" w:themeColor="text1"/>
          <w:sz w:val="32"/>
          <w:szCs w:val="32"/>
          <w:highlight w:val="none"/>
          <w14:textFill>
            <w14:solidFill>
              <w14:schemeClr w14:val="tx1"/>
            </w14:solidFill>
          </w14:textFill>
        </w:rPr>
        <w:t>长期租赁产业用地的期限最高可按20年确定，首年租金标底按照该宗地50年工业用地使用权评估价格的2％确定，租赁期限内租金调整的，调整周期不得低于5年，涨幅不得高于上期租金</w:t>
      </w:r>
      <w:r>
        <w:rPr>
          <w:rFonts w:hint="eastAsia" w:cs="仿宋_GB2312"/>
          <w:color w:val="000000" w:themeColor="text1"/>
          <w:sz w:val="32"/>
          <w:szCs w:val="32"/>
          <w:highlight w:val="none"/>
          <w:lang w:eastAsia="zh-CN"/>
          <w14:textFill>
            <w14:solidFill>
              <w14:schemeClr w14:val="tx1"/>
            </w14:solidFill>
          </w14:textFill>
        </w:rPr>
        <w:t>的10％。</w:t>
      </w:r>
    </w:p>
    <w:p w14:paraId="343DA562">
      <w:pPr>
        <w:pStyle w:val="19"/>
        <w:widowControl/>
        <w:rPr>
          <w:rFonts w:ascii="Times New Roman" w:hAnsi="Times New Roman" w:eastAsia="仿宋_GB2312" w:cs="仿宋_GB2312"/>
          <w:color w:val="000000" w:themeColor="text1"/>
          <w:sz w:val="32"/>
          <w:szCs w:val="32"/>
          <w:highlight w:val="none"/>
          <w14:textFill>
            <w14:solidFill>
              <w14:schemeClr w14:val="tx1"/>
            </w14:solidFill>
          </w14:textFill>
        </w:rPr>
      </w:pPr>
      <w:r>
        <w:rPr>
          <w:rFonts w:hint="eastAsia" w:cs="仿宋_GB2312"/>
          <w:color w:val="000000" w:themeColor="text1"/>
          <w:sz w:val="32"/>
          <w:szCs w:val="32"/>
          <w:highlight w:val="none"/>
          <w:lang w:eastAsia="zh-CN"/>
          <w14:textFill>
            <w14:solidFill>
              <w14:schemeClr w14:val="tx1"/>
            </w14:solidFill>
          </w14:textFill>
        </w:rPr>
        <w:t>3.“先租后让”产业用地的起始价根据供应时点的法定最高出让年限市场评估价格进行修正后确定，修正系数为租赁年限加出让年限与法定最高出让年限的比值；土地租赁期间租金根据最终成交金额进行修正后确定，修正系数为租赁年限与租赁年限加出让年限的比值，原则上按年平均收取；土地租赁转出让应补缴的出让金为最终成交金额减去租赁期间所交租金。</w:t>
      </w:r>
      <w:r>
        <w:rPr>
          <w:rFonts w:ascii="Times New Roman" w:hAnsi="Times New Roman" w:eastAsia="仿宋_GB2312" w:cs="仿宋_GB2312"/>
          <w:color w:val="000000" w:themeColor="text1"/>
          <w:sz w:val="32"/>
          <w:szCs w:val="32"/>
          <w:highlight w:val="none"/>
          <w14:textFill>
            <w14:solidFill>
              <w14:schemeClr w14:val="tx1"/>
            </w14:solidFill>
          </w14:textFill>
        </w:rPr>
        <w:t>（牵头部门：市自然资源局、市工业和信息化局）</w:t>
      </w:r>
    </w:p>
    <w:p w14:paraId="6B749FA2">
      <w:pPr>
        <w:pStyle w:val="4"/>
        <w:widowControl/>
        <w:numPr>
          <w:ilvl w:val="0"/>
          <w:numId w:val="0"/>
        </w:numPr>
        <w:topLinePunct w:val="0"/>
        <w:ind w:left="0" w:leftChars="0" w:firstLine="640"/>
        <w:rPr>
          <w:rFonts w:hint="eastAsia" w:ascii="楷体_GB2312" w:hAnsi="楷体_GB2312" w:eastAsia="楷体_GB2312" w:cs="楷体_GB2312"/>
          <w:b w:val="0"/>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（六）</w:t>
      </w:r>
      <w:r>
        <w:rPr>
          <w:color w:val="000000" w:themeColor="text1"/>
          <w14:textFill>
            <w14:solidFill>
              <w14:schemeClr w14:val="tx1"/>
            </w14:solidFill>
          </w14:textFill>
        </w:rPr>
        <w:t>支持存量土地开展过渡性开发</w:t>
      </w:r>
    </w:p>
    <w:p w14:paraId="38B3894E">
      <w:pPr>
        <w:pStyle w:val="19"/>
        <w:widowControl/>
        <w:rPr>
          <w:rFonts w:ascii="Times New Roman" w:hAnsi="Times New Roman" w:eastAsia="仿宋_GB2312" w:cs="仿宋_GB2312"/>
          <w:color w:val="000000" w:themeColor="text1"/>
          <w:sz w:val="32"/>
          <w:szCs w:val="32"/>
          <w:highlight w:val="none"/>
          <w14:textFill>
            <w14:solidFill>
              <w14:schemeClr w14:val="tx1"/>
            </w14:solidFill>
          </w14:textFill>
        </w:rPr>
      </w:pPr>
      <w:r>
        <w:rPr>
          <w:rFonts w:ascii="Times New Roman" w:hAnsi="Times New Roman" w:eastAsia="仿宋_GB2312" w:cs="仿宋_GB2312"/>
          <w:color w:val="000000" w:themeColor="text1"/>
          <w:sz w:val="32"/>
          <w:szCs w:val="32"/>
          <w:highlight w:val="none"/>
          <w14:textFill>
            <w14:solidFill>
              <w14:schemeClr w14:val="tx1"/>
            </w14:solidFill>
          </w14:textFill>
        </w:rPr>
        <w:t>为解决远景规划与近期开发诉求的矛盾，政府储备用地、集体经济组织留成用地可实施过渡期开发，过渡期开发以</w:t>
      </w:r>
      <w:r>
        <w:rPr>
          <w:rFonts w:ascii="Times New Roman" w:hAnsi="Times New Roman" w:eastAsia="仿宋_GB2312" w:cs="仿宋_GB2312"/>
          <w:b w:val="0"/>
          <w:color w:val="000000" w:themeColor="text1"/>
          <w:sz w:val="32"/>
          <w:szCs w:val="32"/>
          <w:highlight w:val="none"/>
          <w14:textFill>
            <w14:solidFill>
              <w14:schemeClr w14:val="tx1"/>
            </w14:solidFill>
          </w14:textFill>
        </w:rPr>
        <w:t>短期租赁</w:t>
      </w:r>
      <w:r>
        <w:rPr>
          <w:rFonts w:ascii="Times New Roman" w:hAnsi="Times New Roman" w:eastAsia="仿宋_GB2312" w:cs="仿宋_GB2312"/>
          <w:color w:val="000000" w:themeColor="text1"/>
          <w:sz w:val="32"/>
          <w:szCs w:val="32"/>
          <w:highlight w:val="none"/>
          <w14:textFill>
            <w14:solidFill>
              <w14:schemeClr w14:val="tx1"/>
            </w14:solidFill>
          </w14:textFill>
        </w:rPr>
        <w:t>方式交由市场主体实施，应满足</w:t>
      </w:r>
      <w:r>
        <w:rPr>
          <w:rFonts w:ascii="Times New Roman" w:hAnsi="Times New Roman" w:eastAsia="仿宋_GB2312" w:cs="仿宋_GB2312"/>
          <w:b w:val="0"/>
          <w:color w:val="000000" w:themeColor="text1"/>
          <w:sz w:val="32"/>
          <w:szCs w:val="32"/>
          <w:highlight w:val="none"/>
          <w14:textFill>
            <w14:solidFill>
              <w14:schemeClr w14:val="tx1"/>
            </w14:solidFill>
          </w14:textFill>
        </w:rPr>
        <w:t>临时、可拆除、可逆</w:t>
      </w:r>
      <w:r>
        <w:rPr>
          <w:rFonts w:ascii="Times New Roman" w:hAnsi="Times New Roman" w:eastAsia="仿宋_GB2312" w:cs="仿宋_GB2312"/>
          <w:color w:val="000000" w:themeColor="text1"/>
          <w:sz w:val="32"/>
          <w:szCs w:val="32"/>
          <w:highlight w:val="none"/>
          <w14:textFill>
            <w14:solidFill>
              <w14:schemeClr w14:val="tx1"/>
            </w14:solidFill>
          </w14:textFill>
        </w:rPr>
        <w:t>的开发建设与运营要求。集体经济组织留成用地申请过渡性开发按“一事一议”原则</w:t>
      </w:r>
      <w:r>
        <w:rPr>
          <w:rFonts w:hint="eastAsia" w:cs="仿宋_GB2312"/>
          <w:color w:val="000000" w:themeColor="text1"/>
          <w:sz w:val="32"/>
          <w:szCs w:val="32"/>
          <w:highlight w:val="none"/>
          <w:lang w:eastAsia="zh-CN"/>
          <w14:textFill>
            <w14:solidFill>
              <w14:schemeClr w14:val="tx1"/>
            </w14:solidFill>
          </w14:textFill>
        </w:rPr>
        <w:t>，</w:t>
      </w:r>
      <w:r>
        <w:rPr>
          <w:rFonts w:hint="eastAsia" w:cs="仿宋_GB2312"/>
          <w:color w:val="000000" w:themeColor="text1"/>
          <w:sz w:val="32"/>
          <w:szCs w:val="32"/>
          <w:highlight w:val="none"/>
          <w:lang w:val="en-US" w:eastAsia="zh-CN"/>
          <w14:textFill>
            <w14:solidFill>
              <w14:schemeClr w14:val="tx1"/>
            </w14:solidFill>
          </w14:textFill>
        </w:rPr>
        <w:t>经</w:t>
      </w:r>
      <w:r>
        <w:rPr>
          <w:rFonts w:ascii="Times New Roman" w:hAnsi="Times New Roman" w:eastAsia="仿宋_GB2312" w:cs="仿宋_GB2312"/>
          <w:color w:val="000000" w:themeColor="text1"/>
          <w:sz w:val="32"/>
          <w:szCs w:val="32"/>
          <w:highlight w:val="none"/>
          <w14:textFill>
            <w14:solidFill>
              <w14:schemeClr w14:val="tx1"/>
            </w14:solidFill>
          </w14:textFill>
        </w:rPr>
        <w:t>属地人民政府</w:t>
      </w:r>
      <w:r>
        <w:rPr>
          <w:rFonts w:hint="eastAsia" w:cs="仿宋_GB2312"/>
          <w:color w:val="000000" w:themeColor="text1"/>
          <w:sz w:val="32"/>
          <w:szCs w:val="32"/>
          <w:highlight w:val="none"/>
          <w:lang w:val="en-US" w:eastAsia="zh-CN"/>
          <w14:textFill>
            <w14:solidFill>
              <w14:schemeClr w14:val="tx1"/>
            </w14:solidFill>
          </w14:textFill>
        </w:rPr>
        <w:t>初审后报</w:t>
      </w:r>
      <w:r>
        <w:rPr>
          <w:rFonts w:ascii="Times New Roman" w:hAnsi="Times New Roman" w:eastAsia="仿宋_GB2312" w:cs="仿宋_GB2312"/>
          <w:color w:val="000000" w:themeColor="text1"/>
          <w:sz w:val="32"/>
          <w:szCs w:val="32"/>
          <w:highlight w:val="none"/>
          <w14:textFill>
            <w14:solidFill>
              <w14:schemeClr w14:val="tx1"/>
            </w14:solidFill>
          </w14:textFill>
        </w:rPr>
        <w:t>市自然资源局审查</w:t>
      </w:r>
      <w:r>
        <w:rPr>
          <w:rFonts w:hint="eastAsia" w:cs="仿宋_GB2312"/>
          <w:color w:val="000000" w:themeColor="text1"/>
          <w:sz w:val="32"/>
          <w:szCs w:val="32"/>
          <w:highlight w:val="none"/>
          <w:lang w:eastAsia="zh-CN"/>
          <w14:textFill>
            <w14:solidFill>
              <w14:schemeClr w14:val="tx1"/>
            </w14:solidFill>
          </w14:textFill>
        </w:rPr>
        <w:t>，</w:t>
      </w:r>
      <w:r>
        <w:rPr>
          <w:rFonts w:ascii="Times New Roman" w:hAnsi="Times New Roman" w:eastAsia="仿宋_GB2312" w:cs="仿宋_GB2312"/>
          <w:color w:val="000000" w:themeColor="text1"/>
          <w:sz w:val="32"/>
          <w:szCs w:val="32"/>
          <w:highlight w:val="none"/>
          <w14:textFill>
            <w14:solidFill>
              <w14:schemeClr w14:val="tx1"/>
            </w14:solidFill>
          </w14:textFill>
        </w:rPr>
        <w:t>征求有关部门意见后报市政府批准。</w:t>
      </w:r>
    </w:p>
    <w:p w14:paraId="42BAC022">
      <w:pPr>
        <w:pStyle w:val="19"/>
        <w:widowControl/>
        <w:rPr>
          <w:rFonts w:hint="default" w:ascii="Times New Roman" w:hAnsi="Times New Roman" w:eastAsia="仿宋_GB2312" w:cs="仿宋_GB2312"/>
          <w:i w:val="0"/>
          <w:color w:val="000000" w:themeColor="text1"/>
          <w:sz w:val="32"/>
          <w:szCs w:val="32"/>
          <w:highlight w:val="none"/>
          <w:lang w:val="en-US" w:eastAsia="zh-CN"/>
          <w14:textFill>
            <w14:solidFill>
              <w14:schemeClr w14:val="tx1"/>
            </w14:solidFill>
          </w14:textFill>
        </w:rPr>
      </w:pPr>
      <w:r>
        <w:rPr>
          <w:rFonts w:ascii="Times New Roman" w:hAnsi="Times New Roman" w:eastAsia="仿宋_GB2312" w:cs="仿宋_GB2312"/>
          <w:color w:val="000000" w:themeColor="text1"/>
          <w:sz w:val="32"/>
          <w:szCs w:val="32"/>
          <w:highlight w:val="none"/>
          <w14:textFill>
            <w14:solidFill>
              <w14:schemeClr w14:val="tx1"/>
            </w14:solidFill>
          </w14:textFill>
        </w:rPr>
        <w:t>过渡</w:t>
      </w:r>
      <w:r>
        <w:rPr>
          <w:color w:val="000000" w:themeColor="text1"/>
          <w:highlight w:val="none"/>
          <w14:textFill>
            <w14:solidFill>
              <w14:schemeClr w14:val="tx1"/>
            </w14:solidFill>
          </w14:textFill>
        </w:rPr>
        <w:t>期</w:t>
      </w:r>
      <w:r>
        <w:rPr>
          <w:rFonts w:ascii="Times New Roman" w:hAnsi="Times New Roman" w:eastAsia="仿宋_GB2312" w:cs="仿宋_GB2312"/>
          <w:color w:val="000000" w:themeColor="text1"/>
          <w:sz w:val="32"/>
          <w:szCs w:val="32"/>
          <w:highlight w:val="none"/>
          <w14:textFill>
            <w14:solidFill>
              <w14:schemeClr w14:val="tx1"/>
            </w14:solidFill>
          </w14:textFill>
        </w:rPr>
        <w:t>开发项目用地租赁</w:t>
      </w:r>
      <w:r>
        <w:rPr>
          <w:rFonts w:ascii="Times New Roman" w:hAnsi="Times New Roman" w:eastAsia="仿宋_GB2312" w:cs="仿宋_GB2312"/>
          <w:b/>
          <w:bCs/>
          <w:color w:val="000000" w:themeColor="text1"/>
          <w:sz w:val="32"/>
          <w:szCs w:val="32"/>
          <w:highlight w:val="none"/>
          <w14:textFill>
            <w14:solidFill>
              <w14:schemeClr w14:val="tx1"/>
            </w14:solidFill>
          </w14:textFill>
        </w:rPr>
        <w:t>期限一般为5～1</w:t>
      </w:r>
      <w:r>
        <w:rPr>
          <w:rFonts w:hint="eastAsia" w:cs="仿宋_GB2312"/>
          <w:b/>
          <w:bCs/>
          <w:color w:val="000000" w:themeColor="text1"/>
          <w:sz w:val="32"/>
          <w:szCs w:val="32"/>
          <w:highlight w:val="none"/>
          <w:lang w:val="en-US" w:eastAsia="zh-CN"/>
          <w14:textFill>
            <w14:solidFill>
              <w14:schemeClr w14:val="tx1"/>
            </w14:solidFill>
          </w14:textFill>
        </w:rPr>
        <w:t>5</w:t>
      </w:r>
      <w:r>
        <w:rPr>
          <w:rFonts w:ascii="Times New Roman" w:hAnsi="Times New Roman" w:eastAsia="仿宋_GB2312" w:cs="仿宋_GB2312"/>
          <w:b/>
          <w:bCs/>
          <w:color w:val="000000" w:themeColor="text1"/>
          <w:sz w:val="32"/>
          <w:szCs w:val="32"/>
          <w:highlight w:val="none"/>
          <w14:textFill>
            <w14:solidFill>
              <w14:schemeClr w14:val="tx1"/>
            </w14:solidFill>
          </w14:textFill>
        </w:rPr>
        <w:t>年</w:t>
      </w:r>
      <w:r>
        <w:rPr>
          <w:rFonts w:hint="eastAsia" w:cs="仿宋_GB2312"/>
          <w:color w:val="000000" w:themeColor="text1"/>
          <w:sz w:val="32"/>
          <w:szCs w:val="32"/>
          <w:highlight w:val="none"/>
          <w:lang w:eastAsia="zh-CN"/>
          <w14:textFill>
            <w14:solidFill>
              <w14:schemeClr w14:val="tx1"/>
            </w14:solidFill>
          </w14:textFill>
        </w:rPr>
        <w:t>，</w:t>
      </w:r>
      <w:r>
        <w:rPr>
          <w:rFonts w:ascii="Times New Roman" w:hAnsi="Times New Roman" w:eastAsia="仿宋_GB2312" w:cs="仿宋_GB2312"/>
          <w:color w:val="000000" w:themeColor="text1"/>
          <w:sz w:val="32"/>
          <w:szCs w:val="32"/>
          <w:highlight w:val="none"/>
          <w14:textFill>
            <w14:solidFill>
              <w14:schemeClr w14:val="tx1"/>
            </w14:solidFill>
          </w14:textFill>
        </w:rPr>
        <w:t>待租赁期满或达到约定条件后无偿收回土地、恢复场地原状，为后续土地按远景规划实施创造条件。过渡</w:t>
      </w:r>
      <w:r>
        <w:rPr>
          <w:rFonts w:hint="eastAsia"/>
          <w:color w:val="000000" w:themeColor="text1"/>
          <w:highlight w:val="none"/>
          <w:lang w:val="en-US" w:eastAsia="zh-CN"/>
          <w14:textFill>
            <w14:solidFill>
              <w14:schemeClr w14:val="tx1"/>
            </w14:solidFill>
          </w14:textFill>
        </w:rPr>
        <w:t>性</w:t>
      </w:r>
      <w:r>
        <w:rPr>
          <w:rFonts w:ascii="Times New Roman" w:hAnsi="Times New Roman" w:eastAsia="仿宋_GB2312" w:cs="仿宋_GB2312"/>
          <w:color w:val="000000" w:themeColor="text1"/>
          <w:sz w:val="32"/>
          <w:szCs w:val="32"/>
          <w:highlight w:val="none"/>
          <w14:textFill>
            <w14:solidFill>
              <w14:schemeClr w14:val="tx1"/>
            </w14:solidFill>
          </w14:textFill>
        </w:rPr>
        <w:t>开发</w:t>
      </w:r>
      <w:r>
        <w:rPr>
          <w:rFonts w:hint="eastAsia" w:cs="仿宋_GB2312"/>
          <w:i w:val="0"/>
          <w:color w:val="000000" w:themeColor="text1"/>
          <w:sz w:val="32"/>
          <w:szCs w:val="32"/>
          <w:highlight w:val="none"/>
          <w:lang w:val="en-US" w:eastAsia="zh-CN"/>
          <w14:textFill>
            <w14:solidFill>
              <w14:schemeClr w14:val="tx1"/>
            </w14:solidFill>
          </w14:textFill>
        </w:rPr>
        <w:t>宜</w:t>
      </w:r>
      <w:r>
        <w:rPr>
          <w:rFonts w:ascii="Times New Roman" w:hAnsi="Times New Roman" w:eastAsia="仿宋_GB2312" w:cs="仿宋_GB2312"/>
          <w:i w:val="0"/>
          <w:color w:val="000000" w:themeColor="text1"/>
          <w:sz w:val="32"/>
          <w:szCs w:val="32"/>
          <w:highlight w:val="none"/>
          <w14:textFill>
            <w14:solidFill>
              <w14:schemeClr w14:val="tx1"/>
            </w14:solidFill>
          </w14:textFill>
        </w:rPr>
        <w:t>采用低成本、模块化建筑，</w:t>
      </w:r>
      <w:r>
        <w:rPr>
          <w:rFonts w:ascii="Times New Roman" w:hAnsi="Times New Roman" w:eastAsia="仿宋_GB2312" w:cs="仿宋_GB2312"/>
          <w:b/>
          <w:bCs/>
          <w:i w:val="0"/>
          <w:color w:val="000000" w:themeColor="text1"/>
          <w:sz w:val="32"/>
          <w:szCs w:val="32"/>
          <w:highlight w:val="none"/>
          <w14:textFill>
            <w14:solidFill>
              <w14:schemeClr w14:val="tx1"/>
            </w14:solidFill>
          </w14:textFill>
        </w:rPr>
        <w:t>不得建设居住项目</w:t>
      </w:r>
      <w:r>
        <w:rPr>
          <w:rFonts w:hint="eastAsia" w:cs="仿宋_GB2312"/>
          <w:b/>
          <w:bCs/>
          <w:i w:val="0"/>
          <w:color w:val="000000" w:themeColor="text1"/>
          <w:sz w:val="32"/>
          <w:szCs w:val="32"/>
          <w:highlight w:val="none"/>
          <w:lang w:eastAsia="zh-CN"/>
          <w14:textFill>
            <w14:solidFill>
              <w14:schemeClr w14:val="tx1"/>
            </w14:solidFill>
          </w14:textFill>
        </w:rPr>
        <w:t>，</w:t>
      </w:r>
      <w:r>
        <w:rPr>
          <w:rFonts w:hint="eastAsia" w:cs="仿宋_GB2312"/>
          <w:b/>
          <w:bCs/>
          <w:i w:val="0"/>
          <w:color w:val="000000" w:themeColor="text1"/>
          <w:sz w:val="32"/>
          <w:szCs w:val="32"/>
          <w:highlight w:val="none"/>
          <w:lang w:val="en-US" w:eastAsia="zh-CN"/>
          <w14:textFill>
            <w14:solidFill>
              <w14:schemeClr w14:val="tx1"/>
            </w14:solidFill>
          </w14:textFill>
        </w:rPr>
        <w:t>不得建设</w:t>
      </w:r>
      <w:r>
        <w:rPr>
          <w:rFonts w:hint="eastAsia" w:ascii="Times New Roman" w:hAnsi="Times New Roman" w:eastAsia="仿宋_GB2312" w:cs="仿宋_GB2312"/>
          <w:b/>
          <w:bCs/>
          <w:i w:val="0"/>
          <w:iCs w:val="0"/>
          <w:color w:val="000000" w:themeColor="text1"/>
          <w:spacing w:val="0"/>
          <w:sz w:val="32"/>
          <w:szCs w:val="32"/>
          <w:highlight w:val="none"/>
          <w14:textFill>
            <w14:solidFill>
              <w14:schemeClr w14:val="tx1"/>
            </w14:solidFill>
          </w14:textFill>
        </w:rPr>
        <w:t>对居住和公共设施等环境有严重干扰</w:t>
      </w:r>
      <w:r>
        <w:rPr>
          <w:rFonts w:hint="eastAsia" w:cs="仿宋_GB2312"/>
          <w:b/>
          <w:bCs/>
          <w:i w:val="0"/>
          <w:iCs w:val="0"/>
          <w:color w:val="000000" w:themeColor="text1"/>
          <w:spacing w:val="0"/>
          <w:sz w:val="32"/>
          <w:szCs w:val="32"/>
          <w:highlight w:val="none"/>
          <w:lang w:eastAsia="zh-CN"/>
          <w14:textFill>
            <w14:solidFill>
              <w14:schemeClr w14:val="tx1"/>
            </w14:solidFill>
          </w14:textFill>
        </w:rPr>
        <w:t>、</w:t>
      </w:r>
      <w:r>
        <w:rPr>
          <w:rFonts w:ascii="Times New Roman" w:hAnsi="Times New Roman" w:eastAsia="仿宋_GB2312" w:cs="仿宋_GB2312"/>
          <w:b/>
          <w:bCs/>
          <w:i w:val="0"/>
          <w:iCs w:val="0"/>
          <w:color w:val="000000" w:themeColor="text1"/>
          <w:spacing w:val="0"/>
          <w:sz w:val="32"/>
          <w:szCs w:val="32"/>
          <w:highlight w:val="none"/>
          <w14:textFill>
            <w14:solidFill>
              <w14:schemeClr w14:val="tx1"/>
            </w14:solidFill>
          </w14:textFill>
        </w:rPr>
        <w:t>影响城市风貌和公共安全</w:t>
      </w:r>
      <w:r>
        <w:rPr>
          <w:rFonts w:hint="eastAsia" w:cs="仿宋_GB2312"/>
          <w:b/>
          <w:bCs/>
          <w:i w:val="0"/>
          <w:iCs w:val="0"/>
          <w:color w:val="000000" w:themeColor="text1"/>
          <w:spacing w:val="0"/>
          <w:sz w:val="32"/>
          <w:szCs w:val="32"/>
          <w:highlight w:val="none"/>
          <w:lang w:val="en-US" w:eastAsia="zh-CN"/>
          <w14:textFill>
            <w14:solidFill>
              <w14:schemeClr w14:val="tx1"/>
            </w14:solidFill>
          </w14:textFill>
        </w:rPr>
        <w:t>的设施。</w:t>
      </w:r>
    </w:p>
    <w:p w14:paraId="24547261">
      <w:pPr>
        <w:pStyle w:val="19"/>
        <w:widowControl/>
        <w:rPr>
          <w:rFonts w:ascii="Times New Roman" w:hAnsi="Times New Roman" w:eastAsia="仿宋_GB2312" w:cs="仿宋_GB2312"/>
          <w:color w:val="000000" w:themeColor="text1"/>
          <w:sz w:val="32"/>
          <w:szCs w:val="32"/>
          <w:highlight w:val="none"/>
          <w14:textFill>
            <w14:solidFill>
              <w14:schemeClr w14:val="tx1"/>
            </w14:solidFill>
          </w14:textFill>
        </w:rPr>
      </w:pPr>
      <w:r>
        <w:rPr>
          <w:rFonts w:ascii="Times New Roman" w:hAnsi="Times New Roman" w:eastAsia="仿宋_GB2312" w:cs="仿宋_GB2312"/>
          <w:i w:val="0"/>
          <w:color w:val="000000" w:themeColor="text1"/>
          <w:sz w:val="32"/>
          <w:szCs w:val="32"/>
          <w:highlight w:val="none"/>
          <w14:textFill>
            <w14:solidFill>
              <w14:schemeClr w14:val="tx1"/>
            </w14:solidFill>
          </w14:textFill>
        </w:rPr>
        <w:t>土地</w:t>
      </w:r>
      <w:r>
        <w:rPr>
          <w:rFonts w:ascii="Times New Roman" w:hAnsi="Times New Roman" w:eastAsia="仿宋_GB2312" w:cs="仿宋_GB2312"/>
          <w:color w:val="000000" w:themeColor="text1"/>
          <w:sz w:val="32"/>
          <w:szCs w:val="32"/>
          <w:highlight w:val="none"/>
          <w14:textFill>
            <w14:solidFill>
              <w14:schemeClr w14:val="tx1"/>
            </w14:solidFill>
          </w14:textFill>
        </w:rPr>
        <w:t>过渡期开发</w:t>
      </w:r>
      <w:r>
        <w:rPr>
          <w:rFonts w:ascii="Times New Roman" w:hAnsi="Times New Roman" w:eastAsia="仿宋_GB2312" w:cs="仿宋_GB2312"/>
          <w:i w:val="0"/>
          <w:color w:val="000000" w:themeColor="text1"/>
          <w:sz w:val="32"/>
          <w:szCs w:val="32"/>
          <w:highlight w:val="none"/>
          <w14:textFill>
            <w14:solidFill>
              <w14:schemeClr w14:val="tx1"/>
            </w14:solidFill>
          </w14:textFill>
        </w:rPr>
        <w:t>可在原有详细规划不变的基础上，补充编制土地过渡性开发项目地块的详细规划或编制</w:t>
      </w:r>
      <w:r>
        <w:rPr>
          <w:rFonts w:ascii="Times New Roman" w:hAnsi="Times New Roman" w:eastAsia="仿宋_GB2312" w:cs="仿宋_GB2312"/>
          <w:color w:val="000000" w:themeColor="text1"/>
          <w:sz w:val="32"/>
          <w:szCs w:val="32"/>
          <w:highlight w:val="none"/>
          <w14:textFill>
            <w14:solidFill>
              <w14:schemeClr w14:val="tx1"/>
            </w14:solidFill>
          </w14:textFill>
        </w:rPr>
        <w:t>土地短期利用实施方案作为详细规划实施方案</w:t>
      </w:r>
      <w:r>
        <w:rPr>
          <w:rFonts w:ascii="Times New Roman" w:hAnsi="Times New Roman" w:eastAsia="仿宋_GB2312" w:cs="仿宋_GB2312"/>
          <w:i w:val="0"/>
          <w:color w:val="000000" w:themeColor="text1"/>
          <w:sz w:val="32"/>
          <w:szCs w:val="32"/>
          <w:highlight w:val="none"/>
          <w14:textFill>
            <w14:solidFill>
              <w14:schemeClr w14:val="tx1"/>
            </w14:solidFill>
          </w14:textFill>
        </w:rPr>
        <w:t>，明确过渡性规划用途及有关技术指标等。</w:t>
      </w:r>
      <w:r>
        <w:rPr>
          <w:rFonts w:ascii="Times New Roman" w:hAnsi="Times New Roman" w:eastAsia="仿宋_GB2312" w:cs="仿宋_GB2312"/>
          <w:color w:val="000000" w:themeColor="text1"/>
          <w:spacing wpsCustomData:val="-6" w:val="6"/>
          <w:sz w:val="32"/>
          <w:szCs w:val="32"/>
          <w:highlight w:val="none"/>
          <w14:textFill>
            <w14:solidFill>
              <w14:schemeClr w14:val="tx1"/>
            </w14:solidFill>
          </w14:textFill>
        </w:rPr>
        <w:t>（</w:t>
      </w:r>
      <w:r>
        <w:rPr>
          <w:rFonts w:hint="eastAsia" w:ascii="Times New Roman" w:hAnsi="Times New Roman" w:eastAsia="仿宋_GB2312" w:cs="仿宋_GB2312"/>
          <w:color w:val="000000" w:themeColor="text1"/>
          <w:spacing wpsCustomData:val="-6" w:val="6"/>
          <w:sz w:val="32"/>
          <w:szCs w:val="32"/>
          <w:highlight w:val="none"/>
          <w14:textFill>
            <w14:solidFill>
              <w14:schemeClr w14:val="tx1"/>
            </w14:solidFill>
          </w14:textFill>
        </w:rPr>
        <w:t>牵头部门：</w:t>
      </w:r>
      <w:r>
        <w:rPr>
          <w:rFonts w:ascii="Times New Roman" w:hAnsi="Times New Roman" w:eastAsia="仿宋_GB2312" w:cs="仿宋_GB2312"/>
          <w:color w:val="000000" w:themeColor="text1"/>
          <w:spacing wpsCustomData:val="-6" w:val="6"/>
          <w:sz w:val="32"/>
          <w:szCs w:val="32"/>
          <w:highlight w:val="none"/>
          <w14:textFill>
            <w14:solidFill>
              <w14:schemeClr w14:val="tx1"/>
            </w14:solidFill>
          </w14:textFill>
        </w:rPr>
        <w:t>市自然资源局、市住房和城乡建设局、市投资</w:t>
      </w:r>
      <w:r>
        <w:rPr>
          <w:rFonts w:ascii="Times New Roman" w:hAnsi="Times New Roman" w:eastAsia="仿宋_GB2312" w:cs="仿宋_GB2312"/>
          <w:color w:val="000000" w:themeColor="text1"/>
          <w:spacing wpsCustomData:val="-6" w:val="-6"/>
          <w:sz w:val="32"/>
          <w:szCs w:val="32"/>
          <w:highlight w:val="none"/>
          <w14:textFill>
            <w14:solidFill>
              <w14:schemeClr w14:val="tx1"/>
            </w14:solidFill>
          </w14:textFill>
        </w:rPr>
        <w:t>促</w:t>
      </w:r>
      <w:r>
        <w:rPr>
          <w:rFonts w:ascii="Times New Roman" w:hAnsi="Times New Roman" w:eastAsia="仿宋_GB2312" w:cs="仿宋_GB2312"/>
          <w:color w:val="000000" w:themeColor="text1"/>
          <w:sz w:val="32"/>
          <w:szCs w:val="32"/>
          <w:highlight w:val="none"/>
          <w14:textFill>
            <w14:solidFill>
              <w14:schemeClr w14:val="tx1"/>
            </w14:solidFill>
          </w14:textFill>
        </w:rPr>
        <w:t>进局）</w:t>
      </w:r>
    </w:p>
    <w:p w14:paraId="2B9820F8">
      <w:pPr>
        <w:pStyle w:val="4"/>
        <w:widowControl/>
        <w:numPr>
          <w:ilvl w:val="0"/>
          <w:numId w:val="0"/>
        </w:numPr>
        <w:topLinePunct w:val="0"/>
        <w:ind w:left="0" w:leftChars="0" w:firstLine="640"/>
        <w:rPr>
          <w:rFonts w:hint="eastAsia" w:ascii="楷体_GB2312" w:hAnsi="楷体_GB2312" w:eastAsia="楷体_GB2312" w:cs="楷体_GB2312"/>
          <w:b w:val="0"/>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（七）</w:t>
      </w:r>
      <w:r>
        <w:rPr>
          <w:color w:val="000000" w:themeColor="text1"/>
          <w14:textFill>
            <w14:solidFill>
              <w14:schemeClr w14:val="tx1"/>
            </w14:solidFill>
          </w14:textFill>
        </w:rPr>
        <w:t>支持带建（构）筑物出让土地</w:t>
      </w:r>
    </w:p>
    <w:p w14:paraId="6618CBC1">
      <w:pPr>
        <w:pStyle w:val="19"/>
        <w:widowControl/>
        <w:pBdr>
          <w:bottom w:val="none" w:color="auto" w:sz="0" w:space="0"/>
        </w:pBdr>
        <w:rPr>
          <w:rFonts w:hint="eastAsia" w:ascii="Times New Roman" w:hAnsi="Times New Roman" w:eastAsia="仿宋_GB2312" w:cs="仿宋_GB2312"/>
          <w:i w:val="0"/>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仿宋_GB2312"/>
          <w:i w:val="0"/>
          <w:color w:val="000000" w:themeColor="text1"/>
          <w:sz w:val="32"/>
          <w:szCs w:val="32"/>
          <w:highlight w:val="none"/>
          <w14:textFill>
            <w14:solidFill>
              <w14:schemeClr w14:val="tx1"/>
            </w14:solidFill>
          </w14:textFill>
        </w:rPr>
        <w:t>在权属清晰、无权利负担及法律纠纷，且满足建筑结构安全和消防安全的前提下，具有继续使用、改造盘活、历史文化保护价值或因政府没收、收回（购）后确需保留的地上建（构）筑物，可随土地一并带条件出让。需保留的地上建（构）筑物由土地储备机构将土地及地上建筑物进行收储，</w:t>
      </w:r>
      <w:r>
        <w:rPr>
          <w:rFonts w:hint="eastAsia" w:ascii="Times New Roman" w:hAnsi="Times New Roman" w:eastAsia="仿宋_GB2312" w:cs="仿宋_GB2312"/>
          <w:b w:val="0"/>
          <w:i w:val="0"/>
          <w:strike w:val="0"/>
          <w:color w:val="000000" w:themeColor="text1"/>
          <w:spacing w:val="-6"/>
          <w:sz w:val="32"/>
          <w:highlight w:val="none"/>
          <w:u w:val="none"/>
          <w14:textFill>
            <w14:solidFill>
              <w14:schemeClr w14:val="tx1"/>
            </w14:solidFill>
          </w14:textFill>
        </w:rPr>
        <w:t>注销原权属登记</w:t>
      </w:r>
      <w:r>
        <w:rPr>
          <w:rFonts w:hint="eastAsia" w:cs="仿宋_GB2312"/>
          <w:i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i w:val="0"/>
          <w:color w:val="000000" w:themeColor="text1"/>
          <w:sz w:val="32"/>
          <w:szCs w:val="32"/>
          <w:highlight w:val="none"/>
          <w14:textFill>
            <w14:solidFill>
              <w14:schemeClr w14:val="tx1"/>
            </w14:solidFill>
          </w14:textFill>
        </w:rPr>
        <w:t>自然资源管理部门依据详细规划出具拟供宗地（含保留建筑）规划设计条件，规划设计条件中应明确保留建筑的建筑面积、用地性质等规划要求，并在有偿使用合同或划拨决定书中明确的建筑物权属、界址、面积、用途等信息。国有建设用地使用权人可以在土地出让或者划拨后</w:t>
      </w:r>
      <w:r>
        <w:rPr>
          <w:rFonts w:hint="eastAsia" w:cs="仿宋_GB2312"/>
          <w:i w:val="0"/>
          <w:color w:val="000000" w:themeColor="text1"/>
          <w:sz w:val="32"/>
          <w:szCs w:val="32"/>
          <w:highlight w:val="none"/>
          <w:lang w:val="en-US" w:eastAsia="zh-CN"/>
          <w14:textFill>
            <w14:solidFill>
              <w14:schemeClr w14:val="tx1"/>
            </w14:solidFill>
          </w14:textFill>
        </w:rPr>
        <w:t>凭土地出让合同或划拨决定书、规划确认或规划核实意见、建设项目竣工验收意见</w:t>
      </w:r>
      <w:r>
        <w:rPr>
          <w:rFonts w:hint="eastAsia" w:ascii="Times New Roman" w:hAnsi="Times New Roman" w:eastAsia="仿宋_GB2312" w:cs="仿宋_GB2312"/>
          <w:i w:val="0"/>
          <w:color w:val="000000" w:themeColor="text1"/>
          <w:sz w:val="32"/>
          <w:szCs w:val="32"/>
          <w:highlight w:val="none"/>
          <w14:textFill>
            <w14:solidFill>
              <w14:schemeClr w14:val="tx1"/>
            </w14:solidFill>
          </w14:textFill>
        </w:rPr>
        <w:t>按规定办理办理国有建设用地使用权及房屋所有权首次登记</w:t>
      </w:r>
      <w:r>
        <w:rPr>
          <w:rFonts w:hint="eastAsia" w:cs="仿宋_GB2312"/>
          <w:i w:val="0"/>
          <w:color w:val="000000" w:themeColor="text1"/>
          <w:sz w:val="32"/>
          <w:szCs w:val="32"/>
          <w:highlight w:val="none"/>
          <w:lang w:eastAsia="zh-CN"/>
          <w14:textFill>
            <w14:solidFill>
              <w14:schemeClr w14:val="tx1"/>
            </w14:solidFill>
          </w14:textFill>
        </w:rPr>
        <w:t>。</w:t>
      </w:r>
    </w:p>
    <w:p w14:paraId="5C1FCA8C">
      <w:pPr>
        <w:pStyle w:val="19"/>
        <w:widowControl/>
        <w:rPr>
          <w:rFonts w:hint="eastAsia" w:cs="仿宋_GB2312"/>
          <w:b/>
          <w:bCs/>
          <w:color w:val="000000" w:themeColor="text1"/>
          <w:sz w:val="32"/>
          <w:szCs w:val="32"/>
          <w:highlight w:val="none"/>
          <w:lang w:val="en-US" w:eastAsia="zh-CN"/>
          <w14:textFill>
            <w14:solidFill>
              <w14:schemeClr w14:val="tx1"/>
            </w14:solidFill>
          </w14:textFill>
        </w:rPr>
      </w:pPr>
      <w:r>
        <w:rPr>
          <w:rFonts w:ascii="Times New Roman" w:hAnsi="Times New Roman" w:eastAsia="仿宋_GB2312" w:cs="仿宋_GB2312"/>
          <w:i w:val="0"/>
          <w:color w:val="000000" w:themeColor="text1"/>
          <w:sz w:val="32"/>
          <w:szCs w:val="32"/>
          <w:highlight w:val="none"/>
          <w14:textFill>
            <w14:solidFill>
              <w14:schemeClr w14:val="tx1"/>
            </w14:solidFill>
          </w14:textFill>
        </w:rPr>
        <w:t>对已经办理规划许可尚未竣工的在建工程，成交后由竞得人凭成交确认书、原权利人放弃在建房屋工程所有权的声明、政府批复文件办理建筑工程规划许可、建筑工程施工许可变更手续，按照既定的建筑工程规划许可继续</w:t>
      </w:r>
      <w:r>
        <w:rPr>
          <w:rFonts w:ascii="Times New Roman" w:hAnsi="Times New Roman" w:eastAsia="仿宋_GB2312" w:cs="仿宋_GB2312"/>
          <w:i w:val="0"/>
          <w:color w:val="000000" w:themeColor="text1"/>
          <w:spacing w:val="-3"/>
          <w:sz w:val="32"/>
          <w:szCs w:val="32"/>
          <w:highlight w:val="none"/>
          <w14:textFill>
            <w14:solidFill>
              <w14:schemeClr w14:val="tx1"/>
            </w14:solidFill>
          </w14:textFill>
        </w:rPr>
        <w:t>开发建设。</w:t>
      </w:r>
      <w:r>
        <w:rPr>
          <w:rFonts w:ascii="Times New Roman" w:hAnsi="Times New Roman" w:eastAsia="仿宋_GB2312" w:cs="仿宋_GB2312"/>
          <w:color w:val="000000" w:themeColor="text1"/>
          <w:spacing w:val="-3"/>
          <w:sz w:val="32"/>
          <w:szCs w:val="32"/>
          <w:highlight w:val="none"/>
          <w14:textFill>
            <w14:solidFill>
              <w14:schemeClr w14:val="tx1"/>
            </w14:solidFill>
          </w14:textFill>
        </w:rPr>
        <w:t>（</w:t>
      </w:r>
      <w:r>
        <w:rPr>
          <w:rFonts w:hint="eastAsia" w:ascii="Times New Roman" w:hAnsi="Times New Roman" w:eastAsia="仿宋_GB2312" w:cs="仿宋_GB2312"/>
          <w:color w:val="000000" w:themeColor="text1"/>
          <w:sz w:val="32"/>
          <w:szCs w:val="32"/>
          <w:highlight w:val="none"/>
          <w14:textFill>
            <w14:solidFill>
              <w14:schemeClr w14:val="tx1"/>
            </w14:solidFill>
          </w14:textFill>
        </w:rPr>
        <w:t>牵头部门：</w:t>
      </w:r>
      <w:r>
        <w:rPr>
          <w:rFonts w:ascii="Times New Roman" w:hAnsi="Times New Roman" w:eastAsia="仿宋_GB2312" w:cs="仿宋_GB2312"/>
          <w:color w:val="000000" w:themeColor="text1"/>
          <w:spacing w:val="-3"/>
          <w:sz w:val="32"/>
          <w:szCs w:val="32"/>
          <w:highlight w:val="none"/>
          <w14:textFill>
            <w14:solidFill>
              <w14:schemeClr w14:val="tx1"/>
            </w14:solidFill>
          </w14:textFill>
        </w:rPr>
        <w:t>市自然资源局、市住房和城乡</w:t>
      </w:r>
      <w:r>
        <w:rPr>
          <w:rFonts w:ascii="Times New Roman" w:hAnsi="Times New Roman" w:eastAsia="仿宋_GB2312" w:cs="仿宋_GB2312"/>
          <w:color w:val="000000" w:themeColor="text1"/>
          <w:spacing w:val="-6"/>
          <w:sz w:val="32"/>
          <w:szCs w:val="32"/>
          <w:highlight w:val="none"/>
          <w14:textFill>
            <w14:solidFill>
              <w14:schemeClr w14:val="tx1"/>
            </w14:solidFill>
          </w14:textFill>
        </w:rPr>
        <w:t>建</w:t>
      </w:r>
      <w:r>
        <w:rPr>
          <w:rFonts w:ascii="Times New Roman" w:hAnsi="Times New Roman" w:eastAsia="仿宋_GB2312" w:cs="仿宋_GB2312"/>
          <w:color w:val="000000" w:themeColor="text1"/>
          <w:sz w:val="32"/>
          <w:szCs w:val="32"/>
          <w:highlight w:val="none"/>
          <w14:textFill>
            <w14:solidFill>
              <w14:schemeClr w14:val="tx1"/>
            </w14:solidFill>
          </w14:textFill>
        </w:rPr>
        <w:t>设局）</w:t>
      </w:r>
      <w:r>
        <w:rPr>
          <w:rFonts w:hint="eastAsia" w:cs="仿宋_GB2312"/>
          <w:b/>
          <w:bCs/>
          <w:color w:val="000000" w:themeColor="text1"/>
          <w:sz w:val="32"/>
          <w:szCs w:val="32"/>
          <w:highlight w:val="none"/>
          <w:lang w:val="en-US" w:eastAsia="zh-CN"/>
          <w14:textFill>
            <w14:solidFill>
              <w14:schemeClr w14:val="tx1"/>
            </w14:solidFill>
          </w14:textFill>
        </w:rPr>
        <w:t xml:space="preserve"> </w:t>
      </w:r>
    </w:p>
    <w:p w14:paraId="660F1B61">
      <w:pPr>
        <w:pStyle w:val="3"/>
        <w:widowControl/>
        <w:numPr>
          <w:ilvl w:val="0"/>
          <w:numId w:val="0"/>
        </w:numPr>
        <w:topLinePunct w:val="0"/>
        <w:ind w:left="0" w:leftChars="0" w:firstLine="640"/>
        <w:rPr>
          <w:b w:val="0"/>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四、</w:t>
      </w:r>
      <w:r>
        <w:rPr>
          <w:color w:val="000000" w:themeColor="text1"/>
          <w14:textFill>
            <w14:solidFill>
              <w14:schemeClr w14:val="tx1"/>
            </w14:solidFill>
          </w14:textFill>
        </w:rPr>
        <w:t>强化用地政策精准赋能，释放产业发展新动能</w:t>
      </w:r>
    </w:p>
    <w:p w14:paraId="768C4910">
      <w:pPr>
        <w:pStyle w:val="4"/>
        <w:widowControl/>
        <w:numPr>
          <w:ilvl w:val="0"/>
          <w:numId w:val="0"/>
        </w:numPr>
        <w:topLinePunct w:val="0"/>
        <w:ind w:left="0" w:leftChars="0" w:firstLine="640"/>
        <w:rPr>
          <w:rFonts w:hint="eastAsia" w:ascii="楷体_GB2312" w:hAnsi="楷体_GB2312" w:eastAsia="楷体_GB2312" w:cs="楷体_GB2312"/>
          <w:b w:val="0"/>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（八）</w:t>
      </w:r>
      <w:r>
        <w:rPr>
          <w:color w:val="000000" w:themeColor="text1"/>
          <w14:textFill>
            <w14:solidFill>
              <w14:schemeClr w14:val="tx1"/>
            </w14:solidFill>
          </w14:textFill>
        </w:rPr>
        <w:t>优化酒店行业投资环境</w:t>
      </w:r>
    </w:p>
    <w:p w14:paraId="3472310D">
      <w:pPr>
        <w:pStyle w:val="19"/>
        <w:widowControl/>
        <w:rPr>
          <w:rFonts w:ascii="Times New Roman" w:hAnsi="Times New Roman" w:eastAsia="仿宋_GB2312" w:cs="仿宋_GB2312"/>
          <w:color w:val="000000" w:themeColor="text1"/>
          <w:sz w:val="32"/>
          <w:szCs w:val="32"/>
          <w:highlight w:val="none"/>
          <w14:textFill>
            <w14:solidFill>
              <w14:schemeClr w14:val="tx1"/>
            </w14:solidFill>
          </w14:textFill>
        </w:rPr>
      </w:pPr>
      <w:r>
        <w:rPr>
          <w:rFonts w:ascii="Times New Roman" w:hAnsi="Times New Roman" w:eastAsia="仿宋_GB2312" w:cs="仿宋_GB2312"/>
          <w:color w:val="000000" w:themeColor="text1"/>
          <w:sz w:val="32"/>
          <w:szCs w:val="32"/>
          <w:highlight w:val="none"/>
          <w14:textFill>
            <w14:solidFill>
              <w14:schemeClr w14:val="tx1"/>
            </w14:solidFill>
          </w14:textFill>
        </w:rPr>
        <w:t>在我市按星级旅游饭店标准建设的星级酒店、餐饮综合体项目或民宿项目使用存量土地，且其详细规划确定为商服用地、商业用地的，可直接按照旅馆用地挂牌出让。土地出让时，可在规划确定的容积率上限至下限之间取值，进行地价评估挂牌出让。旅馆用地挂牌出让时，按片区基准地价楼面价修正系数0.7进行地价评估。土地出让金允许在一年内分期缴纳，经土地出让协调决策机构集体认定，特殊项目可约定在两年内全部缴清。首次缴纳比例不低于全部土地出让金的50</w:t>
      </w:r>
      <w:r>
        <w:rPr>
          <w:rFonts w:hint="eastAsia" w:cs="仿宋_GB2312"/>
          <w:color w:val="000000" w:themeColor="text1"/>
          <w:sz w:val="32"/>
          <w:szCs w:val="32"/>
          <w:highlight w:val="none"/>
          <w:lang w:eastAsia="zh-CN"/>
          <w14:textFill>
            <w14:solidFill>
              <w14:schemeClr w14:val="tx1"/>
            </w14:solidFill>
          </w14:textFill>
        </w:rPr>
        <w:t>%</w:t>
      </w:r>
      <w:r>
        <w:rPr>
          <w:rFonts w:ascii="Times New Roman" w:hAnsi="Times New Roman" w:eastAsia="仿宋_GB2312" w:cs="仿宋_GB2312"/>
          <w:color w:val="000000" w:themeColor="text1"/>
          <w:sz w:val="32"/>
          <w:szCs w:val="32"/>
          <w:highlight w:val="none"/>
          <w14:textFill>
            <w14:solidFill>
              <w14:schemeClr w14:val="tx1"/>
            </w14:solidFill>
          </w14:textFill>
        </w:rPr>
        <w:t>，且应在土地出让合同签订后一个月内缴纳完毕。（</w:t>
      </w:r>
      <w:r>
        <w:rPr>
          <w:rFonts w:hint="eastAsia" w:ascii="Times New Roman" w:hAnsi="Times New Roman" w:eastAsia="仿宋_GB2312" w:cs="仿宋_GB2312"/>
          <w:color w:val="000000" w:themeColor="text1"/>
          <w:sz w:val="32"/>
          <w:szCs w:val="32"/>
          <w:highlight w:val="none"/>
          <w14:textFill>
            <w14:solidFill>
              <w14:schemeClr w14:val="tx1"/>
            </w14:solidFill>
          </w14:textFill>
        </w:rPr>
        <w:t>牵头部门：</w:t>
      </w:r>
      <w:r>
        <w:rPr>
          <w:rFonts w:ascii="Times New Roman" w:hAnsi="Times New Roman" w:eastAsia="仿宋_GB2312" w:cs="仿宋_GB2312"/>
          <w:color w:val="000000" w:themeColor="text1"/>
          <w:sz w:val="32"/>
          <w:szCs w:val="32"/>
          <w:highlight w:val="none"/>
          <w14:textFill>
            <w14:solidFill>
              <w14:schemeClr w14:val="tx1"/>
            </w14:solidFill>
          </w14:textFill>
        </w:rPr>
        <w:t>市自然资源局、市文化广电旅游体育局）</w:t>
      </w:r>
    </w:p>
    <w:p w14:paraId="740AE715">
      <w:pPr>
        <w:pStyle w:val="4"/>
        <w:widowControl/>
        <w:numPr>
          <w:ilvl w:val="0"/>
          <w:numId w:val="0"/>
        </w:numPr>
        <w:topLinePunct w:val="0"/>
        <w:ind w:left="0" w:leftChars="0" w:firstLine="640"/>
        <w:rPr>
          <w:rFonts w:hint="eastAsia" w:ascii="楷体_GB2312" w:hAnsi="楷体_GB2312" w:eastAsia="楷体_GB2312" w:cs="楷体_GB2312"/>
          <w:b w:val="0"/>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（九）</w:t>
      </w:r>
      <w:r>
        <w:rPr>
          <w:color w:val="000000" w:themeColor="text1"/>
          <w14:textFill>
            <w14:solidFill>
              <w14:schemeClr w14:val="tx1"/>
            </w14:solidFill>
          </w14:textFill>
        </w:rPr>
        <w:t>优化房地产用地政策</w:t>
      </w:r>
    </w:p>
    <w:p w14:paraId="32A9E180">
      <w:pPr>
        <w:pStyle w:val="19"/>
        <w:widowControl/>
        <w:rPr>
          <w:rFonts w:ascii="Times New Roman" w:hAnsi="Times New Roman" w:eastAsia="仿宋_GB2312" w:cs="仿宋_GB2312"/>
          <w:color w:val="000000" w:themeColor="text1"/>
          <w:sz w:val="32"/>
          <w:szCs w:val="32"/>
          <w:highlight w:val="none"/>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推动房地产高质量发展，针对2024年3月31日之前供应目前尚</w:t>
      </w:r>
      <w:r>
        <w:rPr>
          <w:rFonts w:ascii="Times New Roman" w:hAnsi="Times New Roman" w:eastAsia="仿宋_GB2312" w:cs="仿宋_GB2312"/>
          <w:color w:val="000000" w:themeColor="text1"/>
          <w:sz w:val="32"/>
          <w:szCs w:val="32"/>
          <w:highlight w:val="none"/>
          <w14:textFill>
            <w14:solidFill>
              <w14:schemeClr w14:val="tx1"/>
            </w14:solidFill>
          </w14:textFill>
        </w:rPr>
        <w:t>推动房地产高质量发展，针对2024年3月31日之前供应目前尚未开工以及已开工未竣工的房地产用地：</w:t>
      </w:r>
    </w:p>
    <w:p w14:paraId="14579576">
      <w:pPr>
        <w:pStyle w:val="19"/>
        <w:widowControl/>
        <w:numPr>
          <w:ilvl w:val="0"/>
          <w:numId w:val="0"/>
        </w:numPr>
        <w:ind w:left="0" w:leftChars="0" w:firstLine="616"/>
        <w:rPr>
          <w:rFonts w:hint="default" w:ascii="Times New Roman" w:hAnsi="Times New Roman" w:eastAsia="仿宋_GB2312" w:cs="仿宋_GB2312"/>
          <w:b w:val="0"/>
          <w:color w:val="000000" w:themeColor="text1"/>
          <w:sz w:val="32"/>
          <w:szCs w:val="32"/>
          <w:highlight w:val="none"/>
          <w:lang w:val="en-US" w:eastAsia="zh-CN"/>
          <w14:textFill>
            <w14:solidFill>
              <w14:schemeClr w14:val="tx1"/>
            </w14:solidFill>
          </w14:textFill>
        </w:rPr>
      </w:pPr>
      <w:r>
        <w:rPr>
          <w:rStyle w:val="165"/>
          <w:rFonts w:hint="eastAsia"/>
          <w:color w:val="000000" w:themeColor="text1"/>
          <w:highlight w:val="none"/>
          <w:lang w:eastAsia="zh-CN"/>
          <w14:textFill>
            <w14:solidFill>
              <w14:schemeClr w14:val="tx1"/>
            </w14:solidFill>
          </w14:textFill>
        </w:rPr>
        <w:t>1.</w:t>
      </w:r>
      <w:r>
        <w:rPr>
          <w:rFonts w:hint="eastAsia" w:ascii="仿宋" w:hAnsi="仿宋" w:eastAsia="仿宋" w:cs="仿宋"/>
          <w:color w:val="000000" w:themeColor="text1"/>
          <w:spacing w:val="-6"/>
          <w:sz w:val="32"/>
          <w:szCs w:val="32"/>
          <w:highlight w:val="none"/>
          <w:lang w:eastAsia="zh-CN"/>
          <w14:textFill>
            <w14:solidFill>
              <w14:schemeClr w14:val="tx1"/>
            </w14:solidFill>
          </w14:textFill>
        </w:rPr>
        <w:t xml:space="preserve"> </w:t>
      </w:r>
      <w:r>
        <w:rPr>
          <w:rStyle w:val="165"/>
          <w:color w:val="000000" w:themeColor="text1"/>
          <w:highlight w:val="none"/>
          <w14:textFill>
            <w14:solidFill>
              <w14:schemeClr w14:val="tx1"/>
            </w14:solidFill>
          </w14:textFill>
        </w:rPr>
        <w:t>适当放宽商品房规划微调审批要求</w:t>
      </w:r>
      <w:r>
        <w:rPr>
          <w:rFonts w:ascii="Times New Roman" w:hAnsi="Times New Roman" w:eastAsia="仿宋_GB2312" w:cs="仿宋_GB2312"/>
          <w:color w:val="000000" w:themeColor="text1"/>
          <w:sz w:val="32"/>
          <w:szCs w:val="32"/>
          <w:highlight w:val="none"/>
          <w14:textFill>
            <w14:solidFill>
              <w14:schemeClr w14:val="tx1"/>
            </w14:solidFill>
          </w14:textFill>
        </w:rPr>
        <w:t>。已取得建设工程规划许可未进行规划条件核实的项目，允许项目在符合规划相关管控要求和政策规定的范围内进行合理的规划方案调整。已出让住宅用地配建不超过居住总计容建筑面积3％的商业规模的，可无需办理用地规划条件变更手续。</w:t>
      </w:r>
    </w:p>
    <w:p w14:paraId="0CADF3D8">
      <w:pPr>
        <w:pStyle w:val="19"/>
        <w:widowControl/>
        <w:numPr>
          <w:ilvl w:val="0"/>
          <w:numId w:val="0"/>
        </w:numPr>
        <w:ind w:left="0" w:leftChars="0" w:firstLine="616"/>
        <w:rPr>
          <w:rFonts w:ascii="Times New Roman" w:hAnsi="Times New Roman" w:eastAsia="仿宋_GB2312" w:cs="仿宋_GB2312"/>
          <w:b w:val="0"/>
          <w:color w:val="000000" w:themeColor="text1"/>
          <w:sz w:val="32"/>
          <w:szCs w:val="32"/>
          <w:highlight w:val="none"/>
          <w14:textFill>
            <w14:solidFill>
              <w14:schemeClr w14:val="tx1"/>
            </w14:solidFill>
          </w14:textFill>
        </w:rPr>
      </w:pPr>
      <w:r>
        <w:rPr>
          <w:rStyle w:val="165"/>
          <w:rFonts w:hint="eastAsia"/>
          <w:color w:val="000000" w:themeColor="text1"/>
          <w:highlight w:val="none"/>
          <w:lang w:eastAsia="zh-CN"/>
          <w14:textFill>
            <w14:solidFill>
              <w14:schemeClr w14:val="tx1"/>
            </w14:solidFill>
          </w14:textFill>
        </w:rPr>
        <w:t>2.</w:t>
      </w:r>
      <w:r>
        <w:rPr>
          <w:rFonts w:hint="eastAsia" w:ascii="仿宋" w:hAnsi="仿宋" w:eastAsia="仿宋" w:cs="仿宋"/>
          <w:color w:val="000000" w:themeColor="text1"/>
          <w:spacing w:val="-6"/>
          <w:sz w:val="32"/>
          <w:szCs w:val="32"/>
          <w:highlight w:val="none"/>
          <w:lang w:eastAsia="zh-CN"/>
          <w14:textFill>
            <w14:solidFill>
              <w14:schemeClr w14:val="tx1"/>
            </w14:solidFill>
          </w14:textFill>
        </w:rPr>
        <w:t xml:space="preserve"> </w:t>
      </w:r>
      <w:r>
        <w:rPr>
          <w:rStyle w:val="165"/>
          <w:color w:val="000000" w:themeColor="text1"/>
          <w:highlight w:val="none"/>
          <w14:textFill>
            <w14:solidFill>
              <w14:schemeClr w14:val="tx1"/>
            </w14:solidFill>
          </w14:textFill>
        </w:rPr>
        <w:t>规范分割宗地开发或转让</w:t>
      </w:r>
      <w:r>
        <w:rPr>
          <w:rFonts w:ascii="Times New Roman" w:hAnsi="Times New Roman" w:eastAsia="仿宋_GB2312" w:cs="仿宋_GB2312"/>
          <w:color w:val="000000" w:themeColor="text1"/>
          <w:sz w:val="32"/>
          <w:szCs w:val="32"/>
          <w:highlight w:val="none"/>
          <w14:textFill>
            <w14:solidFill>
              <w14:schemeClr w14:val="tx1"/>
            </w14:solidFill>
          </w14:textFill>
        </w:rPr>
        <w:t>。经市、县人民政府批准，可按规定分割宗地，分割后的地块应具备独立分宗条件，涉及公共配套设施建设和使用的，转让双方应在合同中明确有关权利义务。若拟分割宗地已预售或存在多个权利主体，应取得相关权利人同意，不得损害权利人合法权益。</w:t>
      </w:r>
    </w:p>
    <w:p w14:paraId="08238952">
      <w:pPr>
        <w:pStyle w:val="19"/>
        <w:widowControl/>
        <w:numPr>
          <w:ilvl w:val="0"/>
          <w:numId w:val="0"/>
        </w:numPr>
        <w:ind w:left="0" w:leftChars="0" w:firstLine="616"/>
        <w:rPr>
          <w:rFonts w:ascii="Times New Roman" w:hAnsi="Times New Roman" w:eastAsia="仿宋_GB2312" w:cs="仿宋_GB2312"/>
          <w:b w:val="0"/>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highlight w:val="none"/>
          <w14:textFill>
            <w14:solidFill>
              <w14:schemeClr w14:val="tx1"/>
            </w14:solidFill>
          </w14:textFill>
        </w:rPr>
        <w:t>3.</w:t>
      </w:r>
      <w:r>
        <w:rPr>
          <w:rFonts w:ascii="Times New Roman" w:hAnsi="Times New Roman" w:eastAsia="仿宋_GB2312" w:cs="仿宋_GB2312"/>
          <w:color w:val="000000" w:themeColor="text1"/>
          <w:sz w:val="32"/>
          <w:szCs w:val="32"/>
          <w:highlight w:val="none"/>
          <w14:textFill>
            <w14:solidFill>
              <w14:schemeClr w14:val="tx1"/>
            </w14:solidFill>
          </w14:textFill>
        </w:rPr>
        <w:t>支持置换、协议收回、收购土地。对已缴清土地价款、落实项目资金，因规划依法修改、非净地出让等政府原因造成土地闲置的，且经研判一年内无法消除闲置状态、动工建设的地块，可采取如下措施处置：一是可为国有建设用地使用权人置换其他价值相当、用途相同的国有建设用地进行开发建设。涉及出让土地的，应当重新签订土地出让合同，并在新签订的合同中注明为置换土地。二是可通过协议有偿收回国有建设用地使用权，有序组织重新供应。三是支持按照“以需定购”原则进行，以合理价格收购闲置土地，用于保障性住房建设。（</w:t>
      </w:r>
      <w:r>
        <w:rPr>
          <w:rFonts w:hint="eastAsia" w:ascii="Times New Roman" w:hAnsi="Times New Roman" w:eastAsia="仿宋_GB2312" w:cs="仿宋_GB2312"/>
          <w:color w:val="000000" w:themeColor="text1"/>
          <w:sz w:val="32"/>
          <w:szCs w:val="32"/>
          <w:highlight w:val="none"/>
          <w14:textFill>
            <w14:solidFill>
              <w14:schemeClr w14:val="tx1"/>
            </w14:solidFill>
          </w14:textFill>
        </w:rPr>
        <w:t>牵头部门：</w:t>
      </w:r>
      <w:r>
        <w:rPr>
          <w:rFonts w:ascii="Times New Roman" w:hAnsi="Times New Roman" w:eastAsia="仿宋_GB2312" w:cs="仿宋_GB2312"/>
          <w:color w:val="000000" w:themeColor="text1"/>
          <w:sz w:val="32"/>
          <w:szCs w:val="32"/>
          <w:highlight w:val="none"/>
          <w14:textFill>
            <w14:solidFill>
              <w14:schemeClr w14:val="tx1"/>
            </w14:solidFill>
          </w14:textFill>
        </w:rPr>
        <w:t>市自然资源局）</w:t>
      </w:r>
    </w:p>
    <w:p w14:paraId="30D39364">
      <w:pPr>
        <w:pStyle w:val="4"/>
        <w:widowControl/>
        <w:numPr>
          <w:ilvl w:val="0"/>
          <w:numId w:val="0"/>
        </w:numPr>
        <w:topLinePunct w:val="0"/>
        <w:ind w:left="0" w:leftChars="0" w:firstLine="640"/>
        <w:rPr>
          <w:rFonts w:hint="eastAsia" w:ascii="楷体_GB2312" w:hAnsi="楷体_GB2312" w:eastAsia="楷体_GB2312" w:cs="楷体_GB2312"/>
          <w:b w:val="0"/>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（十）</w:t>
      </w:r>
      <w:r>
        <w:rPr>
          <w:color w:val="000000" w:themeColor="text1"/>
          <w14:textFill>
            <w14:solidFill>
              <w14:schemeClr w14:val="tx1"/>
            </w14:solidFill>
          </w14:textFill>
        </w:rPr>
        <w:t>培育发展未来产业</w:t>
      </w:r>
    </w:p>
    <w:p w14:paraId="0719EC6D">
      <w:pPr>
        <w:pStyle w:val="19"/>
        <w:widowControl/>
        <w:ind w:firstLine="994" w:firstLineChars="323"/>
        <w:rPr>
          <w:rFonts w:hint="eastAsia" w:ascii="Times New Roman" w:hAnsi="Times New Roman" w:eastAsia="仿宋_GB2312" w:cs="仿宋_GB2312"/>
          <w:color w:val="000000" w:themeColor="text1"/>
          <w:sz w:val="32"/>
          <w:szCs w:val="32"/>
          <w:highlight w:val="none"/>
          <w14:textFill>
            <w14:solidFill>
              <w14:schemeClr w14:val="tx1"/>
            </w14:solidFill>
          </w14:textFill>
        </w:rPr>
      </w:pPr>
      <w:r>
        <w:rPr>
          <w:rFonts w:hint="eastAsia" w:ascii="Times New Roman" w:hAnsi="Times New Roman" w:eastAsia="仿宋_GB2312" w:cs="仿宋_GB2312"/>
          <w:color w:val="000000" w:themeColor="text1"/>
          <w:sz w:val="32"/>
          <w:szCs w:val="32"/>
          <w:highlight w:val="none"/>
          <w14:textFill>
            <w14:solidFill>
              <w14:schemeClr w14:val="tx1"/>
            </w14:solidFill>
          </w14:textFill>
        </w:rPr>
        <w:t>将未来产业培育作为重塑产业竞争力的战略支点</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color w:val="000000" w:themeColor="text1"/>
          <w:sz w:val="32"/>
          <w:szCs w:val="32"/>
          <w:highlight w:val="none"/>
          <w14:textFill>
            <w14:solidFill>
              <w14:schemeClr w14:val="tx1"/>
            </w14:solidFill>
          </w14:textFill>
        </w:rPr>
        <w:t>对符合国家未来产业发展方向、经</w:t>
      </w:r>
      <w:r>
        <w:rPr>
          <w:rFonts w:hint="eastAsia" w:cs="仿宋_GB2312"/>
          <w:color w:val="000000" w:themeColor="text1"/>
          <w:sz w:val="32"/>
          <w:szCs w:val="32"/>
          <w:highlight w:val="none"/>
          <w:lang w:val="en-US" w:eastAsia="zh-CN"/>
          <w14:textFill>
            <w14:solidFill>
              <w14:schemeClr w14:val="tx1"/>
            </w14:solidFill>
          </w14:textFill>
        </w:rPr>
        <w:t>产业</w:t>
      </w:r>
      <w:r>
        <w:rPr>
          <w:rFonts w:hint="eastAsia" w:ascii="Times New Roman" w:hAnsi="Times New Roman" w:eastAsia="仿宋_GB2312" w:cs="仿宋_GB2312"/>
          <w:color w:val="000000" w:themeColor="text1"/>
          <w:sz w:val="32"/>
          <w:szCs w:val="32"/>
          <w:highlight w:val="none"/>
          <w14:textFill>
            <w14:solidFill>
              <w14:schemeClr w14:val="tx1"/>
            </w14:solidFill>
          </w14:textFill>
        </w:rPr>
        <w:t>主管部门</w:t>
      </w:r>
      <w:r>
        <w:rPr>
          <w:rFonts w:hint="eastAsia" w:cs="仿宋_GB2312"/>
          <w:color w:val="000000" w:themeColor="text1"/>
          <w:sz w:val="32"/>
          <w:szCs w:val="32"/>
          <w:highlight w:val="none"/>
          <w:lang w:val="en-US" w:eastAsia="zh-CN"/>
          <w14:textFill>
            <w14:solidFill>
              <w14:schemeClr w14:val="tx1"/>
            </w14:solidFill>
          </w14:textFill>
        </w:rPr>
        <w:t>或园区管委会</w:t>
      </w:r>
      <w:r>
        <w:rPr>
          <w:rFonts w:hint="eastAsia" w:ascii="Times New Roman" w:hAnsi="Times New Roman" w:eastAsia="仿宋_GB2312" w:cs="仿宋_GB2312"/>
          <w:color w:val="000000" w:themeColor="text1"/>
          <w:sz w:val="32"/>
          <w:szCs w:val="32"/>
          <w:highlight w:val="none"/>
          <w14:textFill>
            <w14:solidFill>
              <w14:schemeClr w14:val="tx1"/>
            </w14:solidFill>
          </w14:textFill>
        </w:rPr>
        <w:t>认定的项目（可分割销售的商品厂房除外），在充分征求企业意愿的基础上，可采取“带方案出让”等方式供应产业用地，土地出让起始价可按照不低于地块所在基准地价的70%确定；土地价款可分期缴纳，首期缴纳价款不低于50%，在合同签订后1个月内缴纳，余款缴纳期限最长不超过2年，</w:t>
      </w:r>
      <w:r>
        <w:rPr>
          <w:rFonts w:ascii="Times New Roman" w:hAnsi="Times New Roman" w:eastAsia="仿宋_GB2312" w:cs="仿宋_GB2312"/>
          <w:color w:val="000000" w:themeColor="text1"/>
          <w:sz w:val="32"/>
          <w:szCs w:val="32"/>
          <w:highlight w:val="none"/>
          <w14:textFill>
            <w14:solidFill>
              <w14:schemeClr w14:val="tx1"/>
            </w14:solidFill>
          </w14:textFill>
        </w:rPr>
        <w:t>一年内不计收利息；</w:t>
      </w:r>
      <w:r>
        <w:rPr>
          <w:rFonts w:hint="eastAsia" w:ascii="Times New Roman" w:hAnsi="Times New Roman" w:eastAsia="仿宋_GB2312" w:cs="仿宋_GB2312"/>
          <w:color w:val="000000" w:themeColor="text1"/>
          <w:sz w:val="32"/>
          <w:szCs w:val="32"/>
          <w:highlight w:val="none"/>
          <w14:textFill>
            <w14:solidFill>
              <w14:schemeClr w14:val="tx1"/>
            </w14:solidFill>
          </w14:textFill>
        </w:rPr>
        <w:t>缴纳首期土地价款后，受让人可凭土地出让合同和首期价款缴纳凭证办理建设用地规划许可证、建设工程规划许可证、建设工程施工许可证等开发报建手续</w:t>
      </w:r>
      <w:r>
        <w:rPr>
          <w:rFonts w:hint="eastAsia" w:cs="仿宋_GB2312"/>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助力未来产业在我市落地发展。</w:t>
      </w:r>
      <w:r>
        <w:rPr>
          <w:rFonts w:hint="eastAsia" w:ascii="Times New Roman" w:hAnsi="Times New Roman" w:eastAsia="仿宋_GB2312" w:cs="仿宋_GB2312"/>
          <w:color w:val="000000" w:themeColor="text1"/>
          <w:sz w:val="32"/>
          <w:szCs w:val="32"/>
          <w:highlight w:val="none"/>
          <w14:textFill>
            <w14:solidFill>
              <w14:schemeClr w14:val="tx1"/>
            </w14:solidFill>
          </w14:textFill>
        </w:rPr>
        <w:t>（牵头部门：市工业和信息化局、市自然资源局、市住房城乡建设局、市投资促进局）</w:t>
      </w:r>
    </w:p>
    <w:p w14:paraId="03BA8145">
      <w:pPr>
        <w:pStyle w:val="3"/>
        <w:widowControl/>
        <w:numPr>
          <w:ilvl w:val="0"/>
          <w:numId w:val="0"/>
        </w:numPr>
        <w:topLinePunct w:val="0"/>
        <w:ind w:left="0" w:leftChars="0" w:firstLine="640"/>
        <w:rPr>
          <w:b w:val="0"/>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五、</w:t>
      </w:r>
      <w:r>
        <w:rPr>
          <w:color w:val="000000" w:themeColor="text1"/>
          <w14:textFill>
            <w14:solidFill>
              <w14:schemeClr w14:val="tx1"/>
            </w14:solidFill>
          </w14:textFill>
        </w:rPr>
        <w:t>其他事项</w:t>
      </w:r>
    </w:p>
    <w:p w14:paraId="64D53BCD">
      <w:pPr>
        <w:pStyle w:val="19"/>
        <w:widowControl/>
        <w:jc w:val="both"/>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本意见自 2026 年 x 月 x 日起执行，之前相关要求与本文件不一致的，以本文件为准。本意见适用于汕尾市市区（城区、红海湾经济开发区、华侨管理区）纳入我市城市更新年度计划的项目、纳入低效用地再开发试点的项目和其他经市、县人民政府批准的存量土地盘活利用项目，各县（市）可参照执行，法律法规规章另有规定的从其规定。</w:t>
      </w:r>
    </w:p>
    <w:p w14:paraId="1E01DA8B">
      <w:pPr>
        <w:pStyle w:val="19"/>
        <w:widowControl/>
        <w:jc w:val="both"/>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在本意见实施过程中遇到的具体问题，由汕尾市自然资源局负责解释。</w:t>
      </w:r>
    </w:p>
    <w:p w14:paraId="4D1086CB">
      <w:pPr>
        <w:pStyle w:val="19"/>
        <w:widowControl/>
        <w:pBdr>
          <w:bottom w:val="none" w:color="auto" w:sz="0" w:space="0"/>
        </w:pBdr>
        <w:rPr>
          <w:rFonts w:hint="eastAsia" w:ascii="仿宋_GB2312" w:hAnsi="仿宋_GB2312" w:eastAsia="仿宋_GB2312" w:cs="仿宋_GB2312"/>
          <w:i w:val="0"/>
          <w:strike w:val="0"/>
          <w:color w:val="000000" w:themeColor="text1"/>
          <w:spacing w:val="-6"/>
          <w:sz w:val="28"/>
          <w:szCs w:val="28"/>
          <w:highlight w:val="none"/>
          <w:u w:val="single"/>
          <w14:textFill>
            <w14:solidFill>
              <w14:schemeClr w14:val="tx1"/>
            </w14:solidFill>
          </w14:textFill>
        </w:rPr>
      </w:pPr>
      <w:bookmarkStart w:id="1" w:name="_GoBack"/>
      <w:bookmarkEnd w:id="1"/>
    </w:p>
    <w:sectPr>
      <w:headerReference r:id="rId5" w:type="default"/>
      <w:footerReference r:id="rId7" w:type="default"/>
      <w:headerReference r:id="rId6" w:type="even"/>
      <w:footerReference r:id="rId8" w:type="even"/>
      <w:pgSz w:w="12240" w:h="15840"/>
      <w:pgMar w:top="2098" w:right="1474" w:bottom="1984" w:left="1587" w:header="851" w:footer="1417" w:gutter="0"/>
      <w:pgNumType w:fmt="decimal" w:start="1"/>
      <w:cols w:space="720" w:num="1"/>
      <w:docGrid w:type="linesAndChars" w:linePitch="534" w:charSpace="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Courier">
    <w:panose1 w:val="02060409020205020404"/>
    <w:charset w:val="00"/>
    <w:family w:val="auto"/>
    <w:pitch w:val="default"/>
    <w:sig w:usb0="00000000" w:usb1="00000000" w:usb2="00000000" w:usb3="00000000" w:csb0="00000000" w:csb1="00000000"/>
  </w:font>
  <w:font w:name="方正小标宋简体">
    <w:panose1 w:val="02000000000000000000"/>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MS Gothic">
    <w:panose1 w:val="020B0609070205080204"/>
    <w:charset w:val="80"/>
    <w:family w:val="auto"/>
    <w:pitch w:val="default"/>
    <w:sig w:usb0="E00002FF" w:usb1="6AC7FDFB" w:usb2="08000012" w:usb3="00000000" w:csb0="4002009F" w:csb1="DFD70000"/>
  </w:font>
  <w:font w:name="仿宋">
    <w:panose1 w:val="02010609060101010101"/>
    <w:charset w:val="86"/>
    <w:family w:val="auto"/>
    <w:pitch w:val="default"/>
    <w:sig w:usb0="800002BF" w:usb1="38CF7CFA" w:usb2="00000016" w:usb3="00000000" w:csb0="00040001" w:csb1="00000000"/>
  </w:font>
  <w:font w:name="ＭＳ 明朝">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A5833">
    <w:pPr>
      <w:pStyle w:val="24"/>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4DB0B6">
                          <w:pPr>
                            <w:pStyle w:val="24"/>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6F4DB0B6">
                    <w:pPr>
                      <w:pStyle w:val="24"/>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55732">
    <w:pPr>
      <w:pStyle w:val="24"/>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B8FC56">
                          <w:pPr>
                            <w:pStyle w:val="24"/>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HN51Lo4AgAAawQAAA4AAABkcnMvZTJvRG9jLnhtbK1UzY7T&#10;MBC+I/EOlu80aVesqqrpqmxVhFSxKy2Is+s4TST/yXablAeAN+DEhTvP1efgs5N2YeGwBy7OeGY8&#10;M983M5nfdEqSg3C+Mbqg41FOidDclI3eFfTjh/WrKSU+MF0yabQo6FF4erN4+WLe2pmYmNrIUjiC&#10;INrPWlvQOgQ7yzLPa6GYHxkrNIyVcYoFXN0uKx1rEV3JbJLn11lrXGmd4cJ7aFe9kQ4R3XMCmqpq&#10;uFgZvldChz6qE5IFQPJ1Yz1dpGqrSvBwV1VeBCILCqQhnUgCeRvPbDFns51jtm74UAJ7TglPMCnW&#10;aCS9hFqxwMjeNX+FUg13xpsqjLhRWQ8kMQIU4/wJNw81syJhAdXeXkj3/y8sf3+4d6QpCzqhRDOF&#10;hp++fT19/3n68YVMIj2t9TN4PVj4he6N6TA0Z72HMqLuKqfiF3gI7CD3eCFXdIHw+Gg6mU5zmDhs&#10;5wviZ4/PrfPhrTCKRKGgDt1LpLLDxofe9ewSs2mzbqRMHZSatAW9vnqdpwcXC4JLjRwRRF9slEK3&#10;7QZkW1MeAcyZfjK85esGyTfMh3vmMAooGMsS7nBU0iCJGSRKauM+/0sf/dEhWClpMVoF1dgkSuQ7&#10;jc5N8iusAUYx3SC4P9Tbs1rv1a3B1I6xjpYnMToHeRYrZ9Qn7NIyZoOJaY6cBQ1n8Tb0g45d5GK5&#10;TE5765pd3T/ABFoWNvrB8pgmUurtch9Aa2I7UtXzMzCIGUz9GvYlDvnv9+T1+I9Y/A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c3nUujgCAABrBAAADgAAAAAAAAABACAAAAAlAQAAZHJzL2Uy&#10;b0RvYy54bWxQSwUGAAAAAAYABgBZAQAAzwUAAAAA&#10;">
              <v:fill on="f" focussize="0,0"/>
              <v:stroke on="f" weight="0.5pt"/>
              <v:imagedata o:title=""/>
              <o:lock v:ext="edit" aspectratio="f"/>
              <v:textbox inset="16pt,0mm,16pt,0mm" style="mso-fit-shape-to-text:t;">
                <w:txbxContent>
                  <w:p w14:paraId="2DB8FC56">
                    <w:pPr>
                      <w:pStyle w:val="24"/>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D32A0">
    <w:pPr>
      <w:pStyle w:val="2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FFF0F">
    <w:pPr>
      <w:pStyle w:val="2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6">
    <w:nsid w:val="4619BEAA"/>
    <w:multiLevelType w:val="singleLevel"/>
    <w:tmpl w:val="4619BEAA"/>
    <w:lvl w:ilvl="0" w:tentative="0">
      <w:start w:val="1"/>
      <w:numFmt w:val="decimal"/>
      <w:suff w:val="space"/>
      <w:lvlText w:val="%1."/>
      <w:lvlJc w:val="left"/>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documentProtection w:enforcement="0"/>
  <w:defaultTabStop w:val="720"/>
  <w:evenAndOddHeaders w:val="1"/>
  <w:drawingGridHorizontalSpacing w:val="164"/>
  <w:drawingGridVerticalSpacing w:val="267"/>
  <w:displayHorizontalDrawingGridEvery w:val="2"/>
  <w:displayVerticalDrawingGridEvery w:val="2"/>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2166861"/>
    <w:rsid w:val="1CDB3C60"/>
    <w:rsid w:val="42B421E6"/>
    <w:rsid w:val="542B48E5"/>
    <w:rsid w:val="5890700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sz w:val="24"/>
      <w:szCs w:val="22"/>
      <w:lang w:val="en-US" w:eastAsia="en-US" w:bidi="ar-SA"/>
    </w:rPr>
  </w:style>
  <w:style w:type="paragraph" w:styleId="3">
    <w:name w:val="heading 1"/>
    <w:next w:val="1"/>
    <w:qFormat/>
    <w:uiPriority w:val="9"/>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4">
    <w:name w:val="heading 2"/>
    <w:next w:val="1"/>
    <w:unhideWhenUsed/>
    <w:qFormat/>
    <w:uiPriority w:val="9"/>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5">
    <w:name w:val="heading 3"/>
    <w:next w:val="1"/>
    <w:link w:val="165"/>
    <w:unhideWhenUsed/>
    <w:qFormat/>
    <w:uiPriority w:val="9"/>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6">
    <w:name w:val="heading 4"/>
    <w:next w:val="1"/>
    <w:semiHidden/>
    <w:unhideWhenUsed/>
    <w:qFormat/>
    <w:uiPriority w:val="9"/>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7">
    <w:name w:val="heading 5"/>
    <w:next w:val="1"/>
    <w:semiHidden/>
    <w:unhideWhenUsed/>
    <w:qFormat/>
    <w:uiPriority w:val="9"/>
    <w:pPr>
      <w:spacing w:line="560" w:lineRule="exact"/>
      <w:ind w:firstLine="894" w:firstLineChars="200"/>
      <w:outlineLvl w:val="4"/>
    </w:pPr>
    <w:rPr>
      <w:rFonts w:ascii="Times New Roman" w:hAnsi="Times New Roman" w:eastAsia="仿宋_GB2312" w:cs="仿宋_GB2312"/>
      <w:sz w:val="32"/>
      <w:szCs w:val="32"/>
    </w:rPr>
  </w:style>
  <w:style w:type="paragraph" w:styleId="8">
    <w:name w:val="heading 6"/>
    <w:next w:val="1"/>
    <w:semiHidden/>
    <w:unhideWhenUsed/>
    <w:qFormat/>
    <w:uiPriority w:val="9"/>
    <w:pPr>
      <w:spacing w:line="560" w:lineRule="exact"/>
      <w:ind w:firstLine="894" w:firstLineChars="200"/>
      <w:outlineLvl w:val="5"/>
    </w:pPr>
    <w:rPr>
      <w:rFonts w:ascii="Times New Roman" w:hAnsi="Times New Roman" w:eastAsia="仿宋_GB2312" w:cs="仿宋_GB2312"/>
      <w:sz w:val="32"/>
      <w:szCs w:val="32"/>
    </w:rPr>
  </w:style>
  <w:style w:type="paragraph" w:styleId="9">
    <w:name w:val="heading 7"/>
    <w:next w:val="1"/>
    <w:semiHidden/>
    <w:unhideWhenUsed/>
    <w:qFormat/>
    <w:uiPriority w:val="9"/>
    <w:pPr>
      <w:spacing w:line="560" w:lineRule="exact"/>
      <w:ind w:firstLine="894" w:firstLineChars="200"/>
      <w:outlineLvl w:val="6"/>
    </w:pPr>
    <w:rPr>
      <w:rFonts w:ascii="Times New Roman" w:hAnsi="Times New Roman" w:eastAsia="仿宋_GB2312" w:cs="仿宋_GB2312"/>
      <w:sz w:val="32"/>
      <w:szCs w:val="32"/>
    </w:rPr>
  </w:style>
  <w:style w:type="paragraph" w:styleId="10">
    <w:name w:val="heading 8"/>
    <w:next w:val="1"/>
    <w:semiHidden/>
    <w:unhideWhenUsed/>
    <w:qFormat/>
    <w:uiPriority w:val="9"/>
    <w:pPr>
      <w:spacing w:line="560" w:lineRule="exact"/>
      <w:ind w:firstLine="894" w:firstLineChars="200"/>
      <w:outlineLvl w:val="7"/>
    </w:pPr>
    <w:rPr>
      <w:rFonts w:ascii="Times New Roman" w:hAnsi="Times New Roman" w:eastAsia="仿宋_GB2312" w:cs="仿宋_GB2312"/>
      <w:sz w:val="32"/>
      <w:szCs w:val="32"/>
    </w:rPr>
  </w:style>
  <w:style w:type="paragraph" w:styleId="11">
    <w:name w:val="heading 9"/>
    <w:next w:val="1"/>
    <w:semiHidden/>
    <w:unhideWhenUsed/>
    <w:qFormat/>
    <w:uiPriority w:val="9"/>
    <w:pPr>
      <w:spacing w:line="560" w:lineRule="exact"/>
      <w:ind w:firstLine="894" w:firstLineChars="200"/>
      <w:outlineLvl w:val="8"/>
    </w:pPr>
    <w:rPr>
      <w:rFonts w:ascii="Times New Roman" w:hAnsi="Times New Roman" w:eastAsia="仿宋_GB2312" w:cs="仿宋_GB2312"/>
      <w:sz w:val="32"/>
      <w:szCs w:val="32"/>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link w:val="144"/>
    <w:unhideWhenUsed/>
    <w:qFormat/>
    <w:uiPriority w:val="99"/>
    <w:pPr>
      <w:spacing w:line="560" w:lineRule="exact"/>
      <w:ind w:firstLine="630" w:firstLineChars="200"/>
      <w:jc w:val="both"/>
    </w:pPr>
    <w:rPr>
      <w:rFonts w:ascii="Times New Roman" w:hAnsi="Times New Roman" w:eastAsia="仿宋_GB2312" w:cs="仿宋_GB2312"/>
      <w:spacing w:val="-6"/>
      <w:sz w:val="32"/>
      <w:szCs w:val="32"/>
    </w:r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next w:val="1"/>
    <w:qFormat/>
    <w:uiPriority w:val="11"/>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next w:val="1"/>
    <w:link w:val="141"/>
    <w:qFormat/>
    <w:uiPriority w:val="10"/>
    <w:pPr>
      <w:spacing w:line="720" w:lineRule="exact"/>
      <w:jc w:val="center"/>
      <w:outlineLvl w:val="9"/>
    </w:pPr>
    <w:rPr>
      <w:rFonts w:ascii="方正小标宋简体" w:hAnsi="方正小标宋简体" w:eastAsia="方正小标宋简体" w:cs="方正小标宋简体"/>
      <w:sz w:val="44"/>
      <w:szCs w:val="44"/>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link w:val="31"/>
    <w:qFormat/>
    <w:uiPriority w:val="10"/>
    <w:rPr>
      <w:rFonts w:ascii="MS Gothic" w:hAnsi="MS Gothic" w:eastAsia="MS Gothic" w:cs="MS Gothic"/>
      <w:sz w:val="44"/>
      <w:szCs w:val="44"/>
      <w:lang w:val="zh-CN"/>
    </w:rPr>
  </w:style>
  <w:style w:type="character" w:customStyle="1" w:styleId="142">
    <w:name w:val="Subtitle Char"/>
    <w:basedOn w:val="13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link w:val="19"/>
    <w:qFormat/>
    <w:uiPriority w:val="99"/>
    <w:rPr>
      <w:rFonts w:ascii="Times New Roman" w:hAnsi="Times New Roman" w:eastAsia="ＭＳ 明朝" w:cs="ＭＳ 明朝"/>
      <w:spacing w:val="-6"/>
      <w:sz w:val="32"/>
      <w:szCs w:val="32"/>
    </w:rPr>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 w:type="character" w:customStyle="1" w:styleId="164">
    <w:name w:val="标题 3 Char"/>
    <w:link w:val="5"/>
    <w:qFormat/>
    <w:uiPriority w:val="9"/>
    <w:rPr>
      <w:rFonts w:ascii="Times New Roman" w:hAnsi="Times New Roman" w:eastAsia="仿宋_GB2312" w:cs="仿宋_GB2312"/>
      <w:sz w:val="32"/>
      <w:szCs w:val="32"/>
    </w:rPr>
  </w:style>
  <w:style w:type="character" w:customStyle="1" w:styleId="165">
    <w:name w:val="标题 3 Char1"/>
    <w:link w:val="5"/>
    <w:qFormat/>
    <w:uiPriority w:val="0"/>
    <w:rPr>
      <w:rFonts w:ascii="Times New Roman" w:hAnsi="Times New Roman" w:eastAsia="仿宋_GB2312" w:cs="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9083</Words>
  <Characters>9228</Characters>
  <Lines>0</Lines>
  <Paragraphs>0</Paragraphs>
  <TotalTime>2</TotalTime>
  <ScaleCrop>false</ScaleCrop>
  <LinksUpToDate>false</LinksUpToDate>
  <CharactersWithSpaces>9251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cp:lastModifiedBy>
  <dcterms:modified xsi:type="dcterms:W3CDTF">2026-07-09T07:40:44Z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eyJoZGlkIjoiNGFhNTk3MGNkNmZiMDZhYzQwNmJlZWJiY2Y2NTU5NzciLCJ1c2VySWQiOiI3MTEzNzI1ODMifQ==</vt:lpwstr>
  </property>
  <property fmtid="{D5CDD505-2E9C-101B-9397-08002B2CF9AE}" pid="3" name="KSOProductBuildVer">
    <vt:lpwstr>2052-12.1.0.26895</vt:lpwstr>
  </property>
  <property fmtid="{D5CDD505-2E9C-101B-9397-08002B2CF9AE}" pid="4" name="ICV">
    <vt:lpwstr>B962FC204BDE4EA78A1882568343D2EB_13</vt:lpwstr>
  </property>
</Properties>
</file>