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240" w:lineRule="auto"/>
        <w:ind w:firstLineChars="0"/>
        <w:rPr>
          <w:rFonts w:eastAsia="黑体" w:cs="Times New Roman"/>
          <w:kern w:val="44"/>
          <w:szCs w:val="24"/>
        </w:rPr>
      </w:pPr>
    </w:p>
    <w:p>
      <w:pPr>
        <w:ind w:firstLine="880"/>
        <w:jc w:val="center"/>
        <w:rPr>
          <w:rFonts w:eastAsia="黑体" w:cs="Times New Roman"/>
          <w:sz w:val="44"/>
          <w:szCs w:val="44"/>
        </w:rPr>
      </w:pPr>
      <w:bookmarkStart w:id="0" w:name="_Hlk108685337"/>
      <w:bookmarkEnd w:id="0"/>
    </w:p>
    <w:p>
      <w:pPr>
        <w:ind w:firstLine="880"/>
        <w:jc w:val="center"/>
        <w:rPr>
          <w:rFonts w:eastAsia="黑体" w:cs="Times New Roman"/>
          <w:sz w:val="44"/>
          <w:szCs w:val="44"/>
        </w:rPr>
      </w:pPr>
    </w:p>
    <w:p>
      <w:pPr>
        <w:ind w:firstLine="880"/>
        <w:jc w:val="center"/>
        <w:rPr>
          <w:rFonts w:eastAsia="黑体" w:cs="Times New Roman"/>
          <w:sz w:val="44"/>
          <w:szCs w:val="44"/>
        </w:rPr>
      </w:pPr>
    </w:p>
    <w:p>
      <w:pPr>
        <w:ind w:firstLine="880"/>
        <w:jc w:val="center"/>
        <w:rPr>
          <w:rFonts w:eastAsia="黑体" w:cs="Times New Roman"/>
          <w:sz w:val="44"/>
          <w:szCs w:val="44"/>
        </w:rPr>
      </w:pPr>
    </w:p>
    <w:p>
      <w:pPr>
        <w:ind w:firstLine="880"/>
        <w:jc w:val="center"/>
        <w:rPr>
          <w:rFonts w:eastAsia="黑体" w:cs="Times New Roman"/>
          <w:sz w:val="44"/>
          <w:szCs w:val="44"/>
        </w:rPr>
      </w:pPr>
    </w:p>
    <w:p>
      <w:pPr>
        <w:spacing w:line="660" w:lineRule="exact"/>
        <w:ind w:firstLine="0" w:firstLineChars="0"/>
        <w:jc w:val="center"/>
        <w:rPr>
          <w:rFonts w:hint="eastAsia" w:eastAsia="方正小标宋简体" w:cs="Times New Roman"/>
          <w:sz w:val="44"/>
          <w:szCs w:val="44"/>
        </w:rPr>
      </w:pPr>
      <w:bookmarkStart w:id="1" w:name="_Toc6233"/>
      <w:r>
        <w:rPr>
          <w:rFonts w:hint="eastAsia" w:eastAsia="方正小标宋简体" w:cs="Times New Roman"/>
          <w:sz w:val="44"/>
          <w:szCs w:val="44"/>
        </w:rPr>
        <w:t>汕尾市</w:t>
      </w:r>
      <w:bookmarkEnd w:id="1"/>
      <w:r>
        <w:rPr>
          <w:rFonts w:hint="eastAsia" w:eastAsia="方正小标宋简体" w:cs="Times New Roman"/>
          <w:sz w:val="44"/>
          <w:szCs w:val="44"/>
        </w:rPr>
        <w:t>低空经济</w:t>
      </w:r>
      <w:bookmarkStart w:id="2" w:name="_Toc21475"/>
      <w:r>
        <w:rPr>
          <w:rFonts w:hint="eastAsia" w:eastAsia="方正小标宋简体" w:cs="Times New Roman"/>
          <w:sz w:val="44"/>
          <w:szCs w:val="44"/>
          <w:lang w:eastAsia="zh-CN"/>
        </w:rPr>
        <w:t>发展</w:t>
      </w:r>
      <w:r>
        <w:rPr>
          <w:rFonts w:hint="eastAsia" w:eastAsia="方正小标宋简体" w:cs="Times New Roman"/>
          <w:sz w:val="44"/>
          <w:szCs w:val="44"/>
        </w:rPr>
        <w:t>“十五五”规划</w:t>
      </w:r>
      <w:bookmarkEnd w:id="2"/>
    </w:p>
    <w:p>
      <w:pPr>
        <w:spacing w:line="660" w:lineRule="exact"/>
        <w:ind w:firstLine="0" w:firstLineChars="0"/>
        <w:jc w:val="center"/>
        <w:rPr>
          <w:rFonts w:eastAsia="方正小标宋简体" w:cs="Times New Roman"/>
          <w:sz w:val="44"/>
          <w:szCs w:val="44"/>
        </w:rPr>
      </w:pPr>
    </w:p>
    <w:p>
      <w:pPr>
        <w:ind w:firstLine="880"/>
        <w:jc w:val="center"/>
        <w:rPr>
          <w:rFonts w:eastAsia="黑体" w:cs="Times New Roman"/>
          <w:sz w:val="44"/>
          <w:szCs w:val="44"/>
        </w:rPr>
      </w:pPr>
    </w:p>
    <w:p>
      <w:pPr>
        <w:ind w:firstLine="880"/>
        <w:jc w:val="center"/>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880"/>
        <w:rPr>
          <w:rFonts w:eastAsia="黑体" w:cs="Times New Roman"/>
          <w:sz w:val="44"/>
          <w:szCs w:val="44"/>
        </w:rPr>
      </w:pPr>
    </w:p>
    <w:p>
      <w:pPr>
        <w:ind w:firstLine="0" w:firstLineChars="0"/>
        <w:jc w:val="center"/>
        <w:rPr>
          <w:rFonts w:hint="default" w:eastAsia="仿宋_GB2312" w:cs="Times New Roman"/>
          <w:szCs w:val="32"/>
          <w:lang w:val="en-US" w:eastAsia="zh-CN"/>
        </w:rPr>
      </w:pPr>
      <w:r>
        <w:rPr>
          <w:rFonts w:cs="Times New Roman"/>
          <w:szCs w:val="32"/>
        </w:rPr>
        <w:t>20</w:t>
      </w:r>
      <w:r>
        <w:rPr>
          <w:rFonts w:hint="eastAsia" w:cs="Times New Roman"/>
          <w:szCs w:val="32"/>
          <w:lang w:val="en-US" w:eastAsia="zh-CN"/>
        </w:rPr>
        <w:t>26</w:t>
      </w:r>
      <w:r>
        <w:rPr>
          <w:rFonts w:cs="Times New Roman"/>
          <w:szCs w:val="32"/>
        </w:rPr>
        <w:t>年</w:t>
      </w:r>
      <w:r>
        <w:rPr>
          <w:rFonts w:hint="eastAsia" w:cs="Times New Roman"/>
          <w:szCs w:val="32"/>
          <w:lang w:val="en-US" w:eastAsia="zh-CN"/>
        </w:rPr>
        <w:t>6</w:t>
      </w:r>
      <w:r>
        <w:rPr>
          <w:rFonts w:cs="Times New Roman"/>
          <w:szCs w:val="32"/>
        </w:rPr>
        <w:t>月</w:t>
      </w:r>
    </w:p>
    <w:p>
      <w:pPr>
        <w:spacing w:line="240" w:lineRule="auto"/>
        <w:ind w:firstLine="880" w:firstLineChars="0"/>
        <w:rPr>
          <w:rFonts w:eastAsia="黑体" w:cs="Times New Roman"/>
          <w:sz w:val="44"/>
          <w:szCs w:val="44"/>
        </w:rPr>
      </w:pPr>
    </w:p>
    <w:p>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adjustRightInd w:val="0"/>
        <w:snapToGrid w:val="0"/>
        <w:spacing w:before="0" w:beforeLines="0" w:after="0" w:afterLines="0" w:line="560" w:lineRule="exact"/>
        <w:ind w:left="0" w:leftChars="0" w:right="0" w:rightChars="0" w:firstLine="0" w:firstLineChars="0"/>
        <w:jc w:val="center"/>
        <w:rPr>
          <w:rFonts w:hint="eastAsia" w:ascii="黑体" w:hAnsi="黑体" w:eastAsia="黑体" w:cs="黑体"/>
          <w:szCs w:val="32"/>
        </w:rPr>
      </w:pPr>
      <w:r>
        <w:rPr>
          <w:rFonts w:hint="eastAsia" w:ascii="黑体" w:hAnsi="黑体" w:eastAsia="黑体" w:cs="黑体"/>
          <w:sz w:val="32"/>
          <w:szCs w:val="32"/>
        </w:rPr>
        <w:t>目录</w:t>
      </w:r>
    </w:p>
    <w:p>
      <w:pPr>
        <w:pStyle w:val="11"/>
        <w:tabs>
          <w:tab w:val="right" w:leader="dot" w:pos="8306"/>
        </w:tabs>
        <w:adjustRightInd w:val="0"/>
        <w:snapToGrid w:val="0"/>
        <w:ind w:firstLine="0" w:firstLineChars="0"/>
      </w:pPr>
      <w:r>
        <w:rPr>
          <w:sz w:val="28"/>
          <w:szCs w:val="28"/>
        </w:rPr>
        <w:fldChar w:fldCharType="begin"/>
      </w:r>
      <w:r>
        <w:rPr>
          <w:sz w:val="28"/>
          <w:szCs w:val="28"/>
        </w:rPr>
        <w:instrText xml:space="preserve">TOC \o "1-2" \h \u </w:instrText>
      </w:r>
      <w:r>
        <w:rPr>
          <w:sz w:val="28"/>
          <w:szCs w:val="28"/>
        </w:rPr>
        <w:fldChar w:fldCharType="separate"/>
      </w:r>
      <w:r>
        <w:rPr>
          <w:szCs w:val="28"/>
        </w:rPr>
        <w:fldChar w:fldCharType="begin"/>
      </w:r>
      <w:r>
        <w:rPr>
          <w:szCs w:val="28"/>
        </w:rPr>
        <w:instrText xml:space="preserve"> HYPERLINK \l _Toc29787 </w:instrText>
      </w:r>
      <w:r>
        <w:rPr>
          <w:szCs w:val="28"/>
        </w:rPr>
        <w:fldChar w:fldCharType="separate"/>
      </w:r>
      <w:r>
        <w:rPr>
          <w:rFonts w:hint="eastAsia" w:ascii="黑体" w:hAnsi="黑体" w:eastAsia="黑体" w:cs="黑体"/>
          <w:lang w:val="en-US" w:eastAsia="zh-CN"/>
        </w:rPr>
        <w:t>一、</w:t>
      </w:r>
      <w:r>
        <w:rPr>
          <w:rFonts w:hint="eastAsia" w:ascii="黑体" w:hAnsi="黑体" w:eastAsia="黑体" w:cs="黑体"/>
        </w:rPr>
        <w:t>发展基础与形势分析</w:t>
      </w:r>
      <w:r>
        <w:tab/>
      </w:r>
      <w:r>
        <w:fldChar w:fldCharType="begin"/>
      </w:r>
      <w:r>
        <w:instrText xml:space="preserve"> PAGEREF _Toc29787 \h </w:instrText>
      </w:r>
      <w:r>
        <w:fldChar w:fldCharType="separate"/>
      </w:r>
      <w:r>
        <w:t>1</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_Toc23111 </w:instrText>
      </w:r>
      <w:r>
        <w:rPr>
          <w:szCs w:val="28"/>
        </w:rPr>
        <w:fldChar w:fldCharType="separate"/>
      </w:r>
      <w:r>
        <w:rPr>
          <w:rFonts w:hint="eastAsia" w:ascii="楷体_GB2312" w:hAnsi="楷体_GB2312" w:eastAsia="楷体_GB2312" w:cs="楷体_GB2312"/>
          <w:lang w:eastAsia="zh-CN"/>
        </w:rPr>
        <w:t>（一）</w:t>
      </w:r>
      <w:r>
        <w:rPr>
          <w:rFonts w:hint="eastAsia" w:ascii="楷体_GB2312" w:hAnsi="楷体_GB2312" w:eastAsia="楷体_GB2312" w:cs="楷体_GB2312"/>
        </w:rPr>
        <w:t>发展基础</w:t>
      </w:r>
      <w:r>
        <w:tab/>
      </w:r>
      <w:r>
        <w:fldChar w:fldCharType="begin"/>
      </w:r>
      <w:r>
        <w:instrText xml:space="preserve"> PAGEREF _Toc23111 \h </w:instrText>
      </w:r>
      <w:r>
        <w:fldChar w:fldCharType="separate"/>
      </w:r>
      <w:r>
        <w:t>1</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_Toc29594 </w:instrText>
      </w:r>
      <w:r>
        <w:rPr>
          <w:szCs w:val="28"/>
        </w:rPr>
        <w:fldChar w:fldCharType="separate"/>
      </w:r>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面临形势</w:t>
      </w:r>
      <w:r>
        <w:tab/>
      </w:r>
      <w:r>
        <w:fldChar w:fldCharType="begin"/>
      </w:r>
      <w:r>
        <w:instrText xml:space="preserve"> PAGEREF _Toc29594 \h </w:instrText>
      </w:r>
      <w:r>
        <w:fldChar w:fldCharType="separate"/>
      </w:r>
      <w:r>
        <w:t>2</w:t>
      </w:r>
      <w:r>
        <w:fldChar w:fldCharType="end"/>
      </w:r>
      <w:r>
        <w:rPr>
          <w:szCs w:val="28"/>
        </w:rPr>
        <w:fldChar w:fldCharType="end"/>
      </w:r>
    </w:p>
    <w:p>
      <w:pPr>
        <w:pStyle w:val="11"/>
        <w:tabs>
          <w:tab w:val="right" w:leader="dot" w:pos="8306"/>
        </w:tabs>
        <w:adjustRightInd w:val="0"/>
        <w:snapToGrid w:val="0"/>
        <w:ind w:firstLine="0" w:firstLineChars="0"/>
      </w:pPr>
      <w:r>
        <w:rPr>
          <w:szCs w:val="28"/>
        </w:rPr>
        <w:fldChar w:fldCharType="begin"/>
      </w:r>
      <w:r>
        <w:rPr>
          <w:szCs w:val="28"/>
        </w:rPr>
        <w:instrText xml:space="preserve"> HYPERLINK \l _Toc19149 </w:instrText>
      </w:r>
      <w:r>
        <w:rPr>
          <w:szCs w:val="28"/>
        </w:rPr>
        <w:fldChar w:fldCharType="separate"/>
      </w:r>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总体要求</w:t>
      </w:r>
      <w:r>
        <w:tab/>
      </w:r>
      <w:r>
        <w:fldChar w:fldCharType="begin"/>
      </w:r>
      <w:r>
        <w:instrText xml:space="preserve"> PAGEREF _Toc19149 \h </w:instrText>
      </w:r>
      <w:r>
        <w:fldChar w:fldCharType="separate"/>
      </w:r>
      <w:r>
        <w:t>3</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_Toc3677 </w:instrText>
      </w:r>
      <w:r>
        <w:rPr>
          <w:szCs w:val="28"/>
        </w:rPr>
        <w:fldChar w:fldCharType="separate"/>
      </w:r>
      <w:r>
        <w:rPr>
          <w:rFonts w:hint="eastAsia" w:ascii="楷体_GB2312" w:hAnsi="楷体_GB2312" w:eastAsia="楷体_GB2312" w:cs="楷体_GB2312"/>
          <w:lang w:eastAsia="zh-CN"/>
        </w:rPr>
        <w:t>（一）</w:t>
      </w:r>
      <w:r>
        <w:rPr>
          <w:rFonts w:hint="eastAsia" w:ascii="楷体_GB2312" w:hAnsi="楷体_GB2312" w:eastAsia="楷体_GB2312" w:cs="楷体_GB2312"/>
        </w:rPr>
        <w:t>指导思想</w:t>
      </w:r>
      <w:r>
        <w:tab/>
      </w:r>
      <w:r>
        <w:fldChar w:fldCharType="begin"/>
      </w:r>
      <w:r>
        <w:instrText xml:space="preserve"> PAGEREF _Toc3677 \h </w:instrText>
      </w:r>
      <w:r>
        <w:fldChar w:fldCharType="separate"/>
      </w:r>
      <w:r>
        <w:t>3</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_Toc4132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发展目标</w:t>
      </w:r>
      <w:r>
        <w:tab/>
      </w:r>
      <w:r>
        <w:fldChar w:fldCharType="begin"/>
      </w:r>
      <w:r>
        <w:instrText xml:space="preserve"> PAGEREF _Toc4132 \h </w:instrText>
      </w:r>
      <w:r>
        <w:fldChar w:fldCharType="separate"/>
      </w:r>
      <w:r>
        <w:t>3</w:t>
      </w:r>
      <w:r>
        <w:fldChar w:fldCharType="end"/>
      </w:r>
      <w:r>
        <w:rPr>
          <w:szCs w:val="28"/>
        </w:rPr>
        <w:fldChar w:fldCharType="end"/>
      </w:r>
    </w:p>
    <w:p>
      <w:pPr>
        <w:pStyle w:val="11"/>
        <w:tabs>
          <w:tab w:val="right" w:leader="dot" w:pos="8306"/>
        </w:tabs>
        <w:adjustRightInd w:val="0"/>
        <w:snapToGrid w:val="0"/>
        <w:ind w:firstLine="0" w:firstLineChars="0"/>
      </w:pPr>
      <w:r>
        <w:rPr>
          <w:szCs w:val="28"/>
        </w:rPr>
        <w:fldChar w:fldCharType="begin"/>
      </w:r>
      <w:r>
        <w:rPr>
          <w:szCs w:val="28"/>
        </w:rPr>
        <w:instrText xml:space="preserve"> HYPERLINK \l _Toc28066 </w:instrText>
      </w:r>
      <w:r>
        <w:rPr>
          <w:szCs w:val="28"/>
        </w:rPr>
        <w:fldChar w:fldCharType="separate"/>
      </w:r>
      <w:r>
        <w:rPr>
          <w:rFonts w:hint="eastAsia" w:ascii="黑体" w:hAnsi="黑体" w:eastAsia="黑体" w:cs="黑体"/>
          <w:highlight w:val="none"/>
        </w:rPr>
        <w:t>三</w:t>
      </w:r>
      <w:r>
        <w:rPr>
          <w:rFonts w:hint="eastAsia" w:ascii="黑体" w:hAnsi="黑体" w:eastAsia="黑体" w:cs="黑体"/>
          <w:highlight w:val="none"/>
          <w:lang w:eastAsia="zh-CN"/>
        </w:rPr>
        <w:t>、</w:t>
      </w:r>
      <w:r>
        <w:rPr>
          <w:rFonts w:hint="eastAsia" w:ascii="黑体" w:hAnsi="黑体" w:eastAsia="黑体" w:cs="黑体"/>
          <w:highlight w:val="none"/>
        </w:rPr>
        <w:t>构建“一核</w:t>
      </w:r>
      <w:r>
        <w:rPr>
          <w:rFonts w:hint="default" w:ascii="黑体" w:hAnsi="黑体" w:eastAsia="黑体" w:cs="黑体"/>
          <w:highlight w:val="none"/>
          <w:lang w:val="en-US"/>
        </w:rPr>
        <w:t>两</w:t>
      </w:r>
      <w:r>
        <w:rPr>
          <w:rFonts w:hint="eastAsia" w:ascii="黑体" w:hAnsi="黑体" w:eastAsia="黑体" w:cs="黑体"/>
          <w:highlight w:val="none"/>
          <w:lang w:val="en-US" w:eastAsia="zh-CN"/>
        </w:rPr>
        <w:t>带四网五区</w:t>
      </w:r>
      <w:r>
        <w:rPr>
          <w:rFonts w:hint="eastAsia" w:ascii="黑体" w:hAnsi="黑体" w:eastAsia="黑体" w:cs="黑体"/>
          <w:highlight w:val="none"/>
        </w:rPr>
        <w:t>”的立体发展格局</w:t>
      </w:r>
      <w:r>
        <w:tab/>
      </w:r>
      <w:r>
        <w:fldChar w:fldCharType="begin"/>
      </w:r>
      <w:r>
        <w:instrText xml:space="preserve"> PAGEREF _Toc28066 \h </w:instrText>
      </w:r>
      <w:r>
        <w:fldChar w:fldCharType="separate"/>
      </w:r>
      <w:r>
        <w:t>5</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_Toc5150 </w:instrText>
      </w:r>
      <w:r>
        <w:rPr>
          <w:szCs w:val="28"/>
        </w:rPr>
        <w:fldChar w:fldCharType="separate"/>
      </w:r>
      <w:r>
        <w:rPr>
          <w:rFonts w:hint="eastAsia" w:ascii="楷体_GB2312" w:hAnsi="楷体_GB2312" w:eastAsia="楷体_GB2312" w:cs="楷体_GB2312"/>
          <w:lang w:eastAsia="zh-CN"/>
        </w:rPr>
        <w:t>（一）</w:t>
      </w:r>
      <w:r>
        <w:rPr>
          <w:rFonts w:hint="eastAsia" w:ascii="楷体_GB2312" w:hAnsi="楷体_GB2312" w:eastAsia="楷体_GB2312" w:cs="楷体_GB2312"/>
        </w:rPr>
        <w:t>一核</w:t>
      </w:r>
      <w:r>
        <w:tab/>
      </w:r>
      <w:r>
        <w:fldChar w:fldCharType="begin"/>
      </w:r>
      <w:r>
        <w:instrText xml:space="preserve"> PAGEREF _Toc5150 \h </w:instrText>
      </w:r>
      <w:r>
        <w:fldChar w:fldCharType="separate"/>
      </w:r>
      <w:r>
        <w:t>5</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_Toc28021 </w:instrText>
      </w:r>
      <w:r>
        <w:rPr>
          <w:szCs w:val="28"/>
        </w:rPr>
        <w:fldChar w:fldCharType="separate"/>
      </w:r>
      <w:r>
        <w:rPr>
          <w:rFonts w:hint="eastAsia" w:ascii="楷体_GB2312" w:hAnsi="楷体_GB2312" w:eastAsia="楷体_GB2312" w:cs="楷体_GB2312"/>
          <w:lang w:eastAsia="zh-CN"/>
        </w:rPr>
        <w:t>（二）</w:t>
      </w:r>
      <w:r>
        <w:rPr>
          <w:rFonts w:hint="eastAsia" w:ascii="楷体_GB2312" w:hAnsi="楷体_GB2312" w:eastAsia="楷体_GB2312" w:cs="楷体_GB2312"/>
        </w:rPr>
        <w:t>两</w:t>
      </w:r>
      <w:r>
        <w:rPr>
          <w:rFonts w:hint="eastAsia" w:ascii="楷体_GB2312" w:hAnsi="楷体_GB2312" w:eastAsia="楷体_GB2312" w:cs="楷体_GB2312"/>
          <w:lang w:val="en-US" w:eastAsia="zh-CN"/>
        </w:rPr>
        <w:t>带</w:t>
      </w:r>
      <w:r>
        <w:tab/>
      </w:r>
      <w:r>
        <w:fldChar w:fldCharType="begin"/>
      </w:r>
      <w:r>
        <w:instrText xml:space="preserve"> PAGEREF _Toc28021 \h </w:instrText>
      </w:r>
      <w:r>
        <w:fldChar w:fldCharType="separate"/>
      </w:r>
      <w:r>
        <w:t>5</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_Toc7677 </w:instrText>
      </w:r>
      <w:r>
        <w:rPr>
          <w:szCs w:val="28"/>
        </w:rPr>
        <w:fldChar w:fldCharType="separate"/>
      </w:r>
      <w:r>
        <w:rPr>
          <w:rFonts w:hint="eastAsia" w:ascii="楷体_GB2312" w:hAnsi="楷体_GB2312" w:eastAsia="楷体_GB2312" w:cs="楷体_GB2312"/>
          <w:lang w:eastAsia="zh-CN"/>
        </w:rPr>
        <w:t>（三）</w:t>
      </w:r>
      <w:r>
        <w:rPr>
          <w:rFonts w:hint="eastAsia" w:ascii="楷体_GB2312" w:hAnsi="楷体_GB2312" w:eastAsia="楷体_GB2312" w:cs="楷体_GB2312"/>
        </w:rPr>
        <w:t>四网</w:t>
      </w:r>
      <w:r>
        <w:tab/>
      </w:r>
      <w:r>
        <w:fldChar w:fldCharType="begin"/>
      </w:r>
      <w:r>
        <w:instrText xml:space="preserve"> PAGEREF _Toc7677 \h </w:instrText>
      </w:r>
      <w:r>
        <w:fldChar w:fldCharType="separate"/>
      </w:r>
      <w:r>
        <w:t>5</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_Toc11761 </w:instrText>
      </w:r>
      <w:r>
        <w:rPr>
          <w:szCs w:val="28"/>
        </w:rPr>
        <w:fldChar w:fldCharType="separate"/>
      </w:r>
      <w:r>
        <w:rPr>
          <w:rFonts w:hint="eastAsia" w:ascii="楷体_GB2312" w:hAnsi="楷体_GB2312" w:eastAsia="楷体_GB2312" w:cs="楷体_GB2312"/>
          <w:lang w:val="en-US" w:eastAsia="zh-CN"/>
        </w:rPr>
        <w:t>（四）五区</w:t>
      </w:r>
      <w:r>
        <w:tab/>
      </w:r>
      <w:r>
        <w:fldChar w:fldCharType="begin"/>
      </w:r>
      <w:r>
        <w:instrText xml:space="preserve"> PAGEREF _Toc11761 \h </w:instrText>
      </w:r>
      <w:r>
        <w:fldChar w:fldCharType="separate"/>
      </w:r>
      <w:r>
        <w:t>6</w:t>
      </w:r>
      <w:r>
        <w:fldChar w:fldCharType="end"/>
      </w:r>
      <w:r>
        <w:rPr>
          <w:szCs w:val="28"/>
        </w:rPr>
        <w:fldChar w:fldCharType="end"/>
      </w:r>
    </w:p>
    <w:p>
      <w:pPr>
        <w:pStyle w:val="11"/>
        <w:tabs>
          <w:tab w:val="right" w:leader="dot" w:pos="8306"/>
        </w:tabs>
        <w:adjustRightInd w:val="0"/>
        <w:snapToGrid w:val="0"/>
        <w:ind w:firstLine="0" w:firstLineChars="0"/>
      </w:pPr>
      <w:r>
        <w:rPr>
          <w:szCs w:val="28"/>
        </w:rPr>
        <w:fldChar w:fldCharType="begin"/>
      </w:r>
      <w:r>
        <w:rPr>
          <w:szCs w:val="28"/>
        </w:rPr>
        <w:instrText xml:space="preserve"> HYPERLINK \l _Toc21472 </w:instrText>
      </w:r>
      <w:r>
        <w:rPr>
          <w:szCs w:val="28"/>
        </w:rPr>
        <w:fldChar w:fldCharType="separate"/>
      </w:r>
      <w:r>
        <w:rPr>
          <w:rFonts w:hint="eastAsia" w:ascii="黑体" w:hAnsi="黑体" w:eastAsia="黑体" w:cs="黑体"/>
          <w:lang w:val="en-US" w:eastAsia="zh-CN"/>
        </w:rPr>
        <w:t>四、构建链条清晰、协同联动的低空经济产业体系</w:t>
      </w:r>
      <w:r>
        <w:tab/>
      </w:r>
      <w:r>
        <w:fldChar w:fldCharType="begin"/>
      </w:r>
      <w:r>
        <w:instrText xml:space="preserve"> PAGEREF _Toc21472 \h </w:instrText>
      </w:r>
      <w:r>
        <w:fldChar w:fldCharType="separate"/>
      </w:r>
      <w:r>
        <w:t>6</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_Toc29021 </w:instrText>
      </w:r>
      <w:r>
        <w:rPr>
          <w:szCs w:val="28"/>
        </w:rPr>
        <w:fldChar w:fldCharType="separate"/>
      </w:r>
      <w:r>
        <w:rPr>
          <w:rFonts w:hint="eastAsia" w:ascii="楷体_GB2312" w:hAnsi="楷体_GB2312" w:eastAsia="楷体_GB2312" w:cs="楷体_GB2312"/>
          <w:lang w:eastAsia="zh-CN"/>
        </w:rPr>
        <w:t>（一）</w:t>
      </w:r>
      <w:r>
        <w:rPr>
          <w:rFonts w:hint="eastAsia" w:ascii="楷体_GB2312" w:hAnsi="楷体_GB2312" w:eastAsia="楷体_GB2312" w:cs="楷体_GB2312"/>
        </w:rPr>
        <w:t>上游聚焦关键配套与研发测试，强化海洋场景适配能力</w:t>
      </w:r>
      <w:r>
        <w:tab/>
      </w:r>
      <w:r>
        <w:fldChar w:fldCharType="begin"/>
      </w:r>
      <w:r>
        <w:instrText xml:space="preserve"> PAGEREF _Toc29021 \h </w:instrText>
      </w:r>
      <w:r>
        <w:fldChar w:fldCharType="separate"/>
      </w:r>
      <w:r>
        <w:t>6</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_Toc30968 </w:instrText>
      </w:r>
      <w:r>
        <w:rPr>
          <w:szCs w:val="28"/>
        </w:rPr>
        <w:fldChar w:fldCharType="separate"/>
      </w:r>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中游聚焦整机制造与系统集成，打造大湾区制造承接地</w:t>
      </w:r>
      <w:r>
        <w:tab/>
      </w:r>
      <w:r>
        <w:fldChar w:fldCharType="begin"/>
      </w:r>
      <w:r>
        <w:instrText xml:space="preserve"> PAGEREF _Toc30968 \h </w:instrText>
      </w:r>
      <w:r>
        <w:fldChar w:fldCharType="separate"/>
      </w:r>
      <w:r>
        <w:t>7</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_Toc22567 </w:instrText>
      </w:r>
      <w:r>
        <w:rPr>
          <w:szCs w:val="28"/>
        </w:rPr>
        <w:fldChar w:fldCharType="separate"/>
      </w:r>
      <w:r>
        <w:rPr>
          <w:rFonts w:hint="eastAsia" w:ascii="楷体_GB2312" w:hAnsi="楷体_GB2312" w:eastAsia="楷体_GB2312" w:cs="楷体_GB2312"/>
          <w:lang w:eastAsia="zh-CN"/>
        </w:rPr>
        <w:t>（三）</w:t>
      </w:r>
      <w:r>
        <w:rPr>
          <w:rFonts w:hint="eastAsia" w:ascii="楷体_GB2312" w:hAnsi="楷体_GB2312" w:eastAsia="楷体_GB2312" w:cs="楷体_GB2312"/>
          <w:lang w:val="en-US" w:eastAsia="zh-CN"/>
        </w:rPr>
        <w:t>下游以场景应用为核心牵引，构建全周期运营服务体系</w:t>
      </w:r>
      <w:r>
        <w:tab/>
      </w:r>
      <w:r>
        <w:fldChar w:fldCharType="begin"/>
      </w:r>
      <w:r>
        <w:instrText xml:space="preserve"> PAGEREF _Toc22567 \h </w:instrText>
      </w:r>
      <w:r>
        <w:fldChar w:fldCharType="separate"/>
      </w:r>
      <w:r>
        <w:t>7</w:t>
      </w:r>
      <w:r>
        <w:fldChar w:fldCharType="end"/>
      </w:r>
      <w:r>
        <w:rPr>
          <w:szCs w:val="28"/>
        </w:rPr>
        <w:fldChar w:fldCharType="end"/>
      </w:r>
    </w:p>
    <w:p>
      <w:pPr>
        <w:pStyle w:val="11"/>
        <w:tabs>
          <w:tab w:val="right" w:leader="dot" w:pos="8306"/>
        </w:tabs>
        <w:adjustRightInd w:val="0"/>
        <w:snapToGrid w:val="0"/>
        <w:ind w:firstLine="0" w:firstLineChars="0"/>
      </w:pPr>
      <w:r>
        <w:rPr>
          <w:szCs w:val="28"/>
        </w:rPr>
        <w:fldChar w:fldCharType="begin"/>
      </w:r>
      <w:r>
        <w:rPr>
          <w:szCs w:val="28"/>
        </w:rPr>
        <w:instrText xml:space="preserve"> HYPERLINK \l _Toc22022 </w:instrText>
      </w:r>
      <w:r>
        <w:rPr>
          <w:szCs w:val="28"/>
        </w:rPr>
        <w:fldChar w:fldCharType="separate"/>
      </w:r>
      <w:r>
        <w:rPr>
          <w:rFonts w:hint="eastAsia" w:ascii="黑体" w:hAnsi="黑体" w:eastAsia="黑体" w:cs="黑体"/>
          <w:lang w:val="en-US" w:eastAsia="zh-CN"/>
        </w:rPr>
        <w:t>五</w:t>
      </w:r>
      <w:r>
        <w:rPr>
          <w:rFonts w:hint="eastAsia" w:ascii="黑体" w:hAnsi="黑体" w:eastAsia="黑体" w:cs="黑体"/>
          <w:lang w:eastAsia="zh-CN"/>
        </w:rPr>
        <w:t>、</w:t>
      </w:r>
      <w:r>
        <w:rPr>
          <w:rFonts w:hint="eastAsia" w:ascii="黑体" w:hAnsi="黑体" w:eastAsia="黑体" w:cs="黑体"/>
        </w:rPr>
        <w:t>重点任务</w:t>
      </w:r>
      <w:r>
        <w:tab/>
      </w:r>
      <w:r>
        <w:fldChar w:fldCharType="begin"/>
      </w:r>
      <w:r>
        <w:instrText xml:space="preserve"> PAGEREF _Toc22022 \h </w:instrText>
      </w:r>
      <w:r>
        <w:fldChar w:fldCharType="separate"/>
      </w:r>
      <w:r>
        <w:t>9</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_Toc20943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拓展融合场景，培育低空</w:t>
      </w:r>
      <w:r>
        <w:rPr>
          <w:rFonts w:hint="eastAsia" w:ascii="楷体_GB2312" w:hAnsi="楷体_GB2312" w:eastAsia="楷体_GB2312" w:cs="楷体_GB2312"/>
          <w:lang w:val="en-US" w:eastAsia="zh-CN"/>
        </w:rPr>
        <w:t>新</w:t>
      </w:r>
      <w:r>
        <w:rPr>
          <w:rFonts w:hint="eastAsia" w:ascii="楷体_GB2312" w:hAnsi="楷体_GB2312" w:eastAsia="楷体_GB2312" w:cs="楷体_GB2312"/>
        </w:rPr>
        <w:t>业态新模式</w:t>
      </w:r>
      <w:r>
        <w:tab/>
      </w:r>
      <w:r>
        <w:fldChar w:fldCharType="begin"/>
      </w:r>
      <w:r>
        <w:instrText xml:space="preserve"> PAGEREF _Toc20943 \h </w:instrText>
      </w:r>
      <w:r>
        <w:fldChar w:fldCharType="separate"/>
      </w:r>
      <w:r>
        <w:t>9</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_Toc26419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筑强产业内核，打造协同制造</w:t>
      </w:r>
      <w:r>
        <w:rPr>
          <w:rFonts w:hint="eastAsia" w:ascii="楷体_GB2312" w:hAnsi="楷体_GB2312" w:eastAsia="楷体_GB2312" w:cs="楷体_GB2312"/>
          <w:lang w:val="en-US" w:eastAsia="zh-CN"/>
        </w:rPr>
        <w:t>服务</w:t>
      </w:r>
      <w:r>
        <w:rPr>
          <w:rFonts w:hint="eastAsia" w:ascii="楷体_GB2312" w:hAnsi="楷体_GB2312" w:eastAsia="楷体_GB2312" w:cs="楷体_GB2312"/>
        </w:rPr>
        <w:t>高地</w:t>
      </w:r>
      <w:r>
        <w:tab/>
      </w:r>
      <w:r>
        <w:fldChar w:fldCharType="begin"/>
      </w:r>
      <w:r>
        <w:instrText xml:space="preserve"> PAGEREF _Toc26419 \h </w:instrText>
      </w:r>
      <w:r>
        <w:fldChar w:fldCharType="separate"/>
      </w:r>
      <w:r>
        <w:t>11</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_Toc4601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完善基础设施，构建智慧高效飞行</w:t>
      </w:r>
      <w:r>
        <w:rPr>
          <w:rFonts w:hint="eastAsia" w:ascii="楷体_GB2312" w:hAnsi="楷体_GB2312" w:eastAsia="楷体_GB2312" w:cs="楷体_GB2312"/>
          <w:lang w:val="en-US" w:eastAsia="zh-CN"/>
        </w:rPr>
        <w:t>网络</w:t>
      </w:r>
      <w:r>
        <w:tab/>
      </w:r>
      <w:r>
        <w:fldChar w:fldCharType="begin"/>
      </w:r>
      <w:r>
        <w:instrText xml:space="preserve"> PAGEREF _Toc4601 \h </w:instrText>
      </w:r>
      <w:r>
        <w:fldChar w:fldCharType="separate"/>
      </w:r>
      <w:r>
        <w:t>12</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_Toc324 </w:instrText>
      </w:r>
      <w:r>
        <w:rPr>
          <w:szCs w:val="28"/>
        </w:rPr>
        <w:fldChar w:fldCharType="separate"/>
      </w:r>
      <w:r>
        <w:rPr>
          <w:rFonts w:hint="eastAsia" w:ascii="楷体_GB2312" w:hAnsi="楷体_GB2312" w:eastAsia="楷体_GB2312" w:cs="楷体_GB2312"/>
          <w:lang w:eastAsia="zh-CN"/>
        </w:rPr>
        <w:t>（四）</w:t>
      </w:r>
      <w:r>
        <w:rPr>
          <w:rFonts w:hint="eastAsia" w:ascii="楷体_GB2312" w:hAnsi="楷体_GB2312" w:eastAsia="楷体_GB2312" w:cs="楷体_GB2312"/>
        </w:rPr>
        <w:t>强化技术攻关，激发</w:t>
      </w:r>
      <w:r>
        <w:rPr>
          <w:rFonts w:hint="eastAsia" w:ascii="楷体_GB2312" w:hAnsi="楷体_GB2312" w:eastAsia="楷体_GB2312" w:cs="楷体_GB2312"/>
          <w:lang w:val="en-US" w:eastAsia="zh-CN"/>
        </w:rPr>
        <w:t>科技</w:t>
      </w:r>
      <w:r>
        <w:rPr>
          <w:rFonts w:hint="eastAsia" w:ascii="楷体_GB2312" w:hAnsi="楷体_GB2312" w:eastAsia="楷体_GB2312" w:cs="楷体_GB2312"/>
        </w:rPr>
        <w:t>创新源头活力</w:t>
      </w:r>
      <w:r>
        <w:tab/>
      </w:r>
      <w:r>
        <w:fldChar w:fldCharType="begin"/>
      </w:r>
      <w:r>
        <w:instrText xml:space="preserve"> PAGEREF _Toc324 \h </w:instrText>
      </w:r>
      <w:r>
        <w:fldChar w:fldCharType="separate"/>
      </w:r>
      <w:r>
        <w:t>12</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_Toc4926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筑牢安全运营底线，提升综合保障能力</w:t>
      </w:r>
      <w:r>
        <w:tab/>
      </w:r>
      <w:r>
        <w:fldChar w:fldCharType="begin"/>
      </w:r>
      <w:r>
        <w:instrText xml:space="preserve"> PAGEREF _Toc4926 \h </w:instrText>
      </w:r>
      <w:r>
        <w:fldChar w:fldCharType="separate"/>
      </w:r>
      <w:r>
        <w:t>13</w:t>
      </w:r>
      <w:r>
        <w:fldChar w:fldCharType="end"/>
      </w:r>
      <w:r>
        <w:rPr>
          <w:szCs w:val="28"/>
        </w:rPr>
        <w:fldChar w:fldCharType="end"/>
      </w:r>
    </w:p>
    <w:p>
      <w:pPr>
        <w:pStyle w:val="13"/>
        <w:tabs>
          <w:tab w:val="right" w:leader="dot" w:pos="8306"/>
        </w:tabs>
        <w:adjustRightInd w:val="0"/>
        <w:snapToGrid w:val="0"/>
        <w:ind w:left="0" w:leftChars="0"/>
      </w:pPr>
      <w:r>
        <w:rPr>
          <w:szCs w:val="28"/>
        </w:rPr>
        <w:fldChar w:fldCharType="begin"/>
      </w:r>
      <w:r>
        <w:rPr>
          <w:szCs w:val="28"/>
        </w:rPr>
        <w:instrText xml:space="preserve"> HYPERLINK \l _Toc29100 </w:instrText>
      </w:r>
      <w:r>
        <w:rPr>
          <w:szCs w:val="28"/>
        </w:rP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w:t>
      </w:r>
      <w:r>
        <w:rPr>
          <w:rFonts w:hint="eastAsia" w:ascii="楷体_GB2312" w:hAnsi="楷体_GB2312" w:eastAsia="楷体_GB2312" w:cs="楷体_GB2312"/>
        </w:rPr>
        <w:t>构建开放产业生态，营造创新发展氛围</w:t>
      </w:r>
      <w:r>
        <w:tab/>
      </w:r>
      <w:r>
        <w:fldChar w:fldCharType="begin"/>
      </w:r>
      <w:r>
        <w:instrText xml:space="preserve"> PAGEREF _Toc29100 \h </w:instrText>
      </w:r>
      <w:r>
        <w:fldChar w:fldCharType="separate"/>
      </w:r>
      <w:r>
        <w:t>14</w:t>
      </w:r>
      <w:r>
        <w:fldChar w:fldCharType="end"/>
      </w:r>
      <w:r>
        <w:rPr>
          <w:szCs w:val="28"/>
        </w:rPr>
        <w:fldChar w:fldCharType="end"/>
      </w:r>
    </w:p>
    <w:p>
      <w:pPr>
        <w:pStyle w:val="11"/>
        <w:tabs>
          <w:tab w:val="right" w:leader="dot" w:pos="8306"/>
        </w:tabs>
        <w:adjustRightInd w:val="0"/>
        <w:snapToGrid w:val="0"/>
        <w:ind w:firstLine="0" w:firstLineChars="0"/>
      </w:pPr>
      <w:r>
        <w:rPr>
          <w:szCs w:val="28"/>
        </w:rPr>
        <w:fldChar w:fldCharType="begin"/>
      </w:r>
      <w:r>
        <w:rPr>
          <w:szCs w:val="28"/>
        </w:rPr>
        <w:instrText xml:space="preserve"> HYPERLINK \l _Toc15745 </w:instrText>
      </w:r>
      <w:r>
        <w:rPr>
          <w:szCs w:val="28"/>
        </w:rPr>
        <w:fldChar w:fldCharType="separate"/>
      </w:r>
      <w:r>
        <w:rPr>
          <w:rFonts w:hint="eastAsia" w:ascii="黑体" w:hAnsi="黑体" w:eastAsia="黑体" w:cs="黑体"/>
          <w:lang w:val="en-US" w:eastAsia="zh-CN"/>
        </w:rPr>
        <w:t>六、</w:t>
      </w:r>
      <w:r>
        <w:rPr>
          <w:rFonts w:hint="eastAsia" w:ascii="黑体" w:hAnsi="黑体" w:eastAsia="黑体" w:cs="黑体"/>
        </w:rPr>
        <w:t>保障措施</w:t>
      </w:r>
      <w:r>
        <w:tab/>
      </w:r>
      <w:r>
        <w:fldChar w:fldCharType="begin"/>
      </w:r>
      <w:r>
        <w:instrText xml:space="preserve"> PAGEREF _Toc15745 \h </w:instrText>
      </w:r>
      <w:r>
        <w:fldChar w:fldCharType="separate"/>
      </w:r>
      <w:r>
        <w:t>14</w:t>
      </w:r>
      <w:r>
        <w:fldChar w:fldCharType="end"/>
      </w:r>
      <w:r>
        <w:rPr>
          <w:szCs w:val="28"/>
        </w:rPr>
        <w:fldChar w:fldCharType="end"/>
      </w:r>
    </w:p>
    <w:p>
      <w:r>
        <w:rPr>
          <w:szCs w:val="28"/>
        </w:rPr>
        <w:fldChar w:fldCharType="end"/>
      </w:r>
    </w:p>
    <w:p>
      <w:pPr>
        <w:widowControl/>
        <w:ind w:firstLine="0" w:firstLineChars="0"/>
        <w:jc w:val="left"/>
        <w:rPr>
          <w:rFonts w:hint="eastAsia" w:ascii="黑体" w:hAnsi="黑体" w:eastAsia="黑体" w:cs="黑体"/>
        </w:rPr>
        <w:sectPr>
          <w:footerReference r:id="rId11" w:type="default"/>
          <w:pgSz w:w="11906" w:h="16838"/>
          <w:pgMar w:top="1440" w:right="1800" w:bottom="1440" w:left="1800" w:header="851" w:footer="992" w:gutter="0"/>
          <w:pgNumType w:fmt="upperRoman" w:start="1"/>
          <w:cols w:space="425" w:num="1"/>
          <w:docGrid w:type="lines" w:linePitch="312" w:charSpace="0"/>
        </w:sectPr>
      </w:pPr>
      <w:bookmarkStart w:id="3" w:name="_Toc25839"/>
    </w:p>
    <w:bookmarkEnd w:id="3"/>
    <w:p>
      <w:pPr>
        <w:adjustRightInd w:val="0"/>
        <w:snapToGrid w:val="0"/>
        <w:ind w:firstLine="640"/>
        <w:outlineLvl w:val="9"/>
        <w:rPr>
          <w:rFonts w:hint="eastAsia" w:ascii="Times New Roman" w:hAnsi="Times New Roman" w:eastAsia="仿宋_GB2312" w:cs="Times New Roman"/>
          <w:szCs w:val="32"/>
          <w:lang w:val="en-US" w:eastAsia="zh-CN"/>
        </w:rPr>
      </w:pPr>
      <w:bookmarkStart w:id="4" w:name="_Toc18502"/>
      <w:bookmarkStart w:id="5" w:name="_Toc16557"/>
      <w:bookmarkStart w:id="6" w:name="_Toc17971"/>
      <w:bookmarkStart w:id="7" w:name="_Toc20378"/>
      <w:bookmarkStart w:id="8" w:name="_Toc31881"/>
      <w:bookmarkStart w:id="9" w:name="_Toc18276"/>
      <w:bookmarkStart w:id="10" w:name="_Toc18647"/>
      <w:bookmarkStart w:id="11" w:name="_Toc13096"/>
      <w:bookmarkStart w:id="12" w:name="_Toc8713"/>
      <w:bookmarkStart w:id="13" w:name="_Toc19505"/>
      <w:bookmarkStart w:id="14" w:name="_Toc14958"/>
      <w:bookmarkStart w:id="15" w:name="_Hlk217375552"/>
      <w:r>
        <w:rPr>
          <w:rFonts w:hint="eastAsia" w:ascii="Times New Roman" w:hAnsi="Times New Roman" w:eastAsia="仿宋_GB2312" w:cs="Times New Roman"/>
          <w:szCs w:val="32"/>
          <w:lang w:val="en-US" w:eastAsia="zh-CN"/>
        </w:rPr>
        <w:t>为深入贯彻国家和省关于推动低空经济发展的部署要求，落实省委赋予汕尾“西承东联桥头堡、东海岸重要支点”战略定位，紧扣“海洋强市、融湾先行”发展取向，培育壮大低空经济新质生产力，编制本规划。</w:t>
      </w:r>
    </w:p>
    <w:p>
      <w:pPr>
        <w:adjustRightInd w:val="0"/>
        <w:snapToGrid w:val="0"/>
        <w:ind w:firstLine="640"/>
        <w:outlineLvl w:val="0"/>
        <w:rPr>
          <w:rFonts w:hint="eastAsia" w:ascii="黑体" w:hAnsi="黑体" w:eastAsia="黑体" w:cs="黑体"/>
        </w:rPr>
      </w:pPr>
      <w:bookmarkStart w:id="16" w:name="_Toc568"/>
      <w:bookmarkStart w:id="17" w:name="_Toc29787"/>
      <w:r>
        <w:rPr>
          <w:rFonts w:hint="eastAsia" w:ascii="黑体" w:hAnsi="黑体" w:eastAsia="黑体" w:cs="黑体"/>
          <w:lang w:val="en-US" w:eastAsia="zh-CN"/>
        </w:rPr>
        <w:t>一、</w:t>
      </w:r>
      <w:r>
        <w:rPr>
          <w:rFonts w:hint="eastAsia" w:ascii="黑体" w:hAnsi="黑体" w:eastAsia="黑体" w:cs="黑体"/>
        </w:rPr>
        <w:t>发展基础与形势分析</w:t>
      </w:r>
      <w:bookmarkEnd w:id="4"/>
      <w:bookmarkEnd w:id="5"/>
      <w:bookmarkEnd w:id="6"/>
      <w:bookmarkEnd w:id="7"/>
      <w:bookmarkEnd w:id="8"/>
      <w:bookmarkEnd w:id="9"/>
      <w:bookmarkEnd w:id="10"/>
      <w:bookmarkEnd w:id="11"/>
      <w:bookmarkEnd w:id="12"/>
      <w:bookmarkEnd w:id="13"/>
      <w:bookmarkEnd w:id="14"/>
      <w:bookmarkEnd w:id="16"/>
      <w:bookmarkEnd w:id="17"/>
    </w:p>
    <w:p>
      <w:pPr>
        <w:ind w:firstLine="640"/>
        <w:outlineLvl w:val="1"/>
        <w:rPr>
          <w:rFonts w:hint="eastAsia" w:ascii="楷体_GB2312" w:hAnsi="楷体_GB2312" w:eastAsia="楷体_GB2312" w:cs="楷体_GB2312"/>
          <w:lang w:val="en-US" w:eastAsia="zh-CN"/>
        </w:rPr>
      </w:pPr>
      <w:bookmarkStart w:id="18" w:name="_Toc18560"/>
      <w:bookmarkStart w:id="19" w:name="_Toc21641"/>
      <w:bookmarkStart w:id="20" w:name="_Toc19728"/>
      <w:bookmarkStart w:id="21" w:name="_Toc14096"/>
      <w:bookmarkStart w:id="22" w:name="_Toc14452"/>
      <w:bookmarkStart w:id="23" w:name="_Toc1603"/>
      <w:bookmarkStart w:id="24" w:name="_Toc14849"/>
      <w:bookmarkStart w:id="25" w:name="_Toc28918"/>
      <w:bookmarkStart w:id="26" w:name="_Toc19165"/>
      <w:bookmarkStart w:id="27" w:name="_Toc29689"/>
      <w:bookmarkStart w:id="28" w:name="_Toc29748"/>
      <w:bookmarkStart w:id="29" w:name="_Toc1025"/>
      <w:bookmarkStart w:id="30" w:name="_Toc23111"/>
      <w:r>
        <w:rPr>
          <w:rFonts w:hint="eastAsia" w:ascii="楷体_GB2312" w:hAnsi="楷体_GB2312" w:eastAsia="楷体_GB2312" w:cs="楷体_GB2312"/>
          <w:lang w:eastAsia="zh-CN"/>
        </w:rPr>
        <w:t>（一）</w:t>
      </w:r>
      <w:r>
        <w:rPr>
          <w:rFonts w:hint="eastAsia" w:ascii="楷体_GB2312" w:hAnsi="楷体_GB2312" w:eastAsia="楷体_GB2312" w:cs="楷体_GB2312"/>
        </w:rPr>
        <w:t>发展基础</w:t>
      </w:r>
      <w:bookmarkEnd w:id="18"/>
      <w:bookmarkEnd w:id="19"/>
      <w:bookmarkEnd w:id="20"/>
      <w:bookmarkEnd w:id="21"/>
      <w:bookmarkEnd w:id="22"/>
      <w:bookmarkEnd w:id="23"/>
      <w:bookmarkEnd w:id="24"/>
      <w:bookmarkEnd w:id="25"/>
      <w:bookmarkEnd w:id="26"/>
      <w:bookmarkEnd w:id="27"/>
      <w:bookmarkEnd w:id="28"/>
      <w:bookmarkEnd w:id="29"/>
      <w:bookmarkEnd w:id="30"/>
    </w:p>
    <w:bookmarkEnd w:id="15"/>
    <w:p>
      <w:pPr>
        <w:adjustRightInd w:val="0"/>
        <w:snapToGrid w:val="0"/>
        <w:ind w:firstLine="640"/>
        <w:rPr>
          <w:rFonts w:cs="Times New Roman"/>
          <w:szCs w:val="32"/>
        </w:rPr>
      </w:pPr>
      <w:bookmarkStart w:id="31" w:name="OLE_LINK80"/>
      <w:bookmarkStart w:id="32" w:name="OLE_LINK79"/>
      <w:bookmarkStart w:id="33" w:name="OLE_LINK78"/>
      <w:r>
        <w:rPr>
          <w:rFonts w:hint="eastAsia" w:cs="Times New Roman"/>
          <w:szCs w:val="32"/>
        </w:rPr>
        <w:t>“十四五”以来，汕尾把低空经济作为培育新增长点的重要方向，依托毗邻粤港澳大湾区区位优势、海洋资源禀赋和制造业基础，在</w:t>
      </w:r>
      <w:r>
        <w:rPr>
          <w:rFonts w:hint="eastAsia" w:cs="Times New Roman"/>
          <w:szCs w:val="32"/>
          <w:lang w:val="en-US" w:eastAsia="zh-CN"/>
        </w:rPr>
        <w:t>区域协同</w:t>
      </w:r>
      <w:r>
        <w:rPr>
          <w:rFonts w:hint="eastAsia" w:cs="Times New Roman"/>
          <w:szCs w:val="32"/>
        </w:rPr>
        <w:t>、产业培育、场景应用、项目招引和要素保障等方面取得积极进展</w:t>
      </w:r>
      <w:r>
        <w:rPr>
          <w:rFonts w:hint="eastAsia" w:cs="Times New Roman"/>
          <w:szCs w:val="32"/>
          <w:lang w:eastAsia="zh-CN"/>
        </w:rPr>
        <w:t>，</w:t>
      </w:r>
      <w:r>
        <w:rPr>
          <w:rFonts w:hint="eastAsia" w:cs="Times New Roman"/>
          <w:szCs w:val="32"/>
        </w:rPr>
        <w:t>初步形成以精密制造配套、海洋场景应用为特色的发展雏形。</w:t>
      </w:r>
      <w:bookmarkEnd w:id="31"/>
      <w:bookmarkEnd w:id="32"/>
    </w:p>
    <w:bookmarkEnd w:id="33"/>
    <w:p>
      <w:pPr>
        <w:adjustRightInd w:val="0"/>
        <w:snapToGrid w:val="0"/>
        <w:ind w:firstLine="640"/>
        <w:rPr>
          <w:rFonts w:hint="eastAsia" w:cs="Times New Roman"/>
          <w:b w:val="0"/>
          <w:bCs w:val="0"/>
          <w:szCs w:val="32"/>
        </w:rPr>
      </w:pPr>
      <w:bookmarkStart w:id="34" w:name="_Hlk217375614"/>
      <w:r>
        <w:rPr>
          <w:rFonts w:hint="eastAsia" w:cs="Times New Roman"/>
          <w:b/>
          <w:bCs/>
          <w:szCs w:val="32"/>
        </w:rPr>
        <w:t>区域协同</w:t>
      </w:r>
      <w:r>
        <w:rPr>
          <w:rFonts w:hint="eastAsia" w:cs="Times New Roman"/>
          <w:b/>
          <w:bCs/>
          <w:szCs w:val="32"/>
          <w:lang w:val="en-US" w:eastAsia="zh-CN"/>
        </w:rPr>
        <w:t>格局加快成型</w:t>
      </w:r>
      <w:r>
        <w:rPr>
          <w:rFonts w:hint="eastAsia" w:cs="Times New Roman"/>
          <w:b/>
          <w:bCs/>
          <w:szCs w:val="32"/>
        </w:rPr>
        <w:t>。</w:t>
      </w:r>
      <w:r>
        <w:rPr>
          <w:rFonts w:hint="eastAsia" w:cs="Times New Roman"/>
          <w:b w:val="0"/>
          <w:bCs w:val="0"/>
          <w:szCs w:val="32"/>
        </w:rPr>
        <w:t>依托深圳对口帮扶协作机制，推动深圳龙岗—汕尾海丰低空经济基础设施建设项目纳入省级重点项目储备，启动相关专项规划编制，海丰县率先谋划低空经济发展布局，深汕协同发展态势初步形成。</w:t>
      </w:r>
    </w:p>
    <w:p>
      <w:pPr>
        <w:adjustRightInd w:val="0"/>
        <w:snapToGrid w:val="0"/>
        <w:ind w:firstLine="640"/>
        <w:rPr>
          <w:rFonts w:hint="eastAsia" w:cs="Times New Roman"/>
          <w:b w:val="0"/>
          <w:bCs w:val="0"/>
          <w:szCs w:val="32"/>
        </w:rPr>
      </w:pPr>
      <w:r>
        <w:rPr>
          <w:rFonts w:hint="eastAsia" w:cs="Times New Roman"/>
          <w:b/>
          <w:bCs/>
          <w:szCs w:val="32"/>
        </w:rPr>
        <w:t>产业发展基础逐步构建。</w:t>
      </w:r>
      <w:r>
        <w:rPr>
          <w:rFonts w:hint="eastAsia" w:cs="Times New Roman"/>
          <w:b w:val="0"/>
          <w:bCs w:val="0"/>
          <w:szCs w:val="32"/>
        </w:rPr>
        <w:t>依托精密制造、自动化零部件、新能源、电子信息、海洋装备等产业基础，汕尾已具备一定低空装备关键零部件配套能力，低空经济与本地优势产业初步形成协同。部分制造能力可向航空动力电池、航空级材料、轻量化结构件、飞控板卡等领域延伸，为承接大湾区低空制造环节转移创造了条件。</w:t>
      </w:r>
    </w:p>
    <w:p>
      <w:pPr>
        <w:adjustRightInd w:val="0"/>
        <w:snapToGrid w:val="0"/>
        <w:ind w:firstLine="640"/>
        <w:rPr>
          <w:rFonts w:hint="eastAsia" w:cs="Times New Roman"/>
          <w:b w:val="0"/>
          <w:bCs w:val="0"/>
          <w:szCs w:val="32"/>
        </w:rPr>
      </w:pPr>
      <w:r>
        <w:rPr>
          <w:rFonts w:hint="eastAsia" w:cs="Times New Roman"/>
          <w:b/>
          <w:bCs/>
          <w:szCs w:val="32"/>
        </w:rPr>
        <w:t>应用场景持续拓展。</w:t>
      </w:r>
      <w:r>
        <w:rPr>
          <w:rFonts w:hint="eastAsia" w:cs="Times New Roman"/>
          <w:b w:val="0"/>
          <w:bCs w:val="0"/>
          <w:szCs w:val="32"/>
        </w:rPr>
        <w:t>无人机已在公共服务、农业生产、生态巡查、森林防火、海上应急、农林植保、文旅消费等领域开展应用，形成“低空+巡检”“低空+农业”“低空+物流”“低空+文旅”“低空+海洋”“低空+能源”等融合发展基础。海上风电、海洋牧场、海岛运输、滨海旅游等场景需求加快释放，海洋特色场景优势日益显现。</w:t>
      </w:r>
    </w:p>
    <w:p>
      <w:pPr>
        <w:adjustRightInd w:val="0"/>
        <w:snapToGrid w:val="0"/>
        <w:ind w:firstLine="640"/>
        <w:rPr>
          <w:rFonts w:hint="eastAsia" w:cs="Times New Roman"/>
          <w:b w:val="0"/>
          <w:bCs w:val="0"/>
          <w:szCs w:val="32"/>
        </w:rPr>
      </w:pPr>
      <w:r>
        <w:rPr>
          <w:rFonts w:hint="eastAsia" w:cs="Times New Roman"/>
          <w:b/>
          <w:bCs/>
          <w:szCs w:val="32"/>
        </w:rPr>
        <w:t>项目引育取得初步成效。</w:t>
      </w:r>
      <w:r>
        <w:rPr>
          <w:rFonts w:hint="eastAsia" w:cs="Times New Roman"/>
          <w:b w:val="0"/>
          <w:bCs w:val="0"/>
          <w:szCs w:val="32"/>
        </w:rPr>
        <w:t>围绕低空经济产业链关键环节，汕尾积极开展专题招商，推动培训服务、系统集成、关键零部件制造等项目落地，产业链条逐步延伸。</w:t>
      </w:r>
    </w:p>
    <w:p>
      <w:pPr>
        <w:keepNext w:val="0"/>
        <w:keepLines w:val="0"/>
        <w:pageBreakBefore w:val="0"/>
        <w:widowControl w:val="0"/>
        <w:kinsoku/>
        <w:wordWrap/>
        <w:overflowPunct/>
        <w:topLinePunct w:val="0"/>
        <w:autoSpaceDE/>
        <w:autoSpaceDN/>
        <w:bidi w:val="0"/>
        <w:adjustRightInd w:val="0"/>
        <w:snapToGrid w:val="0"/>
        <w:ind w:firstLine="640"/>
        <w:textAlignment w:val="auto"/>
        <w:outlineLvl w:val="9"/>
        <w:rPr>
          <w:rFonts w:hint="eastAsia" w:cs="Times New Roman"/>
          <w:b w:val="0"/>
          <w:bCs w:val="0"/>
          <w:szCs w:val="32"/>
        </w:rPr>
      </w:pPr>
      <w:r>
        <w:rPr>
          <w:rFonts w:hint="eastAsia" w:cs="Times New Roman"/>
          <w:b/>
          <w:bCs/>
          <w:szCs w:val="32"/>
        </w:rPr>
        <w:t>支撑要素持续完善。</w:t>
      </w:r>
      <w:r>
        <w:rPr>
          <w:rFonts w:hint="eastAsia" w:cs="Times New Roman"/>
          <w:b w:val="0"/>
          <w:bCs w:val="0"/>
          <w:szCs w:val="32"/>
        </w:rPr>
        <w:t>依托职业教育资源开展低空相关人才培养，借助“善美英才”计划强化人才引进；积极对接省级专班和有关管理部门，做好空域、航线、管制区域等前期工作；推进5G-A通感一体化基站、卫星通信等基础设施布局，提升低空通信感知和全域数据链路支撑能力。</w:t>
      </w:r>
      <w:bookmarkEnd w:id="34"/>
    </w:p>
    <w:p>
      <w:pPr>
        <w:keepNext w:val="0"/>
        <w:keepLines w:val="0"/>
        <w:pageBreakBefore w:val="0"/>
        <w:widowControl w:val="0"/>
        <w:kinsoku/>
        <w:wordWrap/>
        <w:overflowPunct/>
        <w:topLinePunct w:val="0"/>
        <w:autoSpaceDE/>
        <w:autoSpaceDN/>
        <w:bidi w:val="0"/>
        <w:adjustRightInd w:val="0"/>
        <w:snapToGrid w:val="0"/>
        <w:ind w:firstLine="640"/>
        <w:textAlignment w:val="auto"/>
        <w:outlineLvl w:val="1"/>
        <w:rPr>
          <w:rFonts w:hint="eastAsia" w:ascii="楷体_GB2312" w:hAnsi="楷体_GB2312" w:eastAsia="楷体_GB2312" w:cs="楷体_GB2312"/>
          <w:lang w:val="en-US" w:eastAsia="zh-CN"/>
        </w:rPr>
      </w:pPr>
      <w:bookmarkStart w:id="357" w:name="_GoBack"/>
      <w:bookmarkStart w:id="35" w:name="_Toc11605"/>
      <w:bookmarkStart w:id="36" w:name="_Toc7279"/>
      <w:bookmarkStart w:id="37" w:name="_Toc26738"/>
      <w:bookmarkStart w:id="38" w:name="_Toc26614"/>
      <w:bookmarkStart w:id="39" w:name="_Toc27235"/>
      <w:bookmarkStart w:id="40" w:name="_Toc22024"/>
      <w:bookmarkStart w:id="41" w:name="_Toc27043"/>
      <w:bookmarkStart w:id="42" w:name="_Toc21556"/>
      <w:bookmarkStart w:id="43" w:name="_Toc10955"/>
      <w:bookmarkStart w:id="44" w:name="_Toc4490"/>
      <w:bookmarkStart w:id="45" w:name="_Toc5513"/>
      <w:bookmarkStart w:id="46" w:name="_Toc15483"/>
      <w:bookmarkStart w:id="47" w:name="_Toc29594"/>
      <w:r>
        <w:rPr>
          <w:rFonts w:hint="eastAsia" w:ascii="楷体_GB2312" w:hAnsi="楷体_GB2312" w:eastAsia="楷体_GB2312" w:cs="楷体_GB2312"/>
          <w:lang w:eastAsia="zh-CN"/>
        </w:rPr>
        <w:t>（二）</w:t>
      </w:r>
      <w:bookmarkEnd w:id="35"/>
      <w:bookmarkEnd w:id="36"/>
      <w:bookmarkEnd w:id="37"/>
      <w:bookmarkEnd w:id="38"/>
      <w:bookmarkEnd w:id="39"/>
      <w:bookmarkEnd w:id="40"/>
      <w:bookmarkEnd w:id="41"/>
      <w:bookmarkEnd w:id="42"/>
      <w:bookmarkEnd w:id="43"/>
      <w:bookmarkEnd w:id="44"/>
      <w:bookmarkEnd w:id="45"/>
      <w:r>
        <w:rPr>
          <w:rFonts w:hint="eastAsia" w:ascii="楷体_GB2312" w:hAnsi="楷体_GB2312" w:eastAsia="楷体_GB2312" w:cs="楷体_GB2312"/>
          <w:lang w:val="en-US" w:eastAsia="zh-CN"/>
        </w:rPr>
        <w:t>面临形势</w:t>
      </w:r>
      <w:bookmarkEnd w:id="46"/>
      <w:bookmarkEnd w:id="47"/>
    </w:p>
    <w:bookmarkEnd w:id="357"/>
    <w:p>
      <w:pPr>
        <w:ind w:firstLine="64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当前，低空经济已进入政策加速、技术迭代、场景拓展和产业重构的重要窗口期。国家和广东省持续强化政策支持，低空经济作为新兴</w:t>
      </w:r>
      <w:r>
        <w:rPr>
          <w:rFonts w:hint="eastAsia" w:cs="Times New Roman"/>
          <w:b w:val="0"/>
          <w:bCs w:val="0"/>
          <w:lang w:val="en-US" w:eastAsia="zh-CN"/>
        </w:rPr>
        <w:t>支柱</w:t>
      </w:r>
      <w:r>
        <w:rPr>
          <w:rFonts w:hint="default" w:ascii="Times New Roman" w:hAnsi="Times New Roman" w:cs="Times New Roman"/>
          <w:b w:val="0"/>
          <w:bCs w:val="0"/>
          <w:lang w:val="en-US" w:eastAsia="zh-CN"/>
        </w:rPr>
        <w:t>产业和新增长引擎的地位更加凸显。深圳等大湾区核心城市低空经济加快发展，产业外溢和区域协同需求日益增强，为汕尾承接制造配套、测试验证、场景拓展和运营服务提供了重要机遇。汕尾海上风电、海洋牧场、滨海文旅、城乡治理等场景需求突出，</w:t>
      </w:r>
      <w:r>
        <w:rPr>
          <w:rFonts w:hint="eastAsia" w:ascii="仿宋_GB2312" w:hAnsi="仿宋_GB2312" w:cs="仿宋_GB2312"/>
          <w:b w:val="0"/>
          <w:bCs w:val="0"/>
          <w:lang w:val="en-US" w:eastAsia="zh-CN"/>
        </w:rPr>
        <w:t>“低空+海洋”</w:t>
      </w:r>
      <w:r>
        <w:rPr>
          <w:rFonts w:hint="default" w:ascii="Times New Roman" w:hAnsi="Times New Roman" w:cs="Times New Roman"/>
          <w:b w:val="0"/>
          <w:bCs w:val="0"/>
          <w:lang w:val="en-US" w:eastAsia="zh-CN"/>
        </w:rPr>
        <w:t>融合发展具备较强现实基础和差异化优势。</w:t>
      </w:r>
    </w:p>
    <w:p>
      <w:pPr>
        <w:pStyle w:val="28"/>
        <w:rPr>
          <w:rFonts w:cs="Times New Roman"/>
        </w:rPr>
      </w:pPr>
      <w:r>
        <w:rPr>
          <w:rFonts w:hint="default" w:ascii="Times New Roman" w:hAnsi="Times New Roman" w:cs="Times New Roman"/>
          <w:b w:val="0"/>
          <w:bCs w:val="0"/>
          <w:lang w:val="en-US" w:eastAsia="zh-CN"/>
        </w:rPr>
        <w:t>同时也要看到，汕尾低空经济仍处于起步阶段，产业总体规模偏小，龙头企业和整机项目不足，高端配套能力不强，检验检测、适航认证、专业服务等环节仍较薄弱。通用机场、起降场站、补能设施、低空智联网等基础设施建设相对滞后，海洋场景专用保障能力不足。市场化、商业化应用仍需拓展，安全治理、社会认知、协同机制和要素保障体系仍需进一步完善。必须立足基础、发挥优势、补齐短板，推动低空经济实现特色化、集聚化、规模化发展。</w:t>
      </w:r>
    </w:p>
    <w:p>
      <w:pPr>
        <w:adjustRightInd w:val="0"/>
        <w:snapToGrid w:val="0"/>
        <w:ind w:firstLine="640"/>
        <w:outlineLvl w:val="0"/>
        <w:rPr>
          <w:rFonts w:hint="eastAsia" w:ascii="黑体" w:hAnsi="黑体" w:eastAsia="黑体" w:cs="黑体"/>
        </w:rPr>
      </w:pPr>
      <w:bookmarkStart w:id="48" w:name="_Toc7103"/>
      <w:bookmarkStart w:id="49" w:name="_Toc21087"/>
      <w:bookmarkStart w:id="50" w:name="_Toc15224"/>
      <w:bookmarkStart w:id="51" w:name="_Toc13766"/>
      <w:bookmarkStart w:id="52" w:name="_Toc6388"/>
      <w:bookmarkStart w:id="53" w:name="_Toc565"/>
      <w:bookmarkStart w:id="54" w:name="_Toc14670"/>
      <w:bookmarkStart w:id="55" w:name="_Toc10660"/>
      <w:bookmarkStart w:id="56" w:name="_Toc18070"/>
      <w:bookmarkStart w:id="57" w:name="_Toc19239"/>
      <w:bookmarkStart w:id="58" w:name="_Toc7955"/>
      <w:bookmarkStart w:id="59" w:name="_Toc10478"/>
      <w:bookmarkStart w:id="60" w:name="_Toc21862"/>
      <w:bookmarkStart w:id="61" w:name="_Toc17225"/>
      <w:bookmarkStart w:id="62" w:name="_Toc7179"/>
      <w:bookmarkStart w:id="63" w:name="_Toc19149"/>
      <w:bookmarkStart w:id="64" w:name="_Toc11208"/>
      <w:bookmarkStart w:id="65" w:name="_Toc24058"/>
      <w:bookmarkStart w:id="66" w:name="_Toc28107"/>
      <w:bookmarkStart w:id="67" w:name="_Toc23091"/>
      <w:bookmarkStart w:id="68" w:name="_Toc12247"/>
      <w:bookmarkStart w:id="69" w:name="_Hlk217377862"/>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总体要求</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bookmarkEnd w:id="69"/>
    <w:p>
      <w:pPr>
        <w:ind w:firstLine="640"/>
        <w:outlineLvl w:val="1"/>
        <w:rPr>
          <w:rFonts w:hint="eastAsia" w:ascii="楷体_GB2312" w:hAnsi="楷体_GB2312" w:eastAsia="楷体_GB2312" w:cs="楷体_GB2312"/>
        </w:rPr>
      </w:pPr>
      <w:bookmarkStart w:id="70" w:name="_Toc3677"/>
      <w:bookmarkStart w:id="71" w:name="_Toc12301"/>
      <w:bookmarkStart w:id="72" w:name="_Toc19303"/>
      <w:bookmarkStart w:id="73" w:name="_Toc6562"/>
      <w:bookmarkStart w:id="74" w:name="_Toc11852"/>
      <w:bookmarkStart w:id="75" w:name="_Toc1386"/>
      <w:bookmarkStart w:id="76" w:name="_Toc2144"/>
      <w:bookmarkStart w:id="77" w:name="_Toc13006"/>
      <w:bookmarkStart w:id="78" w:name="_Toc8879"/>
      <w:bookmarkStart w:id="79" w:name="_Toc5490"/>
      <w:bookmarkStart w:id="80" w:name="_Toc20008"/>
      <w:bookmarkStart w:id="81" w:name="_Toc22728"/>
      <w:bookmarkStart w:id="82" w:name="_Toc5076"/>
      <w:bookmarkStart w:id="83" w:name="_Toc1786"/>
      <w:bookmarkStart w:id="84" w:name="_Toc5221"/>
      <w:bookmarkStart w:id="85" w:name="_Toc11626"/>
      <w:bookmarkStart w:id="86" w:name="_Toc30213"/>
      <w:bookmarkStart w:id="87" w:name="_Toc15487"/>
      <w:bookmarkStart w:id="88" w:name="_Toc4953"/>
      <w:bookmarkStart w:id="89" w:name="_Toc14565"/>
      <w:bookmarkStart w:id="90" w:name="_Toc18574"/>
      <w:r>
        <w:rPr>
          <w:rFonts w:hint="eastAsia" w:ascii="楷体_GB2312" w:hAnsi="楷体_GB2312" w:eastAsia="楷体_GB2312" w:cs="楷体_GB2312"/>
          <w:lang w:eastAsia="zh-CN"/>
        </w:rPr>
        <w:t>（一）</w:t>
      </w:r>
      <w:r>
        <w:rPr>
          <w:rFonts w:hint="eastAsia" w:ascii="楷体_GB2312" w:hAnsi="楷体_GB2312" w:eastAsia="楷体_GB2312" w:cs="楷体_GB2312"/>
        </w:rPr>
        <w:t>指导思想</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pPr>
        <w:ind w:firstLine="640"/>
        <w:rPr>
          <w:rFonts w:hint="eastAsia" w:ascii="仿宋_GB2312" w:hAnsi="仿宋_GB2312" w:cs="仿宋_GB2312"/>
        </w:rPr>
      </w:pPr>
      <w:bookmarkStart w:id="91" w:name="OLE_LINK83"/>
      <w:r>
        <w:rPr>
          <w:rFonts w:hint="eastAsia" w:ascii="仿宋_GB2312" w:hAnsi="仿宋_GB2312" w:cs="仿宋_GB2312"/>
          <w:highlight w:val="none"/>
        </w:rPr>
        <w:t>坚持以习近平新时代中国特色社会主义思想为指导，深入贯彻党的二十大和二十届历次全会精神，深入落实习近平总书记对广东系列重要讲话和重要指示精神，全面落实省委“</w:t>
      </w:r>
      <w:r>
        <w:rPr>
          <w:rFonts w:hint="default" w:ascii="Times New Roman" w:hAnsi="Times New Roman" w:cs="Times New Roman"/>
          <w:highlight w:val="none"/>
        </w:rPr>
        <w:t>1310</w:t>
      </w:r>
      <w:r>
        <w:rPr>
          <w:rFonts w:hint="eastAsia" w:ascii="仿宋_GB2312" w:hAnsi="仿宋_GB2312" w:cs="仿宋_GB2312"/>
          <w:highlight w:val="none"/>
        </w:rPr>
        <w:t>”具体部署和市委“</w:t>
      </w:r>
      <w:r>
        <w:rPr>
          <w:rFonts w:hint="default" w:ascii="Times New Roman" w:hAnsi="Times New Roman" w:cs="Times New Roman"/>
          <w:highlight w:val="none"/>
        </w:rPr>
        <w:t>1233</w:t>
      </w:r>
      <w:r>
        <w:rPr>
          <w:rFonts w:hint="eastAsia" w:ascii="仿宋_GB2312" w:hAnsi="仿宋_GB2312" w:cs="仿宋_GB2312"/>
          <w:highlight w:val="none"/>
        </w:rPr>
        <w:t>”规划部署，锚定“西承东联桥头堡、东海岸重要支点”</w:t>
      </w:r>
      <w:r>
        <w:rPr>
          <w:rFonts w:hint="eastAsia" w:ascii="仿宋_GB2312" w:hAnsi="仿宋_GB2312" w:cs="仿宋_GB2312"/>
          <w:highlight w:val="none"/>
          <w:lang w:val="en-US" w:eastAsia="zh-CN"/>
        </w:rPr>
        <w:t>战略使命</w:t>
      </w:r>
      <w:r>
        <w:rPr>
          <w:rFonts w:hint="eastAsia" w:ascii="仿宋_GB2312" w:hAnsi="仿宋_GB2312" w:cs="仿宋_GB2312"/>
          <w:highlight w:val="none"/>
        </w:rPr>
        <w:t>，以培育新质生产力为主线，以深汕协同和陆海统筹为路径，以场景牵引和产业承接为抓手，主动融入粤港澳大湾区低空经济产业链、创新链、供应链，重点发展“低空+海洋”特色赛道，推动制造配套、系统集成、场景应用、运营服务、安全保障协同发展，加快构建具有海洋特色、湾区协同优势的现代低空经济产业体系，为汕尾高质量发展</w:t>
      </w:r>
      <w:r>
        <w:rPr>
          <w:rFonts w:hint="eastAsia" w:ascii="仿宋_GB2312" w:hAnsi="仿宋_GB2312" w:cs="仿宋_GB2312"/>
        </w:rPr>
        <w:t>增添强劲动能</w:t>
      </w:r>
      <w:r>
        <w:rPr>
          <w:rFonts w:hint="eastAsia" w:ascii="仿宋_GB2312" w:hAnsi="仿宋_GB2312" w:cs="仿宋_GB2312"/>
          <w:highlight w:val="none"/>
        </w:rPr>
        <w:t>。</w:t>
      </w:r>
    </w:p>
    <w:bookmarkEnd w:id="91"/>
    <w:p>
      <w:pPr>
        <w:ind w:firstLine="640"/>
        <w:outlineLvl w:val="1"/>
        <w:rPr>
          <w:rFonts w:hint="eastAsia" w:ascii="楷体_GB2312" w:hAnsi="楷体_GB2312" w:eastAsia="楷体_GB2312" w:cs="楷体_GB2312"/>
        </w:rPr>
      </w:pPr>
      <w:bookmarkStart w:id="92" w:name="_Toc13920"/>
      <w:bookmarkStart w:id="93" w:name="_Toc14674"/>
      <w:bookmarkStart w:id="94" w:name="_Toc7187"/>
      <w:bookmarkStart w:id="95" w:name="_Toc22949"/>
      <w:bookmarkStart w:id="96" w:name="_Toc13590"/>
      <w:bookmarkStart w:id="97" w:name="_Toc29004"/>
      <w:bookmarkStart w:id="98" w:name="_Toc28090"/>
      <w:bookmarkStart w:id="99" w:name="_Toc32131"/>
      <w:bookmarkStart w:id="100" w:name="_Toc13651"/>
      <w:bookmarkStart w:id="101" w:name="_Toc1232"/>
      <w:bookmarkStart w:id="102" w:name="_Toc25077"/>
      <w:bookmarkStart w:id="103" w:name="_Toc14486"/>
      <w:bookmarkStart w:id="104" w:name="_Toc10406"/>
      <w:bookmarkStart w:id="105" w:name="_Toc4132"/>
      <w:bookmarkStart w:id="106" w:name="_Toc714"/>
      <w:bookmarkStart w:id="107" w:name="_Toc8416"/>
      <w:bookmarkStart w:id="108" w:name="_Toc6331"/>
      <w:bookmarkStart w:id="109" w:name="_Toc16037"/>
      <w:bookmarkStart w:id="110" w:name="_Toc30222"/>
      <w:bookmarkStart w:id="111" w:name="_Toc30564"/>
      <w:bookmarkStart w:id="112" w:name="_Toc11629"/>
      <w:bookmarkStart w:id="113" w:name="_Hlk217378292"/>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发展目标</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bookmarkEnd w:id="113"/>
    <w:p>
      <w:pPr>
        <w:ind w:firstLine="640"/>
      </w:pPr>
      <w:bookmarkStart w:id="114" w:name="OLE_LINK4"/>
      <w:r>
        <w:rPr>
          <w:rFonts w:hint="default" w:cs="Times New Roman"/>
          <w:highlight w:val="none"/>
        </w:rPr>
        <w:t>到2030年，基本建成湾区协同高效、海洋特色鲜明、创新驱动活跃、基础设施</w:t>
      </w:r>
      <w:r>
        <w:rPr>
          <w:rFonts w:hint="eastAsia" w:cs="Times New Roman"/>
          <w:highlight w:val="none"/>
          <w:lang w:val="en-US" w:eastAsia="zh-CN"/>
        </w:rPr>
        <w:t>完备</w:t>
      </w:r>
      <w:r>
        <w:rPr>
          <w:rFonts w:hint="default" w:cs="Times New Roman"/>
          <w:highlight w:val="none"/>
        </w:rPr>
        <w:t>、治理安全有序的低空经济产业体系，推动低空经济成为支撑汕尾现代化产业体系建设的重要增量，在湾区协同承接能力、海洋场景应用和公共服务支撑等方面形成明显优势</w:t>
      </w:r>
      <w:r>
        <w:rPr>
          <w:rFonts w:hint="eastAsia" w:cs="Times New Roman"/>
          <w:highlight w:val="none"/>
          <w:lang w:eastAsia="zh-CN"/>
        </w:rPr>
        <w:t>，</w:t>
      </w:r>
      <w:r>
        <w:rPr>
          <w:rFonts w:hint="default" w:cs="Times New Roman"/>
          <w:highlight w:val="none"/>
        </w:rPr>
        <w:t>力争低空经济综合发展水平位居粤东首位、迈进大湾区前列</w:t>
      </w:r>
      <w:r>
        <w:rPr>
          <w:rFonts w:hint="eastAsia" w:cs="Times New Roman"/>
          <w:highlight w:val="none"/>
          <w:lang w:eastAsia="zh-CN"/>
        </w:rPr>
        <w:t>。</w:t>
      </w:r>
      <w:bookmarkEnd w:id="114"/>
    </w:p>
    <w:p>
      <w:pPr>
        <w:pStyle w:val="5"/>
        <w:adjustRightInd w:val="0"/>
        <w:snapToGrid w:val="0"/>
        <w:spacing w:line="240" w:lineRule="auto"/>
        <w:ind w:firstLine="0" w:firstLineChars="0"/>
        <w:jc w:val="center"/>
        <w:rPr>
          <w:rFonts w:hint="eastAsia" w:ascii="Times New Roman" w:hAnsi="Times New Roman" w:eastAsia="仿宋_GB2312" w:cs="Times New Roman"/>
          <w:b/>
          <w:bCs/>
          <w:sz w:val="32"/>
        </w:rPr>
      </w:pPr>
      <w:r>
        <w:rPr>
          <w:rFonts w:hint="eastAsia" w:ascii="Times New Roman" w:hAnsi="Times New Roman" w:eastAsia="仿宋_GB2312" w:cs="Times New Roman"/>
          <w:b/>
          <w:bCs/>
          <w:sz w:val="32"/>
        </w:rPr>
        <w:t>表</w:t>
      </w:r>
      <w:r>
        <w:rPr>
          <w:rFonts w:hint="eastAsia" w:ascii="Times New Roman" w:hAnsi="Times New Roman" w:eastAsia="仿宋_GB2312" w:cs="Times New Roman"/>
          <w:b/>
          <w:bCs/>
          <w:sz w:val="32"/>
        </w:rPr>
        <w:fldChar w:fldCharType="begin"/>
      </w:r>
      <w:r>
        <w:rPr>
          <w:rFonts w:hint="eastAsia" w:ascii="Times New Roman" w:hAnsi="Times New Roman" w:eastAsia="仿宋_GB2312" w:cs="Times New Roman"/>
          <w:b/>
          <w:bCs/>
          <w:sz w:val="32"/>
        </w:rPr>
        <w:instrText xml:space="preserve"> SEQ 表 \* ARABIC </w:instrText>
      </w:r>
      <w:r>
        <w:rPr>
          <w:rFonts w:hint="eastAsia" w:ascii="Times New Roman" w:hAnsi="Times New Roman" w:eastAsia="仿宋_GB2312" w:cs="Times New Roman"/>
          <w:b/>
          <w:bCs/>
          <w:sz w:val="32"/>
        </w:rPr>
        <w:fldChar w:fldCharType="separate"/>
      </w:r>
      <w:r>
        <w:rPr>
          <w:rFonts w:hint="eastAsia" w:ascii="Times New Roman" w:hAnsi="Times New Roman" w:eastAsia="仿宋_GB2312" w:cs="Times New Roman"/>
          <w:b/>
          <w:bCs/>
          <w:sz w:val="32"/>
        </w:rPr>
        <w:t>1</w:t>
      </w:r>
      <w:r>
        <w:rPr>
          <w:rFonts w:hint="eastAsia" w:ascii="Times New Roman" w:hAnsi="Times New Roman" w:eastAsia="仿宋_GB2312" w:cs="Times New Roman"/>
          <w:b/>
          <w:bCs/>
          <w:sz w:val="32"/>
        </w:rPr>
        <w:fldChar w:fldCharType="end"/>
      </w:r>
      <w:r>
        <w:rPr>
          <w:rFonts w:hint="eastAsia" w:ascii="Times New Roman" w:hAnsi="Times New Roman" w:eastAsia="仿宋_GB2312" w:cs="Times New Roman"/>
          <w:b/>
          <w:bCs/>
          <w:sz w:val="32"/>
        </w:rPr>
        <w:t>汕尾市低空经济</w:t>
      </w:r>
      <w:r>
        <w:rPr>
          <w:rFonts w:hint="eastAsia" w:ascii="Times New Roman" w:hAnsi="Times New Roman" w:eastAsia="仿宋_GB2312"/>
          <w:b/>
          <w:bCs/>
          <w:sz w:val="32"/>
        </w:rPr>
        <w:t>发展</w:t>
      </w:r>
      <w:r>
        <w:rPr>
          <w:rFonts w:hint="eastAsia" w:ascii="Times New Roman" w:hAnsi="Times New Roman" w:eastAsia="仿宋_GB2312" w:cs="Times New Roman"/>
          <w:b/>
          <w:bCs/>
          <w:sz w:val="32"/>
        </w:rPr>
        <w:t>“十五五”主要指标表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848"/>
        <w:gridCol w:w="1113"/>
        <w:gridCol w:w="1414"/>
        <w:gridCol w:w="1129"/>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序号</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指标名称</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单位</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2030年</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指标</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属性</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cs="Times New Roman"/>
                <w:b/>
                <w:bCs/>
                <w:kern w:val="0"/>
                <w:sz w:val="28"/>
                <w:szCs w:val="28"/>
                <w:lang w:val="en-US" w:eastAsia="zh-CN"/>
              </w:rPr>
            </w:pPr>
            <w:r>
              <w:rPr>
                <w:rFonts w:hint="eastAsia" w:cs="Times New Roman"/>
                <w:b/>
                <w:bCs/>
                <w:kern w:val="0"/>
                <w:sz w:val="28"/>
                <w:szCs w:val="28"/>
                <w:lang w:val="en-US" w:eastAsia="zh-CN"/>
              </w:rPr>
              <w:t>责任</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仿宋_GB2312" w:cs="Times New Roman"/>
                <w:b/>
                <w:bCs/>
                <w:kern w:val="0"/>
                <w:sz w:val="28"/>
                <w:szCs w:val="28"/>
                <w:lang w:val="en-US" w:eastAsia="zh-CN"/>
              </w:rPr>
            </w:pPr>
            <w:r>
              <w:rPr>
                <w:rFonts w:hint="eastAsia" w:cs="Times New Roman"/>
                <w:b/>
                <w:bCs/>
                <w:kern w:val="0"/>
                <w:sz w:val="28"/>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670" w:type="pct"/>
            <w:shd w:val="clear" w:color="000000" w:fill="FFFFFF"/>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低空经济</w:t>
            </w:r>
            <w:r>
              <w:rPr>
                <w:rFonts w:hint="eastAsia" w:ascii="Times New Roman" w:hAnsi="Times New Roman" w:eastAsia="仿宋_GB2312" w:cs="Times New Roman"/>
                <w:kern w:val="0"/>
                <w:sz w:val="24"/>
                <w:szCs w:val="24"/>
                <w:lang w:val="en-US" w:eastAsia="zh-CN"/>
              </w:rPr>
              <w:t>产业规模</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亿元</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当年值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bookmarkStart w:id="115" w:name="OLE_LINK94"/>
            <w:r>
              <w:rPr>
                <w:rFonts w:hint="eastAsia" w:cs="Times New Roman"/>
                <w:kern w:val="0"/>
                <w:sz w:val="24"/>
                <w:szCs w:val="24"/>
                <w:lang w:val="en-US" w:eastAsia="zh-CN"/>
              </w:rPr>
              <w:t>市发展和改革局</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引进和培育低空经济核心</w:t>
            </w:r>
            <w:r>
              <w:rPr>
                <w:rFonts w:hint="eastAsia" w:ascii="Times New Roman" w:hAnsi="Times New Roman" w:eastAsia="仿宋_GB2312" w:cs="Times New Roman"/>
                <w:kern w:val="0"/>
                <w:sz w:val="24"/>
                <w:szCs w:val="24"/>
                <w:lang w:val="en-US" w:eastAsia="zh-CN"/>
              </w:rPr>
              <w:t>产业</w:t>
            </w:r>
            <w:r>
              <w:rPr>
                <w:rFonts w:hint="default" w:ascii="Times New Roman" w:hAnsi="Times New Roman" w:eastAsia="仿宋_GB2312" w:cs="Times New Roman"/>
                <w:kern w:val="0"/>
                <w:sz w:val="24"/>
                <w:szCs w:val="24"/>
              </w:rPr>
              <w:t>企业数量</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rPr>
            </w:pPr>
            <w:r>
              <w:rPr>
                <w:rFonts w:hint="eastAsia" w:cs="Times New Roman"/>
                <w:kern w:val="0"/>
                <w:sz w:val="24"/>
                <w:szCs w:val="24"/>
                <w:lang w:val="en-US" w:eastAsia="zh-CN"/>
              </w:rPr>
              <w:t>市投资促进局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省级以上产业创新</w:t>
            </w:r>
            <w:r>
              <w:rPr>
                <w:rFonts w:hint="eastAsia" w:ascii="Times New Roman" w:hAnsi="Times New Roman" w:eastAsia="仿宋_GB2312" w:cs="Times New Roman"/>
                <w:kern w:val="0"/>
                <w:sz w:val="24"/>
                <w:szCs w:val="24"/>
                <w:lang w:val="en-US" w:eastAsia="zh-CN"/>
              </w:rPr>
              <w:t>平</w:t>
            </w:r>
            <w:r>
              <w:rPr>
                <w:rFonts w:hint="default" w:ascii="Times New Roman" w:hAnsi="Times New Roman" w:eastAsia="仿宋_GB2312" w:cs="Times New Roman"/>
                <w:kern w:val="0"/>
                <w:sz w:val="24"/>
                <w:szCs w:val="24"/>
              </w:rPr>
              <w:t>台</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国省级专精特新企业</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家</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大型起降场</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（通用机场）</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bookmarkStart w:id="116" w:name="OLE_LINK95"/>
            <w:r>
              <w:rPr>
                <w:rFonts w:hint="eastAsia" w:cs="Times New Roman"/>
                <w:kern w:val="0"/>
                <w:sz w:val="24"/>
                <w:szCs w:val="24"/>
                <w:lang w:val="en-US" w:eastAsia="zh-CN"/>
              </w:rPr>
              <w:t>市发展和改革局</w:t>
            </w:r>
            <w:bookmarkEnd w:id="116"/>
            <w:r>
              <w:rPr>
                <w:rFonts w:hint="eastAsia" w:cs="Times New Roman"/>
                <w:kern w:val="0"/>
                <w:sz w:val="24"/>
                <w:szCs w:val="24"/>
                <w:lang w:val="en-US" w:eastAsia="zh-CN"/>
              </w:rPr>
              <w:t>、海丰县人民政府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中型起降场</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(固定起降点)</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小型起降场</w:t>
            </w:r>
          </w:p>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(临时起降点)</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304</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测试场</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低空飞行总规模</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万驾次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低空载人航线数量</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低空载物航线数量</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12</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cs="Times New Roman"/>
                <w:kern w:val="0"/>
                <w:sz w:val="24"/>
                <w:szCs w:val="24"/>
              </w:rPr>
              <w:t>至大湾区城市的低空</w:t>
            </w:r>
            <w:r>
              <w:rPr>
                <w:rFonts w:hint="eastAsia" w:cs="Times New Roman"/>
                <w:kern w:val="0"/>
                <w:sz w:val="24"/>
                <w:szCs w:val="24"/>
                <w:lang w:val="en-US" w:eastAsia="zh-CN"/>
              </w:rPr>
              <w:t>载人</w:t>
            </w:r>
            <w:r>
              <w:rPr>
                <w:rFonts w:hint="default" w:cs="Times New Roman"/>
                <w:kern w:val="0"/>
                <w:sz w:val="24"/>
                <w:szCs w:val="24"/>
              </w:rPr>
              <w:t>/</w:t>
            </w:r>
            <w:r>
              <w:rPr>
                <w:rFonts w:hint="eastAsia" w:cs="Times New Roman"/>
                <w:kern w:val="0"/>
                <w:sz w:val="24"/>
                <w:szCs w:val="24"/>
                <w:lang w:val="en-US" w:eastAsia="zh-CN"/>
              </w:rPr>
              <w:t>载物</w:t>
            </w:r>
            <w:r>
              <w:rPr>
                <w:rFonts w:hint="default" w:cs="Times New Roman"/>
                <w:kern w:val="0"/>
                <w:sz w:val="24"/>
                <w:szCs w:val="24"/>
              </w:rPr>
              <w:t>航线数量</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市发展和改革局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r>
              <w:rPr>
                <w:rFonts w:hint="eastAsia" w:cs="Times New Roman"/>
                <w:kern w:val="0"/>
                <w:sz w:val="24"/>
                <w:szCs w:val="24"/>
                <w:lang w:val="en-US" w:eastAsia="zh-CN"/>
              </w:rPr>
              <w:t>3</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低空物流</w:t>
            </w:r>
            <w:r>
              <w:rPr>
                <w:rFonts w:hint="eastAsia" w:ascii="Times New Roman" w:hAnsi="Times New Roman" w:eastAsia="仿宋_GB2312" w:cs="Times New Roman"/>
                <w:kern w:val="0"/>
                <w:sz w:val="24"/>
                <w:szCs w:val="24"/>
                <w:lang w:val="en-US" w:eastAsia="zh-CN"/>
              </w:rPr>
              <w:t>飞行架次</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万驾次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r>
              <w:rPr>
                <w:rFonts w:hint="eastAsia" w:cs="Times New Roman"/>
                <w:kern w:val="0"/>
                <w:sz w:val="24"/>
                <w:szCs w:val="24"/>
                <w:lang w:val="en-US" w:eastAsia="zh-CN"/>
              </w:rPr>
              <w:t>4</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低空观光飞行架次</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万驾次</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市文广旅体局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cs="Times New Roman"/>
                <w:kern w:val="0"/>
                <w:sz w:val="24"/>
                <w:szCs w:val="24"/>
              </w:rPr>
              <w:t>海洋低空飞行作业总时长</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万小时</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当年</w:t>
            </w:r>
            <w:r>
              <w:rPr>
                <w:rFonts w:hint="eastAsia" w:ascii="Times New Roman" w:hAnsi="Times New Roman" w:eastAsia="仿宋_GB2312" w:cs="Times New Roman"/>
                <w:kern w:val="0"/>
                <w:sz w:val="24"/>
                <w:szCs w:val="24"/>
              </w:rPr>
              <w:t>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cs="Times New Roman"/>
                <w:kern w:val="0"/>
                <w:sz w:val="24"/>
                <w:szCs w:val="24"/>
                <w:lang w:val="en-US" w:eastAsia="zh-CN"/>
              </w:rPr>
            </w:pPr>
            <w:r>
              <w:rPr>
                <w:rFonts w:hint="eastAsia" w:cs="Times New Roman"/>
                <w:kern w:val="0"/>
                <w:sz w:val="24"/>
                <w:szCs w:val="24"/>
                <w:lang w:val="en-US" w:eastAsia="zh-CN"/>
              </w:rPr>
              <w:t>市发展和改革局、市交通运输局、</w:t>
            </w:r>
            <w:r>
              <w:rPr>
                <w:rFonts w:hint="eastAsia" w:cs="Times New Roman"/>
                <w:kern w:val="0"/>
                <w:sz w:val="24"/>
                <w:szCs w:val="24"/>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9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r>
              <w:rPr>
                <w:rFonts w:hint="eastAsia" w:cs="Times New Roman"/>
                <w:kern w:val="0"/>
                <w:sz w:val="24"/>
                <w:szCs w:val="24"/>
                <w:lang w:val="en-US" w:eastAsia="zh-CN"/>
              </w:rPr>
              <w:t>6</w:t>
            </w:r>
          </w:p>
        </w:tc>
        <w:tc>
          <w:tcPr>
            <w:tcW w:w="1670"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低空经济</w:t>
            </w:r>
            <w:r>
              <w:rPr>
                <w:rFonts w:hint="eastAsia" w:ascii="Times New Roman" w:hAnsi="Times New Roman" w:eastAsia="仿宋_GB2312" w:cs="Times New Roman"/>
                <w:kern w:val="0"/>
                <w:sz w:val="24"/>
                <w:szCs w:val="24"/>
                <w:lang w:val="en-US" w:eastAsia="zh-CN"/>
              </w:rPr>
              <w:t>示范</w:t>
            </w:r>
            <w:r>
              <w:rPr>
                <w:rFonts w:hint="default" w:ascii="Times New Roman" w:hAnsi="Times New Roman" w:eastAsia="仿宋_GB2312" w:cs="Times New Roman"/>
                <w:kern w:val="0"/>
                <w:sz w:val="24"/>
                <w:szCs w:val="24"/>
              </w:rPr>
              <w:t>应用场景</w:t>
            </w:r>
          </w:p>
        </w:tc>
        <w:tc>
          <w:tcPr>
            <w:tcW w:w="653"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个</w:t>
            </w:r>
          </w:p>
        </w:tc>
        <w:tc>
          <w:tcPr>
            <w:tcW w:w="829"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w:t>
            </w:r>
          </w:p>
        </w:tc>
        <w:tc>
          <w:tcPr>
            <w:tcW w:w="662"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累计值</w:t>
            </w:r>
          </w:p>
        </w:tc>
        <w:tc>
          <w:tcPr>
            <w:tcW w:w="786" w:type="pct"/>
            <w:vAlign w:val="center"/>
          </w:tcPr>
          <w:p>
            <w:pPr>
              <w:keepNext w:val="0"/>
              <w:keepLines w:val="0"/>
              <w:widowControl/>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0"/>
                <w:sz w:val="24"/>
                <w:szCs w:val="24"/>
              </w:rPr>
            </w:pPr>
            <w:r>
              <w:rPr>
                <w:rFonts w:hint="eastAsia" w:cs="Times New Roman"/>
                <w:kern w:val="0"/>
                <w:sz w:val="24"/>
                <w:szCs w:val="24"/>
                <w:lang w:val="en-US" w:eastAsia="zh-CN"/>
              </w:rPr>
              <w:t>市发展和改革局、市交通运输局</w:t>
            </w:r>
          </w:p>
        </w:tc>
      </w:tr>
    </w:tbl>
    <w:p>
      <w:pPr>
        <w:adjustRightInd w:val="0"/>
        <w:snapToGrid w:val="0"/>
        <w:ind w:firstLine="640"/>
        <w:outlineLvl w:val="0"/>
        <w:rPr>
          <w:rFonts w:hint="eastAsia" w:ascii="黑体" w:hAnsi="黑体" w:eastAsia="黑体" w:cs="黑体"/>
          <w:highlight w:val="none"/>
        </w:rPr>
      </w:pPr>
      <w:bookmarkStart w:id="117" w:name="_Toc20129"/>
      <w:bookmarkStart w:id="118" w:name="_Toc809"/>
      <w:bookmarkStart w:id="119" w:name="_Toc9245"/>
      <w:bookmarkStart w:id="120" w:name="_Toc7737"/>
      <w:bookmarkStart w:id="121" w:name="_Toc1885"/>
      <w:bookmarkStart w:id="122" w:name="_Toc22622"/>
      <w:bookmarkStart w:id="123" w:name="_Toc32559"/>
      <w:bookmarkStart w:id="124" w:name="_Toc2363"/>
      <w:bookmarkStart w:id="125" w:name="_Toc28066"/>
      <w:bookmarkStart w:id="126" w:name="_Toc5331"/>
      <w:bookmarkStart w:id="127" w:name="_Toc15579"/>
      <w:bookmarkStart w:id="128" w:name="_Toc7392"/>
      <w:bookmarkStart w:id="129" w:name="_Toc30699"/>
      <w:bookmarkStart w:id="130" w:name="_Toc4151"/>
      <w:bookmarkStart w:id="131" w:name="_Toc347"/>
      <w:bookmarkStart w:id="132" w:name="_Toc10531"/>
      <w:bookmarkStart w:id="133" w:name="_Toc29278"/>
      <w:bookmarkStart w:id="134" w:name="_Toc10649"/>
      <w:bookmarkStart w:id="135" w:name="_Toc2190"/>
      <w:bookmarkStart w:id="136" w:name="_Toc9371"/>
      <w:bookmarkStart w:id="137" w:name="_Toc23313"/>
      <w:bookmarkStart w:id="138" w:name="_Hlk217378438"/>
      <w:r>
        <w:rPr>
          <w:rFonts w:hint="eastAsia" w:ascii="黑体" w:hAnsi="黑体" w:eastAsia="黑体" w:cs="黑体"/>
          <w:highlight w:val="none"/>
        </w:rPr>
        <w:t>三</w:t>
      </w:r>
      <w:bookmarkEnd w:id="117"/>
      <w:bookmarkEnd w:id="118"/>
      <w:bookmarkEnd w:id="119"/>
      <w:bookmarkEnd w:id="120"/>
      <w:bookmarkEnd w:id="121"/>
      <w:bookmarkEnd w:id="122"/>
      <w:bookmarkEnd w:id="123"/>
      <w:bookmarkEnd w:id="124"/>
      <w:r>
        <w:rPr>
          <w:rFonts w:hint="eastAsia" w:ascii="黑体" w:hAnsi="黑体" w:eastAsia="黑体" w:cs="黑体"/>
          <w:highlight w:val="none"/>
          <w:lang w:eastAsia="zh-CN"/>
        </w:rPr>
        <w:t>、</w:t>
      </w:r>
      <w:r>
        <w:rPr>
          <w:rFonts w:hint="eastAsia" w:ascii="黑体" w:hAnsi="黑体" w:eastAsia="黑体" w:cs="黑体"/>
          <w:highlight w:val="none"/>
        </w:rPr>
        <w:t>构建“一核</w:t>
      </w:r>
      <w:r>
        <w:rPr>
          <w:rFonts w:hint="default" w:ascii="黑体" w:hAnsi="黑体" w:eastAsia="黑体" w:cs="黑体"/>
          <w:highlight w:val="none"/>
          <w:lang w:val="en-US"/>
        </w:rPr>
        <w:t>两</w:t>
      </w:r>
      <w:r>
        <w:rPr>
          <w:rFonts w:hint="eastAsia" w:ascii="黑体" w:hAnsi="黑体" w:eastAsia="黑体" w:cs="黑体"/>
          <w:highlight w:val="none"/>
          <w:lang w:val="en-US" w:eastAsia="zh-CN"/>
        </w:rPr>
        <w:t>带四网五区</w:t>
      </w:r>
      <w:r>
        <w:rPr>
          <w:rFonts w:hint="eastAsia" w:ascii="黑体" w:hAnsi="黑体" w:eastAsia="黑体" w:cs="黑体"/>
          <w:highlight w:val="none"/>
        </w:rPr>
        <w:t>”的立体发展格局</w:t>
      </w:r>
      <w:bookmarkEnd w:id="125"/>
      <w:bookmarkEnd w:id="126"/>
      <w:bookmarkEnd w:id="127"/>
      <w:bookmarkEnd w:id="128"/>
      <w:bookmarkEnd w:id="129"/>
      <w:bookmarkEnd w:id="130"/>
      <w:bookmarkEnd w:id="131"/>
      <w:bookmarkEnd w:id="132"/>
      <w:bookmarkEnd w:id="133"/>
      <w:bookmarkEnd w:id="134"/>
      <w:bookmarkEnd w:id="135"/>
      <w:bookmarkEnd w:id="136"/>
      <w:bookmarkEnd w:id="137"/>
    </w:p>
    <w:bookmarkEnd w:id="138"/>
    <w:p>
      <w:pPr>
        <w:adjustRightInd w:val="0"/>
        <w:snapToGrid w:val="0"/>
        <w:ind w:firstLine="640"/>
        <w:outlineLvl w:val="1"/>
        <w:rPr>
          <w:rFonts w:hint="eastAsia" w:ascii="楷体_GB2312" w:hAnsi="楷体_GB2312" w:eastAsia="楷体_GB2312" w:cs="楷体_GB2312"/>
        </w:rPr>
      </w:pPr>
      <w:bookmarkStart w:id="139" w:name="_Toc10261"/>
      <w:bookmarkStart w:id="140" w:name="_Toc32095"/>
      <w:bookmarkStart w:id="141" w:name="_Toc18190"/>
      <w:bookmarkStart w:id="142" w:name="_Toc3400"/>
      <w:bookmarkStart w:id="143" w:name="_Toc13949"/>
      <w:bookmarkStart w:id="144" w:name="_Toc19517"/>
      <w:bookmarkStart w:id="145" w:name="_Toc25219"/>
      <w:bookmarkStart w:id="146" w:name="_Toc32757"/>
      <w:bookmarkStart w:id="147" w:name="_Toc8298"/>
      <w:bookmarkStart w:id="148" w:name="_Toc19282"/>
      <w:bookmarkStart w:id="149" w:name="_Toc17308"/>
      <w:bookmarkStart w:id="150" w:name="_Toc14255"/>
      <w:bookmarkStart w:id="151" w:name="_Toc5150"/>
      <w:bookmarkStart w:id="152" w:name="_Hlk217378442"/>
      <w:r>
        <w:rPr>
          <w:rFonts w:hint="eastAsia" w:ascii="楷体_GB2312" w:hAnsi="楷体_GB2312" w:eastAsia="楷体_GB2312" w:cs="楷体_GB2312"/>
          <w:lang w:eastAsia="zh-CN"/>
        </w:rPr>
        <w:t>（一）</w:t>
      </w:r>
      <w:r>
        <w:rPr>
          <w:rFonts w:hint="eastAsia" w:ascii="楷体_GB2312" w:hAnsi="楷体_GB2312" w:eastAsia="楷体_GB2312" w:cs="楷体_GB2312"/>
        </w:rPr>
        <w:t>一核</w:t>
      </w:r>
      <w:bookmarkEnd w:id="139"/>
      <w:bookmarkEnd w:id="140"/>
      <w:bookmarkEnd w:id="141"/>
      <w:bookmarkEnd w:id="142"/>
      <w:bookmarkEnd w:id="143"/>
      <w:bookmarkEnd w:id="144"/>
      <w:bookmarkEnd w:id="145"/>
      <w:bookmarkEnd w:id="146"/>
      <w:bookmarkEnd w:id="147"/>
      <w:bookmarkEnd w:id="148"/>
      <w:bookmarkEnd w:id="149"/>
      <w:bookmarkEnd w:id="150"/>
      <w:bookmarkEnd w:id="151"/>
    </w:p>
    <w:bookmarkEnd w:id="152"/>
    <w:p>
      <w:pPr>
        <w:snapToGrid w:val="0"/>
        <w:ind w:firstLine="640"/>
        <w:rPr>
          <w:rFonts w:hint="default" w:eastAsia="仿宋_GB2312" w:cs="Times New Roman"/>
          <w:b/>
          <w:bCs/>
          <w:szCs w:val="32"/>
          <w:lang w:val="en-US" w:eastAsia="zh-CN"/>
        </w:rPr>
      </w:pPr>
      <w:bookmarkStart w:id="153" w:name="_Hlk217378468"/>
      <w:r>
        <w:rPr>
          <w:rFonts w:hint="eastAsia" w:ascii="仿宋_GB2312" w:hAnsi="仿宋_GB2312" w:cs="仿宋_GB2312"/>
          <w:b/>
          <w:bCs/>
        </w:rPr>
        <w:t>深汕协同创新制造核心。</w:t>
      </w:r>
      <w:bookmarkEnd w:id="153"/>
      <w:r>
        <w:rPr>
          <w:rFonts w:hint="eastAsia"/>
        </w:rPr>
        <w:t>以深圳龙岗—汕尾海丰低空经济基础设施建设项目为核心载体，高标准建设湾区低空综合服务基地、无人机测试验证场、低空经济产业公共服务中心</w:t>
      </w:r>
      <w:r>
        <w:rPr>
          <w:rFonts w:hint="eastAsia"/>
          <w:lang w:eastAsia="zh-CN"/>
        </w:rPr>
        <w:t>。</w:t>
      </w:r>
      <w:r>
        <w:rPr>
          <w:rFonts w:hint="eastAsia"/>
        </w:rPr>
        <w:t>积极发展无人机零部件制造、系统集成、维修维护等环节</w:t>
      </w:r>
      <w:r>
        <w:rPr>
          <w:rFonts w:hint="eastAsia"/>
          <w:lang w:eastAsia="zh-CN"/>
        </w:rPr>
        <w:t>，</w:t>
      </w:r>
      <w:r>
        <w:rPr>
          <w:rFonts w:hint="eastAsia"/>
          <w:lang w:val="en-US" w:eastAsia="zh-CN"/>
        </w:rPr>
        <w:t>打造</w:t>
      </w:r>
      <w:r>
        <w:rPr>
          <w:rFonts w:hint="eastAsia"/>
        </w:rPr>
        <w:t>集研发制造、测试验证、适航检测与综合服务于一体的产业生态高地。</w:t>
      </w:r>
    </w:p>
    <w:p>
      <w:pPr>
        <w:adjustRightInd w:val="0"/>
        <w:snapToGrid w:val="0"/>
        <w:ind w:firstLine="640"/>
        <w:outlineLvl w:val="1"/>
        <w:rPr>
          <w:rFonts w:hint="eastAsia" w:ascii="楷体_GB2312" w:hAnsi="楷体_GB2312" w:eastAsia="楷体_GB2312" w:cs="楷体_GB2312"/>
          <w:lang w:eastAsia="zh-CN"/>
        </w:rPr>
      </w:pPr>
      <w:bookmarkStart w:id="154" w:name="_Toc8777"/>
      <w:bookmarkStart w:id="155" w:name="_Toc30642"/>
      <w:bookmarkStart w:id="156" w:name="_Toc15497"/>
      <w:bookmarkStart w:id="157" w:name="_Toc29838"/>
      <w:bookmarkStart w:id="158" w:name="_Toc18946"/>
      <w:bookmarkStart w:id="159" w:name="_Toc9293"/>
      <w:bookmarkStart w:id="160" w:name="_Toc23417"/>
      <w:bookmarkStart w:id="161" w:name="_Toc19490"/>
      <w:bookmarkStart w:id="162" w:name="_Toc21024"/>
      <w:bookmarkStart w:id="163" w:name="_Toc12915"/>
      <w:bookmarkStart w:id="164" w:name="_Toc21597"/>
      <w:bookmarkStart w:id="165" w:name="_Toc28021"/>
      <w:bookmarkStart w:id="166" w:name="_Toc17230"/>
      <w:r>
        <w:rPr>
          <w:rFonts w:hint="eastAsia" w:ascii="楷体_GB2312" w:hAnsi="楷体_GB2312" w:eastAsia="楷体_GB2312" w:cs="楷体_GB2312"/>
          <w:lang w:eastAsia="zh-CN"/>
        </w:rPr>
        <w:t>（二）</w:t>
      </w:r>
      <w:r>
        <w:rPr>
          <w:rFonts w:hint="eastAsia" w:ascii="楷体_GB2312" w:hAnsi="楷体_GB2312" w:eastAsia="楷体_GB2312" w:cs="楷体_GB2312"/>
        </w:rPr>
        <w:t>两</w:t>
      </w:r>
      <w:bookmarkEnd w:id="154"/>
      <w:bookmarkEnd w:id="155"/>
      <w:bookmarkEnd w:id="156"/>
      <w:bookmarkEnd w:id="157"/>
      <w:bookmarkEnd w:id="158"/>
      <w:bookmarkEnd w:id="159"/>
      <w:bookmarkEnd w:id="160"/>
      <w:r>
        <w:rPr>
          <w:rFonts w:hint="eastAsia" w:ascii="楷体_GB2312" w:hAnsi="楷体_GB2312" w:eastAsia="楷体_GB2312" w:cs="楷体_GB2312"/>
          <w:lang w:val="en-US" w:eastAsia="zh-CN"/>
        </w:rPr>
        <w:t>带</w:t>
      </w:r>
      <w:bookmarkEnd w:id="161"/>
      <w:bookmarkEnd w:id="162"/>
      <w:bookmarkEnd w:id="163"/>
      <w:bookmarkEnd w:id="164"/>
      <w:bookmarkEnd w:id="165"/>
      <w:bookmarkEnd w:id="166"/>
    </w:p>
    <w:p>
      <w:pPr>
        <w:adjustRightInd/>
        <w:snapToGrid w:val="0"/>
        <w:ind w:firstLine="640"/>
        <w:outlineLvl w:val="9"/>
        <w:rPr>
          <w:rFonts w:hint="default"/>
          <w:b w:val="0"/>
          <w:bCs w:val="0"/>
        </w:rPr>
      </w:pPr>
      <w:r>
        <w:rPr>
          <w:rFonts w:hint="eastAsia"/>
          <w:b/>
          <w:bCs/>
        </w:rPr>
        <w:t>沿海蓝色经济应用</w:t>
      </w:r>
      <w:r>
        <w:rPr>
          <w:rFonts w:hint="eastAsia"/>
          <w:b/>
          <w:bCs/>
          <w:lang w:val="en-US" w:eastAsia="zh-CN"/>
        </w:rPr>
        <w:t>带</w:t>
      </w:r>
      <w:r>
        <w:rPr>
          <w:rFonts w:hint="eastAsia"/>
          <w:b/>
          <w:bCs/>
        </w:rPr>
        <w:t>。</w:t>
      </w:r>
      <w:r>
        <w:rPr>
          <w:rFonts w:hint="eastAsia"/>
        </w:rPr>
        <w:t>依托海岸线和丰富的海洋资源，聚焦海洋特色场景应用，推动低空技术与海洋经济深度融合</w:t>
      </w:r>
      <w:r>
        <w:rPr>
          <w:rFonts w:hint="eastAsia"/>
          <w:lang w:eastAsia="zh-CN"/>
        </w:rPr>
        <w:t>，</w:t>
      </w:r>
      <w:r>
        <w:rPr>
          <w:rFonts w:hint="eastAsia"/>
          <w:lang w:val="en-US" w:eastAsia="zh-CN"/>
        </w:rPr>
        <w:t>打造低空海洋应用示范带。</w:t>
      </w:r>
      <w:r>
        <w:rPr>
          <w:rFonts w:hint="eastAsia"/>
          <w:b/>
          <w:bCs/>
        </w:rPr>
        <w:t>内陆低空智造协同服务带</w:t>
      </w:r>
      <w:r>
        <w:rPr>
          <w:rFonts w:hint="eastAsia"/>
          <w:b/>
          <w:bCs/>
          <w:lang w:eastAsia="zh-CN"/>
        </w:rPr>
        <w:t>。</w:t>
      </w:r>
      <w:r>
        <w:rPr>
          <w:rFonts w:hint="eastAsia"/>
        </w:rPr>
        <w:t>聚焦产业配套与协同制造，依托主要交通干道，</w:t>
      </w:r>
      <w:r>
        <w:rPr>
          <w:rFonts w:hint="eastAsia"/>
          <w:lang w:val="en-US" w:eastAsia="zh-CN"/>
        </w:rPr>
        <w:t>串联重点城镇、产业平台及物流节点</w:t>
      </w:r>
      <w:r>
        <w:rPr>
          <w:rFonts w:hint="eastAsia"/>
        </w:rPr>
        <w:t>，布局发展</w:t>
      </w:r>
      <w:r>
        <w:rPr>
          <w:rFonts w:hint="eastAsia"/>
          <w:lang w:val="en-US" w:eastAsia="zh-CN"/>
        </w:rPr>
        <w:t>配套制造</w:t>
      </w:r>
      <w:r>
        <w:rPr>
          <w:rFonts w:hint="eastAsia"/>
        </w:rPr>
        <w:t>产业</w:t>
      </w:r>
      <w:r>
        <w:rPr>
          <w:rFonts w:hint="eastAsia"/>
          <w:lang w:val="en-US" w:eastAsia="zh-CN"/>
        </w:rPr>
        <w:t>及生产性服务业，</w:t>
      </w:r>
      <w:r>
        <w:rPr>
          <w:rFonts w:hint="eastAsia"/>
        </w:rPr>
        <w:t>形成对核心制造与终端应用的有效支撑网络。</w:t>
      </w:r>
    </w:p>
    <w:p>
      <w:pPr>
        <w:ind w:firstLine="640"/>
        <w:outlineLvl w:val="1"/>
        <w:rPr>
          <w:rFonts w:hint="eastAsia" w:ascii="楷体_GB2312" w:hAnsi="楷体_GB2312" w:eastAsia="楷体_GB2312" w:cs="楷体_GB2312"/>
        </w:rPr>
      </w:pPr>
      <w:bookmarkStart w:id="167" w:name="_Toc25663"/>
      <w:bookmarkStart w:id="168" w:name="_Toc19967"/>
      <w:bookmarkStart w:id="169" w:name="_Toc8582"/>
      <w:bookmarkStart w:id="170" w:name="_Toc29348"/>
      <w:bookmarkStart w:id="171" w:name="_Toc14727"/>
      <w:bookmarkStart w:id="172" w:name="_Toc14568"/>
      <w:bookmarkStart w:id="173" w:name="_Toc27761"/>
      <w:bookmarkStart w:id="174" w:name="_Toc30211"/>
      <w:bookmarkStart w:id="175" w:name="_Toc10133"/>
      <w:bookmarkStart w:id="176" w:name="_Toc15079"/>
      <w:bookmarkStart w:id="177" w:name="_Toc14149"/>
      <w:bookmarkStart w:id="178" w:name="_Toc7677"/>
      <w:bookmarkStart w:id="179" w:name="_Toc31846"/>
      <w:bookmarkStart w:id="180" w:name="_Hlk217911173"/>
      <w:r>
        <w:rPr>
          <w:rFonts w:hint="eastAsia" w:ascii="楷体_GB2312" w:hAnsi="楷体_GB2312" w:eastAsia="楷体_GB2312" w:cs="楷体_GB2312"/>
          <w:lang w:eastAsia="zh-CN"/>
        </w:rPr>
        <w:t>（三）</w:t>
      </w:r>
      <w:r>
        <w:rPr>
          <w:rFonts w:hint="eastAsia" w:ascii="楷体_GB2312" w:hAnsi="楷体_GB2312" w:eastAsia="楷体_GB2312" w:cs="楷体_GB2312"/>
        </w:rPr>
        <w:t>四网</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ind w:firstLine="640"/>
        <w:outlineLvl w:val="9"/>
        <w:rPr>
          <w:rFonts w:hint="default" w:ascii="Times New Roman" w:hAnsi="Times New Roman" w:eastAsia="仿宋_GB2312" w:cstheme="minorBidi"/>
          <w:b w:val="0"/>
          <w:bCs w:val="0"/>
        </w:rPr>
      </w:pPr>
      <w:r>
        <w:rPr>
          <w:rFonts w:hint="eastAsia" w:cstheme="minorBidi"/>
          <w:b w:val="0"/>
          <w:bCs w:val="0"/>
          <w:lang w:val="en-US" w:eastAsia="zh-CN"/>
        </w:rPr>
        <w:t>坚持场景需求导向，</w:t>
      </w:r>
      <w:r>
        <w:rPr>
          <w:rFonts w:hint="default" w:ascii="Times New Roman" w:hAnsi="Times New Roman" w:eastAsia="仿宋_GB2312" w:cstheme="minorBidi"/>
          <w:b w:val="0"/>
          <w:bCs w:val="0"/>
        </w:rPr>
        <w:t>围绕海洋特色应用与湾区互联互通需求，统筹推进</w:t>
      </w:r>
      <w:r>
        <w:rPr>
          <w:rFonts w:hint="default" w:ascii="Times New Roman" w:hAnsi="Times New Roman" w:eastAsia="仿宋_GB2312" w:cstheme="minorBidi"/>
          <w:b/>
          <w:bCs/>
        </w:rPr>
        <w:t>低空设施网、航路网、智联网、服务网</w:t>
      </w:r>
      <w:r>
        <w:rPr>
          <w:rFonts w:hint="default" w:ascii="Times New Roman" w:hAnsi="Times New Roman" w:eastAsia="仿宋_GB2312" w:cstheme="minorBidi"/>
          <w:b w:val="0"/>
          <w:bCs w:val="0"/>
        </w:rPr>
        <w:t>建设，构建全域覆盖、陆海衔接、智慧高效的低空飞行基础支撑体系。</w:t>
      </w:r>
    </w:p>
    <w:p>
      <w:pPr>
        <w:ind w:firstLine="640"/>
        <w:outlineLvl w:val="1"/>
        <w:rPr>
          <w:rFonts w:hint="default" w:ascii="楷体_GB2312" w:hAnsi="楷体_GB2312" w:eastAsia="楷体_GB2312" w:cs="楷体_GB2312"/>
          <w:lang w:val="en-US" w:eastAsia="zh-CN"/>
        </w:rPr>
      </w:pPr>
      <w:bookmarkStart w:id="181" w:name="_Toc21324"/>
      <w:bookmarkStart w:id="182" w:name="_Toc551"/>
      <w:bookmarkStart w:id="183" w:name="_Toc762"/>
      <w:bookmarkStart w:id="184" w:name="_Toc11761"/>
      <w:bookmarkStart w:id="185" w:name="_Toc11332"/>
      <w:bookmarkStart w:id="186" w:name="_Toc1064"/>
      <w:bookmarkStart w:id="187" w:name="OLE_LINK93"/>
      <w:bookmarkStart w:id="188" w:name="_Toc15148"/>
      <w:bookmarkStart w:id="189" w:name="_Toc4497"/>
      <w:bookmarkStart w:id="190" w:name="_Toc2587"/>
      <w:bookmarkStart w:id="191" w:name="_Toc10799"/>
      <w:bookmarkStart w:id="192" w:name="_Toc18340"/>
      <w:bookmarkStart w:id="193" w:name="_Toc4665"/>
      <w:bookmarkStart w:id="194" w:name="_Toc5045"/>
      <w:r>
        <w:rPr>
          <w:rFonts w:hint="eastAsia" w:ascii="楷体_GB2312" w:hAnsi="楷体_GB2312" w:eastAsia="楷体_GB2312" w:cs="楷体_GB2312"/>
          <w:lang w:val="en-US" w:eastAsia="zh-CN"/>
        </w:rPr>
        <w:t>（四）五区</w:t>
      </w:r>
      <w:bookmarkEnd w:id="181"/>
      <w:bookmarkEnd w:id="182"/>
      <w:bookmarkEnd w:id="183"/>
      <w:bookmarkEnd w:id="184"/>
      <w:bookmarkEnd w:id="185"/>
      <w:bookmarkEnd w:id="186"/>
    </w:p>
    <w:p>
      <w:pPr>
        <w:adjustRightInd w:val="0"/>
        <w:snapToGrid w:val="0"/>
        <w:ind w:firstLine="640"/>
        <w:outlineLvl w:val="9"/>
        <w:rPr>
          <w:rFonts w:hint="eastAsia" w:ascii="仿宋_GB2312" w:hAnsi="仿宋_GB2312" w:cs="仿宋_GB2312"/>
        </w:rPr>
      </w:pPr>
      <w:r>
        <w:rPr>
          <w:rFonts w:hint="eastAsia" w:ascii="仿宋_GB2312" w:hAnsi="仿宋_GB2312" w:cs="仿宋_GB2312"/>
        </w:rPr>
        <w:t>按照场景牵引、因地制宜、错位发展原则，构建五区协同格局。</w:t>
      </w:r>
      <w:r>
        <w:rPr>
          <w:rFonts w:hint="eastAsia" w:ascii="仿宋_GB2312" w:hAnsi="仿宋_GB2312" w:cs="仿宋_GB2312"/>
          <w:b/>
          <w:bCs/>
        </w:rPr>
        <w:t>城区</w:t>
      </w:r>
      <w:r>
        <w:rPr>
          <w:rFonts w:hint="eastAsia" w:ascii="仿宋_GB2312" w:hAnsi="仿宋_GB2312" w:cs="仿宋_GB2312"/>
        </w:rPr>
        <w:t>重点建设“低空+公共服务+文旅消费”试点区；</w:t>
      </w:r>
      <w:r>
        <w:rPr>
          <w:rFonts w:hint="eastAsia" w:ascii="仿宋_GB2312" w:hAnsi="仿宋_GB2312" w:cs="仿宋_GB2312"/>
          <w:b/>
          <w:bCs/>
        </w:rPr>
        <w:t>海丰县</w:t>
      </w:r>
      <w:r>
        <w:rPr>
          <w:rFonts w:hint="eastAsia" w:ascii="仿宋_GB2312" w:hAnsi="仿宋_GB2312" w:cs="仿宋_GB2312"/>
        </w:rPr>
        <w:t>打造湾区低空制造与综合服务核心枢纽；</w:t>
      </w:r>
      <w:r>
        <w:rPr>
          <w:rFonts w:hint="eastAsia" w:ascii="仿宋_GB2312" w:hAnsi="仿宋_GB2312" w:cs="仿宋_GB2312"/>
          <w:b/>
          <w:bCs/>
        </w:rPr>
        <w:t>陆丰市（含华侨管理区）</w:t>
      </w:r>
      <w:r>
        <w:rPr>
          <w:rFonts w:hint="eastAsia" w:ascii="仿宋_GB2312" w:hAnsi="仿宋_GB2312" w:cs="仿宋_GB2312"/>
        </w:rPr>
        <w:t>打造海洋低空场景深度应用示范区；</w:t>
      </w:r>
      <w:r>
        <w:rPr>
          <w:rFonts w:hint="eastAsia" w:ascii="仿宋_GB2312" w:hAnsi="仿宋_GB2312" w:cs="仿宋_GB2312"/>
          <w:b/>
          <w:bCs/>
        </w:rPr>
        <w:t>陆河县</w:t>
      </w:r>
      <w:r>
        <w:rPr>
          <w:rFonts w:hint="eastAsia" w:ascii="仿宋_GB2312" w:hAnsi="仿宋_GB2312" w:cs="仿宋_GB2312"/>
        </w:rPr>
        <w:t>打造“低空+制造+农文旅”融合发展区；</w:t>
      </w:r>
      <w:r>
        <w:rPr>
          <w:rFonts w:hint="eastAsia" w:ascii="仿宋_GB2312" w:hAnsi="仿宋_GB2312" w:cs="仿宋_GB2312"/>
          <w:b/>
          <w:bCs/>
        </w:rPr>
        <w:t>红海湾经济开发区</w:t>
      </w:r>
      <w:r>
        <w:rPr>
          <w:rFonts w:hint="eastAsia" w:ascii="仿宋_GB2312" w:hAnsi="仿宋_GB2312" w:cs="仿宋_GB2312"/>
        </w:rPr>
        <w:t>打造“低空+滨海旅游+海岛物流”特色区。</w:t>
      </w:r>
    </w:p>
    <w:bookmarkEnd w:id="180"/>
    <w:bookmarkEnd w:id="187"/>
    <w:bookmarkEnd w:id="188"/>
    <w:bookmarkEnd w:id="189"/>
    <w:bookmarkEnd w:id="190"/>
    <w:bookmarkEnd w:id="191"/>
    <w:bookmarkEnd w:id="192"/>
    <w:bookmarkEnd w:id="193"/>
    <w:bookmarkEnd w:id="194"/>
    <w:p>
      <w:pPr>
        <w:keepNext/>
        <w:adjustRightInd w:val="0"/>
        <w:snapToGrid w:val="0"/>
        <w:ind w:firstLine="640"/>
        <w:outlineLvl w:val="0"/>
        <w:rPr>
          <w:rFonts w:hint="eastAsia" w:ascii="黑体" w:hAnsi="黑体" w:eastAsia="黑体" w:cs="黑体"/>
          <w:lang w:val="en-US" w:eastAsia="zh-CN"/>
        </w:rPr>
      </w:pPr>
      <w:bookmarkStart w:id="195" w:name="_Toc8895"/>
      <w:bookmarkStart w:id="196" w:name="_Toc14095"/>
      <w:bookmarkStart w:id="197" w:name="_Toc21472"/>
      <w:bookmarkStart w:id="198" w:name="_Toc32258"/>
      <w:bookmarkStart w:id="199" w:name="_Toc26894"/>
      <w:bookmarkStart w:id="200" w:name="_Toc29106"/>
      <w:bookmarkStart w:id="201" w:name="_Toc30625"/>
      <w:bookmarkStart w:id="202" w:name="_Toc26996"/>
      <w:bookmarkStart w:id="203" w:name="_Toc6490"/>
      <w:bookmarkStart w:id="204" w:name="_Toc3324"/>
      <w:bookmarkStart w:id="205" w:name="_Toc14293"/>
      <w:bookmarkStart w:id="206" w:name="_Toc23204"/>
      <w:bookmarkStart w:id="207" w:name="_Toc15525"/>
      <w:bookmarkStart w:id="208" w:name="_Toc9240"/>
      <w:bookmarkStart w:id="209" w:name="_Toc26690"/>
      <w:bookmarkStart w:id="210" w:name="_Toc1289"/>
      <w:bookmarkStart w:id="211" w:name="_Toc23052"/>
      <w:bookmarkStart w:id="212" w:name="_Toc26048"/>
      <w:bookmarkStart w:id="213" w:name="_Toc22974"/>
      <w:bookmarkStart w:id="214" w:name="_Toc23169"/>
      <w:bookmarkStart w:id="215" w:name="_Toc24659"/>
      <w:r>
        <w:rPr>
          <w:rFonts w:hint="eastAsia" w:ascii="黑体" w:hAnsi="黑体" w:eastAsia="黑体" w:cs="黑体"/>
          <w:lang w:val="en-US" w:eastAsia="zh-CN"/>
        </w:rPr>
        <w:t>四、构建链条清晰、协同联动的低空经济产业体系</w:t>
      </w:r>
      <w:bookmarkEnd w:id="195"/>
      <w:bookmarkEnd w:id="196"/>
      <w:bookmarkEnd w:id="197"/>
      <w:bookmarkEnd w:id="198"/>
      <w:bookmarkEnd w:id="199"/>
      <w:bookmarkEnd w:id="200"/>
      <w:bookmarkEnd w:id="201"/>
      <w:bookmarkEnd w:id="202"/>
      <w:bookmarkEnd w:id="203"/>
      <w:bookmarkEnd w:id="204"/>
      <w:bookmarkEnd w:id="205"/>
      <w:bookmarkEnd w:id="206"/>
    </w:p>
    <w:p>
      <w:pPr>
        <w:adjustRightInd/>
        <w:snapToGrid/>
        <w:ind w:firstLine="640"/>
        <w:outlineLvl w:val="1"/>
        <w:rPr>
          <w:rFonts w:hint="eastAsia" w:ascii="楷体_GB2312" w:hAnsi="楷体_GB2312" w:eastAsia="楷体_GB2312" w:cs="楷体_GB2312"/>
        </w:rPr>
      </w:pPr>
      <w:bookmarkStart w:id="216" w:name="_Toc1897"/>
      <w:bookmarkStart w:id="217" w:name="_Toc7683"/>
      <w:bookmarkStart w:id="218" w:name="_Toc7257"/>
      <w:bookmarkStart w:id="219" w:name="_Toc29021"/>
      <w:bookmarkStart w:id="220" w:name="_Toc16576"/>
      <w:bookmarkStart w:id="221" w:name="_Toc16530"/>
      <w:bookmarkStart w:id="222" w:name="_Toc29150"/>
      <w:bookmarkStart w:id="223" w:name="_Toc15363"/>
      <w:bookmarkStart w:id="224" w:name="_Toc26720"/>
      <w:bookmarkStart w:id="225" w:name="_Toc20423"/>
      <w:bookmarkStart w:id="226" w:name="_Toc3807"/>
      <w:bookmarkStart w:id="227" w:name="_Toc27460"/>
      <w:bookmarkStart w:id="228" w:name="OLE_LINK90"/>
      <w:r>
        <w:rPr>
          <w:rFonts w:hint="eastAsia" w:ascii="楷体_GB2312" w:hAnsi="楷体_GB2312" w:eastAsia="楷体_GB2312" w:cs="楷体_GB2312"/>
          <w:lang w:eastAsia="zh-CN"/>
        </w:rPr>
        <w:t>（一）</w:t>
      </w:r>
      <w:r>
        <w:rPr>
          <w:rFonts w:hint="eastAsia" w:ascii="楷体_GB2312" w:hAnsi="楷体_GB2312" w:eastAsia="楷体_GB2312" w:cs="楷体_GB2312"/>
        </w:rPr>
        <w:t>上游聚焦关键配套与研发测试，强化海洋场景适配能力</w:t>
      </w:r>
      <w:bookmarkEnd w:id="216"/>
      <w:bookmarkEnd w:id="217"/>
      <w:bookmarkEnd w:id="218"/>
      <w:bookmarkEnd w:id="219"/>
      <w:bookmarkEnd w:id="220"/>
      <w:bookmarkEnd w:id="221"/>
      <w:bookmarkEnd w:id="222"/>
      <w:bookmarkEnd w:id="223"/>
      <w:bookmarkEnd w:id="224"/>
      <w:bookmarkEnd w:id="225"/>
      <w:bookmarkEnd w:id="226"/>
      <w:bookmarkEnd w:id="227"/>
    </w:p>
    <w:p>
      <w:pPr>
        <w:adjustRightInd/>
        <w:snapToGrid/>
        <w:ind w:firstLine="0"/>
        <w:outlineLvl w:val="9"/>
        <w:rPr>
          <w:rFonts w:hint="eastAsia"/>
          <w:b w:val="0"/>
          <w:bCs w:val="0"/>
        </w:rPr>
      </w:pPr>
      <w:r>
        <w:rPr>
          <w:rFonts w:hint="eastAsia"/>
          <w:b/>
          <w:bCs/>
        </w:rPr>
        <w:t>发展海洋适应性航空新材料与轻量化结构部件。</w:t>
      </w:r>
      <w:r>
        <w:rPr>
          <w:rFonts w:hint="eastAsia"/>
          <w:b w:val="0"/>
          <w:bCs w:val="0"/>
        </w:rPr>
        <w:t>依托本地科研平台在玄武岩纤维、复合材料领域的研究基础，面向海上风电巡检、海洋牧场监测等高频场景，开展无人机结构件高抗腐蚀、高抗风、耐盐雾性能研发。精准承接大湾区无人机产业链转移，重点布局高强度轻量化机身结构件、精密传动部件精密加工环节，推动形成本地化供应链体系。</w:t>
      </w:r>
    </w:p>
    <w:p>
      <w:pPr>
        <w:adjustRightInd/>
        <w:snapToGrid/>
        <w:ind w:firstLine="0"/>
        <w:outlineLvl w:val="9"/>
        <w:rPr>
          <w:rFonts w:hint="eastAsia"/>
          <w:b w:val="0"/>
          <w:bCs w:val="0"/>
        </w:rPr>
      </w:pPr>
      <w:r>
        <w:rPr>
          <w:rFonts w:hint="eastAsia"/>
          <w:b/>
          <w:bCs/>
        </w:rPr>
        <w:t>培育适应海洋气候的特种电池系统与能源动力模块。</w:t>
      </w:r>
      <w:r>
        <w:rPr>
          <w:rFonts w:hint="eastAsia"/>
          <w:b w:val="0"/>
          <w:bCs w:val="0"/>
        </w:rPr>
        <w:t>衔接汕尾新能源汽车产业发展，引导本地电池企业向航空应用领域拓展，研发生产高能量密度、长循环寿命的航空动力电池及封装系统，提升电池系统在高温、高湿、高盐雾海洋性气候条件下的安全性和可靠性。</w:t>
      </w:r>
    </w:p>
    <w:p>
      <w:pPr>
        <w:adjustRightInd/>
        <w:snapToGrid/>
        <w:ind w:firstLine="0"/>
        <w:outlineLvl w:val="9"/>
        <w:rPr>
          <w:rFonts w:hint="eastAsia"/>
          <w:b w:val="0"/>
          <w:bCs w:val="0"/>
        </w:rPr>
      </w:pPr>
      <w:r>
        <w:rPr>
          <w:rFonts w:hint="eastAsia"/>
          <w:b/>
          <w:bCs/>
        </w:rPr>
        <w:t>发展核心电子元器件与飞控系统配套。</w:t>
      </w:r>
      <w:r>
        <w:rPr>
          <w:rFonts w:hint="eastAsia"/>
          <w:b w:val="0"/>
          <w:bCs w:val="0"/>
        </w:rPr>
        <w:t>立足本地电子信息制造产业基础，发展飞控、电源管理、导航通信等核心电子元器件，推动本地电子制造企业从消费电子、汽车电子向航空电子领域升级，构建覆盖飞控、电源、通信、导航模块的本地化配套能力，积极对接大湾区头部企业争取关键模块生产制造环节落地汕尾。</w:t>
      </w:r>
    </w:p>
    <w:p>
      <w:pPr>
        <w:adjustRightInd w:val="0"/>
        <w:snapToGrid w:val="0"/>
        <w:ind w:left="0" w:leftChars="0" w:firstLine="643"/>
        <w:outlineLvl w:val="9"/>
        <w:rPr>
          <w:rFonts w:hint="eastAsia"/>
        </w:rPr>
      </w:pPr>
      <w:r>
        <w:rPr>
          <w:rFonts w:hint="eastAsia"/>
          <w:b/>
          <w:bCs/>
        </w:rPr>
        <w:t>攻关海洋环境专用任务载荷与传感器。</w:t>
      </w:r>
      <w:r>
        <w:rPr>
          <w:rFonts w:hint="eastAsia"/>
          <w:b w:val="0"/>
          <w:bCs w:val="0"/>
        </w:rPr>
        <w:t>联合本地科研平台支持企业聚焦海洋特殊环境开发专用任务载荷，重点突破抗盐雾光电吊舱、无人机水质传感器、海上设施缺陷识别、网箱精准投喂等特种任务载荷，满足海洋牧场巡检、风电运维等高频商业化需求。</w:t>
      </w:r>
    </w:p>
    <w:bookmarkEnd w:id="228"/>
    <w:p>
      <w:pPr>
        <w:adjustRightInd/>
        <w:snapToGrid/>
        <w:ind w:firstLine="640"/>
        <w:outlineLvl w:val="1"/>
        <w:rPr>
          <w:rFonts w:hint="eastAsia" w:ascii="楷体_GB2312" w:hAnsi="楷体_GB2312" w:eastAsia="楷体_GB2312" w:cs="楷体_GB2312"/>
        </w:rPr>
      </w:pPr>
      <w:bookmarkStart w:id="229" w:name="_Toc17412"/>
      <w:bookmarkStart w:id="230" w:name="_Toc17588"/>
      <w:bookmarkStart w:id="231" w:name="_Toc6284"/>
      <w:bookmarkStart w:id="232" w:name="_Toc1287"/>
      <w:bookmarkStart w:id="233" w:name="_Toc24974"/>
      <w:bookmarkStart w:id="234" w:name="_Toc28372"/>
      <w:bookmarkStart w:id="235" w:name="_Toc1468"/>
      <w:bookmarkStart w:id="236" w:name="_Toc22223"/>
      <w:bookmarkStart w:id="237" w:name="_Toc31579"/>
      <w:bookmarkStart w:id="238" w:name="_Toc5430"/>
      <w:bookmarkStart w:id="239" w:name="_Toc30968"/>
      <w:bookmarkStart w:id="240" w:name="_Toc29246"/>
      <w:bookmarkStart w:id="241" w:name="OLE_LINK91"/>
      <w:r>
        <w:rPr>
          <w:rFonts w:hint="eastAsia" w:ascii="楷体_GB2312" w:hAnsi="楷体_GB2312" w:eastAsia="楷体_GB2312" w:cs="楷体_GB2312"/>
          <w:lang w:eastAsia="zh-CN"/>
        </w:rPr>
        <w:t>（二）</w:t>
      </w:r>
      <w:r>
        <w:rPr>
          <w:rFonts w:hint="eastAsia" w:ascii="楷体_GB2312" w:hAnsi="楷体_GB2312" w:eastAsia="楷体_GB2312" w:cs="楷体_GB2312"/>
          <w:lang w:val="en-US" w:eastAsia="zh-CN"/>
        </w:rPr>
        <w:t>中游聚焦整机制造与系统集成，打造大湾区制造承接地</w:t>
      </w:r>
      <w:bookmarkEnd w:id="229"/>
      <w:bookmarkEnd w:id="230"/>
      <w:bookmarkEnd w:id="231"/>
      <w:bookmarkEnd w:id="232"/>
      <w:bookmarkEnd w:id="233"/>
      <w:bookmarkEnd w:id="234"/>
      <w:bookmarkEnd w:id="235"/>
      <w:bookmarkEnd w:id="236"/>
      <w:bookmarkEnd w:id="237"/>
      <w:bookmarkEnd w:id="238"/>
      <w:bookmarkEnd w:id="239"/>
      <w:bookmarkEnd w:id="240"/>
    </w:p>
    <w:p>
      <w:pPr>
        <w:adjustRightInd/>
        <w:snapToGrid/>
        <w:ind w:firstLine="0"/>
        <w:outlineLvl w:val="9"/>
        <w:rPr>
          <w:rFonts w:hint="eastAsia"/>
          <w:b w:val="0"/>
          <w:bCs w:val="0"/>
        </w:rPr>
      </w:pPr>
      <w:r>
        <w:rPr>
          <w:rFonts w:hint="eastAsia"/>
          <w:b/>
          <w:bCs/>
        </w:rPr>
        <w:t>发展多品类无人机整机制造与规模化总装。</w:t>
      </w:r>
      <w:r>
        <w:rPr>
          <w:rFonts w:hint="eastAsia"/>
          <w:b w:val="0"/>
          <w:bCs w:val="0"/>
        </w:rPr>
        <w:t>重点发展行业应用无人机整机装配、功能集成、联调联试，推动形成适配不同任务工况的整机产品体系。积极承接大湾区中大型无人机、物流无人机及新型飞行器制造环节外溢，布局区域性总装基地和交付中心，提升汕尾在低空制造链中的承载能力。</w:t>
      </w:r>
    </w:p>
    <w:p>
      <w:pPr>
        <w:adjustRightInd/>
        <w:snapToGrid/>
        <w:ind w:firstLine="0"/>
        <w:outlineLvl w:val="9"/>
        <w:rPr>
          <w:rFonts w:hint="eastAsia"/>
        </w:rPr>
      </w:pPr>
      <w:r>
        <w:rPr>
          <w:rFonts w:hint="eastAsia"/>
          <w:b/>
          <w:bCs/>
        </w:rPr>
        <w:t>拓展系统集成与场景化改装。</w:t>
      </w:r>
      <w:r>
        <w:rPr>
          <w:rFonts w:hint="eastAsia"/>
          <w:b w:val="0"/>
          <w:bCs w:val="0"/>
        </w:rPr>
        <w:t>大力发展飞行平台选型、任务载荷匹配、飞控适配、任务软件嵌入等系统集成业务，支持企业面向海洋巡检、精准农业、冷链物流等细分领域开发专用改装套件和定制化任务模块，向特种作业无人机、无人船—无人机协同系统等新型装备方向探索，培育差异化竞争优势。</w:t>
      </w:r>
    </w:p>
    <w:bookmarkEnd w:id="241"/>
    <w:p>
      <w:pPr>
        <w:adjustRightInd/>
        <w:snapToGrid/>
        <w:ind w:firstLine="640"/>
        <w:outlineLvl w:val="1"/>
        <w:rPr>
          <w:rFonts w:hint="eastAsia" w:ascii="楷体_GB2312" w:hAnsi="楷体_GB2312" w:eastAsia="楷体_GB2312" w:cs="楷体_GB2312"/>
        </w:rPr>
      </w:pPr>
      <w:bookmarkStart w:id="242" w:name="_Toc8506"/>
      <w:bookmarkStart w:id="243" w:name="_Toc30362"/>
      <w:bookmarkStart w:id="244" w:name="_Toc21161"/>
      <w:bookmarkStart w:id="245" w:name="_Toc4453"/>
      <w:bookmarkStart w:id="246" w:name="_Toc22567"/>
      <w:bookmarkStart w:id="247" w:name="_Toc28308"/>
      <w:bookmarkStart w:id="248" w:name="_Toc21617"/>
      <w:bookmarkStart w:id="249" w:name="_Toc13362"/>
      <w:bookmarkStart w:id="250" w:name="_Toc27362"/>
      <w:bookmarkStart w:id="251" w:name="_Toc17558"/>
      <w:bookmarkStart w:id="252" w:name="_Toc3629"/>
      <w:bookmarkStart w:id="253" w:name="_Toc23202"/>
      <w:bookmarkStart w:id="254" w:name="OLE_LINK92"/>
      <w:r>
        <w:rPr>
          <w:rFonts w:hint="eastAsia" w:ascii="楷体_GB2312" w:hAnsi="楷体_GB2312" w:eastAsia="楷体_GB2312" w:cs="楷体_GB2312"/>
          <w:lang w:eastAsia="zh-CN"/>
        </w:rPr>
        <w:t>（三）</w:t>
      </w:r>
      <w:r>
        <w:rPr>
          <w:rFonts w:hint="eastAsia" w:ascii="楷体_GB2312" w:hAnsi="楷体_GB2312" w:eastAsia="楷体_GB2312" w:cs="楷体_GB2312"/>
          <w:lang w:val="en-US" w:eastAsia="zh-CN"/>
        </w:rPr>
        <w:t>下游以场景应用为核心牵引，构建全周期运营服务体系</w:t>
      </w:r>
      <w:bookmarkEnd w:id="242"/>
      <w:bookmarkEnd w:id="243"/>
      <w:bookmarkEnd w:id="244"/>
      <w:bookmarkEnd w:id="245"/>
      <w:bookmarkEnd w:id="246"/>
      <w:bookmarkEnd w:id="247"/>
      <w:bookmarkEnd w:id="248"/>
      <w:bookmarkEnd w:id="249"/>
      <w:bookmarkEnd w:id="250"/>
      <w:bookmarkEnd w:id="251"/>
      <w:bookmarkEnd w:id="252"/>
      <w:bookmarkEnd w:id="253"/>
    </w:p>
    <w:p>
      <w:pPr>
        <w:adjustRightInd/>
        <w:snapToGrid/>
        <w:ind w:firstLine="643"/>
        <w:outlineLvl w:val="9"/>
        <w:rPr>
          <w:rFonts w:hint="eastAsia"/>
          <w:b w:val="0"/>
          <w:bCs w:val="0"/>
        </w:rPr>
      </w:pPr>
      <w:r>
        <w:rPr>
          <w:rFonts w:hint="eastAsia"/>
          <w:b/>
          <w:bCs/>
        </w:rPr>
        <w:t>壮大低空经济应用市场。</w:t>
      </w:r>
      <w:r>
        <w:rPr>
          <w:rFonts w:hint="eastAsia"/>
          <w:b w:val="0"/>
          <w:bCs w:val="0"/>
        </w:rPr>
        <w:t>聚焦海洋牧场、海上风电等优势领域，引进培育综合解决方案供应商，提供巡检、数据采集、智能投喂等一体化服务；培育壮大低空物流运营商，支持文旅企业开发低空观光业态，推动城市治理领域引入第三方服务模式，形成多元主体协同发展的下游产业生态。</w:t>
      </w:r>
    </w:p>
    <w:p>
      <w:pPr>
        <w:adjustRightInd/>
        <w:snapToGrid/>
        <w:ind w:firstLine="643"/>
        <w:outlineLvl w:val="9"/>
        <w:rPr>
          <w:rFonts w:hint="eastAsia"/>
          <w:b w:val="0"/>
          <w:bCs w:val="0"/>
        </w:rPr>
      </w:pPr>
      <w:r>
        <w:rPr>
          <w:rFonts w:hint="eastAsia"/>
          <w:b/>
          <w:bCs/>
        </w:rPr>
        <w:t>强化场景对产业的双向牵引带动。</w:t>
      </w:r>
      <w:r>
        <w:rPr>
          <w:rFonts w:hint="eastAsia"/>
          <w:b w:val="0"/>
          <w:bCs w:val="0"/>
        </w:rPr>
        <w:t>通过集中采购、批量订单方式吸引中游整机集成与关键部件制造企业在汕布局产能，形成本地场景验证、本地生产配套、本地服务保障的产业闭环，建立数据反馈与产品优化机制，推动飞行器平台、任务载荷根据实际作业工况持续改进。</w:t>
      </w:r>
    </w:p>
    <w:p>
      <w:pPr>
        <w:adjustRightInd/>
        <w:snapToGrid/>
        <w:ind w:firstLine="643"/>
        <w:outlineLvl w:val="9"/>
        <w:rPr>
          <w:rFonts w:hint="eastAsia"/>
          <w:b w:val="0"/>
          <w:bCs w:val="0"/>
        </w:rPr>
      </w:pPr>
      <w:r>
        <w:rPr>
          <w:rFonts w:hint="eastAsia"/>
          <w:b/>
          <w:bCs/>
        </w:rPr>
        <w:t>建设高能级检测认证与飞行测试服务平台。</w:t>
      </w:r>
      <w:r>
        <w:rPr>
          <w:rFonts w:hint="eastAsia"/>
          <w:b w:val="0"/>
          <w:bCs w:val="0"/>
        </w:rPr>
        <w:t>加快建设试飞验证测试基地，引进国家级检测认证机构、适航审定中心在汕设立分支机构或联合实验室，提供整机型式试验、环境可靠性测试、适航符合性验证等全链条专业服务，推动与深圳、广州等地检测认证资质互认互通。</w:t>
      </w:r>
    </w:p>
    <w:p>
      <w:pPr>
        <w:adjustRightInd/>
        <w:snapToGrid/>
        <w:ind w:firstLine="643"/>
        <w:outlineLvl w:val="9"/>
        <w:rPr>
          <w:rFonts w:hint="eastAsia"/>
        </w:rPr>
      </w:pPr>
      <w:r>
        <w:rPr>
          <w:rFonts w:hint="eastAsia"/>
          <w:b/>
          <w:bCs/>
        </w:rPr>
        <w:t>发展航空器租赁与金融服务及维修维护保障。</w:t>
      </w:r>
      <w:r>
        <w:rPr>
          <w:rFonts w:hint="eastAsia"/>
          <w:b w:val="0"/>
          <w:bCs w:val="0"/>
        </w:rPr>
        <w:t>鼓励发展专业化通用航空器租赁服务，开发</w:t>
      </w:r>
      <w:r>
        <w:rPr>
          <w:rFonts w:hint="eastAsia"/>
          <w:b w:val="0"/>
          <w:bCs w:val="0"/>
          <w:lang w:eastAsia="zh-CN"/>
        </w:rPr>
        <w:t>“</w:t>
      </w:r>
      <w:r>
        <w:rPr>
          <w:rFonts w:hint="eastAsia"/>
          <w:b w:val="0"/>
          <w:bCs w:val="0"/>
        </w:rPr>
        <w:t>以租代购</w:t>
      </w:r>
      <w:r>
        <w:rPr>
          <w:rFonts w:hint="eastAsia"/>
          <w:b w:val="0"/>
          <w:bCs w:val="0"/>
          <w:lang w:eastAsia="zh-CN"/>
        </w:rPr>
        <w:t>”“</w:t>
      </w:r>
      <w:r>
        <w:rPr>
          <w:rFonts w:hint="eastAsia"/>
          <w:b w:val="0"/>
          <w:bCs w:val="0"/>
        </w:rPr>
        <w:t>售后回租</w:t>
      </w:r>
      <w:r>
        <w:rPr>
          <w:rFonts w:hint="eastAsia"/>
          <w:b w:val="0"/>
          <w:bCs w:val="0"/>
          <w:lang w:eastAsia="zh-CN"/>
        </w:rPr>
        <w:t>”</w:t>
      </w:r>
      <w:r>
        <w:rPr>
          <w:rFonts w:hint="eastAsia"/>
          <w:b w:val="0"/>
          <w:bCs w:val="0"/>
        </w:rPr>
        <w:t>等金融产品，探索将飞行数据、运营收益作为风控和估值依据的创新模式。规划建设区域性无人机维修保养基地，面向工业级无人机及eVTOL提供定检、大修、部件修理服务，承接深圳维修业务外溢，逐步形成覆盖粤东地区的无人机技术保障网络。</w:t>
      </w:r>
    </w:p>
    <w:p>
      <w:pPr>
        <w:adjustRightInd/>
        <w:snapToGrid/>
        <w:ind w:firstLine="643"/>
        <w:outlineLvl w:val="9"/>
        <w:rPr>
          <w:rFonts w:hint="eastAsia"/>
          <w:b w:val="0"/>
          <w:bCs w:val="0"/>
        </w:rPr>
      </w:pPr>
      <w:r>
        <w:rPr>
          <w:rFonts w:hint="eastAsia"/>
          <w:b/>
          <w:bCs/>
          <w:lang w:val="en-US" w:eastAsia="zh-CN"/>
        </w:rPr>
        <w:t>构建</w:t>
      </w:r>
      <w:r>
        <w:rPr>
          <w:rFonts w:hint="eastAsia"/>
          <w:b/>
          <w:bCs/>
        </w:rPr>
        <w:t>会展赛事与文化交流平台。</w:t>
      </w:r>
      <w:r>
        <w:rPr>
          <w:rFonts w:hint="eastAsia"/>
          <w:b w:val="0"/>
          <w:bCs w:val="0"/>
        </w:rPr>
        <w:t>打造具有区域影响力的低空经济专业会展品牌，策划举办无人机竞速、航拍创作、航空模型等公众参与度高的赛事与文化活动，普及航空知识，培育</w:t>
      </w:r>
      <w:r>
        <w:rPr>
          <w:rFonts w:hint="eastAsia"/>
          <w:b w:val="0"/>
          <w:bCs w:val="0"/>
          <w:lang w:val="en-US" w:eastAsia="zh-CN"/>
        </w:rPr>
        <w:t>低空</w:t>
      </w:r>
      <w:r>
        <w:rPr>
          <w:rFonts w:hint="eastAsia"/>
          <w:b w:val="0"/>
          <w:bCs w:val="0"/>
        </w:rPr>
        <w:t>消费市场，营造</w:t>
      </w:r>
      <w:r>
        <w:rPr>
          <w:rFonts w:hint="eastAsia"/>
          <w:b w:val="0"/>
          <w:bCs w:val="0"/>
          <w:lang w:val="en-US" w:eastAsia="zh-CN"/>
        </w:rPr>
        <w:t>良好</w:t>
      </w:r>
      <w:r>
        <w:rPr>
          <w:rFonts w:hint="eastAsia"/>
          <w:b w:val="0"/>
          <w:bCs w:val="0"/>
        </w:rPr>
        <w:t>产业文化氛围。</w:t>
      </w:r>
    </w:p>
    <w:p>
      <w:pPr>
        <w:adjustRightInd/>
        <w:snapToGrid/>
        <w:ind w:firstLine="0"/>
        <w:outlineLvl w:val="9"/>
        <w:rPr>
          <w:rFonts w:hint="eastAsia"/>
        </w:rPr>
      </w:pPr>
      <w:r>
        <w:rPr>
          <w:rFonts w:hint="eastAsia"/>
          <w:b/>
          <w:bCs/>
          <w:lang w:val="en-US" w:eastAsia="zh-CN"/>
        </w:rPr>
        <w:t>完善</w:t>
      </w:r>
      <w:r>
        <w:rPr>
          <w:rFonts w:hint="eastAsia"/>
          <w:b/>
          <w:bCs/>
        </w:rPr>
        <w:t>保险与法律咨询服务。</w:t>
      </w:r>
      <w:r>
        <w:rPr>
          <w:rFonts w:hint="eastAsia"/>
          <w:b w:val="0"/>
          <w:bCs w:val="0"/>
        </w:rPr>
        <w:t>引导保险机构设计覆盖</w:t>
      </w:r>
      <w:r>
        <w:rPr>
          <w:rFonts w:hint="eastAsia"/>
        </w:rPr>
        <w:t>低空研发试验、生产制造、飞行运营、基建配套等全产业链</w:t>
      </w:r>
      <w:r>
        <w:rPr>
          <w:rFonts w:hint="eastAsia"/>
          <w:b w:val="0"/>
          <w:bCs w:val="0"/>
        </w:rPr>
        <w:t>的综合性保险</w:t>
      </w:r>
      <w:r>
        <w:rPr>
          <w:rFonts w:hint="eastAsia"/>
          <w:b w:val="0"/>
          <w:bCs w:val="0"/>
          <w:lang w:val="en-US" w:eastAsia="zh-CN"/>
        </w:rPr>
        <w:t>产品体系</w:t>
      </w:r>
      <w:r>
        <w:rPr>
          <w:rFonts w:hint="eastAsia"/>
          <w:b w:val="0"/>
          <w:bCs w:val="0"/>
          <w:lang w:eastAsia="zh-CN"/>
        </w:rPr>
        <w:t>，</w:t>
      </w:r>
      <w:r>
        <w:rPr>
          <w:rFonts w:hint="eastAsia"/>
        </w:rPr>
        <w:t>面向</w:t>
      </w:r>
      <w:r>
        <w:rPr>
          <w:rFonts w:hint="eastAsia"/>
          <w:lang w:val="en-US" w:eastAsia="zh-CN"/>
        </w:rPr>
        <w:t>不同场景</w:t>
      </w:r>
      <w:r>
        <w:rPr>
          <w:rFonts w:hint="eastAsia"/>
        </w:rPr>
        <w:t>提供针对性保险保障</w:t>
      </w:r>
      <w:r>
        <w:rPr>
          <w:rFonts w:hint="eastAsia"/>
          <w:lang w:eastAsia="zh-CN"/>
        </w:rPr>
        <w:t>。</w:t>
      </w:r>
      <w:r>
        <w:rPr>
          <w:rFonts w:hint="eastAsia"/>
        </w:rPr>
        <w:t>探索对低空飞行安全、技术安全、网络与数据安全、环境与设施安全以及人为操作安全等低空新型风险保障的产品开发和服务创新。</w:t>
      </w:r>
      <w:r>
        <w:rPr>
          <w:rFonts w:hint="eastAsia"/>
          <w:b w:val="0"/>
          <w:bCs w:val="0"/>
          <w:lang w:val="en-US" w:eastAsia="zh-CN"/>
        </w:rPr>
        <w:t>鼓励专业服务机构拓展</w:t>
      </w:r>
      <w:r>
        <w:rPr>
          <w:rFonts w:hint="eastAsia"/>
          <w:b w:val="0"/>
          <w:bCs w:val="0"/>
        </w:rPr>
        <w:t>低空经济领域的法律咨询、知识产权等专业服务，保障产业健康发展。</w:t>
      </w:r>
    </w:p>
    <w:bookmarkEnd w:id="254"/>
    <w:p>
      <w:pPr>
        <w:adjustRightInd w:val="0"/>
        <w:snapToGrid w:val="0"/>
        <w:ind w:firstLine="640"/>
        <w:outlineLvl w:val="0"/>
        <w:rPr>
          <w:rFonts w:hint="eastAsia" w:ascii="黑体" w:hAnsi="黑体" w:eastAsia="黑体" w:cs="黑体"/>
        </w:rPr>
      </w:pPr>
      <w:bookmarkStart w:id="255" w:name="_Toc21746"/>
      <w:bookmarkStart w:id="256" w:name="_Toc31516"/>
      <w:bookmarkStart w:id="257" w:name="_Toc24928"/>
      <w:bookmarkStart w:id="258" w:name="_Toc13894"/>
      <w:bookmarkStart w:id="259" w:name="_Toc4753"/>
      <w:bookmarkStart w:id="260" w:name="_Toc11432"/>
      <w:bookmarkStart w:id="261" w:name="_Toc22022"/>
      <w:bookmarkStart w:id="262" w:name="_Toc2820"/>
      <w:bookmarkStart w:id="263" w:name="_Toc31381"/>
      <w:bookmarkStart w:id="264" w:name="_Toc32210"/>
      <w:bookmarkStart w:id="265" w:name="_Toc12262"/>
      <w:bookmarkStart w:id="266" w:name="_Toc23087"/>
      <w:r>
        <w:rPr>
          <w:rFonts w:hint="eastAsia" w:ascii="黑体" w:hAnsi="黑体" w:eastAsia="黑体" w:cs="黑体"/>
          <w:lang w:val="en-US" w:eastAsia="zh-CN"/>
        </w:rPr>
        <w:t>五</w:t>
      </w:r>
      <w:bookmarkEnd w:id="207"/>
      <w:bookmarkEnd w:id="208"/>
      <w:bookmarkEnd w:id="209"/>
      <w:bookmarkEnd w:id="210"/>
      <w:bookmarkEnd w:id="211"/>
      <w:bookmarkEnd w:id="212"/>
      <w:bookmarkEnd w:id="213"/>
      <w:bookmarkEnd w:id="214"/>
      <w:r>
        <w:rPr>
          <w:rFonts w:hint="eastAsia" w:ascii="黑体" w:hAnsi="黑体" w:eastAsia="黑体" w:cs="黑体"/>
          <w:lang w:eastAsia="zh-CN"/>
        </w:rPr>
        <w:t>、</w:t>
      </w:r>
      <w:r>
        <w:rPr>
          <w:rFonts w:hint="eastAsia" w:ascii="黑体" w:hAnsi="黑体" w:eastAsia="黑体" w:cs="黑体"/>
        </w:rPr>
        <w:t>重点任务</w:t>
      </w:r>
      <w:bookmarkEnd w:id="215"/>
      <w:bookmarkEnd w:id="255"/>
      <w:bookmarkEnd w:id="256"/>
      <w:bookmarkEnd w:id="257"/>
      <w:bookmarkEnd w:id="258"/>
      <w:bookmarkEnd w:id="259"/>
      <w:bookmarkEnd w:id="260"/>
      <w:bookmarkEnd w:id="261"/>
      <w:bookmarkEnd w:id="262"/>
      <w:bookmarkEnd w:id="263"/>
      <w:bookmarkEnd w:id="264"/>
      <w:bookmarkEnd w:id="265"/>
      <w:bookmarkEnd w:id="266"/>
    </w:p>
    <w:p>
      <w:pPr>
        <w:keepNext/>
        <w:ind w:firstLine="640"/>
        <w:outlineLvl w:val="1"/>
        <w:rPr>
          <w:rFonts w:hint="eastAsia" w:ascii="楷体_GB2312" w:hAnsi="楷体_GB2312" w:eastAsia="楷体_GB2312" w:cs="楷体_GB2312"/>
          <w:highlight w:val="none"/>
        </w:rPr>
      </w:pPr>
      <w:bookmarkStart w:id="267" w:name="_Toc16280"/>
      <w:bookmarkStart w:id="268" w:name="_Toc30686"/>
      <w:bookmarkStart w:id="269" w:name="_Toc20943"/>
      <w:bookmarkStart w:id="270" w:name="_Toc4637"/>
      <w:bookmarkStart w:id="271" w:name="_Toc12317"/>
      <w:bookmarkStart w:id="272" w:name="_Toc1260"/>
      <w:bookmarkStart w:id="273" w:name="_Toc24021"/>
      <w:bookmarkStart w:id="274" w:name="_Toc14873"/>
      <w:bookmarkStart w:id="275" w:name="_Toc20944"/>
      <w:bookmarkStart w:id="276" w:name="_Toc10688"/>
      <w:bookmarkStart w:id="277" w:name="_Toc24610"/>
      <w:bookmarkStart w:id="278" w:name="_Toc25531"/>
      <w:bookmarkStart w:id="279" w:name="_Toc5501"/>
      <w:bookmarkStart w:id="280" w:name="_Hlk217664353"/>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lang w:val="en-US" w:eastAsia="zh-CN"/>
        </w:rPr>
        <w:t>一</w:t>
      </w:r>
      <w:r>
        <w:rPr>
          <w:rFonts w:hint="eastAsia" w:ascii="楷体_GB2312" w:hAnsi="楷体_GB2312" w:eastAsia="楷体_GB2312" w:cs="楷体_GB2312"/>
          <w:highlight w:val="none"/>
          <w:lang w:eastAsia="zh-CN"/>
        </w:rPr>
        <w:t>）</w:t>
      </w:r>
      <w:r>
        <w:rPr>
          <w:rFonts w:hint="eastAsia" w:ascii="楷体_GB2312" w:hAnsi="楷体_GB2312" w:eastAsia="楷体_GB2312" w:cs="楷体_GB2312"/>
          <w:highlight w:val="none"/>
        </w:rPr>
        <w:t>拓展融合场景，培育</w:t>
      </w:r>
      <w:r>
        <w:rPr>
          <w:rFonts w:hint="eastAsia" w:ascii="楷体_GB2312" w:hAnsi="楷体_GB2312" w:eastAsia="楷体_GB2312" w:cs="楷体_GB2312"/>
          <w:highlight w:val="none"/>
        </w:rPr>
        <w:t>低空</w:t>
      </w:r>
      <w:r>
        <w:rPr>
          <w:rFonts w:hint="eastAsia" w:ascii="楷体_GB2312" w:hAnsi="楷体_GB2312" w:eastAsia="楷体_GB2312" w:cs="楷体_GB2312"/>
          <w:highlight w:val="none"/>
          <w:lang w:val="en-US" w:eastAsia="zh-CN"/>
        </w:rPr>
        <w:t>新</w:t>
      </w:r>
      <w:r>
        <w:rPr>
          <w:rFonts w:hint="eastAsia" w:ascii="楷体_GB2312" w:hAnsi="楷体_GB2312" w:eastAsia="楷体_GB2312" w:cs="楷体_GB2312"/>
          <w:highlight w:val="none"/>
        </w:rPr>
        <w:t>业态新模式</w:t>
      </w:r>
      <w:bookmarkEnd w:id="267"/>
      <w:bookmarkEnd w:id="268"/>
      <w:bookmarkEnd w:id="269"/>
      <w:bookmarkEnd w:id="270"/>
      <w:bookmarkEnd w:id="271"/>
      <w:bookmarkEnd w:id="272"/>
    </w:p>
    <w:p>
      <w:pPr>
        <w:ind w:firstLine="640"/>
        <w:rPr>
          <w:rFonts w:hint="eastAsia"/>
        </w:rPr>
      </w:pPr>
      <w:r>
        <w:rPr>
          <w:rFonts w:hint="eastAsia"/>
          <w:b w:val="0"/>
          <w:bCs w:val="0"/>
        </w:rPr>
        <w:t>坚持以场景应用牵引产业发展，构建以“低空+海洋”为核心、覆盖物流、文旅、应急、农业、公共服务等领域的“1+N”应用体系。</w:t>
      </w:r>
    </w:p>
    <w:p>
      <w:pPr>
        <w:ind w:firstLine="640"/>
        <w:rPr>
          <w:rFonts w:hint="eastAsia"/>
          <w:b w:val="0"/>
          <w:bCs w:val="0"/>
        </w:rPr>
      </w:pPr>
      <w:r>
        <w:rPr>
          <w:rFonts w:hint="eastAsia"/>
          <w:b/>
          <w:bCs/>
        </w:rPr>
        <w:t>全力突破</w:t>
      </w:r>
      <w:r>
        <w:rPr>
          <w:rFonts w:hint="eastAsia"/>
          <w:b/>
          <w:bCs/>
          <w:lang w:eastAsia="zh-CN"/>
        </w:rPr>
        <w:t>“</w:t>
      </w:r>
      <w:r>
        <w:rPr>
          <w:rFonts w:hint="eastAsia"/>
          <w:b/>
          <w:bCs/>
        </w:rPr>
        <w:t>低空+海洋经济</w:t>
      </w:r>
      <w:r>
        <w:rPr>
          <w:rFonts w:hint="eastAsia"/>
          <w:b/>
          <w:bCs/>
          <w:lang w:eastAsia="zh-CN"/>
        </w:rPr>
        <w:t>”</w:t>
      </w:r>
      <w:r>
        <w:rPr>
          <w:rFonts w:hint="eastAsia"/>
          <w:b/>
          <w:bCs/>
        </w:rPr>
        <w:t>两大核心场景。</w:t>
      </w:r>
      <w:r>
        <w:rPr>
          <w:rFonts w:hint="eastAsia"/>
          <w:b w:val="0"/>
          <w:bCs w:val="0"/>
        </w:rPr>
        <w:t>聚焦海上风电与海洋牧场两大产业集群，针对深远海风电场巡检难度大、成本高、窗口期短等痛点，支持低空飞行器开展风机叶片巡检、升压站监测、海底电缆巡线等常态化作业，建立运维服务标准与作业规范；构建</w:t>
      </w:r>
      <w:r>
        <w:rPr>
          <w:rFonts w:hint="eastAsia"/>
          <w:b w:val="0"/>
          <w:bCs w:val="0"/>
          <w:lang w:eastAsia="zh-CN"/>
        </w:rPr>
        <w:t>“</w:t>
      </w:r>
      <w:r>
        <w:rPr>
          <w:rFonts w:hint="eastAsia"/>
          <w:b w:val="0"/>
          <w:bCs w:val="0"/>
        </w:rPr>
        <w:t>无人机近海巡查+无人船水面巡航+水下机器人探测</w:t>
      </w:r>
      <w:r>
        <w:rPr>
          <w:rFonts w:hint="eastAsia"/>
          <w:b w:val="0"/>
          <w:bCs w:val="0"/>
          <w:lang w:eastAsia="zh-CN"/>
        </w:rPr>
        <w:t>”</w:t>
      </w:r>
      <w:r>
        <w:rPr>
          <w:rFonts w:hint="eastAsia"/>
          <w:b w:val="0"/>
          <w:bCs w:val="0"/>
        </w:rPr>
        <w:t>空海一体立体监管网络，重点开展网箱巡检、鱼群监测、饵料精准投喂等低空应用，建设海洋牧场低空遥感监测数据平台。</w:t>
      </w:r>
    </w:p>
    <w:p>
      <w:pPr>
        <w:ind w:firstLine="640"/>
        <w:rPr>
          <w:rFonts w:hint="eastAsia"/>
          <w:b/>
          <w:bCs/>
        </w:rPr>
      </w:pPr>
      <w:r>
        <w:rPr>
          <w:rFonts w:hint="eastAsia"/>
          <w:b/>
          <w:bCs/>
        </w:rPr>
        <w:t>积极发展</w:t>
      </w:r>
      <w:r>
        <w:rPr>
          <w:rFonts w:hint="eastAsia"/>
          <w:b/>
          <w:bCs/>
          <w:lang w:eastAsia="zh-CN"/>
        </w:rPr>
        <w:t>“</w:t>
      </w:r>
      <w:r>
        <w:rPr>
          <w:rFonts w:hint="eastAsia"/>
          <w:b/>
          <w:bCs/>
        </w:rPr>
        <w:t>低空+物流</w:t>
      </w:r>
      <w:r>
        <w:rPr>
          <w:rFonts w:hint="eastAsia"/>
          <w:b/>
          <w:bCs/>
          <w:lang w:eastAsia="zh-CN"/>
        </w:rPr>
        <w:t>”</w:t>
      </w:r>
      <w:r>
        <w:rPr>
          <w:rFonts w:hint="eastAsia"/>
          <w:b/>
          <w:bCs/>
        </w:rPr>
        <w:t>，构建粤东低空物流走廊。</w:t>
      </w:r>
      <w:r>
        <w:rPr>
          <w:rFonts w:hint="eastAsia"/>
          <w:b w:val="0"/>
          <w:bCs w:val="0"/>
        </w:rPr>
        <w:t>依托汕尾海洋资源和特色产业基础，构建</w:t>
      </w:r>
      <w:r>
        <w:rPr>
          <w:rFonts w:hint="eastAsia"/>
          <w:b w:val="0"/>
          <w:bCs w:val="0"/>
          <w:lang w:eastAsia="zh-CN"/>
        </w:rPr>
        <w:t>“</w:t>
      </w:r>
      <w:r>
        <w:rPr>
          <w:rFonts w:hint="eastAsia"/>
          <w:b w:val="0"/>
          <w:bCs w:val="0"/>
        </w:rPr>
        <w:t>干线—支线—末端</w:t>
      </w:r>
      <w:r>
        <w:rPr>
          <w:rFonts w:hint="eastAsia"/>
          <w:b w:val="0"/>
          <w:bCs w:val="0"/>
          <w:lang w:eastAsia="zh-CN"/>
        </w:rPr>
        <w:t>”</w:t>
      </w:r>
      <w:r>
        <w:rPr>
          <w:rFonts w:hint="eastAsia"/>
          <w:b w:val="0"/>
          <w:bCs w:val="0"/>
        </w:rPr>
        <w:t>三级低空物流网络，布局珠宝、水产品冷链等特色配送专线，规划建设市级低空物流集散中心，推动与汕尾港等地面枢纽衔接。支持邮政、快递企业与低空运营主体合作，探索开通汕尾至揭阳、汕头的城际货运航线，加快构建百公斤级低空物流运输体系。</w:t>
      </w:r>
    </w:p>
    <w:p>
      <w:pPr>
        <w:ind w:firstLine="640"/>
        <w:rPr>
          <w:rFonts w:hint="eastAsia"/>
          <w:b w:val="0"/>
          <w:bCs w:val="0"/>
        </w:rPr>
      </w:pPr>
      <w:r>
        <w:rPr>
          <w:rFonts w:hint="eastAsia"/>
          <w:b/>
          <w:bCs/>
        </w:rPr>
        <w:t>创新开发</w:t>
      </w:r>
      <w:r>
        <w:rPr>
          <w:rFonts w:hint="eastAsia"/>
          <w:b/>
          <w:bCs/>
          <w:lang w:eastAsia="zh-CN"/>
        </w:rPr>
        <w:t>“</w:t>
      </w:r>
      <w:r>
        <w:rPr>
          <w:rFonts w:hint="eastAsia"/>
          <w:b/>
          <w:bCs/>
        </w:rPr>
        <w:t>低空+文旅</w:t>
      </w:r>
      <w:r>
        <w:rPr>
          <w:rFonts w:hint="eastAsia"/>
          <w:b/>
          <w:bCs/>
          <w:lang w:eastAsia="zh-CN"/>
        </w:rPr>
        <w:t>”</w:t>
      </w:r>
      <w:r>
        <w:rPr>
          <w:rFonts w:hint="eastAsia"/>
          <w:b/>
          <w:bCs/>
        </w:rPr>
        <w:t>，打造滨海低空休闲旅游目的地。</w:t>
      </w:r>
      <w:r>
        <w:rPr>
          <w:rFonts w:hint="eastAsia"/>
          <w:b w:val="0"/>
          <w:bCs w:val="0"/>
        </w:rPr>
        <w:t>开发直升机、载人无人机低空观光航线，结合红色文化、水乡民俗、山地生态等特色资源设计差异化主题游览线路。鼓励景区建设飞行营地，引入热气球、动力伞、FPV无人机竞速等体验项目。在重大节庆活动期间组织无人机编队光影秀，深化与大湾区城市合作探索开通跨区域旅游航线。</w:t>
      </w:r>
    </w:p>
    <w:p>
      <w:pPr>
        <w:ind w:firstLine="640"/>
        <w:rPr>
          <w:rFonts w:hint="eastAsia"/>
          <w:b/>
          <w:bCs/>
        </w:rPr>
      </w:pPr>
      <w:r>
        <w:rPr>
          <w:rFonts w:hint="eastAsia"/>
          <w:b/>
          <w:bCs/>
        </w:rPr>
        <w:t>深化推广</w:t>
      </w:r>
      <w:r>
        <w:rPr>
          <w:rFonts w:hint="eastAsia"/>
          <w:b/>
          <w:bCs/>
          <w:lang w:eastAsia="zh-CN"/>
        </w:rPr>
        <w:t>“</w:t>
      </w:r>
      <w:r>
        <w:rPr>
          <w:rFonts w:hint="eastAsia"/>
          <w:b/>
          <w:bCs/>
        </w:rPr>
        <w:t>低空+应急与公共服务</w:t>
      </w:r>
      <w:r>
        <w:rPr>
          <w:rFonts w:hint="eastAsia"/>
          <w:b/>
          <w:bCs/>
          <w:lang w:eastAsia="zh-CN"/>
        </w:rPr>
        <w:t>”</w:t>
      </w:r>
      <w:r>
        <w:rPr>
          <w:rFonts w:hint="eastAsia"/>
          <w:b/>
          <w:bCs/>
        </w:rPr>
        <w:t>，提升城市治理效能。</w:t>
      </w:r>
      <w:r>
        <w:rPr>
          <w:rFonts w:hint="eastAsia"/>
          <w:b w:val="0"/>
          <w:bCs w:val="0"/>
        </w:rPr>
        <w:t>将低空飞行器纳入全市应急管理和公共服务体系，探索开通</w:t>
      </w:r>
      <w:r>
        <w:rPr>
          <w:rFonts w:hint="eastAsia"/>
          <w:b w:val="0"/>
          <w:bCs w:val="0"/>
          <w:lang w:eastAsia="zh-CN"/>
        </w:rPr>
        <w:t>“</w:t>
      </w:r>
      <w:r>
        <w:rPr>
          <w:rFonts w:hint="eastAsia"/>
          <w:b w:val="0"/>
          <w:bCs w:val="0"/>
        </w:rPr>
        <w:t>空中120</w:t>
      </w:r>
      <w:r>
        <w:rPr>
          <w:rFonts w:hint="eastAsia"/>
          <w:b w:val="0"/>
          <w:bCs w:val="0"/>
          <w:lang w:eastAsia="zh-CN"/>
        </w:rPr>
        <w:t>”</w:t>
      </w:r>
      <w:r>
        <w:rPr>
          <w:rFonts w:hint="eastAsia"/>
          <w:b w:val="0"/>
          <w:bCs w:val="0"/>
        </w:rPr>
        <w:t>医疗救援航线，建立市级政务无人机共享调度平台，推行</w:t>
      </w:r>
      <w:r>
        <w:rPr>
          <w:rFonts w:hint="eastAsia"/>
          <w:b w:val="0"/>
          <w:bCs w:val="0"/>
          <w:lang w:eastAsia="zh-CN"/>
        </w:rPr>
        <w:t>“</w:t>
      </w:r>
      <w:r>
        <w:rPr>
          <w:rFonts w:hint="eastAsia"/>
          <w:b w:val="0"/>
          <w:bCs w:val="0"/>
        </w:rPr>
        <w:t>一机多用、数据共享</w:t>
      </w:r>
      <w:r>
        <w:rPr>
          <w:rFonts w:hint="eastAsia"/>
          <w:b w:val="0"/>
          <w:bCs w:val="0"/>
          <w:lang w:eastAsia="zh-CN"/>
        </w:rPr>
        <w:t>”</w:t>
      </w:r>
      <w:r>
        <w:rPr>
          <w:rFonts w:hint="eastAsia"/>
          <w:b w:val="0"/>
          <w:bCs w:val="0"/>
        </w:rPr>
        <w:t>模式。充分应用</w:t>
      </w:r>
      <w:r>
        <w:rPr>
          <w:rFonts w:hint="eastAsia"/>
          <w:b w:val="0"/>
          <w:bCs w:val="0"/>
          <w:lang w:eastAsia="zh-CN"/>
        </w:rPr>
        <w:t>“</w:t>
      </w:r>
      <w:r>
        <w:rPr>
          <w:rFonts w:hint="eastAsia"/>
          <w:b w:val="0"/>
          <w:bCs w:val="0"/>
        </w:rPr>
        <w:t>百千万工程</w:t>
      </w:r>
      <w:r>
        <w:rPr>
          <w:rFonts w:hint="eastAsia"/>
          <w:b w:val="0"/>
          <w:bCs w:val="0"/>
          <w:lang w:eastAsia="zh-CN"/>
        </w:rPr>
        <w:t>”</w:t>
      </w:r>
      <w:r>
        <w:rPr>
          <w:rFonts w:hint="eastAsia"/>
          <w:b w:val="0"/>
          <w:bCs w:val="0"/>
        </w:rPr>
        <w:t>机库无人机资源，</w:t>
      </w:r>
      <w:r>
        <w:rPr>
          <w:rFonts w:hint="eastAsia" w:cs="Times New Roman"/>
        </w:rPr>
        <w:t>稳步拓展政务领域无人机应用场景</w:t>
      </w:r>
      <w:r>
        <w:rPr>
          <w:rFonts w:hint="eastAsia"/>
          <w:b w:val="0"/>
          <w:bCs w:val="0"/>
        </w:rPr>
        <w:t>。</w:t>
      </w:r>
    </w:p>
    <w:p>
      <w:pPr>
        <w:ind w:firstLine="640"/>
        <w:rPr>
          <w:rFonts w:hint="eastAsia"/>
          <w:b w:val="0"/>
          <w:bCs w:val="0"/>
        </w:rPr>
      </w:pPr>
      <w:r>
        <w:rPr>
          <w:rFonts w:hint="eastAsia"/>
          <w:b/>
          <w:bCs/>
        </w:rPr>
        <w:t>拓展</w:t>
      </w:r>
      <w:r>
        <w:rPr>
          <w:rFonts w:hint="eastAsia"/>
          <w:b/>
          <w:bCs/>
          <w:lang w:eastAsia="zh-CN"/>
        </w:rPr>
        <w:t>“</w:t>
      </w:r>
      <w:r>
        <w:rPr>
          <w:rFonts w:hint="eastAsia"/>
          <w:b/>
          <w:bCs/>
        </w:rPr>
        <w:t>低空+智慧农业</w:t>
      </w:r>
      <w:r>
        <w:rPr>
          <w:rFonts w:hint="eastAsia"/>
          <w:b/>
          <w:bCs/>
          <w:lang w:eastAsia="zh-CN"/>
        </w:rPr>
        <w:t>”</w:t>
      </w:r>
      <w:r>
        <w:rPr>
          <w:rFonts w:hint="eastAsia"/>
          <w:b/>
          <w:bCs/>
        </w:rPr>
        <w:t>，助力乡村振兴发展。</w:t>
      </w:r>
      <w:r>
        <w:rPr>
          <w:rFonts w:hint="eastAsia"/>
          <w:b w:val="0"/>
          <w:bCs w:val="0"/>
        </w:rPr>
        <w:t>拓展无人机在农田测绘、作物监测、精准植保、种苗运输等环节应用，推进农产品无人机短途运输试点，运用无人机开展农业保险查勘、耕地保护监测等监管服务，</w:t>
      </w:r>
      <w:r>
        <w:rPr>
          <w:rFonts w:hint="eastAsia" w:cs="Times New Roman"/>
          <w:szCs w:val="24"/>
          <w:lang w:val="en-US" w:eastAsia="zh-CN"/>
          <w14:ligatures w14:val="standardContextual"/>
        </w:rPr>
        <w:t>推动</w:t>
      </w:r>
      <w:r>
        <w:rPr>
          <w:rFonts w:hint="eastAsia" w:cs="Times New Roman"/>
          <w:szCs w:val="24"/>
          <w14:ligatures w14:val="standardContextual"/>
        </w:rPr>
        <w:t>形成覆盖农业生产、流通、监管的低空应用模式</w:t>
      </w:r>
      <w:r>
        <w:rPr>
          <w:rFonts w:hint="eastAsia"/>
          <w:b w:val="0"/>
          <w:bCs w:val="0"/>
        </w:rPr>
        <w:t>。</w:t>
      </w:r>
    </w:p>
    <w:p>
      <w:pPr>
        <w:ind w:firstLine="640"/>
        <w:rPr>
          <w:rFonts w:hint="eastAsia"/>
          <w:b w:val="0"/>
          <w:bCs w:val="0"/>
        </w:rPr>
      </w:pPr>
      <w:r>
        <w:rPr>
          <w:rFonts w:hint="eastAsia"/>
          <w:b/>
          <w:bCs/>
        </w:rPr>
        <w:t>拓展湾区协同场景。</w:t>
      </w:r>
      <w:r>
        <w:rPr>
          <w:rFonts w:hint="eastAsia"/>
          <w:b w:val="0"/>
          <w:bCs w:val="0"/>
        </w:rPr>
        <w:t>主动对接深圳、惠州低空物流规划，探索开通深汕高附加值产品</w:t>
      </w:r>
      <w:r>
        <w:rPr>
          <w:rFonts w:hint="eastAsia"/>
          <w:b w:val="0"/>
          <w:bCs w:val="0"/>
          <w:lang w:eastAsia="zh-CN"/>
        </w:rPr>
        <w:t>“</w:t>
      </w:r>
      <w:r>
        <w:rPr>
          <w:rFonts w:hint="eastAsia"/>
          <w:b w:val="0"/>
          <w:bCs w:val="0"/>
        </w:rPr>
        <w:t>即飞即达</w:t>
      </w:r>
      <w:r>
        <w:rPr>
          <w:rFonts w:hint="eastAsia"/>
          <w:b w:val="0"/>
          <w:bCs w:val="0"/>
          <w:lang w:eastAsia="zh-CN"/>
        </w:rPr>
        <w:t>”</w:t>
      </w:r>
      <w:r>
        <w:rPr>
          <w:rFonts w:hint="eastAsia"/>
          <w:b w:val="0"/>
          <w:bCs w:val="0"/>
        </w:rPr>
        <w:t>专线</w:t>
      </w:r>
      <w:r>
        <w:rPr>
          <w:rFonts w:hint="eastAsia"/>
          <w:b w:val="0"/>
          <w:bCs w:val="0"/>
          <w:lang w:eastAsia="zh-CN"/>
        </w:rPr>
        <w:t>，</w:t>
      </w:r>
      <w:r>
        <w:rPr>
          <w:rFonts w:hint="eastAsia"/>
          <w:b w:val="0"/>
          <w:bCs w:val="0"/>
        </w:rPr>
        <w:t>推动与深圳宝安、前海等低空起降设施互联互通；探索开通汕尾至深圳大鹏、惠州巽寮湾等跨区域滨海旅游航线；探索建立深汕惠三地低空应急联动响应机制，推动数据共享与协同巡查。</w:t>
      </w:r>
    </w:p>
    <w:p>
      <w:pPr>
        <w:ind w:firstLine="640"/>
        <w:rPr>
          <w:rFonts w:hint="eastAsia" w:eastAsia="仿宋_GB2312"/>
          <w:b w:val="0"/>
          <w:bCs w:val="0"/>
          <w:lang w:eastAsia="zh-CN"/>
        </w:rPr>
      </w:pPr>
      <w:r>
        <w:rPr>
          <w:rFonts w:hint="eastAsia" w:cs="Times New Roman"/>
          <w:b/>
          <w:bCs/>
          <w:szCs w:val="24"/>
          <w14:ligatures w14:val="standardContextual"/>
        </w:rPr>
        <w:t>健全“低空+”场景融合发展保障机制</w:t>
      </w:r>
      <w:r>
        <w:rPr>
          <w:rFonts w:hint="eastAsia" w:cs="Times New Roman"/>
          <w:b/>
          <w:bCs/>
          <w:szCs w:val="24"/>
          <w:lang w:eastAsia="zh-CN"/>
          <w14:ligatures w14:val="standardContextual"/>
        </w:rPr>
        <w:t>。</w:t>
      </w:r>
      <w:r>
        <w:rPr>
          <w:rFonts w:hint="eastAsia" w:cs="Times New Roman"/>
          <w:b w:val="0"/>
          <w:bCs w:val="0"/>
          <w:szCs w:val="24"/>
          <w:lang w:eastAsia="zh-CN"/>
          <w14:ligatures w14:val="standardContextual"/>
        </w:rPr>
        <w:t>成立场景开发专项工作组，定期发布场景机会清单。完善市场化定价模式，逐步提升市场化运营收入比重。设立低空经济场景验证与示范应用引导资金，支持市场主体开展商业模式探索、技术集成创新和应用场景推广。建立低空应用场景动态监测与评估指标体系，围绕飞行架次、服务覆盖等维度开展年度评价。</w:t>
      </w:r>
    </w:p>
    <w:p>
      <w:pPr>
        <w:keepNext/>
        <w:keepLines w:val="0"/>
        <w:ind w:firstLine="640"/>
        <w:outlineLvl w:val="1"/>
        <w:rPr>
          <w:rFonts w:hint="eastAsia" w:ascii="楷体_GB2312" w:hAnsi="楷体_GB2312" w:eastAsia="楷体_GB2312" w:cs="楷体_GB2312"/>
        </w:rPr>
      </w:pPr>
      <w:bookmarkStart w:id="281" w:name="_Toc20992"/>
      <w:bookmarkStart w:id="282" w:name="_Toc5827"/>
      <w:bookmarkStart w:id="283" w:name="_Toc26326"/>
      <w:bookmarkStart w:id="284" w:name="_Toc1207"/>
      <w:bookmarkStart w:id="285" w:name="_Toc26419"/>
      <w:bookmarkStart w:id="286" w:name="_Toc9115"/>
      <w:bookmarkStart w:id="287" w:name="OLE_LINK84"/>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筑强产业内核，打造协同制造</w:t>
      </w:r>
      <w:r>
        <w:rPr>
          <w:rFonts w:hint="eastAsia" w:ascii="楷体_GB2312" w:hAnsi="楷体_GB2312" w:eastAsia="楷体_GB2312" w:cs="楷体_GB2312"/>
          <w:lang w:val="en-US" w:eastAsia="zh-CN"/>
        </w:rPr>
        <w:t>服务</w:t>
      </w:r>
      <w:r>
        <w:rPr>
          <w:rFonts w:hint="eastAsia" w:ascii="楷体_GB2312" w:hAnsi="楷体_GB2312" w:eastAsia="楷体_GB2312" w:cs="楷体_GB2312"/>
        </w:rPr>
        <w:t>高地</w:t>
      </w:r>
      <w:bookmarkEnd w:id="273"/>
      <w:bookmarkEnd w:id="274"/>
      <w:bookmarkEnd w:id="275"/>
      <w:bookmarkEnd w:id="276"/>
      <w:bookmarkEnd w:id="277"/>
      <w:bookmarkEnd w:id="278"/>
      <w:bookmarkEnd w:id="279"/>
      <w:bookmarkEnd w:id="281"/>
      <w:bookmarkEnd w:id="282"/>
      <w:bookmarkEnd w:id="283"/>
      <w:bookmarkEnd w:id="284"/>
      <w:bookmarkEnd w:id="285"/>
      <w:bookmarkEnd w:id="286"/>
    </w:p>
    <w:bookmarkEnd w:id="280"/>
    <w:p>
      <w:pPr>
        <w:bidi w:val="0"/>
        <w:rPr>
          <w:rFonts w:hint="eastAsia" w:eastAsia="仿宋_GB2312"/>
          <w:lang w:eastAsia="zh-CN"/>
        </w:rPr>
      </w:pPr>
      <w:bookmarkStart w:id="288" w:name="OLE_LINK10"/>
      <w:r>
        <w:rPr>
          <w:rFonts w:hint="eastAsia"/>
          <w:b/>
          <w:bCs/>
        </w:rPr>
        <w:t>培育壮大优质市场主体。</w:t>
      </w:r>
      <w:r>
        <w:rPr>
          <w:rFonts w:hint="eastAsia"/>
        </w:rPr>
        <w:t>实施“引育并举、梯度发展”策略，围绕无人机整机制造、关键零部件、低空运营服务等环节开展精准招商，推动链主企业、核心配套企业和“专精特新”企业加快集聚。支持本地企业开展技术改造、兼并重组和梯度培育，构建龙头引领、中小微企业协同发展的产业生态。</w:t>
      </w:r>
    </w:p>
    <w:p>
      <w:pPr>
        <w:ind w:firstLine="640"/>
        <w:rPr>
          <w:rFonts w:hint="eastAsia" w:eastAsia="仿宋_GB2312"/>
          <w:szCs w:val="32"/>
          <w:lang w:eastAsia="zh-CN"/>
        </w:rPr>
      </w:pPr>
      <w:r>
        <w:rPr>
          <w:rFonts w:hint="eastAsia"/>
          <w:b/>
          <w:bCs/>
          <w:szCs w:val="32"/>
        </w:rPr>
        <w:t>深化深汕产业协同</w:t>
      </w:r>
      <w:r>
        <w:rPr>
          <w:rFonts w:hint="eastAsia"/>
          <w:b/>
          <w:bCs/>
          <w:szCs w:val="32"/>
          <w:lang w:eastAsia="zh-CN"/>
        </w:rPr>
        <w:t>。</w:t>
      </w:r>
      <w:r>
        <w:rPr>
          <w:rFonts w:hint="eastAsia"/>
          <w:b w:val="0"/>
          <w:bCs w:val="0"/>
          <w:szCs w:val="32"/>
        </w:rPr>
        <w:t>高标准建设深圳龙岗—汕尾海丰低空经济基础设施建设项目，组建深汕低空经济产业联盟，定期召开产业链供需对接会。重点承接深圳无人机及eVTOL整机企业精密结构件、航空动力电池等制造环节，打造</w:t>
      </w:r>
      <w:r>
        <w:rPr>
          <w:rFonts w:hint="eastAsia"/>
          <w:b w:val="0"/>
          <w:bCs w:val="0"/>
          <w:szCs w:val="32"/>
          <w:lang w:eastAsia="zh-CN"/>
        </w:rPr>
        <w:t>“</w:t>
      </w:r>
      <w:r>
        <w:rPr>
          <w:rFonts w:hint="eastAsia"/>
          <w:b w:val="0"/>
          <w:bCs w:val="0"/>
          <w:szCs w:val="32"/>
        </w:rPr>
        <w:t>研发在深圳、制造在汕尾、中试在基地</w:t>
      </w:r>
      <w:r>
        <w:rPr>
          <w:rFonts w:hint="eastAsia"/>
          <w:b w:val="0"/>
          <w:bCs w:val="0"/>
          <w:szCs w:val="32"/>
          <w:lang w:eastAsia="zh-CN"/>
        </w:rPr>
        <w:t>”</w:t>
      </w:r>
      <w:r>
        <w:rPr>
          <w:rFonts w:hint="eastAsia"/>
          <w:b w:val="0"/>
          <w:bCs w:val="0"/>
          <w:szCs w:val="32"/>
        </w:rPr>
        <w:t>的全链条闭环，积极争取改革试点政策向深汕合作拓展区延伸。</w:t>
      </w:r>
    </w:p>
    <w:p>
      <w:pPr>
        <w:bidi w:val="0"/>
        <w:rPr>
          <w:rFonts w:hint="eastAsia" w:eastAsia="仿宋_GB2312"/>
          <w:szCs w:val="32"/>
          <w:lang w:eastAsia="zh-CN"/>
        </w:rPr>
      </w:pPr>
      <w:r>
        <w:rPr>
          <w:rFonts w:hint="eastAsia"/>
          <w:b/>
          <w:bCs/>
          <w:szCs w:val="32"/>
          <w:lang w:val="en-US" w:eastAsia="zh-CN"/>
        </w:rPr>
        <w:t>强化</w:t>
      </w:r>
      <w:r>
        <w:rPr>
          <w:rFonts w:hint="eastAsia"/>
          <w:b/>
          <w:bCs/>
          <w:szCs w:val="32"/>
        </w:rPr>
        <w:t>粤东地区联动发展</w:t>
      </w:r>
      <w:r>
        <w:rPr>
          <w:rFonts w:hint="eastAsia"/>
          <w:b/>
          <w:bCs/>
          <w:szCs w:val="32"/>
          <w:lang w:eastAsia="zh-CN"/>
        </w:rPr>
        <w:t>。</w:t>
      </w:r>
      <w:r>
        <w:rPr>
          <w:rFonts w:hint="eastAsia"/>
          <w:szCs w:val="32"/>
          <w:lang w:eastAsia="zh-CN"/>
        </w:rPr>
        <w:t>加强与汕头、揭阳等周边城市协同联动，明确差异化发展定位，建设粤东一流无人机试飞测试基地，打造集低空关键技术研究、飞行验证测试、检验检测等于一体的产业公共服务中心，形成优势互补、协同共进的粤东低空经济发展格局。</w:t>
      </w:r>
      <w:bookmarkEnd w:id="288"/>
    </w:p>
    <w:bookmarkEnd w:id="287"/>
    <w:p>
      <w:pPr>
        <w:keepNext/>
        <w:ind w:firstLine="640"/>
        <w:outlineLvl w:val="1"/>
        <w:rPr>
          <w:rFonts w:hint="eastAsia" w:ascii="楷体_GB2312" w:hAnsi="楷体_GB2312" w:eastAsia="楷体_GB2312" w:cs="楷体_GB2312"/>
        </w:rPr>
      </w:pPr>
      <w:bookmarkStart w:id="289" w:name="_Toc2298"/>
      <w:bookmarkStart w:id="290" w:name="_Toc11503"/>
      <w:bookmarkStart w:id="291" w:name="_Toc14996"/>
      <w:bookmarkStart w:id="292" w:name="_Toc10844"/>
      <w:bookmarkStart w:id="293" w:name="_Toc28012"/>
      <w:bookmarkStart w:id="294" w:name="_Toc23924"/>
      <w:bookmarkStart w:id="295" w:name="_Toc8432"/>
      <w:bookmarkStart w:id="296" w:name="_Toc2329"/>
      <w:bookmarkStart w:id="297" w:name="_Toc30359"/>
      <w:bookmarkStart w:id="298" w:name="_Toc5843"/>
      <w:bookmarkStart w:id="299" w:name="_Toc4964"/>
      <w:bookmarkStart w:id="300" w:name="_Toc18490"/>
      <w:bookmarkStart w:id="301" w:name="_Toc4601"/>
      <w:bookmarkStart w:id="302" w:name="OLE_LINK6"/>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完善基础设施，构建智慧高效飞行</w:t>
      </w:r>
      <w:r>
        <w:rPr>
          <w:rFonts w:hint="eastAsia" w:ascii="楷体_GB2312" w:hAnsi="楷体_GB2312" w:eastAsia="楷体_GB2312" w:cs="楷体_GB2312"/>
          <w:lang w:val="en-US" w:eastAsia="zh-CN"/>
        </w:rPr>
        <w:t>网络</w:t>
      </w:r>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255"/>
          <w:numId w:val="0"/>
        </w:numPr>
        <w:adjustRightInd w:val="0"/>
        <w:snapToGrid w:val="0"/>
        <w:ind w:firstLine="643" w:firstLineChars="200"/>
        <w:rPr>
          <w:rFonts w:hint="eastAsia" w:eastAsia="仿宋_GB2312" w:cs="Times New Roman"/>
          <w:bCs/>
          <w:kern w:val="44"/>
          <w:szCs w:val="24"/>
          <w:lang w:eastAsia="zh-CN"/>
        </w:rPr>
      </w:pPr>
      <w:r>
        <w:rPr>
          <w:rFonts w:hint="eastAsia" w:cs="Times New Roman"/>
          <w:b/>
          <w:kern w:val="44"/>
          <w:szCs w:val="24"/>
        </w:rPr>
        <w:t>统筹</w:t>
      </w:r>
      <w:r>
        <w:rPr>
          <w:rFonts w:hint="eastAsia" w:cs="Times New Roman"/>
          <w:b/>
          <w:kern w:val="44"/>
          <w:szCs w:val="24"/>
          <w:lang w:val="en-US" w:eastAsia="zh-CN"/>
        </w:rPr>
        <w:t>布局</w:t>
      </w:r>
      <w:r>
        <w:rPr>
          <w:rFonts w:hint="eastAsia" w:cs="Times New Roman"/>
          <w:b/>
          <w:kern w:val="44"/>
          <w:szCs w:val="24"/>
        </w:rPr>
        <w:t>低空起降基础设施网络。</w:t>
      </w:r>
      <w:r>
        <w:rPr>
          <w:rFonts w:hint="eastAsia" w:cs="Times New Roman"/>
          <w:bCs/>
          <w:kern w:val="44"/>
          <w:szCs w:val="24"/>
        </w:rPr>
        <w:t>将低空基础设施纳入全市国土空间规划，编制全市低空</w:t>
      </w:r>
      <w:r>
        <w:rPr>
          <w:rFonts w:hint="eastAsia" w:cs="Times New Roman"/>
          <w:bCs/>
          <w:kern w:val="44"/>
          <w:szCs w:val="24"/>
          <w:lang w:val="en-US" w:eastAsia="zh-CN"/>
        </w:rPr>
        <w:t>基础</w:t>
      </w:r>
      <w:r>
        <w:rPr>
          <w:rFonts w:hint="eastAsia" w:cs="Times New Roman"/>
          <w:bCs/>
          <w:kern w:val="44"/>
          <w:szCs w:val="24"/>
        </w:rPr>
        <w:t>设施</w:t>
      </w:r>
      <w:r>
        <w:rPr>
          <w:rFonts w:hint="eastAsia" w:cs="Times New Roman"/>
          <w:bCs/>
          <w:kern w:val="44"/>
          <w:szCs w:val="24"/>
          <w:lang w:val="en-US" w:eastAsia="zh-CN"/>
        </w:rPr>
        <w:t>建设</w:t>
      </w:r>
      <w:r>
        <w:rPr>
          <w:rFonts w:hint="eastAsia" w:cs="Times New Roman"/>
          <w:bCs/>
          <w:kern w:val="44"/>
          <w:szCs w:val="24"/>
        </w:rPr>
        <w:t>专项规划</w:t>
      </w:r>
      <w:r>
        <w:rPr>
          <w:rFonts w:hint="eastAsia" w:cs="Times New Roman"/>
          <w:bCs/>
          <w:kern w:val="44"/>
          <w:szCs w:val="24"/>
          <w:lang w:eastAsia="zh-CN"/>
        </w:rPr>
        <w:t>，</w:t>
      </w:r>
      <w:r>
        <w:rPr>
          <w:rFonts w:hint="eastAsia" w:cs="Times New Roman"/>
          <w:bCs/>
          <w:kern w:val="44"/>
          <w:szCs w:val="24"/>
        </w:rPr>
        <w:t>构建“大型起降枢纽—中型起降场站—小型起降点”三级起降设施体系</w:t>
      </w:r>
      <w:r>
        <w:rPr>
          <w:rFonts w:hint="eastAsia" w:cs="Times New Roman"/>
          <w:bCs/>
          <w:kern w:val="44"/>
          <w:szCs w:val="24"/>
          <w:lang w:eastAsia="zh-CN"/>
        </w:rPr>
        <w:t>，</w:t>
      </w:r>
      <w:r>
        <w:rPr>
          <w:rFonts w:hint="eastAsia" w:cs="Times New Roman"/>
          <w:bCs/>
          <w:kern w:val="44"/>
          <w:szCs w:val="24"/>
        </w:rPr>
        <w:t>加快推进海丰通用机场前期工作。以海洋场景为先导，近期重点围绕海上风电规划区、大型海洋牧场、主要港口码头建设岸基综合保障站和海上固定起降平台，逐步将保障网络延伸至主要海岛和重点养殖区，探索部署移动保障船（艇），实现全市管辖海域重点设施低空服务可达性全覆盖。</w:t>
      </w:r>
    </w:p>
    <w:p>
      <w:pPr>
        <w:pStyle w:val="28"/>
        <w:numPr>
          <w:ilvl w:val="255"/>
          <w:numId w:val="0"/>
        </w:numPr>
        <w:adjustRightInd w:val="0"/>
        <w:snapToGrid w:val="0"/>
        <w:ind w:firstLine="643" w:firstLineChars="200"/>
        <w:rPr>
          <w:rFonts w:hint="eastAsia" w:cs="Times New Roman"/>
          <w:bCs/>
          <w:kern w:val="44"/>
          <w:szCs w:val="24"/>
          <w:lang w:eastAsia="zh-CN"/>
        </w:rPr>
      </w:pPr>
      <w:r>
        <w:rPr>
          <w:rFonts w:hint="eastAsia" w:cs="Times New Roman"/>
          <w:b/>
          <w:kern w:val="44"/>
          <w:szCs w:val="24"/>
          <w:highlight w:val="none"/>
        </w:rPr>
        <w:t>构建空天地一体化感知体系。</w:t>
      </w:r>
      <w:r>
        <w:rPr>
          <w:rFonts w:hint="eastAsia" w:cs="Times New Roman"/>
          <w:bCs/>
          <w:kern w:val="44"/>
          <w:szCs w:val="24"/>
          <w:highlight w:val="none"/>
        </w:rPr>
        <w:t>推动5G-A、北斗卫星导航、卫星互联网等新技术深度融合应用，依托铁塔站址资源集约化部署通感一体化基站，在沿海区域加密布设气象监测站与ADS-B接收站，推动三维地理信息、城市信息模型与低空航路信息深度融合，搭建低空空域数字孪生系统，为飞行安全管控和航线智能优化提供支撑。</w:t>
      </w:r>
    </w:p>
    <w:bookmarkEnd w:id="302"/>
    <w:p>
      <w:pPr>
        <w:ind w:firstLine="640"/>
        <w:outlineLvl w:val="1"/>
        <w:rPr>
          <w:rFonts w:hint="eastAsia" w:ascii="楷体_GB2312" w:hAnsi="楷体_GB2312" w:eastAsia="楷体_GB2312" w:cs="楷体_GB2312"/>
        </w:rPr>
      </w:pPr>
      <w:bookmarkStart w:id="303" w:name="_Toc15825"/>
      <w:bookmarkStart w:id="304" w:name="_Toc28238"/>
      <w:bookmarkStart w:id="305" w:name="_Toc16158"/>
      <w:bookmarkStart w:id="306" w:name="_Toc2359"/>
      <w:bookmarkStart w:id="307" w:name="_Toc23945"/>
      <w:bookmarkStart w:id="308" w:name="_Toc1753"/>
      <w:bookmarkStart w:id="309" w:name="_Toc1158"/>
      <w:bookmarkStart w:id="310" w:name="_Toc10462"/>
      <w:bookmarkStart w:id="311" w:name="_Toc17027"/>
      <w:bookmarkStart w:id="312" w:name="_Toc324"/>
      <w:bookmarkStart w:id="313" w:name="_Toc3370"/>
      <w:bookmarkStart w:id="314" w:name="_Toc16842"/>
      <w:bookmarkStart w:id="315" w:name="_Toc7861"/>
      <w:bookmarkStart w:id="316" w:name="OLE_LINK85"/>
      <w:r>
        <w:rPr>
          <w:rFonts w:hint="eastAsia" w:ascii="楷体_GB2312" w:hAnsi="楷体_GB2312" w:eastAsia="楷体_GB2312" w:cs="楷体_GB2312"/>
          <w:lang w:eastAsia="zh-CN"/>
        </w:rPr>
        <w:t>（四）</w:t>
      </w:r>
      <w:r>
        <w:rPr>
          <w:rFonts w:hint="eastAsia" w:ascii="楷体_GB2312" w:hAnsi="楷体_GB2312" w:eastAsia="楷体_GB2312" w:cs="楷体_GB2312"/>
        </w:rPr>
        <w:t>强化技术攻关，激发</w:t>
      </w:r>
      <w:r>
        <w:rPr>
          <w:rFonts w:hint="eastAsia" w:ascii="楷体_GB2312" w:hAnsi="楷体_GB2312" w:eastAsia="楷体_GB2312" w:cs="楷体_GB2312"/>
          <w:lang w:val="en-US" w:eastAsia="zh-CN"/>
        </w:rPr>
        <w:t>科技</w:t>
      </w:r>
      <w:r>
        <w:rPr>
          <w:rFonts w:hint="eastAsia" w:ascii="楷体_GB2312" w:hAnsi="楷体_GB2312" w:eastAsia="楷体_GB2312" w:cs="楷体_GB2312"/>
        </w:rPr>
        <w:t>创新源头活力</w:t>
      </w:r>
      <w:bookmarkEnd w:id="303"/>
      <w:bookmarkEnd w:id="304"/>
      <w:bookmarkEnd w:id="305"/>
      <w:bookmarkEnd w:id="306"/>
      <w:bookmarkEnd w:id="307"/>
      <w:bookmarkEnd w:id="308"/>
      <w:bookmarkEnd w:id="309"/>
      <w:bookmarkEnd w:id="310"/>
      <w:bookmarkEnd w:id="311"/>
      <w:bookmarkEnd w:id="312"/>
      <w:bookmarkEnd w:id="313"/>
      <w:bookmarkEnd w:id="314"/>
      <w:bookmarkEnd w:id="315"/>
    </w:p>
    <w:p>
      <w:pPr>
        <w:ind w:firstLine="640"/>
        <w:rPr>
          <w:rFonts w:hint="eastAsia" w:eastAsia="仿宋_GB2312" w:cs="Times New Roman"/>
          <w:b/>
          <w:bCs/>
          <w:lang w:eastAsia="zh-CN"/>
        </w:rPr>
      </w:pPr>
      <w:r>
        <w:rPr>
          <w:rFonts w:hint="eastAsia" w:cs="Times New Roman"/>
          <w:b/>
          <w:bCs/>
        </w:rPr>
        <w:t>攻坚海洋场景核心关键技术</w:t>
      </w:r>
      <w:r>
        <w:rPr>
          <w:rFonts w:hint="eastAsia" w:cs="Times New Roman"/>
          <w:b/>
          <w:bCs/>
          <w:lang w:eastAsia="zh-CN"/>
        </w:rPr>
        <w:t>。</w:t>
      </w:r>
      <w:r>
        <w:rPr>
          <w:rFonts w:hint="eastAsia" w:cs="Times New Roman"/>
        </w:rPr>
        <w:t>对接省级低空领域核心技术攻关项目遴选机制，组织本地企业、科研机构申报省级科技专项，争取上级资金支持。组织本地企业与深圳等地高校院所组建创新联合体，开展产学研协同攻关。</w:t>
      </w:r>
    </w:p>
    <w:p>
      <w:pPr>
        <w:ind w:firstLine="640"/>
        <w:rPr>
          <w:rFonts w:hint="eastAsia" w:eastAsia="仿宋_GB2312"/>
          <w:szCs w:val="32"/>
          <w:lang w:eastAsia="zh-CN"/>
        </w:rPr>
      </w:pPr>
      <w:r>
        <w:rPr>
          <w:rFonts w:hint="eastAsia"/>
          <w:b/>
          <w:bCs/>
          <w:szCs w:val="32"/>
        </w:rPr>
        <w:t>联合大湾区共建创新与测试平台。</w:t>
      </w:r>
      <w:r>
        <w:rPr>
          <w:rFonts w:hint="eastAsia"/>
          <w:szCs w:val="32"/>
        </w:rPr>
        <w:t>与广州、深圳等地权威机构合作共建低空经济技术创新中心、检测认证联合实验室，完善研发设计、中试验证、适航取证等服务功能，探索资质互认、设备共享、数据互通</w:t>
      </w:r>
      <w:r>
        <w:rPr>
          <w:rFonts w:hint="eastAsia"/>
          <w:szCs w:val="32"/>
          <w:lang w:eastAsia="zh-CN"/>
        </w:rPr>
        <w:t>、</w:t>
      </w:r>
      <w:r>
        <w:rPr>
          <w:rFonts w:hint="eastAsia"/>
          <w:szCs w:val="32"/>
        </w:rPr>
        <w:t>联合测试，形成</w:t>
      </w:r>
      <w:r>
        <w:rPr>
          <w:rFonts w:hint="eastAsia"/>
          <w:szCs w:val="32"/>
          <w:lang w:eastAsia="zh-CN"/>
        </w:rPr>
        <w:t>“</w:t>
      </w:r>
      <w:r>
        <w:rPr>
          <w:rFonts w:hint="eastAsia"/>
          <w:szCs w:val="32"/>
        </w:rPr>
        <w:t>深圳研发+汕尾测试</w:t>
      </w:r>
      <w:r>
        <w:rPr>
          <w:rFonts w:hint="eastAsia"/>
          <w:szCs w:val="32"/>
          <w:lang w:eastAsia="zh-CN"/>
        </w:rPr>
        <w:t>”</w:t>
      </w:r>
      <w:r>
        <w:rPr>
          <w:rFonts w:hint="eastAsia"/>
          <w:szCs w:val="32"/>
        </w:rPr>
        <w:t>协同创新格局。</w:t>
      </w:r>
    </w:p>
    <w:p>
      <w:pPr>
        <w:ind w:firstLine="640"/>
        <w:rPr>
          <w:rFonts w:hint="eastAsia" w:eastAsia="仿宋_GB2312" w:cs="Times New Roman"/>
          <w:lang w:eastAsia="zh-CN"/>
        </w:rPr>
      </w:pPr>
      <w:r>
        <w:rPr>
          <w:rFonts w:hint="eastAsia" w:cs="Times New Roman"/>
          <w:b/>
          <w:bCs/>
          <w:lang w:val="en-US" w:eastAsia="zh-CN"/>
        </w:rPr>
        <w:t>优化</w:t>
      </w:r>
      <w:r>
        <w:rPr>
          <w:rFonts w:hint="eastAsia" w:cs="Times New Roman"/>
          <w:b/>
          <w:bCs/>
        </w:rPr>
        <w:t>创新</w:t>
      </w:r>
      <w:r>
        <w:rPr>
          <w:rFonts w:hint="eastAsia" w:cs="Times New Roman"/>
          <w:b/>
          <w:bCs/>
          <w:lang w:val="en-US" w:eastAsia="zh-CN"/>
        </w:rPr>
        <w:t>发展生态</w:t>
      </w:r>
      <w:r>
        <w:rPr>
          <w:rFonts w:hint="eastAsia" w:cs="Times New Roman"/>
          <w:b/>
          <w:bCs/>
          <w:lang w:eastAsia="zh-CN"/>
        </w:rPr>
        <w:t>。</w:t>
      </w:r>
      <w:r>
        <w:rPr>
          <w:rFonts w:hint="eastAsia" w:cs="Times New Roman"/>
        </w:rPr>
        <w:t>对接全市新质科教城规划布局，推动低空经济与科教城功能衔接，探索共建深汕低空经济联合创新研究院。建立创新容错机制，强化低空经济领域知识产权创造、运用和保护，引导公共服务机构面向中小企业加大帮扶力度。</w:t>
      </w:r>
    </w:p>
    <w:bookmarkEnd w:id="316"/>
    <w:p>
      <w:pPr>
        <w:ind w:firstLine="640"/>
        <w:outlineLvl w:val="1"/>
        <w:rPr>
          <w:rFonts w:hint="eastAsia" w:ascii="楷体_GB2312" w:hAnsi="楷体_GB2312" w:eastAsia="楷体_GB2312" w:cs="楷体_GB2312"/>
        </w:rPr>
      </w:pPr>
      <w:bookmarkStart w:id="317" w:name="_Toc31121"/>
      <w:bookmarkStart w:id="318" w:name="_Toc4243"/>
      <w:bookmarkStart w:id="319" w:name="_Toc11168"/>
      <w:bookmarkStart w:id="320" w:name="_Toc27479"/>
      <w:bookmarkStart w:id="321" w:name="_Toc4926"/>
      <w:bookmarkStart w:id="322" w:name="_Toc7151"/>
      <w:bookmarkStart w:id="323" w:name="_Toc5130"/>
      <w:bookmarkStart w:id="324" w:name="_Toc16440"/>
      <w:bookmarkStart w:id="325" w:name="_Toc15642"/>
      <w:bookmarkStart w:id="326" w:name="_Toc2945"/>
      <w:bookmarkStart w:id="327" w:name="_Toc29775"/>
      <w:bookmarkStart w:id="328" w:name="_Toc511"/>
      <w:bookmarkStart w:id="329" w:name="_Toc2292"/>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筑牢安全运营底线，提升综合保障能力</w:t>
      </w:r>
      <w:bookmarkEnd w:id="317"/>
      <w:bookmarkEnd w:id="318"/>
      <w:bookmarkEnd w:id="319"/>
      <w:bookmarkEnd w:id="320"/>
      <w:bookmarkEnd w:id="321"/>
      <w:bookmarkEnd w:id="322"/>
      <w:bookmarkEnd w:id="323"/>
      <w:bookmarkEnd w:id="324"/>
      <w:bookmarkEnd w:id="325"/>
      <w:bookmarkEnd w:id="326"/>
      <w:bookmarkEnd w:id="327"/>
      <w:bookmarkEnd w:id="328"/>
      <w:bookmarkEnd w:id="329"/>
    </w:p>
    <w:p>
      <w:pPr>
        <w:ind w:firstLine="640"/>
        <w:rPr>
          <w:rFonts w:hint="eastAsia" w:eastAsia="仿宋_GB2312" w:cs="Times New Roman"/>
          <w:lang w:eastAsia="zh-CN"/>
        </w:rPr>
      </w:pPr>
      <w:r>
        <w:rPr>
          <w:rFonts w:hint="eastAsia" w:cs="Times New Roman"/>
          <w:b/>
          <w:bCs/>
        </w:rPr>
        <w:t>健全空域协同与管理机制。</w:t>
      </w:r>
      <w:r>
        <w:rPr>
          <w:rFonts w:hint="eastAsia" w:cs="Times New Roman"/>
        </w:rPr>
        <w:t>配合省低空空域协同管理部门开展空域资源统筹配置，推进空域分类划设，制定汕尾空域和航路方案，探索授权专业机构承担示范空域日常协调辅助职能，建立空域使用评估反馈机制。</w:t>
      </w:r>
    </w:p>
    <w:p>
      <w:pPr>
        <w:ind w:firstLine="640"/>
        <w:rPr>
          <w:rFonts w:hint="eastAsia" w:cs="Times New Roman"/>
        </w:rPr>
      </w:pPr>
      <w:r>
        <w:rPr>
          <w:rFonts w:hint="eastAsia" w:cs="Times New Roman"/>
          <w:b/>
          <w:bCs/>
        </w:rPr>
        <w:t>强化海洋场景</w:t>
      </w:r>
      <w:r>
        <w:rPr>
          <w:rFonts w:hint="eastAsia" w:cs="Times New Roman"/>
          <w:b/>
          <w:bCs/>
          <w:lang w:val="en-US" w:eastAsia="zh-CN"/>
        </w:rPr>
        <w:t>专业</w:t>
      </w:r>
      <w:r>
        <w:rPr>
          <w:rFonts w:hint="eastAsia" w:cs="Times New Roman"/>
          <w:b/>
          <w:bCs/>
        </w:rPr>
        <w:t>安全管理。</w:t>
      </w:r>
      <w:r>
        <w:rPr>
          <w:rFonts w:hint="eastAsia" w:cs="Times New Roman"/>
        </w:rPr>
        <w:t>协同军方、民航部门在汕尾海域划设海上低空专用空域，构建</w:t>
      </w:r>
      <w:r>
        <w:rPr>
          <w:rFonts w:hint="eastAsia" w:cs="Times New Roman"/>
          <w:lang w:eastAsia="zh-CN"/>
        </w:rPr>
        <w:t>“</w:t>
      </w:r>
      <w:r>
        <w:rPr>
          <w:rFonts w:hint="eastAsia" w:cs="Times New Roman"/>
        </w:rPr>
        <w:t>海陆空</w:t>
      </w:r>
      <w:r>
        <w:rPr>
          <w:rFonts w:hint="eastAsia" w:cs="Times New Roman"/>
          <w:lang w:eastAsia="zh-CN"/>
        </w:rPr>
        <w:t>”</w:t>
      </w:r>
      <w:r>
        <w:rPr>
          <w:rFonts w:hint="eastAsia" w:cs="Times New Roman"/>
        </w:rPr>
        <w:t>一体化监管平台，实现对海上飞行器的实时跟踪与动态管控，制定海上低空飞行突发事件应急预案，定期开展海上搜救、迫降等专项演练。</w:t>
      </w:r>
    </w:p>
    <w:p>
      <w:pPr>
        <w:ind w:firstLine="640"/>
        <w:rPr>
          <w:rFonts w:hint="eastAsia" w:eastAsia="仿宋_GB2312" w:cs="Times New Roman"/>
          <w:lang w:val="en-US" w:eastAsia="zh-CN"/>
        </w:rPr>
      </w:pPr>
      <w:r>
        <w:rPr>
          <w:rFonts w:hint="eastAsia" w:cs="Times New Roman"/>
          <w:b/>
          <w:bCs/>
        </w:rPr>
        <w:t>构建一体化数字底座。</w:t>
      </w:r>
      <w:r>
        <w:rPr>
          <w:rFonts w:hint="eastAsia" w:cs="Times New Roman"/>
        </w:rPr>
        <w:t>整合多源数据建立全市统一低空空域数字模型，推动与省级平台数据双向共享，为航路航线划设、飞行冲突预警、应急指挥调度提供空间数据支撑。</w:t>
      </w:r>
    </w:p>
    <w:p>
      <w:pPr>
        <w:ind w:firstLine="640"/>
        <w:rPr>
          <w:rFonts w:hint="eastAsia" w:eastAsia="仿宋_GB2312" w:cs="Times New Roman"/>
          <w:lang w:eastAsia="zh-CN"/>
        </w:rPr>
      </w:pPr>
      <w:r>
        <w:rPr>
          <w:rFonts w:hint="eastAsia" w:cs="Times New Roman"/>
          <w:b/>
          <w:bCs/>
        </w:rPr>
        <w:t>强化公共安全监管与反制能力。</w:t>
      </w:r>
      <w:r>
        <w:rPr>
          <w:rFonts w:hint="eastAsia" w:cs="Times New Roman"/>
        </w:rPr>
        <w:t>建设市级公共安全监管平台，在重点区域分级分类部署无人机侦测反制系统，制定低空安全突发事件应急预案，定期组织应急演练，提升应急处置能力。</w:t>
      </w:r>
    </w:p>
    <w:p>
      <w:pPr>
        <w:ind w:firstLine="640"/>
        <w:outlineLvl w:val="1"/>
        <w:rPr>
          <w:rFonts w:hint="eastAsia" w:ascii="楷体_GB2312" w:hAnsi="楷体_GB2312" w:eastAsia="楷体_GB2312" w:cs="楷体_GB2312"/>
        </w:rPr>
      </w:pPr>
      <w:bookmarkStart w:id="330" w:name="_Toc1607"/>
      <w:bookmarkStart w:id="331" w:name="_Toc21731"/>
      <w:bookmarkStart w:id="332" w:name="_Toc5912"/>
      <w:bookmarkStart w:id="333" w:name="_Toc29100"/>
      <w:bookmarkStart w:id="334" w:name="_Toc13699"/>
      <w:bookmarkStart w:id="335" w:name="_Toc3992"/>
      <w:bookmarkStart w:id="336" w:name="_Toc3796"/>
      <w:bookmarkStart w:id="337" w:name="_Toc20041"/>
      <w:bookmarkStart w:id="338" w:name="_Toc228"/>
      <w:bookmarkStart w:id="339" w:name="_Toc58"/>
      <w:bookmarkStart w:id="340" w:name="_Toc22955"/>
      <w:bookmarkStart w:id="341" w:name="_Toc29926"/>
      <w:bookmarkStart w:id="342" w:name="_Toc6848"/>
      <w:bookmarkStart w:id="343" w:name="OLE_LINK86"/>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w:t>
      </w:r>
      <w:r>
        <w:rPr>
          <w:rFonts w:hint="eastAsia" w:ascii="楷体_GB2312" w:hAnsi="楷体_GB2312" w:eastAsia="楷体_GB2312" w:cs="楷体_GB2312"/>
        </w:rPr>
        <w:t>构建开放产业生态，营造创新发展氛围</w:t>
      </w:r>
      <w:bookmarkEnd w:id="330"/>
      <w:bookmarkEnd w:id="331"/>
      <w:bookmarkEnd w:id="332"/>
      <w:bookmarkEnd w:id="333"/>
      <w:bookmarkEnd w:id="334"/>
      <w:bookmarkEnd w:id="335"/>
      <w:bookmarkEnd w:id="336"/>
      <w:bookmarkEnd w:id="337"/>
      <w:bookmarkEnd w:id="338"/>
      <w:bookmarkEnd w:id="339"/>
      <w:bookmarkEnd w:id="340"/>
      <w:bookmarkEnd w:id="341"/>
      <w:bookmarkEnd w:id="342"/>
    </w:p>
    <w:p>
      <w:pPr>
        <w:ind w:firstLine="640"/>
        <w:rPr>
          <w:rFonts w:hint="eastAsia" w:cs="Times New Roman"/>
          <w:b/>
          <w:bCs/>
        </w:rPr>
      </w:pPr>
      <w:r>
        <w:rPr>
          <w:rFonts w:hint="eastAsia" w:cs="Times New Roman"/>
          <w:b/>
          <w:bCs/>
        </w:rPr>
        <w:t>深化大湾区协同合作</w:t>
      </w:r>
      <w:r>
        <w:rPr>
          <w:rFonts w:hint="eastAsia" w:cs="Times New Roman"/>
          <w:b/>
          <w:bCs/>
          <w:lang w:val="en-US" w:eastAsia="zh-CN"/>
        </w:rPr>
        <w:t>机制</w:t>
      </w:r>
      <w:r>
        <w:rPr>
          <w:rFonts w:hint="eastAsia" w:cs="Times New Roman"/>
          <w:b/>
          <w:bCs/>
        </w:rPr>
        <w:t>。</w:t>
      </w:r>
      <w:r>
        <w:rPr>
          <w:rFonts w:hint="eastAsia" w:cs="Times New Roman"/>
          <w:b w:val="0"/>
          <w:bCs w:val="0"/>
        </w:rPr>
        <w:t>联合深圳申报国家级民用无人驾驶航空试验区，推动两地低空经济数据互联、场景清单互享、示范项目成果互鉴。建立人才双向流动机制，实施</w:t>
      </w:r>
      <w:r>
        <w:rPr>
          <w:rFonts w:hint="eastAsia" w:cs="Times New Roman"/>
          <w:b w:val="0"/>
          <w:bCs w:val="0"/>
          <w:lang w:eastAsia="zh-CN"/>
        </w:rPr>
        <w:t>“</w:t>
      </w:r>
      <w:r>
        <w:rPr>
          <w:rFonts w:hint="eastAsia" w:cs="Times New Roman"/>
          <w:b w:val="0"/>
          <w:bCs w:val="0"/>
        </w:rPr>
        <w:t>周末工程师</w:t>
      </w:r>
      <w:r>
        <w:rPr>
          <w:rFonts w:hint="eastAsia" w:cs="Times New Roman"/>
          <w:b w:val="0"/>
          <w:bCs w:val="0"/>
          <w:lang w:eastAsia="zh-CN"/>
        </w:rPr>
        <w:t>”“</w:t>
      </w:r>
      <w:r>
        <w:rPr>
          <w:rFonts w:hint="eastAsia" w:cs="Times New Roman"/>
          <w:b w:val="0"/>
          <w:bCs w:val="0"/>
        </w:rPr>
        <w:t>候鸟专家</w:t>
      </w:r>
      <w:r>
        <w:rPr>
          <w:rFonts w:hint="eastAsia" w:cs="Times New Roman"/>
          <w:b w:val="0"/>
          <w:bCs w:val="0"/>
          <w:lang w:eastAsia="zh-CN"/>
        </w:rPr>
        <w:t>”</w:t>
      </w:r>
      <w:r>
        <w:rPr>
          <w:rFonts w:hint="eastAsia" w:cs="Times New Roman"/>
          <w:b w:val="0"/>
          <w:bCs w:val="0"/>
        </w:rPr>
        <w:t>等柔性引才模式，吸引大湾区高端人才来汕开展项目合作。推动大湾区先进地区的改革举措、管理标准和应用模式向汕尾复制推广。</w:t>
      </w:r>
    </w:p>
    <w:p>
      <w:pPr>
        <w:ind w:firstLine="640"/>
        <w:rPr>
          <w:rFonts w:hint="eastAsia" w:eastAsia="仿宋_GB2312" w:cs="Times New Roman"/>
          <w:lang w:eastAsia="zh-CN"/>
        </w:rPr>
      </w:pPr>
      <w:r>
        <w:rPr>
          <w:rFonts w:hint="eastAsia" w:cs="Times New Roman"/>
          <w:b/>
          <w:bCs/>
        </w:rPr>
        <w:t>强化多层次人才引育体系。</w:t>
      </w:r>
      <w:r>
        <w:rPr>
          <w:rFonts w:hint="eastAsia" w:cs="Times New Roman"/>
        </w:rPr>
        <w:t>实施低空经济人才专项计划，靶向引进飞行器设计、适航法规、智能算法等领域高层次人才。深化产教融合，支持职业院校扩大无人机应用技术专业招生规模，联合企业共建技能人才实训中心，推广</w:t>
      </w:r>
      <w:r>
        <w:rPr>
          <w:rFonts w:hint="eastAsia" w:cs="Times New Roman"/>
          <w:lang w:eastAsia="zh-CN"/>
        </w:rPr>
        <w:t>“</w:t>
      </w:r>
      <w:r>
        <w:rPr>
          <w:rFonts w:hint="eastAsia" w:cs="Times New Roman"/>
        </w:rPr>
        <w:t>订单班</w:t>
      </w:r>
      <w:r>
        <w:rPr>
          <w:rFonts w:hint="eastAsia" w:cs="Times New Roman"/>
          <w:lang w:eastAsia="zh-CN"/>
        </w:rPr>
        <w:t>”</w:t>
      </w:r>
      <w:r>
        <w:rPr>
          <w:rFonts w:hint="eastAsia" w:cs="Times New Roman"/>
        </w:rPr>
        <w:t>培养模式，将无人机驾驶员培训纳入职业技能鉴定补贴，组建低空经济专家咨询委员会</w:t>
      </w:r>
      <w:r>
        <w:rPr>
          <w:rFonts w:hint="eastAsia" w:cs="Times New Roman"/>
          <w:lang w:eastAsia="zh-CN"/>
        </w:rPr>
        <w:t>。</w:t>
      </w:r>
    </w:p>
    <w:p>
      <w:pPr>
        <w:adjustRightInd/>
        <w:snapToGrid/>
        <w:ind w:firstLine="640"/>
        <w:outlineLvl w:val="9"/>
        <w:rPr>
          <w:rFonts w:hint="eastAsia" w:eastAsia="仿宋_GB2312" w:cs="Times New Roman"/>
          <w:lang w:eastAsia="zh-CN"/>
        </w:rPr>
      </w:pPr>
      <w:r>
        <w:rPr>
          <w:rFonts w:hint="eastAsia" w:cs="Times New Roman"/>
          <w:b/>
          <w:bCs/>
        </w:rPr>
        <w:t>推动低空数据价值化。</w:t>
      </w:r>
      <w:r>
        <w:rPr>
          <w:rFonts w:hint="eastAsia" w:cs="Times New Roman"/>
          <w:b w:val="0"/>
          <w:bCs w:val="0"/>
        </w:rPr>
        <w:t>建设低空经济数据资源池，推动政务数据与行业数据有序开放共享，推动低空数据与城市数字孪生融合应用。</w:t>
      </w:r>
    </w:p>
    <w:p>
      <w:pPr>
        <w:adjustRightInd/>
        <w:snapToGrid/>
        <w:ind w:firstLine="640"/>
        <w:outlineLvl w:val="9"/>
        <w:rPr>
          <w:rFonts w:hint="eastAsia" w:eastAsia="仿宋_GB2312" w:cs="Times New Roman"/>
          <w:lang w:eastAsia="zh-CN"/>
        </w:rPr>
      </w:pPr>
      <w:r>
        <w:rPr>
          <w:rFonts w:hint="eastAsia" w:cstheme="minorBidi"/>
          <w:b/>
          <w:bCs/>
        </w:rPr>
        <w:t>营造产业发展浓厚社会氛围。</w:t>
      </w:r>
      <w:r>
        <w:rPr>
          <w:rFonts w:hint="eastAsia"/>
        </w:rPr>
        <w:t>举办</w:t>
      </w:r>
      <w:r>
        <w:rPr>
          <w:rFonts w:hint="eastAsia"/>
          <w:lang w:val="en-US" w:eastAsia="zh-CN"/>
        </w:rPr>
        <w:t>发展沙龙</w:t>
      </w:r>
      <w:r>
        <w:rPr>
          <w:rFonts w:hint="eastAsia"/>
        </w:rPr>
        <w:t>、技术交流、无人机竞速等活动，开展</w:t>
      </w:r>
      <w:r>
        <w:rPr>
          <w:rFonts w:hint="eastAsia"/>
          <w:lang w:eastAsia="zh-CN"/>
        </w:rPr>
        <w:t>“</w:t>
      </w:r>
      <w:r>
        <w:rPr>
          <w:rFonts w:hint="eastAsia"/>
        </w:rPr>
        <w:t>低空瞰汕尾</w:t>
      </w:r>
      <w:r>
        <w:rPr>
          <w:rFonts w:hint="eastAsia"/>
          <w:lang w:eastAsia="zh-CN"/>
        </w:rPr>
        <w:t>”</w:t>
      </w:r>
      <w:r>
        <w:rPr>
          <w:rFonts w:hint="eastAsia"/>
        </w:rPr>
        <w:t>系列宣传，推进低空飞行安全宣传进社区进学校，增强公众安全意识。</w:t>
      </w:r>
    </w:p>
    <w:bookmarkEnd w:id="343"/>
    <w:p>
      <w:pPr>
        <w:adjustRightInd w:val="0"/>
        <w:snapToGrid w:val="0"/>
        <w:ind w:firstLine="640"/>
        <w:outlineLvl w:val="0"/>
        <w:rPr>
          <w:rFonts w:hint="eastAsia" w:ascii="黑体" w:hAnsi="黑体" w:eastAsia="黑体" w:cs="黑体"/>
        </w:rPr>
      </w:pPr>
      <w:bookmarkStart w:id="344" w:name="_Toc6750"/>
      <w:bookmarkStart w:id="345" w:name="_Toc7077"/>
      <w:bookmarkStart w:id="346" w:name="_Toc30473"/>
      <w:bookmarkStart w:id="347" w:name="_Toc20798"/>
      <w:bookmarkStart w:id="348" w:name="_Toc30410"/>
      <w:bookmarkStart w:id="349" w:name="_Toc13347"/>
      <w:bookmarkStart w:id="350" w:name="_Toc8847"/>
      <w:bookmarkStart w:id="351" w:name="_Toc17100"/>
      <w:bookmarkStart w:id="352" w:name="_Toc19718"/>
      <w:bookmarkStart w:id="353" w:name="_Toc26754"/>
      <w:bookmarkStart w:id="354" w:name="_Toc20243"/>
      <w:bookmarkStart w:id="355" w:name="_Toc31512"/>
      <w:bookmarkStart w:id="356" w:name="_Toc15745"/>
      <w:r>
        <w:rPr>
          <w:rFonts w:hint="eastAsia" w:ascii="黑体" w:hAnsi="黑体" w:eastAsia="黑体" w:cs="黑体"/>
          <w:lang w:val="en-US" w:eastAsia="zh-CN"/>
        </w:rPr>
        <w:t>六、</w:t>
      </w:r>
      <w:r>
        <w:rPr>
          <w:rFonts w:hint="eastAsia" w:ascii="黑体" w:hAnsi="黑体" w:eastAsia="黑体" w:cs="黑体"/>
        </w:rPr>
        <w:t>保障措施</w:t>
      </w:r>
      <w:bookmarkEnd w:id="344"/>
      <w:bookmarkEnd w:id="345"/>
      <w:bookmarkEnd w:id="346"/>
      <w:bookmarkEnd w:id="347"/>
      <w:bookmarkEnd w:id="348"/>
      <w:bookmarkEnd w:id="349"/>
      <w:bookmarkEnd w:id="350"/>
      <w:bookmarkEnd w:id="351"/>
      <w:bookmarkEnd w:id="352"/>
      <w:bookmarkEnd w:id="353"/>
      <w:bookmarkEnd w:id="354"/>
      <w:bookmarkEnd w:id="355"/>
      <w:bookmarkEnd w:id="356"/>
    </w:p>
    <w:p>
      <w:pPr>
        <w:adjustRightInd w:val="0"/>
        <w:snapToGrid w:val="0"/>
        <w:ind w:firstLine="640"/>
        <w:outlineLvl w:val="9"/>
        <w:rPr>
          <w:rFonts w:hint="eastAsia" w:ascii="仿宋_GB2312" w:hAnsi="仿宋_GB2312" w:eastAsia="仿宋_GB2312" w:cs="仿宋_GB2312"/>
          <w:lang w:eastAsia="zh-CN"/>
        </w:rPr>
      </w:pPr>
      <w:r>
        <w:rPr>
          <w:rFonts w:hint="eastAsia" w:ascii="仿宋_GB2312" w:hAnsi="仿宋_GB2312" w:eastAsia="仿宋_GB2312" w:cs="仿宋_GB2312"/>
        </w:rPr>
        <w:t>成立由市委、市政府主要负责同志牵头的低空经济发展领导小组，设立湾区协同与海洋场景两大专项工作组，建立军地民常态化沟通协调机制。完善低空经济领域法规制度，研究出台支持低空经济高质量发展若干措施，围绕企业落户、适航取证、技术创新、场景运营等关键环节实施精准扶持。探索设立低空经济发展基金，引导金融机构开发专属金融产品，密切对接省级专项扶持资金。强化国土空间规划引领，统筹预留发展用地空间。建立规划监测评估指标体系，开展年度、中期和终期评估</w:t>
      </w:r>
      <w:r>
        <w:rPr>
          <w:rFonts w:hint="eastAsia" w:ascii="仿宋_GB2312" w:hAnsi="仿宋_GB2312" w:cs="仿宋_GB2312"/>
          <w:lang w:eastAsia="zh-CN"/>
        </w:rPr>
        <w:t>。</w:t>
      </w:r>
      <w:r>
        <w:rPr>
          <w:rFonts w:hint="eastAsia" w:ascii="仿宋_GB2312" w:hAnsi="仿宋_GB2312" w:eastAsia="仿宋_GB2312" w:cs="仿宋_GB2312"/>
        </w:rPr>
        <w:t>建立规划动态优化调整机制，确保适配产业发展需求变化。</w:t>
      </w:r>
    </w:p>
    <w:p>
      <w:pPr>
        <w:ind w:firstLine="0" w:firstLineChars="0"/>
      </w:pPr>
    </w:p>
    <w:sectPr>
      <w:footerReference r:id="rId12" w:type="default"/>
      <w:pgSz w:w="11906" w:h="16838"/>
      <w:pgMar w:top="1440" w:right="1800" w:bottom="1440" w:left="1800" w:header="720" w:footer="720"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31D928-9792-4CFF-B4C9-ACE2440CEC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9881080-481D-416C-A5A6-2217F5D4DAD3}"/>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F0310BB7-667D-425B-8327-B9AF5F1D8894}"/>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2456180</wp:posOffset>
              </wp:positionH>
              <wp:positionV relativeFrom="paragraph">
                <wp:posOffset>0</wp:posOffset>
              </wp:positionV>
              <wp:extent cx="5467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67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4pt;margin-top:0pt;height:144pt;width:43.05pt;mso-position-horizontal-relative:margin;z-index:251660288;mso-width-relative:page;mso-height-relative:page;" filled="f" stroked="f" coordsize="21600,21600" o:gfxdata="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1GChNcAAAAIAQAADwAAAAAAAAABACAAAAAiAAAAZHJzL2Rvd25y&#10;ZXYueG1sUEsBAhQAFAAAAAgAh07iQGe0kPE4AgAAYgQAAA4AAAAAAAAAAQAgAAAAJgEAAGRycy9l&#10;Mm9Eb2MueG1sUEsFBgAAAAAGAAYAWQEAANAFAAAAAA==&#10;">
              <v:fill on="f" focussize="0,0"/>
              <v:stroke on="f" weight="0.5pt"/>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172A27"/>
    <w:rsid w:val="00004706"/>
    <w:rsid w:val="00005482"/>
    <w:rsid w:val="00006A88"/>
    <w:rsid w:val="00010034"/>
    <w:rsid w:val="00014236"/>
    <w:rsid w:val="00015841"/>
    <w:rsid w:val="00036E1B"/>
    <w:rsid w:val="00044B7D"/>
    <w:rsid w:val="00051457"/>
    <w:rsid w:val="0006266C"/>
    <w:rsid w:val="00064E4B"/>
    <w:rsid w:val="000A5864"/>
    <w:rsid w:val="000B334A"/>
    <w:rsid w:val="000C13EA"/>
    <w:rsid w:val="000D193E"/>
    <w:rsid w:val="000D5D7D"/>
    <w:rsid w:val="000F7E5B"/>
    <w:rsid w:val="001300AC"/>
    <w:rsid w:val="00130FFD"/>
    <w:rsid w:val="001657FA"/>
    <w:rsid w:val="00172A27"/>
    <w:rsid w:val="00173BEC"/>
    <w:rsid w:val="001A313C"/>
    <w:rsid w:val="001A5152"/>
    <w:rsid w:val="001B07C6"/>
    <w:rsid w:val="001D223E"/>
    <w:rsid w:val="001E762D"/>
    <w:rsid w:val="00204088"/>
    <w:rsid w:val="00205BED"/>
    <w:rsid w:val="00242B08"/>
    <w:rsid w:val="00244573"/>
    <w:rsid w:val="00246539"/>
    <w:rsid w:val="0026265B"/>
    <w:rsid w:val="002729E1"/>
    <w:rsid w:val="00291C4E"/>
    <w:rsid w:val="002966A4"/>
    <w:rsid w:val="002C1CD1"/>
    <w:rsid w:val="002C22E0"/>
    <w:rsid w:val="002D252D"/>
    <w:rsid w:val="002D26F2"/>
    <w:rsid w:val="002E66B4"/>
    <w:rsid w:val="003022A9"/>
    <w:rsid w:val="00306778"/>
    <w:rsid w:val="00317F6E"/>
    <w:rsid w:val="003200C2"/>
    <w:rsid w:val="00335D5C"/>
    <w:rsid w:val="003436E3"/>
    <w:rsid w:val="00344716"/>
    <w:rsid w:val="003636E0"/>
    <w:rsid w:val="00374E52"/>
    <w:rsid w:val="003A0E98"/>
    <w:rsid w:val="003B2304"/>
    <w:rsid w:val="003C3676"/>
    <w:rsid w:val="003D225A"/>
    <w:rsid w:val="003E1814"/>
    <w:rsid w:val="003E7056"/>
    <w:rsid w:val="003F3BFC"/>
    <w:rsid w:val="00400606"/>
    <w:rsid w:val="00417ECE"/>
    <w:rsid w:val="004432C2"/>
    <w:rsid w:val="004479E3"/>
    <w:rsid w:val="00454EDE"/>
    <w:rsid w:val="00462365"/>
    <w:rsid w:val="0047209B"/>
    <w:rsid w:val="004947C1"/>
    <w:rsid w:val="004B4896"/>
    <w:rsid w:val="004B57B9"/>
    <w:rsid w:val="004D6E65"/>
    <w:rsid w:val="004F3482"/>
    <w:rsid w:val="004F7699"/>
    <w:rsid w:val="00502AF1"/>
    <w:rsid w:val="00503F7B"/>
    <w:rsid w:val="00511CDA"/>
    <w:rsid w:val="0051394F"/>
    <w:rsid w:val="00520C69"/>
    <w:rsid w:val="00544B13"/>
    <w:rsid w:val="00563274"/>
    <w:rsid w:val="0056455E"/>
    <w:rsid w:val="00573E0F"/>
    <w:rsid w:val="00582FAB"/>
    <w:rsid w:val="00593E0A"/>
    <w:rsid w:val="005D7835"/>
    <w:rsid w:val="00617DA6"/>
    <w:rsid w:val="0062108B"/>
    <w:rsid w:val="006408D4"/>
    <w:rsid w:val="00644B35"/>
    <w:rsid w:val="006474A2"/>
    <w:rsid w:val="00651985"/>
    <w:rsid w:val="006533F2"/>
    <w:rsid w:val="006720F4"/>
    <w:rsid w:val="006760F9"/>
    <w:rsid w:val="00676B49"/>
    <w:rsid w:val="00691A66"/>
    <w:rsid w:val="006A3435"/>
    <w:rsid w:val="006A4C7A"/>
    <w:rsid w:val="006A6D09"/>
    <w:rsid w:val="006B25C5"/>
    <w:rsid w:val="006F01CB"/>
    <w:rsid w:val="007039FA"/>
    <w:rsid w:val="00707566"/>
    <w:rsid w:val="00724718"/>
    <w:rsid w:val="00731C3B"/>
    <w:rsid w:val="007619EC"/>
    <w:rsid w:val="0077255A"/>
    <w:rsid w:val="00780122"/>
    <w:rsid w:val="007B681B"/>
    <w:rsid w:val="007C0B1B"/>
    <w:rsid w:val="007C2684"/>
    <w:rsid w:val="007C4E5A"/>
    <w:rsid w:val="007F6FF2"/>
    <w:rsid w:val="00800667"/>
    <w:rsid w:val="00817805"/>
    <w:rsid w:val="00821F36"/>
    <w:rsid w:val="00824A6B"/>
    <w:rsid w:val="00845D67"/>
    <w:rsid w:val="00856BD1"/>
    <w:rsid w:val="00876D6B"/>
    <w:rsid w:val="0088536E"/>
    <w:rsid w:val="00887D74"/>
    <w:rsid w:val="008C5FC8"/>
    <w:rsid w:val="009034BD"/>
    <w:rsid w:val="00911140"/>
    <w:rsid w:val="009311A3"/>
    <w:rsid w:val="009347FD"/>
    <w:rsid w:val="00943AC1"/>
    <w:rsid w:val="00953F99"/>
    <w:rsid w:val="00963301"/>
    <w:rsid w:val="009635BE"/>
    <w:rsid w:val="00965D6F"/>
    <w:rsid w:val="00970ED4"/>
    <w:rsid w:val="00984D8D"/>
    <w:rsid w:val="009A057E"/>
    <w:rsid w:val="009A598B"/>
    <w:rsid w:val="009B3754"/>
    <w:rsid w:val="009C0179"/>
    <w:rsid w:val="009C580C"/>
    <w:rsid w:val="009D3E01"/>
    <w:rsid w:val="009F1955"/>
    <w:rsid w:val="009F1C6F"/>
    <w:rsid w:val="00A00428"/>
    <w:rsid w:val="00A10B0F"/>
    <w:rsid w:val="00A1561C"/>
    <w:rsid w:val="00A21E4B"/>
    <w:rsid w:val="00A2772B"/>
    <w:rsid w:val="00A47398"/>
    <w:rsid w:val="00A57E8E"/>
    <w:rsid w:val="00A6063D"/>
    <w:rsid w:val="00A67787"/>
    <w:rsid w:val="00A80124"/>
    <w:rsid w:val="00AB6726"/>
    <w:rsid w:val="00AC0D19"/>
    <w:rsid w:val="00AC640D"/>
    <w:rsid w:val="00AD22BA"/>
    <w:rsid w:val="00AD3D7B"/>
    <w:rsid w:val="00B04A06"/>
    <w:rsid w:val="00B127D6"/>
    <w:rsid w:val="00B25059"/>
    <w:rsid w:val="00B2652B"/>
    <w:rsid w:val="00B40F32"/>
    <w:rsid w:val="00B54E2F"/>
    <w:rsid w:val="00B74BF1"/>
    <w:rsid w:val="00BA6283"/>
    <w:rsid w:val="00BB4713"/>
    <w:rsid w:val="00BD1CCE"/>
    <w:rsid w:val="00BD35F6"/>
    <w:rsid w:val="00BD440B"/>
    <w:rsid w:val="00BD4E94"/>
    <w:rsid w:val="00BE73E4"/>
    <w:rsid w:val="00BF29FB"/>
    <w:rsid w:val="00BF6847"/>
    <w:rsid w:val="00C03B63"/>
    <w:rsid w:val="00C204AF"/>
    <w:rsid w:val="00C2696E"/>
    <w:rsid w:val="00C57AA6"/>
    <w:rsid w:val="00C65161"/>
    <w:rsid w:val="00C74D38"/>
    <w:rsid w:val="00C76617"/>
    <w:rsid w:val="00C834F2"/>
    <w:rsid w:val="00C95BE0"/>
    <w:rsid w:val="00CD269A"/>
    <w:rsid w:val="00CD46B6"/>
    <w:rsid w:val="00CD5FF1"/>
    <w:rsid w:val="00CE2875"/>
    <w:rsid w:val="00CE39FD"/>
    <w:rsid w:val="00D03C1D"/>
    <w:rsid w:val="00D069A9"/>
    <w:rsid w:val="00D4235A"/>
    <w:rsid w:val="00D44448"/>
    <w:rsid w:val="00D51717"/>
    <w:rsid w:val="00D67743"/>
    <w:rsid w:val="00D963A3"/>
    <w:rsid w:val="00DE4045"/>
    <w:rsid w:val="00E0429F"/>
    <w:rsid w:val="00E07BD2"/>
    <w:rsid w:val="00E12686"/>
    <w:rsid w:val="00E17528"/>
    <w:rsid w:val="00E30231"/>
    <w:rsid w:val="00E34A13"/>
    <w:rsid w:val="00E414C4"/>
    <w:rsid w:val="00E80999"/>
    <w:rsid w:val="00EA641D"/>
    <w:rsid w:val="00EB44AF"/>
    <w:rsid w:val="00EC019C"/>
    <w:rsid w:val="00ED0716"/>
    <w:rsid w:val="00EF5DFC"/>
    <w:rsid w:val="00F0109A"/>
    <w:rsid w:val="00F03D8B"/>
    <w:rsid w:val="00F14826"/>
    <w:rsid w:val="00F205D2"/>
    <w:rsid w:val="00F33645"/>
    <w:rsid w:val="00F40A88"/>
    <w:rsid w:val="00F57C4D"/>
    <w:rsid w:val="00F76033"/>
    <w:rsid w:val="00F81124"/>
    <w:rsid w:val="00FB2B37"/>
    <w:rsid w:val="00FB4015"/>
    <w:rsid w:val="00FB6C6B"/>
    <w:rsid w:val="00FC2159"/>
    <w:rsid w:val="00FD571F"/>
    <w:rsid w:val="00FE101A"/>
    <w:rsid w:val="00FF4C4F"/>
    <w:rsid w:val="01043EBD"/>
    <w:rsid w:val="010636DE"/>
    <w:rsid w:val="010B1A74"/>
    <w:rsid w:val="01600887"/>
    <w:rsid w:val="01767013"/>
    <w:rsid w:val="018E616A"/>
    <w:rsid w:val="01CA2F5D"/>
    <w:rsid w:val="02AC6385"/>
    <w:rsid w:val="031C13E9"/>
    <w:rsid w:val="035618EA"/>
    <w:rsid w:val="03586A10"/>
    <w:rsid w:val="03943EEB"/>
    <w:rsid w:val="04D764E3"/>
    <w:rsid w:val="054144F3"/>
    <w:rsid w:val="05AB7BA0"/>
    <w:rsid w:val="05C67852"/>
    <w:rsid w:val="0658192B"/>
    <w:rsid w:val="068734BD"/>
    <w:rsid w:val="06A4548C"/>
    <w:rsid w:val="06F22E85"/>
    <w:rsid w:val="07204BC4"/>
    <w:rsid w:val="07285ED4"/>
    <w:rsid w:val="07793BB4"/>
    <w:rsid w:val="07A34FF1"/>
    <w:rsid w:val="07C17615"/>
    <w:rsid w:val="07C95722"/>
    <w:rsid w:val="08AA4248"/>
    <w:rsid w:val="08F60698"/>
    <w:rsid w:val="09216B15"/>
    <w:rsid w:val="09FD3DD3"/>
    <w:rsid w:val="0A5B21B8"/>
    <w:rsid w:val="0ABB4D47"/>
    <w:rsid w:val="0AE73B70"/>
    <w:rsid w:val="0AF549F8"/>
    <w:rsid w:val="0AF75336"/>
    <w:rsid w:val="0B3820AF"/>
    <w:rsid w:val="0B4E4AA8"/>
    <w:rsid w:val="0B561F51"/>
    <w:rsid w:val="0B7872BE"/>
    <w:rsid w:val="0B9338C5"/>
    <w:rsid w:val="0BA56DFD"/>
    <w:rsid w:val="0BA61553"/>
    <w:rsid w:val="0BCC653B"/>
    <w:rsid w:val="0C510BD8"/>
    <w:rsid w:val="0D5B41F8"/>
    <w:rsid w:val="0D946998"/>
    <w:rsid w:val="0DF30981"/>
    <w:rsid w:val="0E0F4BB7"/>
    <w:rsid w:val="0E2431FD"/>
    <w:rsid w:val="0E291BDC"/>
    <w:rsid w:val="0E2A021A"/>
    <w:rsid w:val="0E4E7143"/>
    <w:rsid w:val="0E7D07DC"/>
    <w:rsid w:val="0EB60411"/>
    <w:rsid w:val="0EED7CDC"/>
    <w:rsid w:val="0F171EA7"/>
    <w:rsid w:val="0F2A3A2C"/>
    <w:rsid w:val="0F61233B"/>
    <w:rsid w:val="0FC90AAF"/>
    <w:rsid w:val="100214DD"/>
    <w:rsid w:val="1026520A"/>
    <w:rsid w:val="10C57B3E"/>
    <w:rsid w:val="113F0886"/>
    <w:rsid w:val="1168311D"/>
    <w:rsid w:val="11C866D8"/>
    <w:rsid w:val="12066C43"/>
    <w:rsid w:val="1230601B"/>
    <w:rsid w:val="1237639F"/>
    <w:rsid w:val="12463861"/>
    <w:rsid w:val="12A06CFD"/>
    <w:rsid w:val="12A2116F"/>
    <w:rsid w:val="12DA4792"/>
    <w:rsid w:val="12E15FD1"/>
    <w:rsid w:val="130E50D5"/>
    <w:rsid w:val="13903A45"/>
    <w:rsid w:val="13DB4CFD"/>
    <w:rsid w:val="14404F47"/>
    <w:rsid w:val="14410D24"/>
    <w:rsid w:val="14445AB5"/>
    <w:rsid w:val="144B5E94"/>
    <w:rsid w:val="145F40ED"/>
    <w:rsid w:val="14D22114"/>
    <w:rsid w:val="150D3138"/>
    <w:rsid w:val="152A75D2"/>
    <w:rsid w:val="154733BD"/>
    <w:rsid w:val="15532BD0"/>
    <w:rsid w:val="158428DE"/>
    <w:rsid w:val="15BC020B"/>
    <w:rsid w:val="15FE404F"/>
    <w:rsid w:val="16086840"/>
    <w:rsid w:val="1642631D"/>
    <w:rsid w:val="16840370"/>
    <w:rsid w:val="169B2FC5"/>
    <w:rsid w:val="16A33560"/>
    <w:rsid w:val="16BD067E"/>
    <w:rsid w:val="17023532"/>
    <w:rsid w:val="18466307"/>
    <w:rsid w:val="19152CC5"/>
    <w:rsid w:val="192C52FC"/>
    <w:rsid w:val="19BD0632"/>
    <w:rsid w:val="19DB27FF"/>
    <w:rsid w:val="1A722F70"/>
    <w:rsid w:val="1AB11CCA"/>
    <w:rsid w:val="1ABE22CB"/>
    <w:rsid w:val="1AE41750"/>
    <w:rsid w:val="1B857A66"/>
    <w:rsid w:val="1B8A1503"/>
    <w:rsid w:val="1C115A76"/>
    <w:rsid w:val="1C2B13F9"/>
    <w:rsid w:val="1C781048"/>
    <w:rsid w:val="1CBF1639"/>
    <w:rsid w:val="1CD41406"/>
    <w:rsid w:val="1D173418"/>
    <w:rsid w:val="1D82754D"/>
    <w:rsid w:val="1DA10030"/>
    <w:rsid w:val="1E2F53D8"/>
    <w:rsid w:val="1E3A4218"/>
    <w:rsid w:val="1E4810B8"/>
    <w:rsid w:val="1E512DAC"/>
    <w:rsid w:val="1F503858"/>
    <w:rsid w:val="1F612D9A"/>
    <w:rsid w:val="1F842EAB"/>
    <w:rsid w:val="1FDF6409"/>
    <w:rsid w:val="200428F0"/>
    <w:rsid w:val="2037059F"/>
    <w:rsid w:val="20621A95"/>
    <w:rsid w:val="213D4C18"/>
    <w:rsid w:val="2147092E"/>
    <w:rsid w:val="21536EC9"/>
    <w:rsid w:val="21591E1A"/>
    <w:rsid w:val="21E5249D"/>
    <w:rsid w:val="2239100B"/>
    <w:rsid w:val="224114B7"/>
    <w:rsid w:val="224D1C57"/>
    <w:rsid w:val="225353CE"/>
    <w:rsid w:val="225F1712"/>
    <w:rsid w:val="22631441"/>
    <w:rsid w:val="227D3845"/>
    <w:rsid w:val="227E1803"/>
    <w:rsid w:val="22C72083"/>
    <w:rsid w:val="22F963A0"/>
    <w:rsid w:val="231D2918"/>
    <w:rsid w:val="23777D80"/>
    <w:rsid w:val="23B628F1"/>
    <w:rsid w:val="23E23EED"/>
    <w:rsid w:val="24536D3E"/>
    <w:rsid w:val="24C05FF9"/>
    <w:rsid w:val="24F276CC"/>
    <w:rsid w:val="250C69CE"/>
    <w:rsid w:val="25363864"/>
    <w:rsid w:val="25FC3DF2"/>
    <w:rsid w:val="26211B75"/>
    <w:rsid w:val="26247A14"/>
    <w:rsid w:val="263F1C12"/>
    <w:rsid w:val="264413DD"/>
    <w:rsid w:val="26ED353A"/>
    <w:rsid w:val="27155E0A"/>
    <w:rsid w:val="27371DAD"/>
    <w:rsid w:val="274A370A"/>
    <w:rsid w:val="27F91C97"/>
    <w:rsid w:val="280342DF"/>
    <w:rsid w:val="284C0EBD"/>
    <w:rsid w:val="28510E34"/>
    <w:rsid w:val="28A15AFB"/>
    <w:rsid w:val="28B0085E"/>
    <w:rsid w:val="292E5F3D"/>
    <w:rsid w:val="29420A80"/>
    <w:rsid w:val="29A009C9"/>
    <w:rsid w:val="29DB09DB"/>
    <w:rsid w:val="29F97697"/>
    <w:rsid w:val="2A36691B"/>
    <w:rsid w:val="2A5B62C1"/>
    <w:rsid w:val="2A9C6396"/>
    <w:rsid w:val="2AD7743F"/>
    <w:rsid w:val="2AFE5B4F"/>
    <w:rsid w:val="2B794137"/>
    <w:rsid w:val="2BB14DEC"/>
    <w:rsid w:val="2BB21C1E"/>
    <w:rsid w:val="2BCA4254"/>
    <w:rsid w:val="2C1C0FCD"/>
    <w:rsid w:val="2C73502A"/>
    <w:rsid w:val="2CE63B19"/>
    <w:rsid w:val="2CE75258"/>
    <w:rsid w:val="2CFE682C"/>
    <w:rsid w:val="2D001B1A"/>
    <w:rsid w:val="2D152988"/>
    <w:rsid w:val="2D1D2070"/>
    <w:rsid w:val="2D323772"/>
    <w:rsid w:val="2D5A3C3E"/>
    <w:rsid w:val="2D8A267A"/>
    <w:rsid w:val="2DEF630A"/>
    <w:rsid w:val="2E0703AE"/>
    <w:rsid w:val="2E2C3880"/>
    <w:rsid w:val="2E577EFD"/>
    <w:rsid w:val="2EAF046A"/>
    <w:rsid w:val="2EAF7625"/>
    <w:rsid w:val="2ED364C0"/>
    <w:rsid w:val="2F1B6959"/>
    <w:rsid w:val="2F334E25"/>
    <w:rsid w:val="2F6D0E1E"/>
    <w:rsid w:val="2F853E54"/>
    <w:rsid w:val="300E2164"/>
    <w:rsid w:val="30314FE0"/>
    <w:rsid w:val="30990A3C"/>
    <w:rsid w:val="309D449F"/>
    <w:rsid w:val="30D81900"/>
    <w:rsid w:val="310E44C6"/>
    <w:rsid w:val="31132938"/>
    <w:rsid w:val="31381585"/>
    <w:rsid w:val="316E7B6E"/>
    <w:rsid w:val="31981F2E"/>
    <w:rsid w:val="31F63186"/>
    <w:rsid w:val="322268D4"/>
    <w:rsid w:val="322919A3"/>
    <w:rsid w:val="32A654D9"/>
    <w:rsid w:val="32F70C20"/>
    <w:rsid w:val="33B2025C"/>
    <w:rsid w:val="33D359F7"/>
    <w:rsid w:val="3416466A"/>
    <w:rsid w:val="342A2F2E"/>
    <w:rsid w:val="343F77D4"/>
    <w:rsid w:val="347C17C3"/>
    <w:rsid w:val="349C55F7"/>
    <w:rsid w:val="34A762FB"/>
    <w:rsid w:val="34B869D4"/>
    <w:rsid w:val="35083705"/>
    <w:rsid w:val="3562492C"/>
    <w:rsid w:val="35E025C2"/>
    <w:rsid w:val="35F425A1"/>
    <w:rsid w:val="35F7133D"/>
    <w:rsid w:val="36681030"/>
    <w:rsid w:val="368F2A60"/>
    <w:rsid w:val="36A9054B"/>
    <w:rsid w:val="36B56C55"/>
    <w:rsid w:val="36FC7AB7"/>
    <w:rsid w:val="37652FA0"/>
    <w:rsid w:val="3772342A"/>
    <w:rsid w:val="379D7E85"/>
    <w:rsid w:val="38982E0C"/>
    <w:rsid w:val="38D94467"/>
    <w:rsid w:val="38DA262C"/>
    <w:rsid w:val="38F65019"/>
    <w:rsid w:val="390B0A3A"/>
    <w:rsid w:val="391D1EA6"/>
    <w:rsid w:val="3951535D"/>
    <w:rsid w:val="395C1B21"/>
    <w:rsid w:val="39643EB2"/>
    <w:rsid w:val="39A20134"/>
    <w:rsid w:val="3A552185"/>
    <w:rsid w:val="3A797CAF"/>
    <w:rsid w:val="3AE07D16"/>
    <w:rsid w:val="3B5B5607"/>
    <w:rsid w:val="3B8E2903"/>
    <w:rsid w:val="3BB7647D"/>
    <w:rsid w:val="3BBE77EB"/>
    <w:rsid w:val="3BE80DB8"/>
    <w:rsid w:val="3C201EA0"/>
    <w:rsid w:val="3C237145"/>
    <w:rsid w:val="3C3B5A9F"/>
    <w:rsid w:val="3C4A1FA1"/>
    <w:rsid w:val="3C531424"/>
    <w:rsid w:val="3C7825F5"/>
    <w:rsid w:val="3D254AE0"/>
    <w:rsid w:val="3D3A7709"/>
    <w:rsid w:val="3DD66214"/>
    <w:rsid w:val="3DE84BC9"/>
    <w:rsid w:val="3E0960E3"/>
    <w:rsid w:val="3E1850D6"/>
    <w:rsid w:val="3E21332D"/>
    <w:rsid w:val="3E5A3606"/>
    <w:rsid w:val="3E6E06D4"/>
    <w:rsid w:val="3E8804C1"/>
    <w:rsid w:val="3E8B7AC2"/>
    <w:rsid w:val="3F211072"/>
    <w:rsid w:val="3F315DD1"/>
    <w:rsid w:val="3FD446B9"/>
    <w:rsid w:val="40336B64"/>
    <w:rsid w:val="406F4E55"/>
    <w:rsid w:val="40CD48B1"/>
    <w:rsid w:val="40D37899"/>
    <w:rsid w:val="41255384"/>
    <w:rsid w:val="416958E1"/>
    <w:rsid w:val="42236B4D"/>
    <w:rsid w:val="426D36EC"/>
    <w:rsid w:val="42770C22"/>
    <w:rsid w:val="42892EA8"/>
    <w:rsid w:val="42C636A0"/>
    <w:rsid w:val="42EF6D61"/>
    <w:rsid w:val="43B35DD1"/>
    <w:rsid w:val="43CF0418"/>
    <w:rsid w:val="43EA19DF"/>
    <w:rsid w:val="43F17B1D"/>
    <w:rsid w:val="43F9234A"/>
    <w:rsid w:val="44813A2E"/>
    <w:rsid w:val="448A702D"/>
    <w:rsid w:val="448B5FB2"/>
    <w:rsid w:val="4496747C"/>
    <w:rsid w:val="45034C2B"/>
    <w:rsid w:val="452A1A9B"/>
    <w:rsid w:val="4550785F"/>
    <w:rsid w:val="45BA0A13"/>
    <w:rsid w:val="45C846F0"/>
    <w:rsid w:val="45E841AA"/>
    <w:rsid w:val="45F00830"/>
    <w:rsid w:val="45FB0260"/>
    <w:rsid w:val="461C7E65"/>
    <w:rsid w:val="4643248B"/>
    <w:rsid w:val="46577A99"/>
    <w:rsid w:val="465F43C0"/>
    <w:rsid w:val="46F60D44"/>
    <w:rsid w:val="46FFCB78"/>
    <w:rsid w:val="47052814"/>
    <w:rsid w:val="47B3211D"/>
    <w:rsid w:val="481C4F33"/>
    <w:rsid w:val="484A4A39"/>
    <w:rsid w:val="48897562"/>
    <w:rsid w:val="489B3B90"/>
    <w:rsid w:val="48B877D7"/>
    <w:rsid w:val="48BF0F83"/>
    <w:rsid w:val="48F66139"/>
    <w:rsid w:val="490849B8"/>
    <w:rsid w:val="491935BF"/>
    <w:rsid w:val="4991288F"/>
    <w:rsid w:val="49991836"/>
    <w:rsid w:val="49E53C26"/>
    <w:rsid w:val="4A484FA8"/>
    <w:rsid w:val="4A792320"/>
    <w:rsid w:val="4AA77F21"/>
    <w:rsid w:val="4AED53B3"/>
    <w:rsid w:val="4B3F6323"/>
    <w:rsid w:val="4B756271"/>
    <w:rsid w:val="4B8B4BB3"/>
    <w:rsid w:val="4B8C36CB"/>
    <w:rsid w:val="4BAB1215"/>
    <w:rsid w:val="4BE960C0"/>
    <w:rsid w:val="4C2A1D4B"/>
    <w:rsid w:val="4C580BFE"/>
    <w:rsid w:val="4CE024B7"/>
    <w:rsid w:val="4D6501BC"/>
    <w:rsid w:val="4DA94D90"/>
    <w:rsid w:val="4DBA7F6B"/>
    <w:rsid w:val="4DC353A2"/>
    <w:rsid w:val="4E092BC8"/>
    <w:rsid w:val="4E146199"/>
    <w:rsid w:val="4E231FB4"/>
    <w:rsid w:val="4E534C9F"/>
    <w:rsid w:val="4E6307E7"/>
    <w:rsid w:val="4EDC5DB5"/>
    <w:rsid w:val="4F09663C"/>
    <w:rsid w:val="4F2A1121"/>
    <w:rsid w:val="4FE23406"/>
    <w:rsid w:val="4FEE0C00"/>
    <w:rsid w:val="5014427E"/>
    <w:rsid w:val="50586F25"/>
    <w:rsid w:val="50A64C71"/>
    <w:rsid w:val="50E87169"/>
    <w:rsid w:val="51252B34"/>
    <w:rsid w:val="51255F55"/>
    <w:rsid w:val="5198191D"/>
    <w:rsid w:val="521F2FAF"/>
    <w:rsid w:val="528A0083"/>
    <w:rsid w:val="52FA3CFA"/>
    <w:rsid w:val="53052687"/>
    <w:rsid w:val="5381488B"/>
    <w:rsid w:val="53D27403"/>
    <w:rsid w:val="53F14DAE"/>
    <w:rsid w:val="53F57D63"/>
    <w:rsid w:val="541D6A57"/>
    <w:rsid w:val="54263374"/>
    <w:rsid w:val="54553068"/>
    <w:rsid w:val="54AB710C"/>
    <w:rsid w:val="54E80F96"/>
    <w:rsid w:val="550349B3"/>
    <w:rsid w:val="551D7104"/>
    <w:rsid w:val="55474779"/>
    <w:rsid w:val="55980C6D"/>
    <w:rsid w:val="55D43D70"/>
    <w:rsid w:val="568B59CD"/>
    <w:rsid w:val="56C3158B"/>
    <w:rsid w:val="56E215A5"/>
    <w:rsid w:val="570606C5"/>
    <w:rsid w:val="570C4449"/>
    <w:rsid w:val="57631674"/>
    <w:rsid w:val="57C86909"/>
    <w:rsid w:val="57F2596F"/>
    <w:rsid w:val="586F3010"/>
    <w:rsid w:val="58834D9F"/>
    <w:rsid w:val="59811F0D"/>
    <w:rsid w:val="598933DB"/>
    <w:rsid w:val="59D76ACA"/>
    <w:rsid w:val="5A620546"/>
    <w:rsid w:val="5A655842"/>
    <w:rsid w:val="5A915095"/>
    <w:rsid w:val="5AA775BE"/>
    <w:rsid w:val="5AF638EA"/>
    <w:rsid w:val="5B0D403D"/>
    <w:rsid w:val="5B321174"/>
    <w:rsid w:val="5B41637E"/>
    <w:rsid w:val="5B7922DE"/>
    <w:rsid w:val="5BB45643"/>
    <w:rsid w:val="5BDF51C2"/>
    <w:rsid w:val="5BF2323C"/>
    <w:rsid w:val="5C7E58A9"/>
    <w:rsid w:val="5CDF3542"/>
    <w:rsid w:val="5CFD6424"/>
    <w:rsid w:val="5D2378DB"/>
    <w:rsid w:val="5D313BC0"/>
    <w:rsid w:val="5D65267D"/>
    <w:rsid w:val="5DB5003E"/>
    <w:rsid w:val="5E0D0F1A"/>
    <w:rsid w:val="5E1D124D"/>
    <w:rsid w:val="5E6745E1"/>
    <w:rsid w:val="5E7812C2"/>
    <w:rsid w:val="5E9E0F5E"/>
    <w:rsid w:val="5F530768"/>
    <w:rsid w:val="5F7C0C45"/>
    <w:rsid w:val="5F981915"/>
    <w:rsid w:val="5F993876"/>
    <w:rsid w:val="5FCA1E88"/>
    <w:rsid w:val="5FDF3B3E"/>
    <w:rsid w:val="601F3123"/>
    <w:rsid w:val="60207FA4"/>
    <w:rsid w:val="606644A9"/>
    <w:rsid w:val="60790A8D"/>
    <w:rsid w:val="60E07891"/>
    <w:rsid w:val="61572249"/>
    <w:rsid w:val="617A1CAA"/>
    <w:rsid w:val="62926D2D"/>
    <w:rsid w:val="62C31F9E"/>
    <w:rsid w:val="62D45443"/>
    <w:rsid w:val="62DA031E"/>
    <w:rsid w:val="62F44E30"/>
    <w:rsid w:val="63391652"/>
    <w:rsid w:val="634857B6"/>
    <w:rsid w:val="634B2D53"/>
    <w:rsid w:val="63860186"/>
    <w:rsid w:val="65224CA7"/>
    <w:rsid w:val="65AB52BA"/>
    <w:rsid w:val="664D4C34"/>
    <w:rsid w:val="669270E0"/>
    <w:rsid w:val="66A5774C"/>
    <w:rsid w:val="66A74D5B"/>
    <w:rsid w:val="66BF5A3A"/>
    <w:rsid w:val="66CC3845"/>
    <w:rsid w:val="66D653EE"/>
    <w:rsid w:val="67000C8D"/>
    <w:rsid w:val="67362901"/>
    <w:rsid w:val="6769141C"/>
    <w:rsid w:val="67C1041C"/>
    <w:rsid w:val="67DBC47D"/>
    <w:rsid w:val="680B54C8"/>
    <w:rsid w:val="68410F45"/>
    <w:rsid w:val="68420E31"/>
    <w:rsid w:val="687626DD"/>
    <w:rsid w:val="687C026B"/>
    <w:rsid w:val="689925EB"/>
    <w:rsid w:val="68A858A3"/>
    <w:rsid w:val="68BA7304"/>
    <w:rsid w:val="68F85082"/>
    <w:rsid w:val="69953075"/>
    <w:rsid w:val="69AF0748"/>
    <w:rsid w:val="69E92F55"/>
    <w:rsid w:val="6A2F74CB"/>
    <w:rsid w:val="6AA858C3"/>
    <w:rsid w:val="6B650C75"/>
    <w:rsid w:val="6B8E1AE6"/>
    <w:rsid w:val="6BCC061E"/>
    <w:rsid w:val="6C115C08"/>
    <w:rsid w:val="6C2221D6"/>
    <w:rsid w:val="6C8637FF"/>
    <w:rsid w:val="6CF935F7"/>
    <w:rsid w:val="6CFE00BD"/>
    <w:rsid w:val="6D51330C"/>
    <w:rsid w:val="6D797A00"/>
    <w:rsid w:val="6DA369CE"/>
    <w:rsid w:val="6EAD34A8"/>
    <w:rsid w:val="6EB038D2"/>
    <w:rsid w:val="6EB3298B"/>
    <w:rsid w:val="6F2F0361"/>
    <w:rsid w:val="6FB344DA"/>
    <w:rsid w:val="6FBE2D22"/>
    <w:rsid w:val="6FFF31DA"/>
    <w:rsid w:val="70D768A0"/>
    <w:rsid w:val="70E1568B"/>
    <w:rsid w:val="713A2ADC"/>
    <w:rsid w:val="713B1F35"/>
    <w:rsid w:val="71B03D13"/>
    <w:rsid w:val="71E4475B"/>
    <w:rsid w:val="71F57094"/>
    <w:rsid w:val="7206464C"/>
    <w:rsid w:val="7238577F"/>
    <w:rsid w:val="72867BB2"/>
    <w:rsid w:val="72921C88"/>
    <w:rsid w:val="72BA2638"/>
    <w:rsid w:val="72C14963"/>
    <w:rsid w:val="72DC6BF8"/>
    <w:rsid w:val="733B1E96"/>
    <w:rsid w:val="736E1CE0"/>
    <w:rsid w:val="73CB5696"/>
    <w:rsid w:val="73CF5FD7"/>
    <w:rsid w:val="73F67D92"/>
    <w:rsid w:val="74F32DEF"/>
    <w:rsid w:val="74FC1A2C"/>
    <w:rsid w:val="75377F70"/>
    <w:rsid w:val="756E3C84"/>
    <w:rsid w:val="75A60F6F"/>
    <w:rsid w:val="75E038CA"/>
    <w:rsid w:val="76346747"/>
    <w:rsid w:val="76555CA3"/>
    <w:rsid w:val="766167BC"/>
    <w:rsid w:val="766B41BF"/>
    <w:rsid w:val="76E16C86"/>
    <w:rsid w:val="76FD4AD8"/>
    <w:rsid w:val="78AA325E"/>
    <w:rsid w:val="78FA5D36"/>
    <w:rsid w:val="790A7A81"/>
    <w:rsid w:val="79850BC6"/>
    <w:rsid w:val="79D73EE6"/>
    <w:rsid w:val="7A08012D"/>
    <w:rsid w:val="7B5B3205"/>
    <w:rsid w:val="7BBB0C98"/>
    <w:rsid w:val="7C1869F0"/>
    <w:rsid w:val="7C702053"/>
    <w:rsid w:val="7C86358B"/>
    <w:rsid w:val="7CDF5A30"/>
    <w:rsid w:val="7CFE5817"/>
    <w:rsid w:val="7D762198"/>
    <w:rsid w:val="7D9B1B0D"/>
    <w:rsid w:val="7DF80F79"/>
    <w:rsid w:val="7E1A0543"/>
    <w:rsid w:val="7E235535"/>
    <w:rsid w:val="7E850946"/>
    <w:rsid w:val="7EDC2A8C"/>
    <w:rsid w:val="7EED3CB7"/>
    <w:rsid w:val="7F130CB6"/>
    <w:rsid w:val="7F4F6CB4"/>
    <w:rsid w:val="7FA02876"/>
    <w:rsid w:val="7FC05045"/>
    <w:rsid w:val="B697F136"/>
    <w:rsid w:val="BD977B91"/>
    <w:rsid w:val="D76F29EC"/>
    <w:rsid w:val="ECBF7B0C"/>
    <w:rsid w:val="ED7FDE47"/>
    <w:rsid w:val="F3DBFCDB"/>
    <w:rsid w:val="F3FBA9A9"/>
    <w:rsid w:val="F7DFC63C"/>
    <w:rsid w:val="FBFEB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7"/>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caption"/>
    <w:basedOn w:val="1"/>
    <w:next w:val="1"/>
    <w:semiHidden/>
    <w:unhideWhenUsed/>
    <w:qFormat/>
    <w:uiPriority w:val="0"/>
    <w:pPr>
      <w:keepNext w:val="0"/>
      <w:keepLines w:val="0"/>
      <w:widowControl w:val="0"/>
      <w:suppressLineNumbers w:val="0"/>
      <w:spacing w:before="0" w:beforeAutospacing="0" w:after="0" w:afterAutospacing="0"/>
      <w:ind w:left="0" w:right="0"/>
      <w:jc w:val="both"/>
    </w:pPr>
    <w:rPr>
      <w:rFonts w:hint="default" w:ascii="Arial" w:hAnsi="Arial" w:eastAsia="黑体" w:cs="Times New Roman"/>
      <w:kern w:val="2"/>
      <w:sz w:val="20"/>
      <w:szCs w:val="22"/>
      <w:lang w:val="en-US" w:eastAsia="zh-CN" w:bidi="ar"/>
    </w:rPr>
  </w:style>
  <w:style w:type="paragraph" w:styleId="6">
    <w:name w:val="annotation text"/>
    <w:basedOn w:val="1"/>
    <w:link w:val="35"/>
    <w:unhideWhenUsed/>
    <w:qFormat/>
    <w:uiPriority w:val="99"/>
    <w:pPr>
      <w:adjustRightInd w:val="0"/>
      <w:snapToGrid w:val="0"/>
      <w:jc w:val="left"/>
    </w:pPr>
  </w:style>
  <w:style w:type="paragraph" w:styleId="7">
    <w:name w:val="Body Text"/>
    <w:basedOn w:val="1"/>
    <w:semiHidden/>
    <w:unhideWhenUsed/>
    <w:qFormat/>
    <w:uiPriority w:val="99"/>
    <w:pPr>
      <w:spacing w:after="120"/>
    </w:pPr>
  </w:style>
  <w:style w:type="paragraph" w:styleId="8">
    <w:name w:val="Body Text Indent"/>
    <w:basedOn w:val="1"/>
    <w:link w:val="43"/>
    <w:semiHidden/>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qFormat/>
    <w:uiPriority w:val="0"/>
  </w:style>
  <w:style w:type="paragraph" w:styleId="12">
    <w:name w:val="footnote text"/>
    <w:basedOn w:val="1"/>
    <w:link w:val="38"/>
    <w:qFormat/>
    <w:uiPriority w:val="0"/>
    <w:pPr>
      <w:keepNext w:val="0"/>
      <w:keepLines w:val="0"/>
      <w:widowControl w:val="0"/>
      <w:suppressLineNumbers w:val="0"/>
      <w:snapToGrid w:val="0"/>
      <w:spacing w:before="0" w:beforeAutospacing="0" w:after="0" w:afterAutospacing="0"/>
      <w:ind w:left="0" w:right="0"/>
      <w:jc w:val="left"/>
    </w:pPr>
    <w:rPr>
      <w:rFonts w:hint="eastAsia" w:ascii="等线" w:hAnsi="等线" w:eastAsia="仿宋_GB2312" w:cs="Times New Roman"/>
      <w:kern w:val="2"/>
      <w:sz w:val="18"/>
      <w:szCs w:val="18"/>
      <w:lang w:val="en-US" w:eastAsia="zh-CN" w:bidi="ar"/>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6"/>
    <w:next w:val="6"/>
    <w:link w:val="36"/>
    <w:qFormat/>
    <w:uiPriority w:val="0"/>
    <w:pPr>
      <w:adjustRightInd/>
      <w:snapToGrid/>
    </w:pPr>
    <w:rPr>
      <w:b/>
      <w:bCs/>
    </w:rPr>
  </w:style>
  <w:style w:type="paragraph" w:styleId="16">
    <w:name w:val="Body Text First Indent"/>
    <w:basedOn w:val="7"/>
    <w:next w:val="17"/>
    <w:qFormat/>
    <w:uiPriority w:val="0"/>
    <w:pPr>
      <w:spacing w:line="240" w:lineRule="auto"/>
      <w:ind w:firstLine="420" w:firstLineChars="100"/>
    </w:pPr>
    <w:rPr>
      <w:rFonts w:ascii="仿宋" w:hAnsi="仿宋" w:eastAsia="仿宋" w:cs="仿宋"/>
      <w:szCs w:val="32"/>
      <w:lang w:val="zh-CN" w:bidi="zh-CN"/>
    </w:rPr>
  </w:style>
  <w:style w:type="paragraph" w:styleId="17">
    <w:name w:val="Body Text First Indent 2"/>
    <w:basedOn w:val="8"/>
    <w:next w:val="1"/>
    <w:semiHidden/>
    <w:unhideWhenUsed/>
    <w:qFormat/>
    <w:uiPriority w:val="99"/>
    <w:pPr>
      <w:ind w:firstLine="420"/>
    </w:p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FollowedHyperlink"/>
    <w:basedOn w:val="20"/>
    <w:qFormat/>
    <w:uiPriority w:val="0"/>
    <w:rPr>
      <w:color w:val="800080"/>
      <w:u w:val="single"/>
    </w:rPr>
  </w:style>
  <w:style w:type="character" w:styleId="23">
    <w:name w:val="Emphasis"/>
    <w:basedOn w:val="20"/>
    <w:qFormat/>
    <w:uiPriority w:val="0"/>
    <w:rPr>
      <w:i/>
    </w:rPr>
  </w:style>
  <w:style w:type="character" w:styleId="24">
    <w:name w:val="Hyperlink"/>
    <w:qFormat/>
    <w:uiPriority w:val="0"/>
    <w:rPr>
      <w:color w:val="0000FF"/>
      <w:u w:val="single"/>
    </w:rPr>
  </w:style>
  <w:style w:type="character" w:styleId="25">
    <w:name w:val="annotation reference"/>
    <w:basedOn w:val="20"/>
    <w:semiHidden/>
    <w:unhideWhenUsed/>
    <w:qFormat/>
    <w:uiPriority w:val="99"/>
    <w:rPr>
      <w:sz w:val="21"/>
      <w:szCs w:val="21"/>
    </w:rPr>
  </w:style>
  <w:style w:type="character" w:styleId="26">
    <w:name w:val="footnote reference"/>
    <w:qFormat/>
    <w:uiPriority w:val="0"/>
    <w:rPr>
      <w:vertAlign w:val="superscript"/>
    </w:rPr>
  </w:style>
  <w:style w:type="paragraph" w:customStyle="1" w:styleId="27">
    <w:name w:val="二级标题"/>
    <w:basedOn w:val="1"/>
    <w:next w:val="28"/>
    <w:qFormat/>
    <w:uiPriority w:val="0"/>
    <w:pPr>
      <w:keepNext/>
      <w:keepLines/>
      <w:outlineLvl w:val="1"/>
    </w:pPr>
    <w:rPr>
      <w:rFonts w:eastAsia="楷体_GB2312" w:cs="Times New Roman"/>
      <w:szCs w:val="32"/>
    </w:rPr>
  </w:style>
  <w:style w:type="paragraph" w:customStyle="1" w:styleId="28">
    <w:name w:val="正文-缩进"/>
    <w:basedOn w:val="1"/>
    <w:qFormat/>
    <w:uiPriority w:val="0"/>
    <w:pPr>
      <w:ind w:firstLine="640"/>
    </w:pPr>
  </w:style>
  <w:style w:type="paragraph" w:customStyle="1" w:styleId="29">
    <w:name w:val="Heading3"/>
    <w:basedOn w:val="1"/>
    <w:next w:val="1"/>
    <w:qFormat/>
    <w:uiPriority w:val="99"/>
    <w:pPr>
      <w:widowControl/>
      <w:spacing w:before="100" w:beforeAutospacing="1" w:after="100" w:afterAutospacing="1"/>
      <w:jc w:val="left"/>
      <w:textAlignment w:val="baseline"/>
    </w:pPr>
    <w:rPr>
      <w:rFonts w:ascii="宋体" w:hAnsi="宋体"/>
      <w:b/>
      <w:kern w:val="0"/>
      <w:sz w:val="27"/>
      <w:szCs w:val="27"/>
    </w:rPr>
  </w:style>
  <w:style w:type="paragraph" w:styleId="30">
    <w:name w:val="List Paragraph"/>
    <w:basedOn w:val="1"/>
    <w:qFormat/>
    <w:uiPriority w:val="34"/>
    <w:pPr>
      <w:ind w:left="720"/>
      <w:contextualSpacing/>
    </w:pPr>
  </w:style>
  <w:style w:type="paragraph" w:customStyle="1" w:styleId="31">
    <w:name w:val="列出段落1"/>
    <w:basedOn w:val="1"/>
    <w:unhideWhenUsed/>
    <w:qFormat/>
    <w:uiPriority w:val="34"/>
    <w:pPr>
      <w:ind w:left="480" w:leftChars="200"/>
    </w:pPr>
    <w:rPr>
      <w:sz w:val="21"/>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Revision"/>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35">
    <w:name w:val="批注文字 字符"/>
    <w:basedOn w:val="20"/>
    <w:link w:val="6"/>
    <w:qFormat/>
    <w:uiPriority w:val="99"/>
    <w:rPr>
      <w:rFonts w:eastAsia="仿宋_GB2312" w:cstheme="minorBidi"/>
      <w:kern w:val="2"/>
      <w:sz w:val="32"/>
      <w:szCs w:val="22"/>
    </w:rPr>
  </w:style>
  <w:style w:type="character" w:customStyle="1" w:styleId="36">
    <w:name w:val="批注主题 字符"/>
    <w:basedOn w:val="35"/>
    <w:link w:val="15"/>
    <w:qFormat/>
    <w:uiPriority w:val="0"/>
    <w:rPr>
      <w:rFonts w:eastAsia="仿宋_GB2312" w:cstheme="minorBidi"/>
      <w:b/>
      <w:bCs/>
      <w:kern w:val="2"/>
      <w:sz w:val="32"/>
      <w:szCs w:val="22"/>
    </w:rPr>
  </w:style>
  <w:style w:type="character" w:customStyle="1" w:styleId="37">
    <w:name w:val="标题 1 字符"/>
    <w:basedOn w:val="20"/>
    <w:link w:val="2"/>
    <w:qFormat/>
    <w:uiPriority w:val="0"/>
    <w:rPr>
      <w:rFonts w:hint="eastAsia" w:ascii="等线 Light" w:hAnsi="等线 Light" w:eastAsia="等线 Light" w:cs="等线 Light"/>
      <w:color w:val="2F5496"/>
      <w:kern w:val="2"/>
      <w:sz w:val="48"/>
      <w:szCs w:val="48"/>
    </w:rPr>
  </w:style>
  <w:style w:type="character" w:customStyle="1" w:styleId="38">
    <w:name w:val="脚注文本 字符"/>
    <w:basedOn w:val="20"/>
    <w:link w:val="12"/>
    <w:qFormat/>
    <w:uiPriority w:val="0"/>
    <w:rPr>
      <w:rFonts w:hint="eastAsia" w:ascii="等线" w:hAnsi="等线" w:eastAsia="仿宋_GB2312" w:cs="等线"/>
      <w:kern w:val="2"/>
      <w:sz w:val="18"/>
      <w:szCs w:val="18"/>
    </w:rPr>
  </w:style>
  <w:style w:type="character" w:customStyle="1" w:styleId="39">
    <w:name w:val="font61"/>
    <w:basedOn w:val="20"/>
    <w:qFormat/>
    <w:uiPriority w:val="0"/>
    <w:rPr>
      <w:rFonts w:hint="default" w:ascii="Times New Roman" w:hAnsi="Times New Roman" w:cs="Times New Roman"/>
      <w:color w:val="000000"/>
      <w:sz w:val="20"/>
      <w:szCs w:val="20"/>
      <w:u w:val="none"/>
    </w:rPr>
  </w:style>
  <w:style w:type="character" w:customStyle="1" w:styleId="40">
    <w:name w:val="font41"/>
    <w:basedOn w:val="20"/>
    <w:qFormat/>
    <w:uiPriority w:val="0"/>
    <w:rPr>
      <w:rFonts w:hint="eastAsia" w:ascii="仿宋_GB2312" w:eastAsia="仿宋_GB2312" w:cs="仿宋_GB2312"/>
      <w:color w:val="000000"/>
      <w:sz w:val="20"/>
      <w:szCs w:val="20"/>
      <w:u w:val="none"/>
    </w:rPr>
  </w:style>
  <w:style w:type="character" w:customStyle="1" w:styleId="41">
    <w:name w:val="font31"/>
    <w:basedOn w:val="20"/>
    <w:qFormat/>
    <w:uiPriority w:val="0"/>
    <w:rPr>
      <w:rFonts w:hint="default" w:ascii="Times New Roman" w:hAnsi="Times New Roman" w:cs="Times New Roman"/>
      <w:color w:val="000000"/>
      <w:sz w:val="20"/>
      <w:szCs w:val="20"/>
      <w:u w:val="none"/>
    </w:rPr>
  </w:style>
  <w:style w:type="character" w:customStyle="1" w:styleId="42">
    <w:name w:val="正文文本首行缩进 2 字符"/>
    <w:basedOn w:val="43"/>
    <w:qFormat/>
    <w:uiPriority w:val="0"/>
    <w:rPr>
      <w:rFonts w:hint="eastAsia" w:ascii="等线" w:hAnsi="等线" w:eastAsia="仿宋_GB2312" w:cs="等线"/>
      <w:kern w:val="2"/>
      <w:sz w:val="32"/>
      <w:szCs w:val="22"/>
    </w:rPr>
  </w:style>
  <w:style w:type="character" w:customStyle="1" w:styleId="43">
    <w:name w:val="正文文本缩进 字符"/>
    <w:basedOn w:val="20"/>
    <w:link w:val="8"/>
    <w:qFormat/>
    <w:uiPriority w:val="0"/>
    <w:rPr>
      <w:rFonts w:hint="eastAsia" w:ascii="等线" w:hAnsi="等线" w:eastAsia="仿宋_GB2312" w:cs="等线"/>
      <w:kern w:val="2"/>
      <w:sz w:val="32"/>
      <w:szCs w:val="22"/>
    </w:rPr>
  </w:style>
  <w:style w:type="character" w:customStyle="1" w:styleId="44">
    <w:name w:val="font11"/>
    <w:basedOn w:val="20"/>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662</Words>
  <Characters>693</Characters>
  <Lines>1</Lines>
  <Paragraphs>1</Paragraphs>
  <TotalTime>1</TotalTime>
  <ScaleCrop>false</ScaleCrop>
  <LinksUpToDate>false</LinksUpToDate>
  <CharactersWithSpaces>789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2026-01-06T09:46:00Z</dcterms:created>
  <dc:creator>wg</dc:creator>
  <cp:lastModifiedBy>zdzx</cp:lastModifiedBy>
  <cp:lastPrinted>2025-10-15T17:51:00Z</cp:lastPrinted>
  <dcterms:modified xsi:type="dcterms:W3CDTF">2026-06-24T10:52:35Z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CE82AA9E29074028A136955025F4DA4A_13</vt:lpwstr>
  </property>
  <property fmtid="{D5CDD505-2E9C-101B-9397-08002B2CF9AE}" pid="4" name="KSOTemplateDocerSaveRecord">
    <vt:lpwstr>eyJoZGlkIjoiZDI5YmE0MGYyNGUzOGQ4OWM1MzMxZTA2NmQ1YjA3MDciLCJ1c2VySWQiOiI0MjQ1MTM4MzgifQ==</vt:lpwstr>
  </property>
</Properties>
</file>