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pacing w:line="560" w:lineRule="exact"/>
        <w:jc w:val="center"/>
        <w:textAlignment w:val="auto"/>
        <w:rPr>
          <w:rFonts w:ascii="方正小标宋简体" w:hAnsi="方正小标宋简体" w:eastAsia="方正小标宋简体" w:cs="方正小标宋简体"/>
          <w:bCs/>
          <w:color w:val="auto"/>
          <w:sz w:val="40"/>
          <w:szCs w:val="44"/>
        </w:rPr>
      </w:pPr>
      <w:r>
        <w:rPr>
          <w:rFonts w:hint="eastAsia" w:ascii="方正小标宋简体" w:hAnsi="方正小标宋简体" w:eastAsia="方正小标宋简体" w:cs="方正小标宋简体"/>
          <w:bCs/>
          <w:color w:val="auto"/>
          <w:sz w:val="40"/>
          <w:szCs w:val="44"/>
        </w:rPr>
        <w:t>汕尾港总体规划（</w:t>
      </w:r>
      <w:bookmarkStart w:id="17" w:name="_GoBack"/>
      <w:bookmarkEnd w:id="17"/>
      <w:r>
        <w:rPr>
          <w:rFonts w:hint="eastAsia" w:ascii="方正小标宋简体" w:hAnsi="方正小标宋简体" w:eastAsia="方正小标宋简体" w:cs="方正小标宋简体"/>
          <w:bCs/>
          <w:color w:val="auto"/>
          <w:sz w:val="40"/>
          <w:szCs w:val="44"/>
        </w:rPr>
        <w:t>202</w:t>
      </w:r>
      <w:r>
        <w:rPr>
          <w:rFonts w:hint="default" w:ascii="方正小标宋简体" w:hAnsi="方正小标宋简体" w:eastAsia="方正小标宋简体" w:cs="方正小标宋简体"/>
          <w:bCs/>
          <w:color w:val="auto"/>
          <w:sz w:val="40"/>
          <w:szCs w:val="44"/>
          <w:lang w:val="en-US"/>
        </w:rPr>
        <w:t>4</w:t>
      </w:r>
      <w:r>
        <w:rPr>
          <w:rFonts w:hint="eastAsia" w:ascii="方正小标宋简体" w:hAnsi="方正小标宋简体" w:eastAsia="方正小标宋简体" w:cs="方正小标宋简体"/>
          <w:bCs/>
          <w:color w:val="auto"/>
          <w:sz w:val="40"/>
          <w:szCs w:val="44"/>
        </w:rPr>
        <w:t>-2035年）</w:t>
      </w:r>
      <w:r>
        <w:rPr>
          <w:rFonts w:hint="eastAsia" w:ascii="方正小标宋简体" w:hAnsi="方正小标宋简体" w:eastAsia="方正小标宋简体" w:cs="方正小标宋简体"/>
          <w:bCs/>
          <w:color w:val="auto"/>
          <w:sz w:val="40"/>
          <w:szCs w:val="44"/>
          <w:lang w:val="en-US" w:eastAsia="zh-CN"/>
        </w:rPr>
        <w:t>起草</w:t>
      </w:r>
      <w:r>
        <w:rPr>
          <w:rFonts w:hint="eastAsia" w:ascii="方正小标宋简体" w:hAnsi="方正小标宋简体" w:eastAsia="方正小标宋简体" w:cs="方正小标宋简体"/>
          <w:bCs/>
          <w:color w:val="auto"/>
          <w:sz w:val="40"/>
          <w:szCs w:val="44"/>
        </w:rPr>
        <w:t>说明</w:t>
      </w:r>
    </w:p>
    <w:p>
      <w:pPr>
        <w:pStyle w:val="4"/>
        <w:keepNext w:val="0"/>
        <w:keepLines w:val="0"/>
        <w:pageBreakBefore w:val="0"/>
        <w:widowControl w:val="0"/>
        <w:kinsoku/>
        <w:wordWrap/>
        <w:overflowPunct/>
        <w:topLinePunct w:val="0"/>
        <w:bidi w:val="0"/>
        <w:spacing w:line="560" w:lineRule="exact"/>
        <w:textAlignment w:val="auto"/>
        <w:rPr>
          <w:rFonts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ascii="黑体" w:hAnsi="黑体" w:eastAsia="黑体" w:cs="黑体"/>
          <w:color w:val="auto"/>
          <w:sz w:val="32"/>
          <w:szCs w:val="32"/>
        </w:rPr>
      </w:pPr>
      <w:r>
        <w:rPr>
          <w:rFonts w:hint="eastAsia" w:ascii="黑体" w:hAnsi="黑体" w:eastAsia="黑体" w:cs="黑体"/>
          <w:color w:val="auto"/>
          <w:sz w:val="32"/>
          <w:szCs w:val="32"/>
        </w:rPr>
        <w:t>一、</w:t>
      </w:r>
      <w:r>
        <w:rPr>
          <w:rFonts w:hint="eastAsia" w:ascii="黑体" w:hAnsi="黑体" w:eastAsia="黑体" w:cs="黑体"/>
          <w:color w:val="auto"/>
          <w:sz w:val="32"/>
          <w:szCs w:val="32"/>
          <w:lang w:val="en-US" w:eastAsia="zh-CN"/>
        </w:rPr>
        <w:t>起草</w:t>
      </w:r>
      <w:r>
        <w:rPr>
          <w:rFonts w:hint="eastAsia" w:ascii="黑体" w:hAnsi="黑体" w:eastAsia="黑体" w:cs="黑体"/>
          <w:color w:val="auto"/>
          <w:sz w:val="32"/>
          <w:szCs w:val="32"/>
        </w:rPr>
        <w:t>背景</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rPr>
      </w:pPr>
      <w:bookmarkStart w:id="0" w:name="OLE_LINK4"/>
      <w:r>
        <w:rPr>
          <w:rFonts w:hint="eastAsia" w:ascii="Times New Roman" w:hAnsi="Times New Roman" w:eastAsia="仿宋_GB2312" w:cs="Times New Roman"/>
          <w:color w:val="auto"/>
          <w:sz w:val="32"/>
          <w:szCs w:val="32"/>
        </w:rPr>
        <w:t>为贯彻市委市政府的最新决策部署，适应汕尾市城市和</w:t>
      </w:r>
      <w:r>
        <w:rPr>
          <w:rFonts w:hint="eastAsia" w:ascii="Times New Roman" w:hAnsi="Times New Roman" w:eastAsia="仿宋_GB2312" w:cs="Times New Roman"/>
          <w:color w:val="auto"/>
          <w:sz w:val="32"/>
          <w:szCs w:val="32"/>
          <w:lang w:val="en-US" w:eastAsia="zh-CN"/>
        </w:rPr>
        <w:t>临港</w:t>
      </w:r>
      <w:r>
        <w:rPr>
          <w:rFonts w:hint="eastAsia" w:ascii="Times New Roman" w:hAnsi="Times New Roman" w:eastAsia="仿宋_GB2312" w:cs="Times New Roman"/>
          <w:color w:val="auto"/>
          <w:sz w:val="32"/>
          <w:szCs w:val="32"/>
        </w:rPr>
        <w:t>产业集群发展的新形势，我局于2021年委托广东省交通运输规划研究中心开展新一轮《汕尾港总体规划》（下称规划）的编制工作，对汕尾港的功能定位、岸线利用规划及港区布置规划进行优化完善，从规划层面为汕尾港口的建设发展提供指导和支撑。</w:t>
      </w:r>
    </w:p>
    <w:bookmarkEnd w:id="0"/>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ascii="黑体" w:hAnsi="黑体" w:eastAsia="黑体" w:cs="黑体"/>
          <w:color w:val="auto"/>
          <w:sz w:val="32"/>
          <w:szCs w:val="32"/>
        </w:rPr>
      </w:pPr>
      <w:r>
        <w:rPr>
          <w:rFonts w:ascii="黑体" w:hAnsi="黑体" w:eastAsia="黑体" w:cs="黑体"/>
          <w:color w:val="auto"/>
          <w:sz w:val="32"/>
          <w:szCs w:val="32"/>
        </w:rPr>
        <w:t>二、</w:t>
      </w:r>
      <w:r>
        <w:rPr>
          <w:rFonts w:hint="eastAsia" w:ascii="黑体" w:hAnsi="黑体" w:eastAsia="黑体" w:cs="黑体"/>
          <w:color w:val="auto"/>
          <w:sz w:val="32"/>
          <w:szCs w:val="32"/>
          <w:lang w:val="en-US" w:eastAsia="zh-CN"/>
        </w:rPr>
        <w:t>起草依据及</w:t>
      </w:r>
      <w:r>
        <w:rPr>
          <w:rFonts w:ascii="黑体" w:hAnsi="黑体" w:eastAsia="黑体" w:cs="黑体"/>
          <w:color w:val="auto"/>
          <w:sz w:val="32"/>
          <w:szCs w:val="32"/>
        </w:rPr>
        <w:t>过程</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eastAsia="zh-CN"/>
        </w:rPr>
        <w:t>（</w:t>
      </w:r>
      <w:r>
        <w:rPr>
          <w:rFonts w:hint="eastAsia" w:ascii="楷体" w:hAnsi="楷体" w:eastAsia="楷体" w:cs="楷体"/>
          <w:color w:val="auto"/>
          <w:sz w:val="32"/>
          <w:szCs w:val="32"/>
          <w:lang w:val="en-US" w:eastAsia="zh-CN"/>
        </w:rPr>
        <w:t>一</w:t>
      </w:r>
      <w:r>
        <w:rPr>
          <w:rFonts w:hint="eastAsia" w:ascii="楷体" w:hAnsi="楷体" w:eastAsia="楷体" w:cs="楷体"/>
          <w:color w:val="auto"/>
          <w:sz w:val="32"/>
          <w:szCs w:val="32"/>
          <w:lang w:eastAsia="zh-CN"/>
        </w:rPr>
        <w:t>）</w:t>
      </w:r>
      <w:r>
        <w:rPr>
          <w:rFonts w:hint="eastAsia" w:ascii="楷体" w:hAnsi="楷体" w:eastAsia="楷体" w:cs="楷体"/>
          <w:color w:val="auto"/>
          <w:sz w:val="32"/>
          <w:szCs w:val="32"/>
          <w:lang w:val="en-US" w:eastAsia="zh-CN"/>
        </w:rPr>
        <w:t>依据</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rPr>
        <w:t>《全国港口与航道布局规划》；</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rPr>
        <w:t>《广东省港口布局规划（2021—2035年）》（粤府办〔2022〕9号）；</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rPr>
        <w:t>《广东省航道发展规划（2020—2035 年）》（粤交规〔2020〕786号）；</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《汕尾港总体规划》（粤交规函〔2014〕782号）；</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宋体" w:hAnsi="宋体" w:eastAsia="宋体"/>
          <w:color w:val="auto"/>
          <w:sz w:val="28"/>
          <w:szCs w:val="24"/>
        </w:rPr>
      </w:pPr>
      <w:r>
        <w:rPr>
          <w:rFonts w:hint="default" w:ascii="Times New Roman" w:hAnsi="Times New Roman" w:eastAsia="仿宋_GB2312" w:cs="Times New Roman"/>
          <w:color w:val="auto"/>
          <w:sz w:val="32"/>
          <w:szCs w:val="32"/>
          <w:lang w:val="en-US"/>
        </w:rPr>
        <w:t>5.</w:t>
      </w:r>
      <w:r>
        <w:rPr>
          <w:rFonts w:hint="eastAsia" w:ascii="Times New Roman" w:hAnsi="Times New Roman" w:eastAsia="仿宋_GB2312" w:cs="Times New Roman"/>
          <w:color w:val="auto"/>
          <w:sz w:val="32"/>
          <w:szCs w:val="32"/>
        </w:rPr>
        <w:t>《汕尾市国土空间总体规划（2021—2035年）》</w:t>
      </w:r>
      <w:r>
        <w:rPr>
          <w:rFonts w:hint="eastAsia" w:ascii="Times New Roman" w:hAnsi="Times New Roman" w:eastAsia="仿宋_GB2312" w:cs="Times New Roman"/>
          <w:color w:val="auto"/>
          <w:sz w:val="32"/>
          <w:szCs w:val="32"/>
          <w:lang w:val="en-US" w:eastAsia="zh-CN"/>
        </w:rPr>
        <w:t>等相关规划。</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ascii="Times New Roman" w:hAnsi="Times New Roman" w:eastAsia="仿宋_GB2312" w:cs="Times New Roman"/>
          <w:color w:val="auto"/>
          <w:sz w:val="32"/>
          <w:szCs w:val="32"/>
        </w:rPr>
      </w:pPr>
      <w:r>
        <w:rPr>
          <w:rFonts w:hint="eastAsia" w:ascii="楷体" w:hAnsi="楷体" w:eastAsia="楷体" w:cs="楷体"/>
          <w:color w:val="auto"/>
          <w:sz w:val="32"/>
          <w:szCs w:val="32"/>
          <w:lang w:eastAsia="zh-CN"/>
        </w:rPr>
        <w:t>（</w:t>
      </w:r>
      <w:r>
        <w:rPr>
          <w:rFonts w:hint="eastAsia" w:ascii="楷体" w:hAnsi="楷体" w:eastAsia="楷体" w:cs="楷体"/>
          <w:color w:val="auto"/>
          <w:sz w:val="32"/>
          <w:szCs w:val="32"/>
          <w:lang w:val="en-US" w:eastAsia="zh-CN"/>
        </w:rPr>
        <w:t>二</w:t>
      </w:r>
      <w:r>
        <w:rPr>
          <w:rFonts w:hint="eastAsia" w:ascii="楷体" w:hAnsi="楷体" w:eastAsia="楷体" w:cs="楷体"/>
          <w:color w:val="auto"/>
          <w:sz w:val="32"/>
          <w:szCs w:val="32"/>
          <w:lang w:eastAsia="zh-CN"/>
        </w:rPr>
        <w:t>）</w:t>
      </w:r>
      <w:r>
        <w:rPr>
          <w:rFonts w:hint="eastAsia" w:ascii="楷体" w:hAnsi="楷体" w:eastAsia="楷体" w:cs="楷体"/>
          <w:color w:val="auto"/>
          <w:sz w:val="32"/>
          <w:szCs w:val="32"/>
          <w:lang w:val="en-US" w:eastAsia="zh-CN"/>
        </w:rPr>
        <w:t>过程</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《规划》于2021年2月正式启动，</w:t>
      </w:r>
      <w:bookmarkStart w:id="1" w:name="OLE_LINK6"/>
      <w:r>
        <w:rPr>
          <w:rFonts w:hint="eastAsia" w:ascii="Times New Roman" w:hAnsi="Times New Roman" w:eastAsia="仿宋_GB2312" w:cs="Times New Roman"/>
          <w:color w:val="auto"/>
          <w:sz w:val="32"/>
          <w:szCs w:val="32"/>
        </w:rPr>
        <w:t>2021年4月、8月、9月三轮征求各地各单位意见，</w:t>
      </w:r>
      <w:bookmarkEnd w:id="1"/>
      <w:bookmarkStart w:id="2" w:name="OLE_LINK7"/>
      <w:r>
        <w:rPr>
          <w:rFonts w:hint="eastAsia" w:ascii="Times New Roman" w:hAnsi="Times New Roman" w:eastAsia="仿宋_GB2312" w:cs="Times New Roman"/>
          <w:color w:val="auto"/>
          <w:sz w:val="32"/>
          <w:szCs w:val="32"/>
        </w:rPr>
        <w:t>2021年9月征求了周边的揭阳、惠州及深圳市交通运输局的意见；2021年10月，向省交通运输厅综合规划处汇报了《规划》成果并组织召开了专家咨询会，组织编制单位根据相关意见修改完善。</w:t>
      </w:r>
    </w:p>
    <w:bookmarkEnd w:id="2"/>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rPr>
      </w:pPr>
      <w:bookmarkStart w:id="3" w:name="OLE_LINK8"/>
      <w:r>
        <w:rPr>
          <w:rFonts w:hint="eastAsia" w:ascii="Times New Roman" w:hAnsi="Times New Roman" w:eastAsia="仿宋_GB2312" w:cs="Times New Roman"/>
          <w:color w:val="auto"/>
          <w:sz w:val="32"/>
          <w:szCs w:val="32"/>
        </w:rPr>
        <w:t>2022年，市委市政府多次听取《规划》编制情况，并就《规划》中涉及的红线冲突问题多次组织了由交通、生态环境、自然等多部门共同参与的协调讨论会，落实港口资源要素涉及生态红线及近岸海域环境功能区划衔接保障工作。</w:t>
      </w:r>
    </w:p>
    <w:bookmarkEnd w:id="3"/>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rPr>
      </w:pPr>
      <w:bookmarkStart w:id="4" w:name="OLE_LINK9"/>
      <w:r>
        <w:rPr>
          <w:rFonts w:hint="eastAsia" w:ascii="Times New Roman" w:hAnsi="Times New Roman" w:eastAsia="仿宋_GB2312" w:cs="Times New Roman"/>
          <w:color w:val="auto"/>
          <w:sz w:val="32"/>
          <w:szCs w:val="32"/>
        </w:rPr>
        <w:t>2023年9月，《规划》再次征求各地各部门意见。期间，持续对接部队争取支持出具规划书面意见</w:t>
      </w:r>
      <w:bookmarkEnd w:id="4"/>
      <w:bookmarkStart w:id="5" w:name="OLE_LINK10"/>
      <w:r>
        <w:rPr>
          <w:rFonts w:hint="eastAsia" w:ascii="Times New Roman" w:hAnsi="Times New Roman" w:eastAsia="仿宋_GB2312" w:cs="Times New Roman"/>
          <w:color w:val="auto"/>
          <w:sz w:val="32"/>
          <w:szCs w:val="32"/>
        </w:rPr>
        <w:t>（截至目前尚未取得部队书面意见，按省厅指导暂以市委军民融合办意见作为备用意见报批），结合市政府关于海洋装备制造产业发展需求再度组织规划修编。</w:t>
      </w:r>
      <w:bookmarkEnd w:id="5"/>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rPr>
      </w:pPr>
      <w:bookmarkStart w:id="6" w:name="OLE_LINK14"/>
      <w:r>
        <w:rPr>
          <w:rFonts w:hint="eastAsia" w:ascii="Times New Roman" w:hAnsi="Times New Roman" w:eastAsia="仿宋_GB2312" w:cs="Times New Roman"/>
          <w:color w:val="auto"/>
          <w:sz w:val="32"/>
          <w:szCs w:val="32"/>
        </w:rPr>
        <w:t>2024年10月再次就《规划》最新成果征求各地各部门意见，并结合相关意见合理采纳修改。2024年11月，上报《规划》送审稿到省交通运输厅，省厅于2024年12月26日组织召开专家评审会，2025年3月6日省厅正式印发规划评审意见。</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2024年11月-2025年</w:t>
      </w:r>
      <w:r>
        <w:rPr>
          <w:rFonts w:hint="default" w:ascii="Times New Roman" w:hAnsi="Times New Roman" w:eastAsia="仿宋_GB2312" w:cs="Times New Roman"/>
          <w:color w:val="auto"/>
          <w:sz w:val="32"/>
          <w:szCs w:val="32"/>
          <w:lang w:val="en-US"/>
        </w:rPr>
        <w:t>6</w:t>
      </w:r>
      <w:r>
        <w:rPr>
          <w:rFonts w:hint="eastAsia" w:ascii="Times New Roman" w:hAnsi="Times New Roman" w:eastAsia="仿宋_GB2312" w:cs="Times New Roman"/>
          <w:color w:val="auto"/>
          <w:sz w:val="32"/>
          <w:szCs w:val="32"/>
        </w:rPr>
        <w:t>月，按照省厅印发的评审意见及结合我市新发展形势要求，对照红海湾绿色制造产业园发展需要、汕尾市水上客运布局需要、城区关于衔接马宫渔港要求、省厅衔接国防战备码头发展指示，我局组织编制单位多轮对规划进行修编完善，在合理避让自然要素限制的基础上，尽可能满足市委市政府及各方发展需要完善规划，最终形成规划报批稿。</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default" w:ascii="Times New Roman" w:hAnsi="Times New Roman" w:eastAsia="仿宋_GB2312" w:cs="Times New Roman"/>
          <w:color w:val="auto"/>
          <w:sz w:val="32"/>
          <w:szCs w:val="32"/>
          <w:lang w:val="en-US"/>
        </w:rPr>
      </w:pPr>
      <w:bookmarkStart w:id="7" w:name="OLE_LINK17"/>
      <w:r>
        <w:rPr>
          <w:rFonts w:hint="default" w:ascii="Times New Roman" w:hAnsi="Times New Roman" w:eastAsia="仿宋_GB2312" w:cs="Times New Roman"/>
          <w:color w:val="auto"/>
          <w:sz w:val="32"/>
          <w:szCs w:val="32"/>
          <w:lang w:val="en-US"/>
        </w:rPr>
        <w:t>2025</w:t>
      </w:r>
      <w:r>
        <w:rPr>
          <w:rFonts w:hint="eastAsia" w:ascii="Times New Roman" w:hAnsi="Times New Roman" w:eastAsia="仿宋_GB2312" w:cs="Times New Roman"/>
          <w:color w:val="auto"/>
          <w:sz w:val="32"/>
          <w:szCs w:val="32"/>
          <w:lang w:val="en-US" w:eastAsia="zh-CN"/>
        </w:rPr>
        <w:t>年</w:t>
      </w: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月</w:t>
      </w:r>
      <w:r>
        <w:rPr>
          <w:rFonts w:hint="default" w:ascii="Times New Roman" w:hAnsi="Times New Roman" w:eastAsia="仿宋_GB2312" w:cs="Times New Roman"/>
          <w:color w:val="auto"/>
          <w:sz w:val="32"/>
          <w:szCs w:val="32"/>
          <w:lang w:val="en-US" w:eastAsia="zh-CN"/>
        </w:rPr>
        <w:t>13</w:t>
      </w:r>
      <w:r>
        <w:rPr>
          <w:rFonts w:hint="eastAsia" w:ascii="Times New Roman" w:hAnsi="Times New Roman" w:eastAsia="仿宋_GB2312" w:cs="Times New Roman"/>
          <w:color w:val="auto"/>
          <w:sz w:val="32"/>
          <w:szCs w:val="32"/>
          <w:lang w:val="en-US" w:eastAsia="zh-CN"/>
        </w:rPr>
        <w:t>日</w:t>
      </w:r>
      <w:bookmarkEnd w:id="7"/>
      <w:r>
        <w:rPr>
          <w:rFonts w:hint="eastAsia" w:ascii="Times New Roman" w:hAnsi="Times New Roman" w:eastAsia="仿宋_GB2312" w:cs="Times New Roman"/>
          <w:color w:val="auto"/>
          <w:sz w:val="32"/>
          <w:szCs w:val="32"/>
          <w:lang w:val="en-US" w:eastAsia="zh-CN"/>
        </w:rPr>
        <w:t>，结合市司法局合法性审查补正意见开展第二次公众征求意见工作，征求意见时间为</w:t>
      </w:r>
      <w:r>
        <w:rPr>
          <w:rFonts w:hint="default" w:ascii="Times New Roman" w:hAnsi="Times New Roman" w:eastAsia="仿宋_GB2312" w:cs="Times New Roman"/>
          <w:color w:val="auto"/>
          <w:sz w:val="32"/>
          <w:szCs w:val="32"/>
          <w:lang w:val="en-US"/>
        </w:rPr>
        <w:t>2025</w:t>
      </w:r>
      <w:r>
        <w:rPr>
          <w:rFonts w:hint="eastAsia" w:ascii="Times New Roman" w:hAnsi="Times New Roman" w:eastAsia="仿宋_GB2312" w:cs="Times New Roman"/>
          <w:color w:val="auto"/>
          <w:sz w:val="32"/>
          <w:szCs w:val="32"/>
          <w:lang w:val="en-US" w:eastAsia="zh-CN"/>
        </w:rPr>
        <w:t>年</w:t>
      </w: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月</w:t>
      </w:r>
      <w:r>
        <w:rPr>
          <w:rFonts w:hint="default" w:ascii="Times New Roman" w:hAnsi="Times New Roman" w:eastAsia="仿宋_GB2312" w:cs="Times New Roman"/>
          <w:color w:val="auto"/>
          <w:sz w:val="32"/>
          <w:szCs w:val="32"/>
          <w:lang w:val="en-US" w:eastAsia="zh-CN"/>
        </w:rPr>
        <w:t>13</w:t>
      </w:r>
      <w:r>
        <w:rPr>
          <w:rFonts w:hint="eastAsia" w:ascii="Times New Roman" w:hAnsi="Times New Roman" w:eastAsia="仿宋_GB2312" w:cs="Times New Roman"/>
          <w:color w:val="auto"/>
          <w:sz w:val="32"/>
          <w:szCs w:val="32"/>
          <w:lang w:val="en-US" w:eastAsia="zh-CN"/>
        </w:rPr>
        <w:t>日至</w:t>
      </w: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lang w:val="en-US" w:eastAsia="zh-CN"/>
        </w:rPr>
        <w:t>月</w:t>
      </w:r>
      <w:r>
        <w:rPr>
          <w:rFonts w:hint="default"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val="en-US" w:eastAsia="zh-CN"/>
        </w:rPr>
        <w:t>日。</w:t>
      </w:r>
    </w:p>
    <w:bookmarkEnd w:id="6"/>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hint="eastAsia" w:ascii="黑体" w:hAnsi="黑体" w:eastAsia="黑体" w:cs="黑体"/>
          <w:color w:val="auto"/>
          <w:sz w:val="32"/>
          <w:szCs w:val="32"/>
          <w:lang w:val="en-US" w:eastAsia="zh-CN"/>
        </w:rPr>
      </w:pPr>
      <w:r>
        <w:rPr>
          <w:rFonts w:ascii="黑体" w:hAnsi="黑体" w:eastAsia="黑体" w:cs="黑体"/>
          <w:color w:val="auto"/>
          <w:sz w:val="32"/>
          <w:szCs w:val="32"/>
        </w:rPr>
        <w:t>三、征求意见</w:t>
      </w:r>
      <w:r>
        <w:rPr>
          <w:rFonts w:hint="eastAsia" w:ascii="黑体" w:hAnsi="黑体" w:eastAsia="黑体" w:cs="黑体"/>
          <w:color w:val="auto"/>
          <w:sz w:val="32"/>
          <w:szCs w:val="32"/>
          <w:lang w:val="en-US" w:eastAsia="zh-CN"/>
        </w:rPr>
        <w:t>情况</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bookmarkStart w:id="8" w:name="OLE_LINK1"/>
      <w:r>
        <w:rPr>
          <w:rFonts w:hint="eastAsia" w:ascii="Times New Roman" w:hAnsi="Times New Roman" w:eastAsia="仿宋_GB2312" w:cs="Times New Roman"/>
          <w:color w:val="auto"/>
          <w:sz w:val="32"/>
          <w:szCs w:val="32"/>
          <w:lang w:val="en-US" w:eastAsia="zh-CN"/>
        </w:rPr>
        <w:t>2021年</w:t>
      </w:r>
      <w:bookmarkEnd w:id="8"/>
      <w:r>
        <w:rPr>
          <w:rFonts w:hint="eastAsia" w:ascii="Times New Roman" w:hAnsi="Times New Roman" w:eastAsia="仿宋_GB2312" w:cs="Times New Roman"/>
          <w:color w:val="auto"/>
          <w:sz w:val="32"/>
          <w:szCs w:val="32"/>
          <w:lang w:val="en-US" w:eastAsia="zh-CN"/>
        </w:rPr>
        <w:t>4月第1次征求市直相关部门和单位意见，共20个单位，收到意见45条，其中采纳3</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val="en-US" w:eastAsia="zh-CN"/>
        </w:rPr>
        <w:t>条，无修改意见</w:t>
      </w: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lang w:val="en-US" w:eastAsia="zh-CN"/>
        </w:rPr>
        <w:t>条，未采纳4条，主要是与总规编制要求不一致的意见。</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bookmarkStart w:id="9" w:name="OLE_LINK2"/>
      <w:r>
        <w:rPr>
          <w:rFonts w:hint="eastAsia" w:ascii="Times New Roman" w:hAnsi="Times New Roman" w:eastAsia="仿宋_GB2312" w:cs="Times New Roman"/>
          <w:color w:val="auto"/>
          <w:sz w:val="32"/>
          <w:szCs w:val="32"/>
          <w:lang w:val="en-US" w:eastAsia="zh-CN"/>
        </w:rPr>
        <w:t>2021年</w:t>
      </w:r>
      <w:bookmarkEnd w:id="9"/>
      <w:r>
        <w:rPr>
          <w:rFonts w:hint="eastAsia" w:ascii="Times New Roman" w:hAnsi="Times New Roman" w:eastAsia="仿宋_GB2312" w:cs="Times New Roman"/>
          <w:color w:val="auto"/>
          <w:sz w:val="32"/>
          <w:szCs w:val="32"/>
          <w:lang w:val="en-US" w:eastAsia="zh-CN"/>
        </w:rPr>
        <w:t>8月第2次征求相关部门和单位意见，并新征求海丰县林业局、中广核汕尾新能源有限公司和广东红海湾发电有限公司，收到意见</w:t>
      </w:r>
      <w:r>
        <w:rPr>
          <w:rFonts w:hint="default" w:ascii="Times New Roman" w:hAnsi="Times New Roman" w:eastAsia="仿宋_GB2312" w:cs="Times New Roman"/>
          <w:color w:val="auto"/>
          <w:sz w:val="32"/>
          <w:szCs w:val="32"/>
          <w:lang w:val="en-US" w:eastAsia="zh-CN"/>
        </w:rPr>
        <w:t>35</w:t>
      </w:r>
      <w:r>
        <w:rPr>
          <w:rFonts w:hint="eastAsia" w:ascii="Times New Roman" w:hAnsi="Times New Roman" w:eastAsia="仿宋_GB2312" w:cs="Times New Roman"/>
          <w:color w:val="auto"/>
          <w:sz w:val="32"/>
          <w:szCs w:val="32"/>
          <w:lang w:val="en-US" w:eastAsia="zh-CN"/>
        </w:rPr>
        <w:t>条，其中采纳</w:t>
      </w:r>
      <w:r>
        <w:rPr>
          <w:rFonts w:hint="default" w:ascii="Times New Roman" w:hAnsi="Times New Roman" w:eastAsia="仿宋_GB2312" w:cs="Times New Roman"/>
          <w:color w:val="auto"/>
          <w:sz w:val="32"/>
          <w:szCs w:val="32"/>
          <w:lang w:val="en-US" w:eastAsia="zh-CN"/>
        </w:rPr>
        <w:t>17</w:t>
      </w:r>
      <w:r>
        <w:rPr>
          <w:rFonts w:hint="eastAsia" w:ascii="Times New Roman" w:hAnsi="Times New Roman" w:eastAsia="仿宋_GB2312" w:cs="Times New Roman"/>
          <w:color w:val="auto"/>
          <w:sz w:val="32"/>
          <w:szCs w:val="32"/>
          <w:lang w:val="en-US" w:eastAsia="zh-CN"/>
        </w:rPr>
        <w:t>条，无修改意见</w:t>
      </w:r>
      <w:r>
        <w:rPr>
          <w:rFonts w:hint="default" w:ascii="Times New Roman" w:hAnsi="Times New Roman" w:eastAsia="仿宋_GB2312" w:cs="Times New Roman"/>
          <w:color w:val="auto"/>
          <w:sz w:val="32"/>
          <w:szCs w:val="32"/>
          <w:lang w:val="en-US" w:eastAsia="zh-CN"/>
        </w:rPr>
        <w:t>16</w:t>
      </w:r>
      <w:r>
        <w:rPr>
          <w:rFonts w:hint="eastAsia" w:ascii="Times New Roman" w:hAnsi="Times New Roman" w:eastAsia="仿宋_GB2312" w:cs="Times New Roman"/>
          <w:color w:val="auto"/>
          <w:sz w:val="32"/>
          <w:szCs w:val="32"/>
          <w:lang w:val="en-US" w:eastAsia="zh-CN"/>
        </w:rPr>
        <w:t>条，未采纳2条，主要为小漠不纳入汕尾的意见。</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rPr>
        <w:t>1</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rPr>
        <w:t>8</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rPr>
        <w:t>25</w:t>
      </w:r>
      <w:r>
        <w:rPr>
          <w:rFonts w:hint="eastAsia" w:ascii="Times New Roman" w:hAnsi="Times New Roman" w:eastAsia="仿宋_GB2312" w:cs="Times New Roman"/>
          <w:color w:val="auto"/>
          <w:sz w:val="32"/>
          <w:szCs w:val="32"/>
          <w:lang w:val="en-US" w:eastAsia="zh-CN"/>
        </w:rPr>
        <w:t>日</w:t>
      </w: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lang w:val="en-US" w:eastAsia="zh-CN"/>
        </w:rPr>
        <w:t>月</w:t>
      </w:r>
      <w:r>
        <w:rPr>
          <w:rFonts w:hint="default" w:ascii="Times New Roman" w:hAnsi="Times New Roman" w:eastAsia="仿宋_GB2312" w:cs="Times New Roman"/>
          <w:color w:val="auto"/>
          <w:sz w:val="32"/>
          <w:szCs w:val="32"/>
          <w:lang w:val="en-US" w:eastAsia="zh-CN"/>
        </w:rPr>
        <w:t>23</w:t>
      </w:r>
      <w:r>
        <w:rPr>
          <w:rFonts w:hint="eastAsia" w:ascii="Times New Roman" w:hAnsi="Times New Roman" w:eastAsia="仿宋_GB2312" w:cs="Times New Roman"/>
          <w:color w:val="auto"/>
          <w:sz w:val="32"/>
          <w:szCs w:val="32"/>
          <w:lang w:val="en-US" w:eastAsia="zh-CN"/>
        </w:rPr>
        <w:t>日</w:t>
      </w:r>
      <w:r>
        <w:rPr>
          <w:rFonts w:hint="default" w:ascii="Times New Roman" w:hAnsi="Times New Roman" w:eastAsia="仿宋_GB2312" w:cs="Times New Roman"/>
          <w:color w:val="auto"/>
          <w:sz w:val="32"/>
          <w:szCs w:val="32"/>
        </w:rPr>
        <w:t>在政府官网公开征集公众意见</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未收到反馈意见。</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2021年9月征求了周边的揭阳、惠州及深圳市交通运输局的意见，收到意见</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条，其中采纳3条，无修改意见</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条，未采纳1条，也与</w:t>
      </w:r>
      <w:bookmarkStart w:id="10" w:name="OLE_LINK15"/>
      <w:r>
        <w:rPr>
          <w:rFonts w:hint="eastAsia" w:ascii="Times New Roman" w:hAnsi="Times New Roman" w:eastAsia="仿宋_GB2312" w:cs="Times New Roman"/>
          <w:color w:val="auto"/>
          <w:sz w:val="32"/>
          <w:szCs w:val="32"/>
          <w:lang w:val="en-US" w:eastAsia="zh-CN"/>
        </w:rPr>
        <w:t>小漠港区规划</w:t>
      </w:r>
      <w:bookmarkEnd w:id="10"/>
      <w:r>
        <w:rPr>
          <w:rFonts w:hint="eastAsia" w:ascii="Times New Roman" w:hAnsi="Times New Roman" w:eastAsia="仿宋_GB2312" w:cs="Times New Roman"/>
          <w:color w:val="auto"/>
          <w:sz w:val="32"/>
          <w:szCs w:val="32"/>
          <w:lang w:val="en-US" w:eastAsia="zh-CN"/>
        </w:rPr>
        <w:t>有关；9月还再次征求了县区意见，均无修改意见。</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2021年10月，我局</w:t>
      </w:r>
      <w:r>
        <w:rPr>
          <w:rFonts w:hint="eastAsia" w:ascii="Times New Roman" w:hAnsi="Times New Roman" w:eastAsia="仿宋_GB2312" w:cs="Times New Roman"/>
          <w:color w:val="auto"/>
          <w:sz w:val="32"/>
          <w:szCs w:val="32"/>
        </w:rPr>
        <w:t>向省交通运输厅</w:t>
      </w:r>
      <w:r>
        <w:rPr>
          <w:rFonts w:hint="eastAsia" w:ascii="Times New Roman" w:hAnsi="Times New Roman" w:eastAsia="仿宋_GB2312" w:cs="Times New Roman"/>
          <w:color w:val="auto"/>
          <w:sz w:val="32"/>
          <w:szCs w:val="32"/>
          <w:lang w:val="en-US" w:eastAsia="zh-CN"/>
        </w:rPr>
        <w:t>综合规划处</w:t>
      </w:r>
      <w:r>
        <w:rPr>
          <w:rFonts w:hint="eastAsia" w:ascii="Times New Roman" w:hAnsi="Times New Roman" w:eastAsia="仿宋_GB2312" w:cs="Times New Roman"/>
          <w:color w:val="auto"/>
          <w:sz w:val="32"/>
          <w:szCs w:val="32"/>
        </w:rPr>
        <w:t>汇报了《规划》成果</w:t>
      </w:r>
      <w:r>
        <w:rPr>
          <w:rFonts w:hint="eastAsia" w:ascii="Times New Roman" w:hAnsi="Times New Roman" w:eastAsia="仿宋_GB2312" w:cs="Times New Roman"/>
          <w:color w:val="auto"/>
          <w:sz w:val="32"/>
          <w:szCs w:val="32"/>
          <w:lang w:val="en-US" w:eastAsia="zh-CN"/>
        </w:rPr>
        <w:t>并</w:t>
      </w:r>
      <w:r>
        <w:rPr>
          <w:rFonts w:hint="eastAsia" w:ascii="Times New Roman" w:hAnsi="Times New Roman" w:eastAsia="仿宋_GB2312" w:cs="Times New Roman"/>
          <w:color w:val="auto"/>
          <w:sz w:val="32"/>
          <w:szCs w:val="32"/>
        </w:rPr>
        <w:t>组织</w:t>
      </w:r>
      <w:r>
        <w:rPr>
          <w:rFonts w:hint="eastAsia" w:ascii="Times New Roman" w:hAnsi="Times New Roman" w:eastAsia="仿宋_GB2312" w:cs="Times New Roman"/>
          <w:color w:val="auto"/>
          <w:sz w:val="32"/>
          <w:szCs w:val="32"/>
          <w:lang w:val="en-US" w:eastAsia="zh-CN"/>
        </w:rPr>
        <w:t>召开了</w:t>
      </w:r>
      <w:r>
        <w:rPr>
          <w:rFonts w:hint="eastAsia" w:ascii="Times New Roman" w:hAnsi="Times New Roman" w:eastAsia="仿宋_GB2312" w:cs="Times New Roman"/>
          <w:color w:val="auto"/>
          <w:sz w:val="32"/>
          <w:szCs w:val="32"/>
        </w:rPr>
        <w:t>专家咨询会</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编制单位根据相关意见修改完善</w:t>
      </w:r>
      <w:r>
        <w:rPr>
          <w:rFonts w:hint="eastAsia"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2022年，</w:t>
      </w:r>
      <w:r>
        <w:rPr>
          <w:rFonts w:hint="eastAsia" w:ascii="Times New Roman" w:hAnsi="Times New Roman" w:eastAsia="仿宋_GB2312" w:cs="Times New Roman"/>
          <w:color w:val="auto"/>
          <w:sz w:val="32"/>
          <w:szCs w:val="32"/>
          <w:lang w:val="en-US" w:eastAsia="zh-CN"/>
        </w:rPr>
        <w:t>市委市政府多次听取</w:t>
      </w:r>
      <w:r>
        <w:rPr>
          <w:rFonts w:hint="eastAsia" w:ascii="Times New Roman" w:hAnsi="Times New Roman" w:eastAsia="仿宋_GB2312" w:cs="Times New Roman"/>
          <w:color w:val="auto"/>
          <w:sz w:val="32"/>
          <w:szCs w:val="32"/>
        </w:rPr>
        <w:t>《规划》</w:t>
      </w:r>
      <w:r>
        <w:rPr>
          <w:rFonts w:hint="eastAsia" w:ascii="Times New Roman" w:hAnsi="Times New Roman" w:eastAsia="仿宋_GB2312" w:cs="Times New Roman"/>
          <w:color w:val="auto"/>
          <w:sz w:val="32"/>
          <w:szCs w:val="32"/>
          <w:lang w:val="en-US" w:eastAsia="zh-CN"/>
        </w:rPr>
        <w:t>编制情况</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并</w:t>
      </w:r>
      <w:r>
        <w:rPr>
          <w:rFonts w:hint="eastAsia" w:ascii="Times New Roman" w:hAnsi="Times New Roman" w:eastAsia="仿宋_GB2312" w:cs="Times New Roman"/>
          <w:color w:val="auto"/>
          <w:sz w:val="32"/>
          <w:szCs w:val="32"/>
        </w:rPr>
        <w:t>就《规划》中涉及的红线冲突问题多次组织了由交通、生态环境、自然等多部门共同参与的协调讨论会，落实港口资源要素的保障工作。</w:t>
      </w:r>
      <w:r>
        <w:rPr>
          <w:rFonts w:hint="eastAsia" w:ascii="Times New Roman" w:hAnsi="Times New Roman" w:eastAsia="仿宋_GB2312" w:cs="Times New Roman"/>
          <w:color w:val="auto"/>
          <w:sz w:val="32"/>
          <w:szCs w:val="32"/>
          <w:lang w:val="en-US" w:eastAsia="zh-CN"/>
        </w:rPr>
        <w:t>其中</w:t>
      </w:r>
      <w:r>
        <w:rPr>
          <w:rFonts w:hint="eastAsia" w:ascii="Times New Roman" w:hAnsi="Times New Roman" w:eastAsia="仿宋_GB2312" w:cs="Times New Roman"/>
          <w:color w:val="auto"/>
          <w:sz w:val="32"/>
          <w:szCs w:val="32"/>
        </w:rPr>
        <w:t>，规划涉及的生态红线</w:t>
      </w:r>
      <w:r>
        <w:rPr>
          <w:rFonts w:hint="eastAsia" w:ascii="Times New Roman" w:hAnsi="Times New Roman" w:eastAsia="仿宋_GB2312" w:cs="Times New Roman"/>
          <w:color w:val="auto"/>
          <w:sz w:val="32"/>
          <w:szCs w:val="32"/>
          <w:lang w:val="en-US" w:eastAsia="zh-CN"/>
        </w:rPr>
        <w:t>问题纳入</w:t>
      </w:r>
      <w:r>
        <w:rPr>
          <w:rFonts w:hint="eastAsia" w:ascii="Times New Roman" w:hAnsi="Times New Roman" w:eastAsia="仿宋_GB2312" w:cs="Times New Roman"/>
          <w:color w:val="auto"/>
          <w:sz w:val="32"/>
          <w:szCs w:val="32"/>
        </w:rPr>
        <w:t>市自然资源局上报的生态红线调整方案</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已于2022年10月获自然资源部批复。涉及的近岸海域环境功能区划冲突，市生态环境局于2022年8月启动了近岸海域环境功能区划调整可行性研究报告的编制</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2023年3月和7月，</w:t>
      </w:r>
      <w:r>
        <w:rPr>
          <w:rFonts w:hint="eastAsia" w:ascii="Times New Roman" w:hAnsi="Times New Roman" w:eastAsia="仿宋_GB2312" w:cs="Times New Roman"/>
          <w:color w:val="auto"/>
          <w:sz w:val="32"/>
          <w:szCs w:val="32"/>
        </w:rPr>
        <w:t>市交通局、市</w:t>
      </w:r>
      <w:r>
        <w:rPr>
          <w:rFonts w:hint="eastAsia" w:ascii="Times New Roman" w:hAnsi="Times New Roman" w:eastAsia="仿宋_GB2312" w:cs="Times New Roman"/>
          <w:color w:val="auto"/>
          <w:sz w:val="32"/>
          <w:szCs w:val="32"/>
          <w:lang w:val="en-US" w:eastAsia="zh-CN"/>
        </w:rPr>
        <w:t>生态环境局带队前往</w:t>
      </w:r>
      <w:r>
        <w:rPr>
          <w:rFonts w:hint="eastAsia" w:ascii="Times New Roman" w:hAnsi="Times New Roman" w:eastAsia="仿宋_GB2312" w:cs="Times New Roman"/>
          <w:color w:val="auto"/>
          <w:sz w:val="32"/>
          <w:szCs w:val="32"/>
        </w:rPr>
        <w:t>省</w:t>
      </w:r>
      <w:r>
        <w:rPr>
          <w:rFonts w:hint="eastAsia" w:ascii="Times New Roman" w:hAnsi="Times New Roman" w:eastAsia="仿宋_GB2312" w:cs="Times New Roman"/>
          <w:color w:val="auto"/>
          <w:sz w:val="32"/>
          <w:szCs w:val="32"/>
          <w:lang w:val="en-US" w:eastAsia="zh-CN"/>
        </w:rPr>
        <w:t>生态环境</w:t>
      </w:r>
      <w:r>
        <w:rPr>
          <w:rFonts w:hint="eastAsia" w:ascii="Times New Roman" w:hAnsi="Times New Roman" w:eastAsia="仿宋_GB2312" w:cs="Times New Roman"/>
          <w:color w:val="auto"/>
          <w:sz w:val="32"/>
          <w:szCs w:val="32"/>
        </w:rPr>
        <w:t>厅</w:t>
      </w:r>
      <w:r>
        <w:rPr>
          <w:rFonts w:hint="eastAsia" w:ascii="Times New Roman" w:hAnsi="Times New Roman" w:eastAsia="仿宋_GB2312" w:cs="Times New Roman"/>
          <w:color w:val="auto"/>
          <w:sz w:val="32"/>
          <w:szCs w:val="32"/>
          <w:lang w:val="en-US" w:eastAsia="zh-CN"/>
        </w:rPr>
        <w:t>汇报</w:t>
      </w:r>
      <w:r>
        <w:rPr>
          <w:rFonts w:hint="eastAsia" w:ascii="Times New Roman" w:hAnsi="Times New Roman" w:eastAsia="仿宋_GB2312" w:cs="Times New Roman"/>
          <w:color w:val="auto"/>
          <w:sz w:val="32"/>
          <w:szCs w:val="32"/>
        </w:rPr>
        <w:t>了《规划》</w:t>
      </w:r>
      <w:r>
        <w:rPr>
          <w:rFonts w:hint="eastAsia" w:ascii="Times New Roman" w:hAnsi="Times New Roman" w:eastAsia="仿宋_GB2312" w:cs="Times New Roman"/>
          <w:color w:val="auto"/>
          <w:sz w:val="32"/>
          <w:szCs w:val="32"/>
          <w:lang w:val="en-US" w:eastAsia="zh-CN"/>
        </w:rPr>
        <w:t>主要内容并请求生态环境厅支持和协调。</w:t>
      </w:r>
      <w:r>
        <w:rPr>
          <w:rFonts w:hint="default" w:ascii="Times New Roman" w:hAnsi="Times New Roman" w:eastAsia="仿宋_GB2312" w:cs="Times New Roman"/>
          <w:color w:val="auto"/>
          <w:sz w:val="32"/>
          <w:szCs w:val="32"/>
          <w:lang w:val="en-US" w:eastAsia="zh-CN"/>
        </w:rPr>
        <w:t>2024</w:t>
      </w:r>
      <w:r>
        <w:rPr>
          <w:rFonts w:hint="eastAsia" w:ascii="Times New Roman" w:hAnsi="Times New Roman" w:eastAsia="仿宋_GB2312" w:cs="Times New Roman"/>
          <w:color w:val="auto"/>
          <w:sz w:val="32"/>
          <w:szCs w:val="32"/>
          <w:lang w:val="en-US" w:eastAsia="zh-CN"/>
        </w:rPr>
        <w:t>年底，有关</w:t>
      </w:r>
      <w:r>
        <w:rPr>
          <w:rFonts w:hint="eastAsia" w:ascii="Times New Roman" w:hAnsi="Times New Roman" w:eastAsia="仿宋_GB2312" w:cs="Times New Roman"/>
          <w:color w:val="auto"/>
          <w:sz w:val="32"/>
          <w:szCs w:val="32"/>
        </w:rPr>
        <w:t>近岸海域环境功能区划调整</w:t>
      </w:r>
      <w:r>
        <w:rPr>
          <w:rFonts w:hint="eastAsia" w:ascii="Times New Roman" w:hAnsi="Times New Roman" w:eastAsia="仿宋_GB2312" w:cs="Times New Roman"/>
          <w:color w:val="auto"/>
          <w:sz w:val="32"/>
          <w:szCs w:val="32"/>
          <w:lang w:val="en-US" w:eastAsia="zh-CN"/>
        </w:rPr>
        <w:t>已获省生态环境厅批准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2023</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，再次征求</w:t>
      </w:r>
      <w:r>
        <w:rPr>
          <w:rFonts w:hint="eastAsia" w:ascii="Times New Roman" w:hAnsi="Times New Roman" w:eastAsia="仿宋_GB2312" w:cs="Times New Roman"/>
          <w:color w:val="auto"/>
          <w:sz w:val="32"/>
          <w:szCs w:val="32"/>
        </w:rPr>
        <w:t>汕尾海事局</w:t>
      </w:r>
      <w:r>
        <w:rPr>
          <w:rFonts w:hint="eastAsia" w:ascii="Times New Roman" w:hAnsi="Times New Roman" w:eastAsia="仿宋_GB2312" w:cs="Times New Roman"/>
          <w:color w:val="auto"/>
          <w:sz w:val="32"/>
          <w:szCs w:val="32"/>
          <w:lang w:val="en-US" w:eastAsia="zh-CN"/>
        </w:rPr>
        <w:t>等20个部门或单位意见，收到意见</w:t>
      </w:r>
      <w:r>
        <w:rPr>
          <w:rFonts w:hint="default" w:ascii="Times New Roman" w:hAnsi="Times New Roman" w:eastAsia="仿宋_GB2312" w:cs="Times New Roman"/>
          <w:color w:val="auto"/>
          <w:sz w:val="32"/>
          <w:szCs w:val="32"/>
          <w:lang w:val="en-US" w:eastAsia="zh-CN"/>
        </w:rPr>
        <w:t>28</w:t>
      </w:r>
      <w:r>
        <w:rPr>
          <w:rFonts w:hint="eastAsia" w:ascii="Times New Roman" w:hAnsi="Times New Roman" w:eastAsia="仿宋_GB2312" w:cs="Times New Roman"/>
          <w:color w:val="auto"/>
          <w:sz w:val="32"/>
          <w:szCs w:val="32"/>
          <w:lang w:val="en-US" w:eastAsia="zh-CN"/>
        </w:rPr>
        <w:t>条，其中采纳12条，无修改意见</w:t>
      </w:r>
      <w:r>
        <w:rPr>
          <w:rFonts w:hint="default" w:ascii="Times New Roman" w:hAnsi="Times New Roman" w:eastAsia="仿宋_GB2312" w:cs="Times New Roman"/>
          <w:color w:val="auto"/>
          <w:sz w:val="32"/>
          <w:szCs w:val="32"/>
          <w:lang w:val="en-US" w:eastAsia="zh-CN"/>
        </w:rPr>
        <w:t>14</w:t>
      </w:r>
      <w:r>
        <w:rPr>
          <w:rFonts w:hint="eastAsia" w:ascii="Times New Roman" w:hAnsi="Times New Roman" w:eastAsia="仿宋_GB2312" w:cs="Times New Roman"/>
          <w:color w:val="auto"/>
          <w:sz w:val="32"/>
          <w:szCs w:val="32"/>
          <w:lang w:val="en-US" w:eastAsia="zh-CN"/>
        </w:rPr>
        <w:t>条，未采纳2条，主要与小漠和规划名称有关。</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ascii="Times New Roman" w:hAnsi="Times New Roman" w:eastAsia="仿宋_GB2312" w:cs="Times New Roman"/>
          <w:color w:val="auto"/>
          <w:kern w:val="2"/>
          <w:sz w:val="32"/>
          <w:szCs w:val="32"/>
        </w:rPr>
      </w:pPr>
      <w:r>
        <w:rPr>
          <w:rFonts w:hint="eastAsia" w:ascii="Times New Roman" w:hAnsi="Times New Roman" w:eastAsia="仿宋_GB2312" w:cs="Times New Roman"/>
          <w:color w:val="auto"/>
          <w:sz w:val="32"/>
          <w:szCs w:val="32"/>
          <w:lang w:val="en-US" w:eastAsia="zh-CN"/>
        </w:rPr>
        <w:t>2024</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eastAsia"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就最新成果再次征求</w:t>
      </w:r>
      <w:r>
        <w:rPr>
          <w:rFonts w:hint="eastAsia" w:ascii="Times New Roman" w:hAnsi="Times New Roman" w:eastAsia="仿宋_GB2312" w:cs="Times New Roman"/>
          <w:color w:val="auto"/>
          <w:sz w:val="32"/>
          <w:szCs w:val="32"/>
        </w:rPr>
        <w:t>市城区人民政府</w:t>
      </w:r>
      <w:r>
        <w:rPr>
          <w:rFonts w:hint="eastAsia" w:ascii="Times New Roman" w:hAnsi="Times New Roman" w:eastAsia="仿宋_GB2312" w:cs="Times New Roman"/>
          <w:color w:val="auto"/>
          <w:sz w:val="32"/>
          <w:szCs w:val="32"/>
          <w:lang w:val="en-US" w:eastAsia="zh-CN"/>
        </w:rPr>
        <w:t>等18个部门或单位意见，收到意见</w:t>
      </w:r>
      <w:r>
        <w:rPr>
          <w:rFonts w:hint="default" w:ascii="Times New Roman" w:hAnsi="Times New Roman" w:eastAsia="仿宋_GB2312" w:cs="Times New Roman"/>
          <w:color w:val="auto"/>
          <w:sz w:val="32"/>
          <w:szCs w:val="32"/>
          <w:lang w:val="en-US" w:eastAsia="zh-CN"/>
        </w:rPr>
        <w:t>28</w:t>
      </w:r>
      <w:r>
        <w:rPr>
          <w:rFonts w:hint="eastAsia" w:ascii="Times New Roman" w:hAnsi="Times New Roman" w:eastAsia="仿宋_GB2312" w:cs="Times New Roman"/>
          <w:color w:val="auto"/>
          <w:sz w:val="32"/>
          <w:szCs w:val="32"/>
          <w:lang w:val="en-US" w:eastAsia="zh-CN"/>
        </w:rPr>
        <w:t>条，其中采纳14条，无修改意见</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Times New Roman"/>
          <w:color w:val="auto"/>
          <w:sz w:val="32"/>
          <w:szCs w:val="32"/>
          <w:lang w:val="en-US" w:eastAsia="zh-CN"/>
        </w:rPr>
        <w:t>条，未采纳4条，主要与现状码头表有关。</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rPr>
        <w:t>2025</w:t>
      </w:r>
      <w:r>
        <w:rPr>
          <w:rFonts w:hint="eastAsia" w:ascii="Times New Roman" w:hAnsi="Times New Roman" w:eastAsia="仿宋_GB2312" w:cs="Times New Roman"/>
          <w:color w:val="auto"/>
          <w:sz w:val="32"/>
          <w:szCs w:val="32"/>
          <w:lang w:val="en-US" w:eastAsia="zh-CN"/>
        </w:rPr>
        <w:t>年</w:t>
      </w: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月</w:t>
      </w:r>
      <w:r>
        <w:rPr>
          <w:rFonts w:hint="default" w:ascii="Times New Roman" w:hAnsi="Times New Roman" w:eastAsia="仿宋_GB2312" w:cs="Times New Roman"/>
          <w:color w:val="auto"/>
          <w:sz w:val="32"/>
          <w:szCs w:val="32"/>
          <w:lang w:val="en-US" w:eastAsia="zh-CN"/>
        </w:rPr>
        <w:t>13</w:t>
      </w:r>
      <w:r>
        <w:rPr>
          <w:rFonts w:hint="eastAsia" w:ascii="Times New Roman" w:hAnsi="Times New Roman" w:eastAsia="仿宋_GB2312" w:cs="Times New Roman"/>
          <w:color w:val="auto"/>
          <w:sz w:val="32"/>
          <w:szCs w:val="32"/>
          <w:lang w:val="en-US" w:eastAsia="zh-CN"/>
        </w:rPr>
        <w:t>日，结合市司法局合法性审查补正意见开展第二次公众征求意见。</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color w:val="auto"/>
          <w:sz w:val="32"/>
          <w:szCs w:val="32"/>
          <w:lang w:val="en-US" w:eastAsia="zh-CN"/>
        </w:rPr>
        <w:t>四</w:t>
      </w:r>
      <w:r>
        <w:rPr>
          <w:rFonts w:ascii="黑体" w:hAnsi="黑体" w:eastAsia="黑体" w:cs="黑体"/>
          <w:color w:val="auto"/>
          <w:sz w:val="32"/>
          <w:szCs w:val="32"/>
        </w:rPr>
        <w:t>、规划主要内容</w:t>
      </w:r>
    </w:p>
    <w:p>
      <w:pPr>
        <w:pStyle w:val="15"/>
        <w:keepNext w:val="0"/>
        <w:keepLines w:val="0"/>
        <w:pageBreakBefore w:val="0"/>
        <w:widowControl w:val="0"/>
        <w:kinsoku/>
        <w:wordWrap/>
        <w:overflowPunct/>
        <w:topLinePunct w:val="0"/>
        <w:bidi w:val="0"/>
        <w:spacing w:line="560" w:lineRule="exact"/>
        <w:ind w:firstLine="640" w:firstLineChars="200"/>
        <w:jc w:val="both"/>
        <w:textAlignment w:val="auto"/>
        <w:rPr>
          <w:rFonts w:ascii="Times New Roman" w:hAnsi="Times New Roman" w:eastAsia="仿宋_GB2312" w:cs="Times New Roman"/>
          <w:color w:val="auto"/>
          <w:kern w:val="2"/>
          <w:sz w:val="32"/>
          <w:szCs w:val="32"/>
        </w:rPr>
      </w:pPr>
      <w:bookmarkStart w:id="11" w:name="OLE_LINK5"/>
      <w:r>
        <w:rPr>
          <w:rFonts w:hint="eastAsia" w:ascii="Times New Roman" w:hAnsi="Times New Roman" w:eastAsia="仿宋_GB2312" w:cs="Times New Roman"/>
          <w:color w:val="auto"/>
          <w:kern w:val="2"/>
          <w:sz w:val="32"/>
          <w:szCs w:val="32"/>
          <w:lang w:val="en-US" w:eastAsia="zh-CN" w:bidi="ar-SA"/>
        </w:rPr>
        <w:t>《规划》立足汕尾港发展现状及新发展阶段，基于汕尾港自身的优劣势及其面临的机遇和挑战，根据经济产业发展对港口的要求，提出汕尾港的</w:t>
      </w:r>
      <w:bookmarkStart w:id="12" w:name="OLE_LINK3"/>
      <w:r>
        <w:rPr>
          <w:rFonts w:hint="eastAsia" w:ascii="Times New Roman" w:hAnsi="Times New Roman" w:eastAsia="仿宋_GB2312" w:cs="Times New Roman"/>
          <w:color w:val="auto"/>
          <w:kern w:val="2"/>
          <w:sz w:val="32"/>
          <w:szCs w:val="32"/>
          <w:lang w:val="en-US" w:eastAsia="zh-CN" w:bidi="ar-SA"/>
        </w:rPr>
        <w:t>发展方向及功能定位、港口布局、岸线布局、配套设施</w:t>
      </w:r>
      <w:bookmarkEnd w:id="12"/>
      <w:r>
        <w:rPr>
          <w:rFonts w:hint="eastAsia" w:ascii="Times New Roman" w:hAnsi="Times New Roman" w:eastAsia="仿宋_GB2312" w:cs="Times New Roman"/>
          <w:color w:val="auto"/>
          <w:kern w:val="2"/>
          <w:sz w:val="32"/>
          <w:szCs w:val="32"/>
          <w:lang w:val="en-US" w:eastAsia="zh-CN" w:bidi="ar-SA"/>
        </w:rPr>
        <w:t>等内容提出新的规划布置，并充分衔接了环境保护规划及相关规划</w:t>
      </w:r>
      <w:r>
        <w:rPr>
          <w:rFonts w:ascii="Times New Roman" w:hAnsi="Times New Roman" w:eastAsia="仿宋_GB2312" w:cs="Times New Roman"/>
          <w:color w:val="auto"/>
          <w:kern w:val="2"/>
          <w:sz w:val="32"/>
          <w:szCs w:val="32"/>
        </w:rPr>
        <w:t>。主要内容如下：</w:t>
      </w:r>
    </w:p>
    <w:p>
      <w:pPr>
        <w:keepNext w:val="0"/>
        <w:keepLines w:val="0"/>
        <w:pageBreakBefore w:val="0"/>
        <w:widowControl w:val="0"/>
        <w:kinsoku/>
        <w:wordWrap/>
        <w:overflowPunct/>
        <w:topLinePunct w:val="0"/>
        <w:autoSpaceDE/>
        <w:autoSpaceDN/>
        <w:bidi w:val="0"/>
        <w:adjustRightInd/>
        <w:snapToGrid w:val="0"/>
        <w:spacing w:line="560" w:lineRule="exact"/>
        <w:ind w:firstLine="6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 w:cs="Times New Roman"/>
          <w:color w:val="auto"/>
          <w:kern w:val="2"/>
          <w:sz w:val="32"/>
          <w:szCs w:val="32"/>
          <w:lang w:eastAsia="zh-CN"/>
        </w:rPr>
        <w:t>（</w:t>
      </w:r>
      <w:r>
        <w:rPr>
          <w:rFonts w:hint="default" w:ascii="Times New Roman" w:hAnsi="Times New Roman" w:eastAsia="楷体" w:cs="Times New Roman"/>
          <w:color w:val="auto"/>
          <w:kern w:val="2"/>
          <w:sz w:val="32"/>
          <w:szCs w:val="32"/>
          <w:lang w:val="en-US" w:eastAsia="zh-CN"/>
        </w:rPr>
        <w:t>一</w:t>
      </w:r>
      <w:r>
        <w:rPr>
          <w:rFonts w:hint="default" w:ascii="Times New Roman" w:hAnsi="Times New Roman" w:eastAsia="楷体" w:cs="Times New Roman"/>
          <w:color w:val="auto"/>
          <w:kern w:val="2"/>
          <w:sz w:val="32"/>
          <w:szCs w:val="32"/>
          <w:lang w:eastAsia="zh-CN"/>
        </w:rPr>
        <w:t>）</w:t>
      </w:r>
      <w:r>
        <w:rPr>
          <w:rFonts w:hint="default" w:ascii="Times New Roman" w:hAnsi="Times New Roman" w:eastAsia="楷体" w:cs="Times New Roman"/>
          <w:color w:val="auto"/>
          <w:kern w:val="2"/>
          <w:sz w:val="32"/>
          <w:szCs w:val="32"/>
          <w:lang w:val="en-US" w:eastAsia="zh-CN"/>
        </w:rPr>
        <w:t>规划定位。</w:t>
      </w:r>
      <w:r>
        <w:rPr>
          <w:rFonts w:hint="default" w:ascii="Times New Roman" w:hAnsi="Times New Roman" w:eastAsia="仿宋_GB2312" w:cs="Times New Roman"/>
          <w:color w:val="auto"/>
          <w:sz w:val="32"/>
          <w:szCs w:val="32"/>
          <w:lang w:val="en-US" w:eastAsia="zh-CN"/>
        </w:rPr>
        <w:t>本次规划调整结合新发展形势要求，对汕尾港全港范围进行重新规划，规划水平年为2030年和2035年。根据最新规划定位：汕尾港是广东沿海地区性重要港口和地区综合运输体系的重要枢纽，是广东省世界级港口群的重要组成，是汕尾市西融湾区承接珠三角辐射、东联汕潮揭实现协同发展、北通腹地拓展发展空间，发挥沿海经济带战略支点的坚强支撑，发展海洋经济、推进制造强市的重要抓手。</w:t>
      </w:r>
    </w:p>
    <w:p>
      <w:pPr>
        <w:pStyle w:val="15"/>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楷体" w:cs="Times New Roman"/>
          <w:color w:val="auto"/>
          <w:kern w:val="2"/>
          <w:sz w:val="32"/>
          <w:szCs w:val="32"/>
          <w:lang w:val="en-US" w:eastAsia="zh-CN"/>
        </w:rPr>
      </w:pPr>
      <w:r>
        <w:rPr>
          <w:rFonts w:hint="default" w:ascii="Times New Roman" w:hAnsi="Times New Roman" w:eastAsia="楷体" w:cs="Times New Roman"/>
          <w:color w:val="auto"/>
          <w:kern w:val="2"/>
          <w:sz w:val="32"/>
          <w:szCs w:val="32"/>
          <w:lang w:val="en-US" w:eastAsia="zh-CN"/>
        </w:rPr>
        <w:t>（二）总体布局。</w:t>
      </w:r>
      <w:r>
        <w:rPr>
          <w:rFonts w:hint="default" w:ascii="Times New Roman" w:hAnsi="Times New Roman" w:eastAsia="仿宋_GB2312" w:cs="Times New Roman"/>
          <w:color w:val="auto"/>
          <w:kern w:val="0"/>
          <w:sz w:val="32"/>
          <w:szCs w:val="32"/>
          <w:highlight w:val="none"/>
          <w:shd w:val="clear" w:color="auto" w:fill="auto"/>
          <w:lang w:val="en-US" w:eastAsia="zh-CN" w:bidi="ar-SA"/>
        </w:rPr>
        <w:t>汕尾港规划形成小漠港区、海丰港区、汕尾港区、汕尾新港区、陆丰港区的“一港五区”总体发展格局。共规划54个泊位（不含深汕合作区），形成码头岸线16.47公里，泊位性质包括多用途泊位、通用泊位、散货泊位、件杂货泊位、风电专用泊位、液体散货泊位、支持系统泊位、客运泊位等，年设计货运通过能力为10100万吨、其中集装箱通过能力为400万标箱以上，滚装汽车通过能力80万辆，客运能力为230万人次。泊位规模为5百吨-20万吨级。</w:t>
      </w:r>
    </w:p>
    <w:p>
      <w:pPr>
        <w:pStyle w:val="15"/>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楷体" w:cs="Times New Roman"/>
          <w:color w:val="auto"/>
          <w:kern w:val="2"/>
          <w:sz w:val="32"/>
          <w:szCs w:val="32"/>
          <w:lang w:val="en-US" w:eastAsia="zh-CN"/>
        </w:rPr>
        <w:t>（三）具体作业区布局。</w:t>
      </w:r>
      <w:r>
        <w:rPr>
          <w:rFonts w:hint="default" w:ascii="Times New Roman" w:hAnsi="Times New Roman" w:eastAsia="仿宋_GB2312" w:cs="Times New Roman"/>
          <w:b/>
          <w:bCs/>
          <w:color w:val="auto"/>
          <w:sz w:val="32"/>
          <w:szCs w:val="32"/>
          <w:highlight w:val="none"/>
          <w:shd w:val="clear" w:color="auto" w:fill="auto"/>
          <w:lang w:val="en-US" w:eastAsia="zh-CN"/>
        </w:rPr>
        <w:t>一是汕尾港区。</w:t>
      </w:r>
      <w:bookmarkStart w:id="13" w:name="OLE_LINK11"/>
      <w:r>
        <w:rPr>
          <w:rFonts w:hint="default" w:ascii="Times New Roman" w:hAnsi="Times New Roman" w:eastAsia="仿宋_GB2312" w:cs="Times New Roman"/>
          <w:b/>
          <w:bCs/>
          <w:color w:val="auto"/>
          <w:kern w:val="0"/>
          <w:sz w:val="32"/>
          <w:szCs w:val="32"/>
          <w:highlight w:val="none"/>
          <w:shd w:val="clear" w:color="auto" w:fill="auto"/>
          <w:lang w:val="en-US" w:eastAsia="zh-CN" w:bidi="ar-SA"/>
        </w:rPr>
        <w:t>定位：</w:t>
      </w:r>
      <w:bookmarkEnd w:id="13"/>
      <w:r>
        <w:rPr>
          <w:rFonts w:hint="default" w:ascii="Times New Roman" w:hAnsi="Times New Roman" w:eastAsia="仿宋_GB2312" w:cs="Times New Roman"/>
          <w:color w:val="auto"/>
          <w:kern w:val="0"/>
          <w:sz w:val="32"/>
          <w:szCs w:val="32"/>
          <w:highlight w:val="none"/>
          <w:shd w:val="clear" w:color="auto" w:fill="auto"/>
          <w:lang w:val="en-US" w:eastAsia="zh-CN" w:bidi="ar-SA"/>
        </w:rPr>
        <w:t>汕尾港的客运枢纽港区，逐步退出现有的货运功能，积极拓展市域间航线、出海短途游及区县间海上来往航线。</w:t>
      </w:r>
      <w:r>
        <w:rPr>
          <w:rFonts w:hint="default" w:ascii="Times New Roman" w:hAnsi="Times New Roman" w:eastAsia="仿宋_GB2312" w:cs="Times New Roman"/>
          <w:b/>
          <w:bCs/>
          <w:color w:val="auto"/>
          <w:sz w:val="32"/>
          <w:szCs w:val="32"/>
          <w:highlight w:val="none"/>
          <w:shd w:val="clear" w:color="auto" w:fill="auto"/>
          <w:lang w:val="en-US" w:eastAsia="zh-CN"/>
        </w:rPr>
        <w:t>规划布局：</w:t>
      </w:r>
      <w:r>
        <w:rPr>
          <w:rFonts w:hint="default" w:ascii="Times New Roman" w:hAnsi="Times New Roman" w:eastAsia="仿宋_GB2312" w:cs="Times New Roman"/>
          <w:b w:val="0"/>
          <w:bCs w:val="0"/>
          <w:color w:val="auto"/>
          <w:sz w:val="32"/>
          <w:szCs w:val="32"/>
          <w:highlight w:val="none"/>
          <w:shd w:val="clear" w:color="auto" w:fill="auto"/>
          <w:lang w:val="en-US" w:eastAsia="zh-CN"/>
        </w:rPr>
        <w:t>汕尾港区主要包括汕尾作业区及马宫渔港北侧的深汕石油码头，汕尾作业区已建5个货运泊位、总长470米、陆域面积约10.6万平方米，规划其中的货运码头逐步退出货运功能，适时发展水上休闲旅游客运;规划改造为客运泊位，兼顾支持系统功能，设计通过能力约为130万人次/年。</w:t>
      </w:r>
      <w:r>
        <w:rPr>
          <w:rFonts w:hint="default" w:ascii="Times New Roman" w:hAnsi="Times New Roman" w:eastAsia="仿宋_GB2312" w:cs="Times New Roman"/>
          <w:b/>
          <w:bCs/>
          <w:color w:val="auto"/>
          <w:sz w:val="32"/>
          <w:szCs w:val="32"/>
          <w:highlight w:val="none"/>
          <w:shd w:val="clear" w:color="auto" w:fill="auto"/>
          <w:lang w:val="en-US" w:eastAsia="zh-CN"/>
        </w:rPr>
        <w:t>二是汕尾新港区。</w:t>
      </w:r>
      <w:bookmarkStart w:id="14" w:name="OLE_LINK13"/>
      <w:r>
        <w:rPr>
          <w:rFonts w:hint="default" w:ascii="Times New Roman" w:hAnsi="Times New Roman" w:eastAsia="仿宋_GB2312" w:cs="Times New Roman"/>
          <w:b/>
          <w:bCs/>
          <w:color w:val="auto"/>
          <w:kern w:val="0"/>
          <w:sz w:val="32"/>
          <w:szCs w:val="32"/>
          <w:highlight w:val="none"/>
          <w:shd w:val="clear" w:color="auto" w:fill="auto"/>
          <w:lang w:val="en-US" w:eastAsia="zh-CN" w:bidi="ar-SA"/>
        </w:rPr>
        <w:t>定位：</w:t>
      </w:r>
      <w:bookmarkEnd w:id="14"/>
      <w:r>
        <w:rPr>
          <w:rFonts w:hint="default" w:ascii="Times New Roman" w:hAnsi="Times New Roman" w:eastAsia="仿宋_GB2312" w:cs="Times New Roman"/>
          <w:b w:val="0"/>
          <w:bCs w:val="0"/>
          <w:color w:val="auto"/>
          <w:sz w:val="32"/>
          <w:szCs w:val="32"/>
          <w:highlight w:val="none"/>
          <w:shd w:val="clear" w:color="auto" w:fill="auto"/>
          <w:lang w:val="en-US" w:eastAsia="zh-CN"/>
        </w:rPr>
        <w:t>汕尾港重点发展港区和综合性货运枢纽港区，主要发展集装箱内外贸支线喂给运输，煤炭、矿建材料、粮食等大宗干散货接卸和中转运输。</w:t>
      </w:r>
      <w:bookmarkStart w:id="15" w:name="OLE_LINK12"/>
      <w:r>
        <w:rPr>
          <w:rFonts w:hint="default" w:ascii="Times New Roman" w:hAnsi="Times New Roman" w:eastAsia="仿宋_GB2312" w:cs="Times New Roman"/>
          <w:b/>
          <w:bCs/>
          <w:color w:val="auto"/>
          <w:sz w:val="32"/>
          <w:szCs w:val="32"/>
          <w:highlight w:val="none"/>
          <w:shd w:val="clear" w:color="auto" w:fill="auto"/>
          <w:lang w:val="en-US" w:eastAsia="zh-CN"/>
        </w:rPr>
        <w:t>规划布局：</w:t>
      </w:r>
      <w:bookmarkEnd w:id="15"/>
      <w:r>
        <w:rPr>
          <w:rFonts w:hint="default" w:ascii="Times New Roman" w:hAnsi="Times New Roman" w:eastAsia="仿宋_GB2312" w:cs="Times New Roman"/>
          <w:b w:val="0"/>
          <w:bCs w:val="0"/>
          <w:color w:val="auto"/>
          <w:sz w:val="32"/>
          <w:szCs w:val="32"/>
          <w:highlight w:val="none"/>
          <w:shd w:val="clear" w:color="auto" w:fill="auto"/>
          <w:lang w:val="en-US" w:eastAsia="zh-CN"/>
        </w:rPr>
        <w:t>规划15个泊位，形成码头岸线4.83公里，总陆域面积251.5万平方米，年设计通过能力可达5590万吨（含集装箱400万标箱）、滚装汽车80万辆，旅客通过能力约80万人次。主要是布局新增10个码头泊位，含2个15万吨级集装箱、多用途泊位，4个20万吨级集装箱、多用途泊位，1个2万吨级集装箱、多用途泊位，3个20万吨级通用、多用途泊位。</w:t>
      </w:r>
      <w:r>
        <w:rPr>
          <w:rFonts w:hint="default" w:ascii="Times New Roman" w:hAnsi="Times New Roman" w:eastAsia="仿宋_GB2312" w:cs="Times New Roman"/>
          <w:b/>
          <w:bCs/>
          <w:color w:val="auto"/>
          <w:sz w:val="32"/>
          <w:szCs w:val="32"/>
          <w:highlight w:val="none"/>
          <w:shd w:val="clear" w:color="auto" w:fill="auto"/>
          <w:lang w:val="en-US" w:eastAsia="zh-CN"/>
        </w:rPr>
        <w:t>三是海丰港区。</w:t>
      </w:r>
      <w:r>
        <w:rPr>
          <w:rFonts w:hint="default" w:ascii="Times New Roman" w:hAnsi="Times New Roman" w:eastAsia="仿宋_GB2312" w:cs="Times New Roman"/>
          <w:b w:val="0"/>
          <w:bCs w:val="0"/>
          <w:color w:val="auto"/>
          <w:sz w:val="32"/>
          <w:szCs w:val="32"/>
          <w:highlight w:val="none"/>
          <w:shd w:val="clear" w:color="auto" w:fill="auto"/>
          <w:lang w:val="en-US" w:eastAsia="zh-CN"/>
        </w:rPr>
        <w:t>海丰港区是深汕合作区之外宜建港岸线的水陆域范围，规划预留海丰县东段岸线，具体港区布置结合发展需求在远期明确。</w:t>
      </w:r>
      <w:r>
        <w:rPr>
          <w:rFonts w:hint="default" w:ascii="Times New Roman" w:hAnsi="Times New Roman" w:eastAsia="仿宋_GB2312" w:cs="Times New Roman"/>
          <w:b/>
          <w:bCs/>
          <w:color w:val="auto"/>
          <w:sz w:val="32"/>
          <w:szCs w:val="32"/>
          <w:highlight w:val="none"/>
          <w:shd w:val="clear" w:color="auto" w:fill="auto"/>
          <w:lang w:val="en-US" w:eastAsia="zh-CN"/>
        </w:rPr>
        <w:t>四是陆丰港区。</w:t>
      </w:r>
      <w:r>
        <w:rPr>
          <w:rFonts w:hint="default" w:ascii="Times New Roman" w:hAnsi="Times New Roman" w:eastAsia="仿宋_GB2312" w:cs="Times New Roman"/>
          <w:b/>
          <w:bCs/>
          <w:color w:val="auto"/>
          <w:kern w:val="0"/>
          <w:sz w:val="32"/>
          <w:szCs w:val="32"/>
          <w:highlight w:val="none"/>
          <w:shd w:val="clear" w:color="auto" w:fill="auto"/>
          <w:lang w:val="en-US" w:eastAsia="zh-CN" w:bidi="ar-SA"/>
        </w:rPr>
        <w:t>定位：</w:t>
      </w:r>
      <w:r>
        <w:rPr>
          <w:rFonts w:hint="default" w:ascii="Times New Roman" w:hAnsi="Times New Roman" w:eastAsia="仿宋_GB2312" w:cs="Times New Roman"/>
          <w:b w:val="0"/>
          <w:bCs w:val="0"/>
          <w:color w:val="auto"/>
          <w:sz w:val="32"/>
          <w:szCs w:val="32"/>
          <w:highlight w:val="none"/>
          <w:shd w:val="clear" w:color="auto" w:fill="auto"/>
          <w:lang w:val="en-US" w:eastAsia="zh-CN"/>
        </w:rPr>
        <w:t>陆丰港区是汕尾港的重点发展港区和临港产业主导型港区，主要服务海洋工程装备制造、新能源、精细化工等临港工业。自西向东规划乌坎、碣石、田尾山、湖东甲西、东海岸作业区。</w:t>
      </w:r>
      <w:r>
        <w:rPr>
          <w:rFonts w:hint="default" w:ascii="Times New Roman" w:hAnsi="Times New Roman" w:eastAsia="仿宋_GB2312" w:cs="Times New Roman"/>
          <w:b/>
          <w:bCs/>
          <w:color w:val="auto"/>
          <w:sz w:val="32"/>
          <w:szCs w:val="32"/>
          <w:highlight w:val="none"/>
          <w:shd w:val="clear" w:color="auto" w:fill="auto"/>
          <w:lang w:val="en-US" w:eastAsia="zh-CN"/>
        </w:rPr>
        <w:t>规划布局：</w:t>
      </w:r>
      <w:r>
        <w:rPr>
          <w:rFonts w:hint="default" w:ascii="Times New Roman" w:hAnsi="Times New Roman" w:eastAsia="仿宋_GB2312" w:cs="Times New Roman"/>
          <w:b w:val="0"/>
          <w:bCs w:val="0"/>
          <w:color w:val="auto"/>
          <w:sz w:val="32"/>
          <w:szCs w:val="32"/>
          <w:highlight w:val="none"/>
          <w:shd w:val="clear" w:color="auto" w:fill="auto"/>
          <w:lang w:val="en-US" w:eastAsia="zh-CN"/>
        </w:rPr>
        <w:t>规划39个泊位，主要为5百-15万吨级泊位，形成码头岸线11.64公里，总陆域面积316.2万平方米，年设计通过能力可达4510万吨，旅客通过能力约20万人次。</w:t>
      </w:r>
    </w:p>
    <w:bookmarkEnd w:id="11"/>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ascii="Times New Roman" w:hAnsi="Times New Roman" w:eastAsia="仿宋_GB2312" w:cs="Times New Roman"/>
          <w:color w:val="auto"/>
          <w:kern w:val="2"/>
          <w:sz w:val="32"/>
          <w:szCs w:val="32"/>
        </w:rPr>
      </w:pP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、规划衔接情况</w:t>
      </w:r>
    </w:p>
    <w:p>
      <w:pPr>
        <w:pStyle w:val="15"/>
        <w:keepNext w:val="0"/>
        <w:keepLines w:val="0"/>
        <w:pageBreakBefore w:val="0"/>
        <w:widowControl w:val="0"/>
        <w:kinsoku/>
        <w:wordWrap/>
        <w:overflowPunct/>
        <w:topLinePunct w:val="0"/>
        <w:bidi w:val="0"/>
        <w:spacing w:line="56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kern w:val="2"/>
          <w:sz w:val="32"/>
          <w:szCs w:val="32"/>
        </w:rPr>
        <w:t>《规划》</w:t>
      </w:r>
      <w:r>
        <w:rPr>
          <w:rFonts w:ascii="Times New Roman" w:hAnsi="Times New Roman" w:eastAsia="仿宋_GB2312" w:cs="Times New Roman"/>
          <w:color w:val="auto"/>
          <w:sz w:val="32"/>
          <w:szCs w:val="32"/>
        </w:rPr>
        <w:t>严格按照相关程序开展编制工作。</w:t>
      </w:r>
    </w:p>
    <w:p>
      <w:pPr>
        <w:pStyle w:val="15"/>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ascii="Times New Roman" w:hAnsi="Times New Roman" w:eastAsia="仿宋_GB2312" w:cs="Times New Roman"/>
          <w:color w:val="auto"/>
          <w:sz w:val="32"/>
          <w:szCs w:val="32"/>
        </w:rPr>
      </w:pPr>
      <w:r>
        <w:rPr>
          <w:rFonts w:hint="eastAsia" w:ascii="楷体" w:hAnsi="楷体" w:eastAsia="楷体" w:cs="楷体"/>
          <w:bCs/>
          <w:color w:val="auto"/>
          <w:sz w:val="32"/>
          <w:szCs w:val="32"/>
          <w:lang w:eastAsia="zh-CN"/>
        </w:rPr>
        <w:t>（</w:t>
      </w:r>
      <w:r>
        <w:rPr>
          <w:rFonts w:hint="eastAsia" w:ascii="楷体" w:hAnsi="楷体" w:eastAsia="楷体" w:cs="楷体"/>
          <w:bCs/>
          <w:color w:val="auto"/>
          <w:sz w:val="32"/>
          <w:szCs w:val="32"/>
          <w:lang w:val="en-US" w:eastAsia="zh-CN"/>
        </w:rPr>
        <w:t>一</w:t>
      </w:r>
      <w:r>
        <w:rPr>
          <w:rFonts w:hint="eastAsia" w:ascii="楷体" w:hAnsi="楷体" w:eastAsia="楷体" w:cs="楷体"/>
          <w:bCs/>
          <w:color w:val="auto"/>
          <w:sz w:val="32"/>
          <w:szCs w:val="32"/>
          <w:lang w:eastAsia="zh-CN"/>
        </w:rPr>
        <w:t>）</w:t>
      </w:r>
      <w:r>
        <w:rPr>
          <w:rFonts w:hint="eastAsia" w:ascii="楷体" w:hAnsi="楷体" w:eastAsia="楷体" w:cs="楷体"/>
          <w:bCs/>
          <w:color w:val="auto"/>
          <w:sz w:val="32"/>
          <w:szCs w:val="32"/>
        </w:rPr>
        <w:t>上层次规划落实情况。</w:t>
      </w:r>
      <w:r>
        <w:rPr>
          <w:rFonts w:hint="eastAsia" w:ascii="Times New Roman" w:hAnsi="Times New Roman" w:eastAsia="仿宋_GB2312" w:cs="Times New Roman"/>
          <w:color w:val="auto"/>
          <w:sz w:val="32"/>
          <w:szCs w:val="32"/>
        </w:rPr>
        <w:t>本次规划基于全省港口布局规划的指导，始终将汕尾港定位为沿海地区性重要港口，并根据汕尾港在新形势下发挥的作用和特点对其港口性质加以延伸。符合《广东省港口布局规划（2021—2035年）》对汕尾港的定位、功能性质、岸线等方面的要求。</w:t>
      </w:r>
    </w:p>
    <w:p>
      <w:pPr>
        <w:pStyle w:val="15"/>
        <w:keepNext w:val="0"/>
        <w:keepLines w:val="0"/>
        <w:pageBreakBefore w:val="0"/>
        <w:widowControl w:val="0"/>
        <w:kinsoku/>
        <w:wordWrap/>
        <w:overflowPunct/>
        <w:topLinePunct w:val="0"/>
        <w:bidi w:val="0"/>
        <w:spacing w:line="560" w:lineRule="exact"/>
        <w:ind w:firstLine="640" w:firstLineChars="200"/>
        <w:jc w:val="both"/>
        <w:textAlignment w:val="auto"/>
        <w:rPr>
          <w:rFonts w:ascii="Times New Roman" w:hAnsi="Times New Roman" w:eastAsia="仿宋_GB2312" w:cs="Times New Roman"/>
          <w:color w:val="auto"/>
          <w:sz w:val="32"/>
          <w:szCs w:val="32"/>
        </w:rPr>
      </w:pPr>
      <w:r>
        <w:rPr>
          <w:rFonts w:ascii="楷体" w:hAnsi="楷体" w:eastAsia="楷体" w:cs="楷体"/>
          <w:bCs/>
          <w:color w:val="auto"/>
          <w:sz w:val="32"/>
          <w:szCs w:val="32"/>
        </w:rPr>
        <w:t>（</w:t>
      </w:r>
      <w:r>
        <w:rPr>
          <w:rFonts w:hint="eastAsia" w:ascii="楷体" w:hAnsi="楷体" w:eastAsia="楷体" w:cs="楷体"/>
          <w:bCs/>
          <w:color w:val="auto"/>
          <w:sz w:val="32"/>
          <w:szCs w:val="32"/>
        </w:rPr>
        <w:t>二</w:t>
      </w:r>
      <w:r>
        <w:rPr>
          <w:rFonts w:ascii="楷体" w:hAnsi="楷体" w:eastAsia="楷体" w:cs="楷体"/>
          <w:bCs/>
          <w:color w:val="auto"/>
          <w:sz w:val="32"/>
          <w:szCs w:val="32"/>
        </w:rPr>
        <w:t>）相关规划衔接情况。</w:t>
      </w:r>
      <w:r>
        <w:rPr>
          <w:rFonts w:hint="eastAsia" w:ascii="Times New Roman" w:hAnsi="Times New Roman" w:eastAsia="仿宋_GB2312" w:cs="Times New Roman"/>
          <w:color w:val="auto"/>
          <w:sz w:val="32"/>
          <w:szCs w:val="32"/>
        </w:rPr>
        <w:t>《规划》</w:t>
      </w:r>
      <w:bookmarkStart w:id="16" w:name="OLE_LINK16"/>
      <w:r>
        <w:rPr>
          <w:rFonts w:hint="eastAsia" w:ascii="Times New Roman" w:hAnsi="Times New Roman" w:eastAsia="仿宋_GB2312" w:cs="Times New Roman"/>
          <w:color w:val="auto"/>
          <w:sz w:val="32"/>
          <w:szCs w:val="32"/>
        </w:rPr>
        <w:t>充分衔接</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与广东省海岸带及海洋空间规划（2021—2035年）</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《广东省自然保护地规划（2021—2035年）》《广东省矿产资源总体规划（2021—2025年）》《广东省近岸海域环境功能区划》《汕尾市国土空间总体规划（2021—20</w:t>
      </w:r>
      <w:r>
        <w:rPr>
          <w:rFonts w:hint="default" w:ascii="Times New Roman" w:hAnsi="Times New Roman" w:eastAsia="仿宋_GB2312" w:cs="Times New Roman"/>
          <w:color w:val="auto"/>
          <w:sz w:val="32"/>
          <w:szCs w:val="32"/>
          <w:lang w:val="en-US"/>
        </w:rPr>
        <w:t>3</w:t>
      </w:r>
      <w:r>
        <w:rPr>
          <w:rFonts w:hint="eastAsia" w:ascii="Times New Roman" w:hAnsi="Times New Roman" w:eastAsia="仿宋_GB2312" w:cs="Times New Roman"/>
          <w:color w:val="auto"/>
          <w:sz w:val="32"/>
          <w:szCs w:val="32"/>
        </w:rPr>
        <w:t>5年）》以及产业发展规划等相关规划，其中</w:t>
      </w:r>
      <w:r>
        <w:rPr>
          <w:rFonts w:hint="eastAsia" w:ascii="Times New Roman" w:hAnsi="Times New Roman" w:eastAsia="仿宋_GB2312" w:cs="Times New Roman"/>
          <w:color w:val="auto"/>
          <w:sz w:val="32"/>
          <w:szCs w:val="32"/>
          <w:lang w:val="en-US" w:eastAsia="zh-CN"/>
        </w:rPr>
        <w:t>港区发展方向及功能定位、港口布局、岸线布局、配套设施</w:t>
      </w:r>
      <w:r>
        <w:rPr>
          <w:rFonts w:hint="eastAsia" w:ascii="Times New Roman" w:hAnsi="Times New Roman" w:eastAsia="仿宋_GB2312" w:cs="Times New Roman"/>
          <w:color w:val="auto"/>
          <w:sz w:val="32"/>
          <w:szCs w:val="32"/>
        </w:rPr>
        <w:t>等根据新时代发展需求</w:t>
      </w:r>
      <w:r>
        <w:rPr>
          <w:rFonts w:hint="eastAsia" w:ascii="Times New Roman" w:hAnsi="Times New Roman" w:eastAsia="仿宋_GB2312" w:cs="Times New Roman"/>
          <w:color w:val="auto"/>
          <w:sz w:val="32"/>
          <w:szCs w:val="32"/>
          <w:lang w:val="en-US" w:eastAsia="zh-CN"/>
        </w:rPr>
        <w:t>及相关码头最新</w:t>
      </w:r>
      <w:r>
        <w:rPr>
          <w:rFonts w:hint="eastAsia" w:ascii="Times New Roman" w:hAnsi="Times New Roman" w:eastAsia="仿宋_GB2312" w:cs="Times New Roman"/>
          <w:color w:val="auto"/>
          <w:sz w:val="32"/>
          <w:szCs w:val="32"/>
        </w:rPr>
        <w:t>研究方案进行</w:t>
      </w:r>
      <w:r>
        <w:rPr>
          <w:rFonts w:hint="eastAsia" w:ascii="Times New Roman" w:hAnsi="Times New Roman" w:eastAsia="仿宋_GB2312" w:cs="Times New Roman"/>
          <w:color w:val="auto"/>
          <w:sz w:val="32"/>
          <w:szCs w:val="32"/>
          <w:lang w:val="en-US" w:eastAsia="zh-CN"/>
        </w:rPr>
        <w:t>优化</w:t>
      </w:r>
      <w:r>
        <w:rPr>
          <w:rFonts w:hint="eastAsia" w:ascii="Times New Roman" w:hAnsi="Times New Roman" w:eastAsia="仿宋_GB2312" w:cs="Times New Roman"/>
          <w:color w:val="auto"/>
          <w:sz w:val="32"/>
          <w:szCs w:val="32"/>
        </w:rPr>
        <w:t>完善。</w:t>
      </w:r>
    </w:p>
    <w:bookmarkEnd w:id="16"/>
    <w:p>
      <w:pPr>
        <w:pStyle w:val="15"/>
        <w:keepNext w:val="0"/>
        <w:keepLines w:val="0"/>
        <w:pageBreakBefore w:val="0"/>
        <w:widowControl w:val="0"/>
        <w:kinsoku/>
        <w:wordWrap/>
        <w:overflowPunct/>
        <w:topLinePunct w:val="0"/>
        <w:bidi w:val="0"/>
        <w:spacing w:line="560" w:lineRule="exact"/>
        <w:jc w:val="both"/>
        <w:textAlignment w:val="auto"/>
        <w:rPr>
          <w:rFonts w:ascii="Times New Roman" w:hAnsi="Times New Roman" w:eastAsia="仿宋_GB2312" w:cs="Times New Roman"/>
          <w:color w:val="auto"/>
          <w:sz w:val="32"/>
          <w:szCs w:val="32"/>
        </w:rPr>
      </w:pPr>
    </w:p>
    <w:sectPr>
      <w:headerReference r:id="rId3" w:type="default"/>
      <w:footerReference r:id="rId4" w:type="default"/>
      <w:pgSz w:w="11906" w:h="16838"/>
      <w:pgMar w:top="1814" w:right="1588" w:bottom="158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posOffset>2704465</wp:posOffset>
              </wp:positionH>
              <wp:positionV relativeFrom="paragraph">
                <wp:posOffset>0</wp:posOffset>
              </wp:positionV>
              <wp:extent cx="142875" cy="15875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42875" cy="158750"/>
                      </a:xfrm>
                      <a:prstGeom prst="rect">
                        <a:avLst/>
                      </a:prstGeom>
                      <a:noFill/>
                      <a:ln>
                        <a:noFill/>
                      </a:ln>
                    </wps:spPr>
                    <wps:txbx>
                      <w:txbxContent>
                        <w:p>
                          <w:pPr>
                            <w:pStyle w:val="6"/>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 w:val="21"/>
                              <w:szCs w:val="21"/>
                            </w:rPr>
                            <w:t>3</w:t>
                          </w:r>
                          <w:r>
                            <w:rPr>
                              <w:rFonts w:hint="eastAsia"/>
                              <w:sz w:val="21"/>
                              <w:szCs w:val="21"/>
                            </w:rPr>
                            <w:fldChar w:fldCharType="end"/>
                          </w:r>
                        </w:p>
                      </w:txbxContent>
                    </wps:txbx>
                    <wps:bodyPr lIns="0" tIns="0" rIns="0" bIns="0"/>
                  </wps:wsp>
                </a:graphicData>
              </a:graphic>
            </wp:anchor>
          </w:drawing>
        </mc:Choice>
        <mc:Fallback>
          <w:pict>
            <v:shape id="文本框 1025" o:spid="_x0000_s1026" o:spt="202" type="#_x0000_t202" style="position:absolute;left:0pt;margin-left:212.95pt;margin-top:0pt;height:12.5pt;width:11.25pt;mso-position-horizontal-relative:margin;z-index:251659264;mso-width-relative:page;mso-height-relative:page;" filled="f" stroked="f" coordsize="21600,21600" o:gfxdata="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bg7qDXAAAABwEAAA8AAAAAAAAAAQAgAAAAIgAAAGRycy9kb3ducmV2LnhtbFBLAQIUABQAAAAI&#10;AIdO4kDuRDOgtQEAAGgDAAAOAAAAAAAAAAEAIAAAACYBAABkcnMvZTJvRG9jLnhtbFBLBQYAAAAA&#10;BgAGAFkBAABNBQAAAAA=&#10;">
              <v:fill on="f" focussize="0,0"/>
              <v:stroke on="f"/>
              <v:imagedata o:title=""/>
              <o:lock v:ext="edit" aspectratio="f"/>
              <v:textbox inset="0mm,0mm,0mm,0mm">
                <w:txbxContent>
                  <w:p>
                    <w:pPr>
                      <w:pStyle w:val="6"/>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 w:val="21"/>
                        <w:szCs w:val="21"/>
                      </w:rPr>
                      <w:t>3</w:t>
                    </w:r>
                    <w:r>
                      <w:rPr>
                        <w:rFonts w:hint="eastAsia"/>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4ECE"/>
    <w:rsid w:val="00027375"/>
    <w:rsid w:val="00031176"/>
    <w:rsid w:val="0007423A"/>
    <w:rsid w:val="000A49AF"/>
    <w:rsid w:val="000B53FE"/>
    <w:rsid w:val="000E58C7"/>
    <w:rsid w:val="000F5719"/>
    <w:rsid w:val="00101932"/>
    <w:rsid w:val="001049E1"/>
    <w:rsid w:val="00123BAB"/>
    <w:rsid w:val="00125E34"/>
    <w:rsid w:val="001403C3"/>
    <w:rsid w:val="0016354D"/>
    <w:rsid w:val="00172A27"/>
    <w:rsid w:val="001A65ED"/>
    <w:rsid w:val="001D00FC"/>
    <w:rsid w:val="001D1413"/>
    <w:rsid w:val="002018B2"/>
    <w:rsid w:val="00203BF8"/>
    <w:rsid w:val="00213323"/>
    <w:rsid w:val="00235B19"/>
    <w:rsid w:val="00295959"/>
    <w:rsid w:val="002C4157"/>
    <w:rsid w:val="00304F67"/>
    <w:rsid w:val="00341052"/>
    <w:rsid w:val="00374BC0"/>
    <w:rsid w:val="00392DF1"/>
    <w:rsid w:val="003B0B9B"/>
    <w:rsid w:val="003C2446"/>
    <w:rsid w:val="003D78D0"/>
    <w:rsid w:val="003F589C"/>
    <w:rsid w:val="004145F7"/>
    <w:rsid w:val="004651CA"/>
    <w:rsid w:val="00467F40"/>
    <w:rsid w:val="0048340A"/>
    <w:rsid w:val="004A55BB"/>
    <w:rsid w:val="00520BAD"/>
    <w:rsid w:val="00530D39"/>
    <w:rsid w:val="005346DF"/>
    <w:rsid w:val="005359F4"/>
    <w:rsid w:val="00556B34"/>
    <w:rsid w:val="005C04F1"/>
    <w:rsid w:val="005C4E6E"/>
    <w:rsid w:val="005E1EFB"/>
    <w:rsid w:val="005F4BDC"/>
    <w:rsid w:val="0063467E"/>
    <w:rsid w:val="006404C2"/>
    <w:rsid w:val="006818B1"/>
    <w:rsid w:val="006B5EBE"/>
    <w:rsid w:val="006E7D90"/>
    <w:rsid w:val="006F432D"/>
    <w:rsid w:val="00721422"/>
    <w:rsid w:val="00770229"/>
    <w:rsid w:val="007852B9"/>
    <w:rsid w:val="007963E0"/>
    <w:rsid w:val="007A5E7F"/>
    <w:rsid w:val="007A7682"/>
    <w:rsid w:val="007D0412"/>
    <w:rsid w:val="00823946"/>
    <w:rsid w:val="0084213B"/>
    <w:rsid w:val="00844F8C"/>
    <w:rsid w:val="008744A4"/>
    <w:rsid w:val="00882225"/>
    <w:rsid w:val="00882989"/>
    <w:rsid w:val="008A2D98"/>
    <w:rsid w:val="008C2148"/>
    <w:rsid w:val="008C651F"/>
    <w:rsid w:val="008E6C76"/>
    <w:rsid w:val="00915152"/>
    <w:rsid w:val="00935248"/>
    <w:rsid w:val="00942BE9"/>
    <w:rsid w:val="0094797B"/>
    <w:rsid w:val="00950202"/>
    <w:rsid w:val="009506B5"/>
    <w:rsid w:val="00954860"/>
    <w:rsid w:val="00963303"/>
    <w:rsid w:val="00965569"/>
    <w:rsid w:val="009A250E"/>
    <w:rsid w:val="009C1FE6"/>
    <w:rsid w:val="009C292C"/>
    <w:rsid w:val="009D2441"/>
    <w:rsid w:val="009E02E4"/>
    <w:rsid w:val="009E5E3F"/>
    <w:rsid w:val="00A328FA"/>
    <w:rsid w:val="00A44BBB"/>
    <w:rsid w:val="00A51A32"/>
    <w:rsid w:val="00A52253"/>
    <w:rsid w:val="00A602C1"/>
    <w:rsid w:val="00A677E2"/>
    <w:rsid w:val="00A75681"/>
    <w:rsid w:val="00A7580E"/>
    <w:rsid w:val="00A93611"/>
    <w:rsid w:val="00AB3EA6"/>
    <w:rsid w:val="00AB4070"/>
    <w:rsid w:val="00AB7D27"/>
    <w:rsid w:val="00AC35FB"/>
    <w:rsid w:val="00AD38E5"/>
    <w:rsid w:val="00B04D2E"/>
    <w:rsid w:val="00B34512"/>
    <w:rsid w:val="00B60588"/>
    <w:rsid w:val="00B73656"/>
    <w:rsid w:val="00BE4FA8"/>
    <w:rsid w:val="00C16AB8"/>
    <w:rsid w:val="00C26F23"/>
    <w:rsid w:val="00C408E8"/>
    <w:rsid w:val="00C52FF7"/>
    <w:rsid w:val="00C57926"/>
    <w:rsid w:val="00C6050F"/>
    <w:rsid w:val="00C77F67"/>
    <w:rsid w:val="00C824EB"/>
    <w:rsid w:val="00C8690C"/>
    <w:rsid w:val="00CB13E8"/>
    <w:rsid w:val="00CE0D04"/>
    <w:rsid w:val="00CE39FF"/>
    <w:rsid w:val="00D15E4C"/>
    <w:rsid w:val="00D345AD"/>
    <w:rsid w:val="00D34D41"/>
    <w:rsid w:val="00D525B4"/>
    <w:rsid w:val="00D60FF8"/>
    <w:rsid w:val="00E358DA"/>
    <w:rsid w:val="00E362A0"/>
    <w:rsid w:val="00E56E73"/>
    <w:rsid w:val="00E753F1"/>
    <w:rsid w:val="00E92821"/>
    <w:rsid w:val="00E962B3"/>
    <w:rsid w:val="00EB7D47"/>
    <w:rsid w:val="00EB7E87"/>
    <w:rsid w:val="00EF343B"/>
    <w:rsid w:val="00F04098"/>
    <w:rsid w:val="00F825A9"/>
    <w:rsid w:val="00F913EE"/>
    <w:rsid w:val="00F9577E"/>
    <w:rsid w:val="00FB525D"/>
    <w:rsid w:val="00FD0782"/>
    <w:rsid w:val="00FF495F"/>
    <w:rsid w:val="00FF5435"/>
    <w:rsid w:val="00FF7F14"/>
    <w:rsid w:val="01B34A22"/>
    <w:rsid w:val="01C76CFF"/>
    <w:rsid w:val="026C31C0"/>
    <w:rsid w:val="03E3259A"/>
    <w:rsid w:val="04CA35F7"/>
    <w:rsid w:val="04CE68D6"/>
    <w:rsid w:val="04EF3DA1"/>
    <w:rsid w:val="0503742A"/>
    <w:rsid w:val="065F0A0B"/>
    <w:rsid w:val="06BF1F40"/>
    <w:rsid w:val="08E14616"/>
    <w:rsid w:val="08ED6F4F"/>
    <w:rsid w:val="090C23C0"/>
    <w:rsid w:val="0A3A4DC1"/>
    <w:rsid w:val="0B0A6D80"/>
    <w:rsid w:val="0BEB4341"/>
    <w:rsid w:val="0D2406CA"/>
    <w:rsid w:val="0DE76C81"/>
    <w:rsid w:val="0E74681A"/>
    <w:rsid w:val="0EBA2DF2"/>
    <w:rsid w:val="0F5D41C5"/>
    <w:rsid w:val="1070042B"/>
    <w:rsid w:val="10EA4EA0"/>
    <w:rsid w:val="11C8499F"/>
    <w:rsid w:val="12D1713F"/>
    <w:rsid w:val="12E5298B"/>
    <w:rsid w:val="13611100"/>
    <w:rsid w:val="13C26A97"/>
    <w:rsid w:val="14162C77"/>
    <w:rsid w:val="14207D89"/>
    <w:rsid w:val="14CA4150"/>
    <w:rsid w:val="155B1E1E"/>
    <w:rsid w:val="156916A1"/>
    <w:rsid w:val="15912382"/>
    <w:rsid w:val="15AF330A"/>
    <w:rsid w:val="163F3933"/>
    <w:rsid w:val="16A8388A"/>
    <w:rsid w:val="17A33383"/>
    <w:rsid w:val="17E86775"/>
    <w:rsid w:val="18190116"/>
    <w:rsid w:val="182C4235"/>
    <w:rsid w:val="18D408F5"/>
    <w:rsid w:val="1943083B"/>
    <w:rsid w:val="1C4D2517"/>
    <w:rsid w:val="1D256EA4"/>
    <w:rsid w:val="1E763F36"/>
    <w:rsid w:val="1E80164C"/>
    <w:rsid w:val="223A04DD"/>
    <w:rsid w:val="22E051E4"/>
    <w:rsid w:val="23957081"/>
    <w:rsid w:val="24291BB9"/>
    <w:rsid w:val="26FC27E5"/>
    <w:rsid w:val="283B6284"/>
    <w:rsid w:val="289F0938"/>
    <w:rsid w:val="2A367280"/>
    <w:rsid w:val="2D080CF8"/>
    <w:rsid w:val="2D757D1D"/>
    <w:rsid w:val="2E3351FD"/>
    <w:rsid w:val="2E6A469B"/>
    <w:rsid w:val="2F7015CB"/>
    <w:rsid w:val="31056FD0"/>
    <w:rsid w:val="310C25B8"/>
    <w:rsid w:val="31B9455C"/>
    <w:rsid w:val="31D45748"/>
    <w:rsid w:val="31F905B4"/>
    <w:rsid w:val="32316B0E"/>
    <w:rsid w:val="34525CB0"/>
    <w:rsid w:val="345F4600"/>
    <w:rsid w:val="346752E1"/>
    <w:rsid w:val="347F404B"/>
    <w:rsid w:val="3489481D"/>
    <w:rsid w:val="35853FC6"/>
    <w:rsid w:val="35C01675"/>
    <w:rsid w:val="36641F90"/>
    <w:rsid w:val="36EB6D2B"/>
    <w:rsid w:val="37FB5CC0"/>
    <w:rsid w:val="39910A63"/>
    <w:rsid w:val="3B03425F"/>
    <w:rsid w:val="3B8D3D98"/>
    <w:rsid w:val="3BCC2061"/>
    <w:rsid w:val="3CD1792F"/>
    <w:rsid w:val="3DC6543E"/>
    <w:rsid w:val="3E123D9F"/>
    <w:rsid w:val="3EF36704"/>
    <w:rsid w:val="3EFC5F83"/>
    <w:rsid w:val="3F2B4B11"/>
    <w:rsid w:val="3FA01856"/>
    <w:rsid w:val="3FE74A07"/>
    <w:rsid w:val="405D75B5"/>
    <w:rsid w:val="412C620D"/>
    <w:rsid w:val="415205E4"/>
    <w:rsid w:val="41DB7266"/>
    <w:rsid w:val="421578F3"/>
    <w:rsid w:val="42795A6A"/>
    <w:rsid w:val="430A5ACF"/>
    <w:rsid w:val="44640CEC"/>
    <w:rsid w:val="44862E1B"/>
    <w:rsid w:val="45004E0C"/>
    <w:rsid w:val="45CF4E5B"/>
    <w:rsid w:val="49C628AF"/>
    <w:rsid w:val="4AEC23BB"/>
    <w:rsid w:val="4B275DD2"/>
    <w:rsid w:val="4B8C1106"/>
    <w:rsid w:val="4B937EDD"/>
    <w:rsid w:val="4D6823FE"/>
    <w:rsid w:val="4DB752F0"/>
    <w:rsid w:val="4E4E7555"/>
    <w:rsid w:val="4FC410EE"/>
    <w:rsid w:val="5161517F"/>
    <w:rsid w:val="524C25FD"/>
    <w:rsid w:val="543F00B1"/>
    <w:rsid w:val="54912A75"/>
    <w:rsid w:val="54F47E46"/>
    <w:rsid w:val="55592D99"/>
    <w:rsid w:val="555D6905"/>
    <w:rsid w:val="56307DF1"/>
    <w:rsid w:val="56602D59"/>
    <w:rsid w:val="56A750B5"/>
    <w:rsid w:val="58C815BA"/>
    <w:rsid w:val="59B222CE"/>
    <w:rsid w:val="5A272CA0"/>
    <w:rsid w:val="5A687B17"/>
    <w:rsid w:val="5C0D284B"/>
    <w:rsid w:val="5C595860"/>
    <w:rsid w:val="5E5C671C"/>
    <w:rsid w:val="5F17060E"/>
    <w:rsid w:val="5F5F2DA2"/>
    <w:rsid w:val="604B2494"/>
    <w:rsid w:val="60D00012"/>
    <w:rsid w:val="60E36C37"/>
    <w:rsid w:val="611215A3"/>
    <w:rsid w:val="61891E6F"/>
    <w:rsid w:val="61A27059"/>
    <w:rsid w:val="620355BD"/>
    <w:rsid w:val="623C6636"/>
    <w:rsid w:val="629033C3"/>
    <w:rsid w:val="631E6C94"/>
    <w:rsid w:val="645026B8"/>
    <w:rsid w:val="66856521"/>
    <w:rsid w:val="68DD56F1"/>
    <w:rsid w:val="693F72B3"/>
    <w:rsid w:val="6A3E52DB"/>
    <w:rsid w:val="6DFE6A89"/>
    <w:rsid w:val="6F7E04F4"/>
    <w:rsid w:val="70141DDA"/>
    <w:rsid w:val="70920DC0"/>
    <w:rsid w:val="70BB4329"/>
    <w:rsid w:val="71020A0B"/>
    <w:rsid w:val="7149029D"/>
    <w:rsid w:val="732817D5"/>
    <w:rsid w:val="734F680C"/>
    <w:rsid w:val="73513993"/>
    <w:rsid w:val="74393A30"/>
    <w:rsid w:val="75EC7B65"/>
    <w:rsid w:val="7661457F"/>
    <w:rsid w:val="77527F13"/>
    <w:rsid w:val="78B77870"/>
    <w:rsid w:val="78E17BDD"/>
    <w:rsid w:val="79771875"/>
    <w:rsid w:val="7C6C4135"/>
    <w:rsid w:val="7CF224A0"/>
    <w:rsid w:val="7DCF6152"/>
    <w:rsid w:val="7E7E5236"/>
    <w:rsid w:val="7EE4371C"/>
    <w:rsid w:val="7EF926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semiHidden/>
    <w:unhideWhenUsed/>
    <w:qFormat/>
    <w:uiPriority w:val="99"/>
    <w:pPr>
      <w:spacing w:after="120"/>
    </w:pPr>
  </w:style>
  <w:style w:type="paragraph" w:styleId="3">
    <w:name w:val="Body Text Indent"/>
    <w:basedOn w:val="1"/>
    <w:qFormat/>
    <w:uiPriority w:val="0"/>
    <w:pPr>
      <w:ind w:firstLine="525"/>
    </w:pPr>
    <w:rPr>
      <w:rFonts w:ascii="Times New Roman" w:hAnsi="Times New Roman" w:eastAsia="Times New Roman"/>
      <w:sz w:val="28"/>
    </w:rPr>
  </w:style>
  <w:style w:type="paragraph" w:styleId="4">
    <w:name w:val="Plain Text"/>
    <w:basedOn w:val="1"/>
    <w:qFormat/>
    <w:uiPriority w:val="0"/>
    <w:rPr>
      <w:rFonts w:ascii="宋体" w:hAnsi="Courier New" w:cs="Courier New"/>
      <w:szCs w:val="21"/>
    </w:rPr>
  </w:style>
  <w:style w:type="paragraph" w:styleId="5">
    <w:name w:val="Date"/>
    <w:basedOn w:val="1"/>
    <w:next w:val="1"/>
    <w:link w:val="18"/>
    <w:semiHidden/>
    <w:unhideWhenUsed/>
    <w:qFormat/>
    <w:uiPriority w:val="99"/>
    <w:pPr>
      <w:ind w:left="100" w:leftChars="2500"/>
    </w:p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0"/>
    <w:unhideWhenUsed/>
    <w:qFormat/>
    <w:uiPriority w:val="99"/>
    <w:pPr>
      <w:snapToGrid w:val="0"/>
      <w:jc w:val="left"/>
    </w:pPr>
    <w:rPr>
      <w:rFonts w:ascii="Calibri" w:hAnsi="Calibri" w:eastAsia="宋体" w:cs="Times New Roman"/>
      <w:sz w:val="18"/>
      <w:szCs w:val="18"/>
    </w:rPr>
  </w:style>
  <w:style w:type="paragraph" w:styleId="9">
    <w:name w:val="Body Text First Indent 2"/>
    <w:basedOn w:val="3"/>
    <w:qFormat/>
    <w:uiPriority w:val="99"/>
    <w:pPr>
      <w:keepNext/>
      <w:keepLines/>
      <w:spacing w:line="380" w:lineRule="exact"/>
      <w:ind w:firstLine="480"/>
      <w:jc w:val="left"/>
      <w:outlineLvl w:val="3"/>
    </w:pPr>
    <w:rPr>
      <w:b/>
    </w:rPr>
  </w:style>
  <w:style w:type="character" w:styleId="12">
    <w:name w:val="page number"/>
    <w:qFormat/>
    <w:uiPriority w:val="0"/>
    <w:rPr>
      <w:rFonts w:ascii="Times New Roman" w:hAnsi="Times New Roman" w:eastAsia="宋体" w:cs="Times New Roman"/>
    </w:rPr>
  </w:style>
  <w:style w:type="character" w:styleId="13">
    <w:name w:val="Hyperlink"/>
    <w:basedOn w:val="11"/>
    <w:semiHidden/>
    <w:unhideWhenUsed/>
    <w:qFormat/>
    <w:uiPriority w:val="99"/>
    <w:rPr>
      <w:color w:val="0000FF"/>
      <w:u w:val="single"/>
    </w:rPr>
  </w:style>
  <w:style w:type="character" w:styleId="14">
    <w:name w:val="footnote reference"/>
    <w:unhideWhenUsed/>
    <w:qFormat/>
    <w:uiPriority w:val="99"/>
    <w:rPr>
      <w:vertAlign w:val="superscript"/>
    </w:rPr>
  </w:style>
  <w:style w:type="paragraph" w:customStyle="1" w:styleId="15">
    <w:name w:val="Default"/>
    <w:basedOn w:val="1"/>
    <w:qFormat/>
    <w:uiPriority w:val="0"/>
    <w:pPr>
      <w:autoSpaceDE w:val="0"/>
      <w:autoSpaceDN w:val="0"/>
      <w:jc w:val="left"/>
    </w:pPr>
    <w:rPr>
      <w:rFonts w:ascii="宋体" w:hAnsi="宋体" w:cs="黑体"/>
      <w:color w:val="000000"/>
      <w:kern w:val="0"/>
      <w:sz w:val="24"/>
      <w:szCs w:val="24"/>
    </w:rPr>
  </w:style>
  <w:style w:type="character" w:customStyle="1" w:styleId="16">
    <w:name w:val="页眉 字符"/>
    <w:basedOn w:val="11"/>
    <w:link w:val="7"/>
    <w:qFormat/>
    <w:uiPriority w:val="99"/>
    <w:rPr>
      <w:sz w:val="18"/>
      <w:szCs w:val="18"/>
    </w:rPr>
  </w:style>
  <w:style w:type="character" w:customStyle="1" w:styleId="17">
    <w:name w:val="页脚 字符"/>
    <w:basedOn w:val="11"/>
    <w:link w:val="6"/>
    <w:qFormat/>
    <w:uiPriority w:val="99"/>
    <w:rPr>
      <w:sz w:val="18"/>
      <w:szCs w:val="18"/>
    </w:rPr>
  </w:style>
  <w:style w:type="character" w:customStyle="1" w:styleId="18">
    <w:name w:val="日期 字符"/>
    <w:basedOn w:val="11"/>
    <w:link w:val="5"/>
    <w:semiHidden/>
    <w:qFormat/>
    <w:uiPriority w:val="99"/>
  </w:style>
  <w:style w:type="paragraph" w:customStyle="1" w:styleId="19">
    <w:name w:val="正文-论文"/>
    <w:basedOn w:val="1"/>
    <w:qFormat/>
    <w:uiPriority w:val="99"/>
    <w:pPr>
      <w:spacing w:before="156" w:beforeLines="50" w:after="156" w:afterLines="50" w:line="360" w:lineRule="auto"/>
      <w:ind w:firstLine="480" w:firstLineChars="200"/>
    </w:pPr>
    <w:rPr>
      <w:color w:val="000000"/>
      <w:szCs w:val="24"/>
    </w:rPr>
  </w:style>
  <w:style w:type="character" w:customStyle="1" w:styleId="20">
    <w:name w:val="脚注文本 字符"/>
    <w:link w:val="8"/>
    <w:qFormat/>
    <w:uiPriority w:val="99"/>
    <w:rPr>
      <w:rFonts w:ascii="Calibri" w:hAnsi="Calibri"/>
      <w:kern w:val="2"/>
      <w:sz w:val="18"/>
      <w:szCs w:val="18"/>
    </w:rPr>
  </w:style>
  <w:style w:type="character" w:customStyle="1" w:styleId="21">
    <w:name w:val="脚注文本 字符1"/>
    <w:basedOn w:val="11"/>
    <w:semiHidden/>
    <w:qFormat/>
    <w:uiPriority w:val="99"/>
    <w:rPr>
      <w:rFonts w:asciiTheme="minorHAnsi" w:hAnsiTheme="minorHAnsi" w:eastAsiaTheme="minorEastAsia" w:cstheme="minorBidi"/>
      <w:kern w:val="2"/>
      <w:sz w:val="18"/>
      <w:szCs w:val="18"/>
    </w:rPr>
  </w:style>
  <w:style w:type="character" w:customStyle="1" w:styleId="22">
    <w:name w:val="正文文本 字符"/>
    <w:basedOn w:val="11"/>
    <w:link w:val="2"/>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9</Pages>
  <Words>711</Words>
  <Characters>4059</Characters>
  <Lines>33</Lines>
  <Paragraphs>9</Paragraphs>
  <TotalTime>3</TotalTime>
  <ScaleCrop>false</ScaleCrop>
  <LinksUpToDate>false</LinksUpToDate>
  <CharactersWithSpaces>4761</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2023-11-20T10:11:00Z</dcterms:created>
  <dc:creator>dreamsummit</dc:creator>
  <cp:lastModifiedBy>郭秋鹏</cp:lastModifiedBy>
  <cp:lastPrinted>2022-03-29T04:50:00Z</cp:lastPrinted>
  <dcterms:modified xsi:type="dcterms:W3CDTF">2026-07-08T02:43:22Z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B93475BEA87E491A82FD4F7A76293A9E</vt:lpwstr>
  </property>
</Properties>
</file>