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Cs/>
          <w:color w:val="auto"/>
          <w:sz w:val="40"/>
          <w:szCs w:val="44"/>
          <w:lang w:eastAsia="zh-CN"/>
        </w:rPr>
      </w:pPr>
      <w:bookmarkStart w:id="3" w:name="_GoBack"/>
      <w:r>
        <w:rPr>
          <w:rFonts w:hint="eastAsia" w:ascii="方正小标宋简体" w:hAnsi="方正小标宋简体" w:eastAsia="方正小标宋简体" w:cs="方正小标宋简体"/>
          <w:bCs/>
          <w:color w:val="auto"/>
          <w:sz w:val="40"/>
          <w:szCs w:val="44"/>
          <w:lang w:eastAsia="zh-CN"/>
        </w:rPr>
        <w:t>《红海湾经济开发区综合立体交通网规划（2025-2035年）》</w:t>
      </w:r>
      <w:r>
        <w:rPr>
          <w:rFonts w:hint="eastAsia" w:ascii="方正小标宋简体" w:hAnsi="方正小标宋简体" w:eastAsia="方正小标宋简体" w:cs="方正小标宋简体"/>
          <w:bCs/>
          <w:color w:val="auto"/>
          <w:sz w:val="40"/>
          <w:szCs w:val="44"/>
          <w:lang w:val="en-US" w:eastAsia="zh-CN"/>
        </w:rPr>
        <w:t>起草</w:t>
      </w:r>
      <w:r>
        <w:rPr>
          <w:rFonts w:hint="eastAsia" w:ascii="方正小标宋简体" w:hAnsi="方正小标宋简体" w:eastAsia="方正小标宋简体" w:cs="方正小标宋简体"/>
          <w:bCs/>
          <w:color w:val="auto"/>
          <w:sz w:val="40"/>
          <w:szCs w:val="44"/>
          <w:lang w:eastAsia="zh-CN"/>
        </w:rPr>
        <w:t>说明</w:t>
      </w:r>
      <w:bookmarkEnd w:id="3"/>
    </w:p>
    <w:p>
      <w:pPr>
        <w:pStyle w:val="8"/>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一、编制背景</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为深入贯彻落实国家和省相关精神，</w:t>
      </w:r>
      <w:r>
        <w:rPr>
          <w:rFonts w:hint="eastAsia" w:ascii="Times New Roman" w:hAnsi="Times New Roman" w:eastAsia="仿宋_GB2312" w:cs="Times New Roman"/>
          <w:color w:val="auto"/>
          <w:sz w:val="32"/>
          <w:szCs w:val="32"/>
          <w:lang w:val="en-US" w:eastAsia="zh-CN"/>
        </w:rPr>
        <w:t>构建红海湾经济开发区现代化综合立体交通网，服务红海湾经济开发区重大产业落地，谋求以交通为引领带动红海湾经济开发区实现跨越式发展，并匹配承接</w:t>
      </w:r>
      <w:r>
        <w:rPr>
          <w:rFonts w:hint="default" w:ascii="Times New Roman" w:hAnsi="Times New Roman" w:eastAsia="仿宋_GB2312" w:cs="Times New Roman"/>
          <w:color w:val="auto"/>
          <w:sz w:val="32"/>
          <w:szCs w:val="32"/>
        </w:rPr>
        <w:t>《汕尾市综合立体交通网规划》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我局组织开展了</w:t>
      </w:r>
      <w:r>
        <w:rPr>
          <w:rFonts w:hint="eastAsia" w:ascii="Times New Roman" w:hAnsi="Times New Roman" w:eastAsia="仿宋_GB2312" w:cs="Times New Roman"/>
          <w:color w:val="auto"/>
          <w:sz w:val="32"/>
          <w:szCs w:val="32"/>
          <w:lang w:eastAsia="zh-CN"/>
        </w:rPr>
        <w:t>《红海湾经济开发区综合立体交通网规划（2025-2035年）》</w:t>
      </w:r>
      <w:r>
        <w:rPr>
          <w:rFonts w:hint="default" w:ascii="Times New Roman" w:hAnsi="Times New Roman" w:eastAsia="仿宋_GB2312" w:cs="Times New Roman"/>
          <w:color w:val="auto"/>
          <w:sz w:val="32"/>
          <w:szCs w:val="32"/>
        </w:rPr>
        <w:t>（以下简称《规划》）</w:t>
      </w:r>
      <w:r>
        <w:rPr>
          <w:rFonts w:hint="eastAsia" w:ascii="Times New Roman" w:hAnsi="Times New Roman" w:eastAsia="仿宋_GB2312" w:cs="Times New Roman"/>
          <w:color w:val="auto"/>
          <w:sz w:val="32"/>
          <w:szCs w:val="32"/>
          <w:lang w:val="en-US" w:eastAsia="zh-CN"/>
        </w:rPr>
        <w:t>编制工作。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黑体" w:hAnsi="黑体" w:eastAsia="黑体" w:cs="黑体"/>
          <w:color w:val="auto"/>
          <w:sz w:val="32"/>
          <w:szCs w:val="32"/>
        </w:rPr>
      </w:pPr>
      <w:r>
        <w:rPr>
          <w:rFonts w:hint="default" w:ascii="黑体" w:hAnsi="黑体" w:eastAsia="黑体" w:cs="黑体"/>
          <w:color w:val="auto"/>
          <w:sz w:val="32"/>
          <w:szCs w:val="32"/>
          <w:lang w:val="en-US" w:eastAsia="zh-CN"/>
        </w:rPr>
        <w:t>二、</w:t>
      </w:r>
      <w:r>
        <w:rPr>
          <w:rFonts w:hint="default" w:ascii="黑体" w:hAnsi="黑体" w:eastAsia="黑体" w:cs="黑体"/>
          <w:color w:val="auto"/>
          <w:sz w:val="32"/>
          <w:szCs w:val="32"/>
        </w:rPr>
        <w:t>编制过程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rPr>
        <w:t>20</w:t>
      </w:r>
      <w:r>
        <w:rPr>
          <w:rFonts w:hint="eastAsia"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月</w:t>
      </w:r>
      <w:r>
        <w:rPr>
          <w:rFonts w:hint="default" w:ascii="Times New Roman" w:hAnsi="Times New Roman" w:eastAsia="仿宋_GB2312" w:cs="Times New Roman"/>
          <w:color w:val="auto"/>
          <w:sz w:val="32"/>
          <w:szCs w:val="32"/>
        </w:rPr>
        <w:t>形成《规划》纲要，</w:t>
      </w:r>
      <w:r>
        <w:rPr>
          <w:rFonts w:hint="eastAsia" w:ascii="Times New Roman" w:hAnsi="Times New Roman" w:eastAsia="FangSong_GB2312" w:cs="Times New Roman"/>
          <w:color w:val="auto"/>
          <w:sz w:val="32"/>
          <w:szCs w:val="24"/>
          <w:lang w:val="en-US" w:eastAsia="zh-CN"/>
        </w:rPr>
        <w:t>提交市政府分管领导专题会议审议</w:t>
      </w:r>
      <w:r>
        <w:rPr>
          <w:rFonts w:hint="default" w:ascii="Times New Roman" w:hAnsi="Times New Roman" w:eastAsia="仿宋_GB2312" w:cs="Times New Roman"/>
          <w:color w:val="auto"/>
          <w:sz w:val="32"/>
          <w:szCs w:val="32"/>
        </w:rPr>
        <w:t>初步成果；202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月《规划》</w:t>
      </w:r>
      <w:r>
        <w:rPr>
          <w:rFonts w:hint="eastAsia" w:ascii="仿宋_GB2312" w:hAnsi="仿宋_GB2312" w:eastAsia="仿宋_GB2312" w:cs="仿宋_GB2312"/>
          <w:color w:val="auto"/>
          <w:sz w:val="32"/>
          <w:szCs w:val="32"/>
          <w:lang w:val="en-US" w:eastAsia="zh-CN"/>
        </w:rPr>
        <w:t>完成市城区、红海湾开发区等涉及区域及市直（含驻汕）有关单位意见征求；</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日通过我局组织的专家评审论证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w:t>
      </w:r>
      <w:r>
        <w:rPr>
          <w:rFonts w:hint="eastAsia"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rPr>
        <w:t>通过政府官网公开征求公众意见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征求意见时间为</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val="en-US" w:eastAsia="zh-CN"/>
        </w:rPr>
        <w:t>2025</w:t>
      </w:r>
      <w:r>
        <w:rPr>
          <w:rFonts w:hint="eastAsia" w:ascii="Times New Roman" w:hAnsi="Times New Roman" w:eastAsia="仿宋_GB2312" w:cs="Times New Roman"/>
          <w:color w:val="auto"/>
          <w:sz w:val="32"/>
          <w:szCs w:val="32"/>
          <w:lang w:val="en-US" w:eastAsia="zh-CN"/>
        </w:rPr>
        <w:t>年7</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黑体" w:hAnsi="黑体" w:eastAsia="黑体" w:cs="黑体"/>
          <w:color w:val="auto"/>
          <w:sz w:val="32"/>
          <w:szCs w:val="32"/>
        </w:rPr>
      </w:pPr>
      <w:r>
        <w:rPr>
          <w:rFonts w:hint="default" w:ascii="黑体" w:hAnsi="黑体" w:eastAsia="黑体" w:cs="黑体"/>
          <w:color w:val="auto"/>
          <w:sz w:val="32"/>
          <w:szCs w:val="32"/>
          <w:lang w:val="en-US" w:eastAsia="zh-CN"/>
        </w:rPr>
        <w:t>三、</w:t>
      </w:r>
      <w:r>
        <w:rPr>
          <w:rFonts w:hint="default" w:ascii="黑体" w:hAnsi="黑体" w:eastAsia="黑体" w:cs="黑体"/>
          <w:color w:val="auto"/>
          <w:sz w:val="32"/>
          <w:szCs w:val="32"/>
        </w:rPr>
        <w:t>各单位征求意见</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kern w:val="2"/>
          <w:sz w:val="32"/>
          <w:szCs w:val="32"/>
        </w:rPr>
        <w:t>，《规划》征求意见稿征求</w:t>
      </w:r>
      <w:r>
        <w:rPr>
          <w:rFonts w:hint="eastAsia" w:ascii="Times New Roman" w:hAnsi="Times New Roman" w:eastAsia="仿宋_GB2312" w:cs="Times New Roman"/>
          <w:color w:val="auto"/>
          <w:kern w:val="2"/>
          <w:sz w:val="32"/>
          <w:szCs w:val="32"/>
          <w:lang w:val="en-US" w:eastAsia="zh-CN"/>
        </w:rPr>
        <w:t>各地各相关部门</w:t>
      </w:r>
      <w:r>
        <w:rPr>
          <w:rFonts w:hint="default" w:ascii="Times New Roman" w:hAnsi="Times New Roman" w:eastAsia="仿宋_GB2312" w:cs="Times New Roman"/>
          <w:color w:val="auto"/>
          <w:kern w:val="2"/>
          <w:sz w:val="32"/>
          <w:szCs w:val="32"/>
        </w:rPr>
        <w:t>意见，共收集到</w:t>
      </w:r>
      <w:r>
        <w:rPr>
          <w:rFonts w:hint="default" w:ascii="Times New Roman" w:hAnsi="Times New Roman" w:eastAsia="仿宋_GB2312" w:cs="Times New Roman"/>
          <w:color w:val="auto"/>
          <w:kern w:val="2"/>
          <w:sz w:val="32"/>
          <w:szCs w:val="32"/>
          <w:lang w:val="en-US" w:eastAsia="zh-CN"/>
        </w:rPr>
        <w:t>10</w:t>
      </w:r>
      <w:r>
        <w:rPr>
          <w:rFonts w:hint="default" w:ascii="Times New Roman" w:hAnsi="Times New Roman" w:eastAsia="仿宋_GB2312" w:cs="Times New Roman"/>
          <w:color w:val="auto"/>
          <w:kern w:val="2"/>
          <w:sz w:val="32"/>
          <w:szCs w:val="32"/>
        </w:rPr>
        <w:t>个部门意见</w:t>
      </w:r>
      <w:r>
        <w:rPr>
          <w:rFonts w:hint="eastAsia" w:ascii="Times New Roman" w:hAnsi="Times New Roman" w:eastAsia="仿宋_GB2312" w:cs="Times New Roman"/>
          <w:color w:val="auto"/>
          <w:kern w:val="2"/>
          <w:sz w:val="32"/>
          <w:szCs w:val="32"/>
          <w:lang w:val="en-US" w:eastAsia="zh-CN"/>
        </w:rPr>
        <w:t>建议，其中涉及项目规模、要素保障、布局表述调整等内容均采纳修改，涉及市自然资源局提出的需解决用地问题部分采纳，后续在各项目工可、初设阶段会根据需求和可行性进行调整；汕尾海事局提出的锚地及支持系统泊位已在汕尾港总体规划修编中有相关预留布局，涉及办公用房等内容未纳入交通专项规划范畴，因此项目清单未作增补；涉及汕尾供电局提出的预留送电线路通道</w:t>
      </w:r>
      <w:r>
        <w:rPr>
          <w:rFonts w:hint="default" w:ascii="Times New Roman" w:hAnsi="Times New Roman" w:eastAsia="仿宋_GB2312" w:cs="Times New Roman"/>
          <w:color w:val="auto"/>
          <w:kern w:val="2"/>
          <w:sz w:val="32"/>
          <w:szCs w:val="32"/>
          <w:lang w:val="en-US" w:eastAsia="zh-CN"/>
        </w:rPr>
        <w:t>内容未纳入交通专项规划范畴</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因此文中未作增补。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default" w:ascii="黑体" w:hAnsi="黑体" w:eastAsia="黑体" w:cs="黑体"/>
          <w:color w:val="auto"/>
          <w:sz w:val="32"/>
          <w:szCs w:val="32"/>
          <w:lang w:val="en-US" w:eastAsia="zh-CN"/>
        </w:rPr>
        <w:t>、</w:t>
      </w:r>
      <w:r>
        <w:rPr>
          <w:rFonts w:hint="default" w:ascii="黑体" w:hAnsi="黑体" w:eastAsia="黑体" w:cs="黑体"/>
          <w:color w:val="auto"/>
          <w:sz w:val="32"/>
          <w:szCs w:val="32"/>
        </w:rPr>
        <w:t>专家评审情况</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组织各单位代表召开了专家评审会，按照专家意见进一步加强与红海湾经济开发区及汕尾市既有规划的衔接，优化方案及建设时序，核查建设标准、投资规模等指标。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rPr>
        <w:t>、规划主要内容</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《规划》立足</w:t>
      </w:r>
      <w:bookmarkStart w:id="0" w:name="OLE_LINK1"/>
      <w:r>
        <w:rPr>
          <w:rFonts w:hint="eastAsia" w:ascii="Times New Roman" w:hAnsi="Times New Roman" w:eastAsia="仿宋_GB2312" w:cs="Times New Roman"/>
          <w:color w:val="auto"/>
          <w:kern w:val="2"/>
          <w:sz w:val="32"/>
          <w:szCs w:val="32"/>
          <w:lang w:val="en-US" w:eastAsia="zh-CN"/>
        </w:rPr>
        <w:t>红海湾经济开发区</w:t>
      </w:r>
      <w:bookmarkEnd w:id="0"/>
      <w:r>
        <w:rPr>
          <w:rFonts w:hint="default" w:ascii="Times New Roman" w:hAnsi="Times New Roman" w:eastAsia="仿宋_GB2312" w:cs="Times New Roman"/>
          <w:color w:val="auto"/>
          <w:kern w:val="2"/>
          <w:sz w:val="32"/>
          <w:szCs w:val="32"/>
        </w:rPr>
        <w:t>综合立体交通网发展现状，充分分析了未来发展形势要求，提出了</w:t>
      </w:r>
      <w:r>
        <w:rPr>
          <w:rFonts w:hint="eastAsia" w:ascii="Times New Roman" w:hAnsi="Times New Roman" w:eastAsia="仿宋_GB2312" w:cs="Times New Roman"/>
          <w:color w:val="auto"/>
          <w:kern w:val="2"/>
          <w:sz w:val="32"/>
          <w:szCs w:val="32"/>
          <w:lang w:val="en-US" w:eastAsia="zh-CN"/>
        </w:rPr>
        <w:t>红海湾经济开发区</w:t>
      </w:r>
      <w:r>
        <w:rPr>
          <w:rFonts w:hint="default" w:ascii="Times New Roman" w:hAnsi="Times New Roman" w:eastAsia="仿宋_GB2312" w:cs="Times New Roman"/>
          <w:color w:val="auto"/>
          <w:kern w:val="2"/>
          <w:sz w:val="32"/>
          <w:szCs w:val="32"/>
        </w:rPr>
        <w:t>综合立体交通网的发展目标、总体</w:t>
      </w:r>
      <w:r>
        <w:rPr>
          <w:rFonts w:hint="eastAsia" w:ascii="Times New Roman" w:hAnsi="Times New Roman" w:eastAsia="仿宋_GB2312" w:cs="Times New Roman"/>
          <w:color w:val="auto"/>
          <w:kern w:val="2"/>
          <w:sz w:val="32"/>
          <w:szCs w:val="32"/>
          <w:lang w:val="en-US" w:eastAsia="zh-CN"/>
        </w:rPr>
        <w:t>规划和</w:t>
      </w:r>
      <w:r>
        <w:rPr>
          <w:rFonts w:hint="default" w:ascii="Times New Roman" w:hAnsi="Times New Roman" w:eastAsia="仿宋_GB2312" w:cs="Times New Roman"/>
          <w:color w:val="auto"/>
          <w:kern w:val="2"/>
          <w:sz w:val="32"/>
          <w:szCs w:val="32"/>
        </w:rPr>
        <w:t>布局方案</w:t>
      </w:r>
      <w:r>
        <w:rPr>
          <w:rFonts w:hint="eastAsia" w:ascii="Times New Roman" w:hAnsi="Times New Roman" w:eastAsia="仿宋_GB2312" w:cs="Times New Roman"/>
          <w:color w:val="auto"/>
          <w:kern w:val="2"/>
          <w:sz w:val="32"/>
          <w:szCs w:val="32"/>
          <w:lang w:val="en-US" w:eastAsia="zh-CN"/>
        </w:rPr>
        <w:t>及</w:t>
      </w:r>
      <w:r>
        <w:rPr>
          <w:rFonts w:hint="default" w:ascii="Times New Roman" w:hAnsi="Times New Roman" w:eastAsia="仿宋_GB2312" w:cs="Times New Roman"/>
          <w:color w:val="auto"/>
          <w:kern w:val="2"/>
          <w:sz w:val="32"/>
          <w:szCs w:val="32"/>
        </w:rPr>
        <w:t>重点任务等。主要内容如下：</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 w:hAnsi="楷体" w:eastAsia="楷体" w:cs="楷体"/>
          <w:b w:val="0"/>
          <w:bCs/>
          <w:color w:val="auto"/>
          <w:sz w:val="32"/>
          <w:szCs w:val="32"/>
        </w:rPr>
        <w:t>（一）发展基础</w:t>
      </w:r>
      <w:r>
        <w:rPr>
          <w:rFonts w:hint="eastAsia" w:ascii="楷体" w:hAnsi="楷体" w:eastAsia="楷体" w:cs="楷体"/>
          <w:b w:val="0"/>
          <w:bCs/>
          <w:color w:val="auto"/>
          <w:sz w:val="32"/>
          <w:szCs w:val="32"/>
          <w:lang w:eastAsia="zh-CN"/>
        </w:rPr>
        <w:t>。</w:t>
      </w:r>
      <w:r>
        <w:rPr>
          <w:rFonts w:hint="eastAsia" w:ascii="Times New Roman" w:hAnsi="Times New Roman" w:eastAsia="仿宋_GB2312" w:cs="Times New Roman"/>
          <w:color w:val="auto"/>
          <w:sz w:val="32"/>
          <w:szCs w:val="32"/>
          <w:lang w:val="en-US" w:eastAsia="zh-CN"/>
        </w:rPr>
        <w:t>红海湾经济开发区现状无铁路通道，高速公路仅有兴汕高速，普通国省干线仅国道G236、省道S240两条，县道有X124、X131、X141、X806。汕尾新港有现状码头泊位5个，其中10万吨级泊位1个（即汕尾电厂煤码头泊位），3000吨级泊位2个，2000吨级泊位1个，1000吨级泊位1个，岸线总长度709米，设计年综合通过能力810万吨。汕尾市铁路通车里程189.3公里，均为高铁里程。铁路客运站4个，分别为汕尾站、陆丰站、陆丰东站、陆丰南站，暂无铁路货运站。现有通车运营铁路分别是厦门至深圳铁路、广州至汕尾铁路、汕尾至汕头铁路。公路方面，全市通车里程为57</w:t>
      </w:r>
      <w:r>
        <w:rPr>
          <w:rFonts w:hint="default" w:ascii="Times New Roman" w:hAnsi="Times New Roman" w:eastAsia="仿宋_GB2312" w:cs="Times New Roman"/>
          <w:color w:val="auto"/>
          <w:sz w:val="32"/>
          <w:szCs w:val="32"/>
          <w:lang w:val="en-US" w:eastAsia="zh-CN"/>
        </w:rPr>
        <w:t>68</w:t>
      </w:r>
      <w:r>
        <w:rPr>
          <w:rFonts w:hint="eastAsia" w:ascii="Times New Roman" w:hAnsi="Times New Roman" w:eastAsia="仿宋_GB2312" w:cs="Times New Roman"/>
          <w:color w:val="auto"/>
          <w:sz w:val="32"/>
          <w:szCs w:val="32"/>
          <w:lang w:val="en-US" w:eastAsia="zh-CN"/>
        </w:rPr>
        <w:t>.7公里（不含深汕合作区），形成了以沈海高速公路、潮惠高速公路、兴汕高速五华至陆河段、兴汕高速海丰至红海湾段等高速公路为主骨架，以国道228、235、236、324线及省道238、240、241、337、510线等普通国省干线为重要支撑，以农村公路为脉络的公路网络。综上所述，汕尾市总体已建成规模可观、体系完善、运行顺畅的综合交通体系，可为红海湾经济开发区综合立体交通网提供衔接基础与发展样板。</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楷体" w:hAnsi="楷体" w:eastAsia="楷体" w:cs="楷体"/>
          <w:b w:val="0"/>
          <w:bCs/>
          <w:color w:val="auto"/>
          <w:sz w:val="32"/>
          <w:szCs w:val="32"/>
        </w:rPr>
        <w:t>（二）发展形势</w:t>
      </w:r>
      <w:r>
        <w:rPr>
          <w:rFonts w:hint="eastAsia" w:ascii="楷体" w:hAnsi="楷体" w:eastAsia="楷体" w:cs="楷体"/>
          <w:b w:val="0"/>
          <w:bCs/>
          <w:color w:val="auto"/>
          <w:sz w:val="32"/>
          <w:szCs w:val="32"/>
          <w:lang w:eastAsia="zh-CN"/>
        </w:rPr>
        <w:t>。</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服务国家重点支持产业发展，承接珠三角新能源汽车产业转移，吸引高端制造全产业链落户，形成产业集聚效应，推动当地经济高质量发展，需建设多种运输方式齐全且集约高效的综合交通体系；</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助力广东打造世界一流企业群，实现广东产业结构深度调整与优化，产业梯度转移提升汕尾乃至广东的对外开放水平，加速世界一流企业群的培育，实现这一目标要借助高效、协同、现代化的综合交通运输体系；</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汕尾是承接珠三角产业转移、资源外溢的“第一级阶梯”，而红海湾经济开发区因其优越的地理位置和资源禀赋，当下更是产业变革，产业链重塑的关键期，为红海湾经济开发区开展交通大建设，谋求跨越式发展提供了千载难逢的重大机遇；</w:t>
      </w:r>
      <w:r>
        <w:rPr>
          <w:rFonts w:hint="eastAsia" w:ascii="Times New Roman" w:hAnsi="Times New Roman" w:eastAsia="仿宋_GB2312" w:cs="Times New Roman"/>
          <w:b/>
          <w:bCs/>
          <w:color w:val="auto"/>
          <w:sz w:val="32"/>
          <w:szCs w:val="32"/>
          <w:lang w:val="en-US" w:eastAsia="zh-CN"/>
        </w:rPr>
        <w:t>四是</w:t>
      </w:r>
      <w:r>
        <w:rPr>
          <w:rFonts w:hint="eastAsia" w:ascii="Times New Roman" w:hAnsi="Times New Roman" w:eastAsia="仿宋_GB2312" w:cs="Times New Roman"/>
          <w:color w:val="auto"/>
          <w:sz w:val="32"/>
          <w:szCs w:val="32"/>
          <w:lang w:val="en-US" w:eastAsia="zh-CN"/>
        </w:rPr>
        <w:t>建设高质量综合交通运输体系是城市经济进入可持续发展的良性循环的重要保障，有利于汕尾充分发挥后发优势，成为广东老区苏区补短板、谋发展的新起点。</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楷体" w:hAnsi="楷体" w:eastAsia="楷体" w:cs="楷体"/>
          <w:b w:val="0"/>
          <w:bCs/>
          <w:color w:val="auto"/>
          <w:sz w:val="32"/>
          <w:szCs w:val="32"/>
        </w:rPr>
        <w:t>（三）规划范围和期限</w:t>
      </w:r>
      <w:r>
        <w:rPr>
          <w:rFonts w:hint="eastAsia" w:ascii="楷体" w:hAnsi="楷体" w:eastAsia="楷体" w:cs="楷体"/>
          <w:b w:val="0"/>
          <w:bCs/>
          <w:color w:val="auto"/>
          <w:sz w:val="32"/>
          <w:szCs w:val="32"/>
          <w:lang w:eastAsia="zh-CN"/>
        </w:rPr>
        <w:t>。</w:t>
      </w:r>
      <w:r>
        <w:rPr>
          <w:rFonts w:hint="default" w:ascii="Times New Roman" w:hAnsi="Times New Roman" w:eastAsia="仿宋_GB2312" w:cs="Times New Roman"/>
          <w:color w:val="auto"/>
          <w:sz w:val="32"/>
          <w:szCs w:val="32"/>
        </w:rPr>
        <w:t>本次规划范围为</w:t>
      </w:r>
      <w:r>
        <w:rPr>
          <w:rFonts w:hint="eastAsia" w:ascii="仿宋_GB2312" w:hAnsi="仿宋_GB2312" w:eastAsia="仿宋_GB2312" w:cs="仿宋_GB2312"/>
          <w:b w:val="0"/>
          <w:bCs w:val="0"/>
          <w:color w:val="auto"/>
          <w:spacing w:val="-6"/>
          <w:sz w:val="32"/>
          <w:szCs w:val="32"/>
          <w:lang w:val="en-US" w:eastAsia="zh-CN"/>
        </w:rPr>
        <w:t>汕尾市红海湾片区（广义范围拓展至市城区全域及海丰县部分地区）</w:t>
      </w:r>
      <w:r>
        <w:rPr>
          <w:rFonts w:hint="default" w:ascii="Times New Roman" w:hAnsi="Times New Roman" w:eastAsia="仿宋_GB2312" w:cs="Times New Roman"/>
          <w:color w:val="auto"/>
          <w:sz w:val="32"/>
          <w:szCs w:val="32"/>
        </w:rPr>
        <w:t>，涵盖铁路、公路、水运、民航、</w:t>
      </w:r>
      <w:r>
        <w:rPr>
          <w:rFonts w:hint="eastAsia" w:ascii="Times New Roman" w:hAnsi="Times New Roman" w:eastAsia="仿宋_GB2312" w:cs="Times New Roman"/>
          <w:color w:val="auto"/>
          <w:sz w:val="32"/>
          <w:szCs w:val="32"/>
          <w:lang w:val="en-US" w:eastAsia="zh-CN"/>
        </w:rPr>
        <w:t>物流</w:t>
      </w:r>
      <w:r>
        <w:rPr>
          <w:rFonts w:hint="default" w:ascii="Times New Roman" w:hAnsi="Times New Roman" w:eastAsia="仿宋_GB2312" w:cs="Times New Roman"/>
          <w:color w:val="auto"/>
          <w:sz w:val="32"/>
          <w:szCs w:val="32"/>
        </w:rPr>
        <w:t>，以及未来可能出现的新型交通运输方式，</w:t>
      </w:r>
      <w:r>
        <w:rPr>
          <w:rFonts w:hint="eastAsia" w:ascii="仿宋_GB2312" w:hAnsi="仿宋_GB2312" w:eastAsia="仿宋_GB2312" w:cs="仿宋_GB2312"/>
          <w:b w:val="0"/>
          <w:bCs w:val="0"/>
          <w:color w:val="auto"/>
          <w:spacing w:val="-6"/>
          <w:sz w:val="32"/>
          <w:szCs w:val="32"/>
          <w:lang w:val="en-US" w:eastAsia="zh-CN"/>
        </w:rPr>
        <w:t>旨在构建以</w:t>
      </w:r>
      <w:r>
        <w:rPr>
          <w:rFonts w:hint="eastAsia" w:ascii="仿宋_GB2312" w:hAnsi="仿宋_GB2312" w:eastAsia="仿宋_GB2312" w:cs="仿宋_GB2312"/>
          <w:b w:val="0"/>
          <w:bCs w:val="0"/>
          <w:color w:val="auto"/>
          <w:spacing w:val="-6"/>
          <w:sz w:val="32"/>
          <w:szCs w:val="32"/>
        </w:rPr>
        <w:t>产业核心</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rPr>
        <w:t>物流园区</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rPr>
        <w:t>交通走廊</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lang w:val="en-US" w:eastAsia="zh-CN"/>
        </w:rPr>
        <w:t>货运综合枢纽为重心的综合交通总体布局</w:t>
      </w:r>
      <w:r>
        <w:rPr>
          <w:rFonts w:hint="default" w:ascii="Times New Roman" w:hAnsi="Times New Roman" w:eastAsia="仿宋_GB2312" w:cs="Times New Roman"/>
          <w:color w:val="auto"/>
          <w:sz w:val="32"/>
          <w:szCs w:val="32"/>
        </w:rPr>
        <w:t>。规划期为202</w:t>
      </w:r>
      <w:r>
        <w:rPr>
          <w:rFonts w:hint="eastAsia" w:ascii="Times New Roman" w:hAnsi="Times New Roman" w:eastAsia="仿宋_GB2312" w:cs="Times New Roman"/>
          <w:color w:val="auto"/>
          <w:sz w:val="32"/>
          <w:szCs w:val="32"/>
          <w:lang w:val="en-US" w:eastAsia="zh-CN"/>
        </w:rPr>
        <w:t>5年</w:t>
      </w:r>
      <w:r>
        <w:rPr>
          <w:rFonts w:hint="default" w:ascii="Times New Roman" w:hAnsi="Times New Roman" w:eastAsia="仿宋_GB2312" w:cs="Times New Roman"/>
          <w:color w:val="auto"/>
          <w:sz w:val="32"/>
          <w:szCs w:val="32"/>
        </w:rPr>
        <w:t>至2035年</w:t>
      </w:r>
      <w:r>
        <w:rPr>
          <w:rFonts w:hint="eastAsia" w:ascii="Times New Roman" w:hAnsi="Times New Roman" w:eastAsia="仿宋_GB2312" w:cs="Times New Roman"/>
          <w:color w:val="auto"/>
          <w:sz w:val="32"/>
          <w:szCs w:val="32"/>
          <w:lang w:eastAsia="zh-CN"/>
        </w:rPr>
        <w:t>，分近期（2025-2027），中期（2028-2030），远期（2031及以后）三期实施</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楷体" w:hAnsi="楷体" w:eastAsia="楷体" w:cs="楷体"/>
          <w:b w:val="0"/>
          <w:bCs/>
          <w:color w:val="auto"/>
          <w:sz w:val="32"/>
          <w:szCs w:val="32"/>
        </w:rPr>
        <w:t>（四）发展目标</w:t>
      </w:r>
      <w:r>
        <w:rPr>
          <w:rFonts w:hint="eastAsia" w:ascii="楷体" w:hAnsi="楷体" w:eastAsia="楷体" w:cs="楷体"/>
          <w:b w:val="0"/>
          <w:bCs/>
          <w:color w:val="auto"/>
          <w:sz w:val="32"/>
          <w:szCs w:val="32"/>
          <w:lang w:eastAsia="zh-CN"/>
        </w:rPr>
        <w:t>。</w:t>
      </w:r>
      <w:r>
        <w:rPr>
          <w:rFonts w:hint="default" w:ascii="Times New Roman" w:hAnsi="Times New Roman" w:eastAsia="仿宋_GB2312" w:cs="Times New Roman"/>
          <w:b w:val="0"/>
          <w:bCs w:val="0"/>
          <w:color w:val="auto"/>
          <w:sz w:val="32"/>
          <w:szCs w:val="32"/>
        </w:rPr>
        <w:t>三年打基础（2025-2027年）</w:t>
      </w:r>
      <w:r>
        <w:rPr>
          <w:rFonts w:hint="default" w:ascii="Times New Roman" w:hAnsi="Times New Roman" w:eastAsia="仿宋_GB2312" w:cs="Times New Roman"/>
          <w:color w:val="auto"/>
          <w:sz w:val="32"/>
          <w:szCs w:val="32"/>
        </w:rPr>
        <w:t>，加快红海湾经济开发区规划交通项目的前期工作，统筹优化各种运输方式建设方案，推动一批在建项目加快投产，推动一批条件成熟的项目开工建设。</w:t>
      </w:r>
      <w:r>
        <w:rPr>
          <w:rFonts w:hint="default" w:ascii="Times New Roman" w:hAnsi="Times New Roman" w:eastAsia="仿宋_GB2312" w:cs="Times New Roman"/>
          <w:b w:val="0"/>
          <w:bCs w:val="0"/>
          <w:color w:val="auto"/>
          <w:sz w:val="32"/>
          <w:szCs w:val="32"/>
        </w:rPr>
        <w:t>五年显成效（2028-2030年）</w:t>
      </w:r>
      <w:r>
        <w:rPr>
          <w:rFonts w:hint="default" w:ascii="Times New Roman" w:hAnsi="Times New Roman" w:eastAsia="仿宋_GB2312" w:cs="Times New Roman"/>
          <w:color w:val="auto"/>
          <w:sz w:val="32"/>
          <w:szCs w:val="32"/>
        </w:rPr>
        <w:t>，支撑红海湾经济开发区绿色制造产业落地的关键配套项目全面建成，有效服务片区居民出行、产业园区生产活动，基本满足区域综合客货运输需求。</w:t>
      </w:r>
      <w:r>
        <w:rPr>
          <w:rFonts w:hint="default" w:ascii="Times New Roman" w:hAnsi="Times New Roman" w:eastAsia="仿宋_GB2312" w:cs="Times New Roman"/>
          <w:b w:val="0"/>
          <w:bCs w:val="0"/>
          <w:color w:val="auto"/>
          <w:sz w:val="32"/>
          <w:szCs w:val="32"/>
        </w:rPr>
        <w:t>十年成示范（2031年及以后）</w:t>
      </w:r>
      <w:r>
        <w:rPr>
          <w:rFonts w:hint="default" w:ascii="Times New Roman" w:hAnsi="Times New Roman" w:eastAsia="仿宋_GB2312" w:cs="Times New Roman"/>
          <w:color w:val="auto"/>
          <w:sz w:val="32"/>
          <w:szCs w:val="32"/>
        </w:rPr>
        <w:t>，公铁水航四种运输方式衔接高效的综合交通运输体系全面建成，红海湾经济开发区后发优势得到充分利用，“一子落，满盘活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，红海湾经济开发区产业集群规模得以进一步扩大，城市经济发展的活力不断激发，成为交通引领经济发展的广东示范。</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楷体" w:hAnsi="楷体" w:eastAsia="楷体" w:cs="楷体"/>
          <w:b w:val="0"/>
          <w:bCs/>
          <w:color w:val="auto"/>
          <w:sz w:val="32"/>
          <w:szCs w:val="32"/>
        </w:rPr>
        <w:t>（五）规划布局</w:t>
      </w:r>
      <w:bookmarkStart w:id="1" w:name="OLE_LINK4"/>
      <w:r>
        <w:rPr>
          <w:rFonts w:hint="eastAsia" w:ascii="楷体" w:hAnsi="楷体" w:eastAsia="楷体" w:cs="楷体"/>
          <w:b w:val="0"/>
          <w:bCs/>
          <w:color w:val="auto"/>
          <w:sz w:val="32"/>
          <w:szCs w:val="32"/>
          <w:lang w:eastAsia="zh-CN"/>
        </w:rPr>
        <w:t>。</w:t>
      </w:r>
      <w:r>
        <w:rPr>
          <w:rFonts w:hint="eastAsia" w:ascii="Times New Roman" w:hAnsi="Times New Roman" w:eastAsia="仿宋_GB2312" w:cs="Times New Roman"/>
          <w:color w:val="auto"/>
          <w:sz w:val="32"/>
          <w:szCs w:val="32"/>
          <w:lang w:val="en-US" w:eastAsia="zh-CN"/>
        </w:rPr>
        <w:t>围绕以城市枢纽带动汕尾向枢纽城市转变总体思路，汕尾市红海湾经济开发区规划红海湾经济开发区形成“一核一站二园四廊”综合交通总体布局，其中“一核”指红海湾绿色制造产业核心，“一站”指汕尾站区域性综合交通枢纽，“二园”指汕尾综合物流产业园、汕尾新港临港物流园两大物流园区，“四廊”指红海湾经济开发区西承“融深融湾”走廊、东联“协同发展”走廊、振北“广辟腹地”走廊、图南“货通全球”走廊。围绕公铁水航重点交通项目，规划打造汕尾市货运综合枢纽。</w:t>
      </w:r>
      <w:bookmarkEnd w:id="1"/>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Times New Roman"/>
          <w:color w:val="auto"/>
          <w:sz w:val="32"/>
          <w:szCs w:val="32"/>
          <w:lang w:val="en-US" w:eastAsia="zh-CN"/>
        </w:rPr>
        <w:t>构建红海湾经济开发区绿色制造产业核心。由三大集群组成：新能源产城游融合产业集群，重点服务超级链主企业，发展整车制造、智能驾驶研发、整车测试等主导产业，结合红海湾旅游产业优势，发展工业旅游；新能源零配件制造产业集群，结合汕尾综合保税区，向南北预留产业空间，发展智能装备、零配件、新型储能制造等新能源上游产业链；新能源临港产业集群，结合汕尾新港与汕尾机场，发展适配空港优势的智能装备制造、进出口贸易、物流商贸等产业。</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建设纵深拓展的铁路运输网络。汕尾站规划打造为区域性重要综合交通枢纽；</w:t>
      </w:r>
      <w:bookmarkStart w:id="2" w:name="OLE_LINK3"/>
      <w:r>
        <w:rPr>
          <w:rFonts w:hint="eastAsia" w:ascii="Times New Roman" w:hAnsi="Times New Roman" w:eastAsia="仿宋_GB2312" w:cs="Times New Roman"/>
          <w:color w:val="auto"/>
          <w:sz w:val="32"/>
          <w:szCs w:val="32"/>
          <w:lang w:val="en-US" w:eastAsia="zh-CN"/>
        </w:rPr>
        <w:t>新增</w:t>
      </w:r>
      <w:bookmarkEnd w:id="2"/>
      <w:r>
        <w:rPr>
          <w:rFonts w:hint="eastAsia" w:ascii="Times New Roman" w:hAnsi="Times New Roman" w:eastAsia="仿宋_GB2312" w:cs="Times New Roman"/>
          <w:color w:val="auto"/>
          <w:sz w:val="32"/>
          <w:szCs w:val="32"/>
          <w:lang w:val="en-US" w:eastAsia="zh-CN"/>
        </w:rPr>
        <w:t>汕尾新港站为港区作业站，主要服务于白沙湖作业区的港口集疏运和临港产业货物运输，选址于港区规划工业用地和物流用地西南侧；新增红湖站为中间站，近期主要承担货运业务，远期开通旅客列车。加快推进河源至汕尾铁路等项目规划建设，新增海丰支线、汕尾新港铁路专用线。</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Times New Roman"/>
          <w:color w:val="auto"/>
          <w:sz w:val="32"/>
          <w:szCs w:val="32"/>
          <w:lang w:val="en-US" w:eastAsia="zh-CN"/>
        </w:rPr>
        <w:t>构建一体畅达的高速公路布局。针对红海湾经济开发区对外仅兴汕高速一条快速通道的现状，规划红海湾高速一期，路线起于东涌镇在建国道236城区段终点处（东涌互通），终点止于红海湾遮浪（规划游客中心），以及红海湾高速二期，顺接红海湾高速一期，经汕尾城区外围，延伸至深汕西高速，形成与兴汕高速、沈海高速首尾相接，服务汕尾中心城区、红海湾经济开发区、海丰县部分区域的高速环线。</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完善层次分明的基础交通网络。主要是规划国道G236线汕尾城区东涌至红海湾田墘段改建工程（外环路）、外环路捷胜支线、广东省滨海旅游公路（红海湾段）3条普通国省干线建设。以及规划县道X141线红海湾段、县道X806线及乡道Y011线升级改造工程（市政项目命名田湖路）及连岛路拓宽（市政项目命名连港路）等多段县道农村公路升级改造工程。规划新兴路、洲湖路、进港大道、国防路等城市道路，提升红海湾经济开发区道路服务水平。</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打造畅通集约的水路港口格局。汕尾新港近期规划2个7万吨级、1个1万吨级泊位，以及2个15万吨级集装箱泊位（结构按20万吨级建设），为服务红海湾绿色制造产业园的货运枢纽港，发展集装箱运输，兼顾海工装备等临港产业发展，远期谋划通过填海进一步拓宽港区，强化陆海联动交通转换枢纽功能。总体上共规划15个泊位，可形成码头岸线4.81公里，总陆域面积249.7万平方米，年设计通过能力可达4890万吨，旅客通过能力约为80万人次。规划远期汕尾新港区进港航道升级至15-20万吨级，并探索构建“红海湾—东南亚—全球”的国际航运网络及特色航运。</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探索科学可行的机场选址定位。规划于施公寮岛建设汕尾机场，功能定位以货运功能为主，兼顾客运，为粤东地区重要节点机场、深圳第三机场（货物空空转运）、顺丰京东等企业的物流转运基地、平急两用机场，近期考虑飞行区等级4C，远期按照飞行区等级4E。预测航空业务量近期（2040年）为250万人，25万吨，远期（2055年）年520万人，50万吨。构建“干支联，支支通”航空网络。规划布局红海湾经济开发区直升机起降点、低空飞行器起降点。</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建设功能多元的综合物流园区。服务汕尾市产业发展规划及匹配物流专项规划，规划建设汕尾综合物流产业园，计划分三期建设“商贸+粮食+食品+冷链+多式联运”的综合型物流园区，最终建成“一带一路”沿线重要的国际供应链资源配置节点；规划发展汕尾新港临港物流园，并于其中建设汕尾综合保税区，形成以大宗散杂货储运为核心、以临港工业物流为特色、以集装箱储运、保税物流为补充的多功能综合型海港物流基地。</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楷体" w:hAnsi="楷体" w:eastAsia="楷体" w:cs="楷体"/>
          <w:b w:val="0"/>
          <w:bCs/>
          <w:color w:val="auto"/>
          <w:sz w:val="32"/>
          <w:szCs w:val="32"/>
        </w:rPr>
        <w:t>（六）重点工程</w:t>
      </w:r>
      <w:r>
        <w:rPr>
          <w:rFonts w:hint="eastAsia" w:ascii="楷体" w:hAnsi="楷体" w:eastAsia="楷体" w:cs="楷体"/>
          <w:b w:val="0"/>
          <w:bCs/>
          <w:color w:val="auto"/>
          <w:sz w:val="32"/>
          <w:szCs w:val="32"/>
          <w:lang w:eastAsia="zh-CN"/>
        </w:rPr>
        <w:t>。</w:t>
      </w:r>
      <w:r>
        <w:rPr>
          <w:rFonts w:hint="default" w:ascii="Times New Roman" w:hAnsi="Times New Roman" w:eastAsia="仿宋_GB2312" w:cs="Times New Roman"/>
          <w:color w:val="auto"/>
          <w:sz w:val="32"/>
          <w:szCs w:val="32"/>
          <w:lang w:val="en-US" w:eastAsia="zh-CN"/>
        </w:rPr>
        <w:t>《规划》围绕交通发展战略和规划布局方案，</w:t>
      </w:r>
      <w:r>
        <w:rPr>
          <w:rFonts w:hint="eastAsia" w:ascii="Times New Roman" w:hAnsi="Times New Roman" w:eastAsia="仿宋_GB2312" w:cs="Times New Roman"/>
          <w:color w:val="auto"/>
          <w:sz w:val="32"/>
          <w:szCs w:val="32"/>
          <w:lang w:val="en-US" w:eastAsia="zh-CN"/>
        </w:rPr>
        <w:t>规划</w:t>
      </w:r>
      <w:r>
        <w:rPr>
          <w:rFonts w:hint="default" w:ascii="Times New Roman" w:hAnsi="Times New Roman" w:eastAsia="仿宋_GB2312" w:cs="Times New Roman"/>
          <w:color w:val="auto"/>
          <w:sz w:val="32"/>
          <w:szCs w:val="32"/>
          <w:lang w:val="en-US" w:eastAsia="zh-CN"/>
        </w:rPr>
        <w:t>了</w:t>
      </w:r>
      <w:r>
        <w:rPr>
          <w:rFonts w:hint="eastAsia" w:ascii="Times New Roman" w:hAnsi="Times New Roman" w:eastAsia="仿宋_GB2312" w:cs="Times New Roman"/>
          <w:color w:val="auto"/>
          <w:sz w:val="32"/>
          <w:szCs w:val="32"/>
          <w:lang w:val="en-US" w:eastAsia="zh-CN"/>
        </w:rPr>
        <w:t>高速公路、干线铁路、港口泊位、支线机场以及物流园区</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kern w:val="2"/>
          <w:sz w:val="32"/>
          <w:szCs w:val="32"/>
          <w:lang w:val="en-US" w:eastAsia="zh-CN"/>
        </w:rPr>
        <w:t>共35项交通重大工程，总投资约</w:t>
      </w:r>
      <w:r>
        <w:rPr>
          <w:rFonts w:hint="eastAsia" w:ascii="Times New Roman" w:hAnsi="Times New Roman" w:eastAsia="仿宋_GB2312" w:cs="Times New Roman"/>
          <w:color w:val="auto"/>
          <w:kern w:val="2"/>
          <w:sz w:val="32"/>
          <w:szCs w:val="32"/>
          <w:lang w:val="en-US" w:eastAsia="zh-CN"/>
        </w:rPr>
        <w:t>509.1</w:t>
      </w:r>
      <w:r>
        <w:rPr>
          <w:rFonts w:hint="default" w:ascii="Times New Roman" w:hAnsi="Times New Roman" w:eastAsia="仿宋_GB2312" w:cs="Times New Roman"/>
          <w:color w:val="auto"/>
          <w:kern w:val="2"/>
          <w:sz w:val="32"/>
          <w:szCs w:val="32"/>
          <w:lang w:val="en-US" w:eastAsia="zh-CN"/>
        </w:rPr>
        <w:t>亿元，分近期（2025-2027），中期（2028-2030），远期（2031及以后）三期实施，近期项目1</w:t>
      </w:r>
      <w:r>
        <w:rPr>
          <w:rFonts w:hint="eastAsia"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lang w:val="en-US" w:eastAsia="zh-CN"/>
        </w:rPr>
        <w:t>项、投资约</w:t>
      </w:r>
      <w:r>
        <w:rPr>
          <w:rFonts w:hint="eastAsia" w:ascii="Times New Roman" w:hAnsi="Times New Roman" w:eastAsia="仿宋_GB2312" w:cs="Times New Roman"/>
          <w:color w:val="auto"/>
          <w:kern w:val="2"/>
          <w:sz w:val="32"/>
          <w:szCs w:val="32"/>
          <w:lang w:val="en-US" w:eastAsia="zh-CN"/>
        </w:rPr>
        <w:t>174.1</w:t>
      </w:r>
      <w:r>
        <w:rPr>
          <w:rFonts w:hint="default" w:ascii="Times New Roman" w:hAnsi="Times New Roman" w:eastAsia="仿宋_GB2312" w:cs="Times New Roman"/>
          <w:color w:val="auto"/>
          <w:kern w:val="2"/>
          <w:sz w:val="32"/>
          <w:szCs w:val="32"/>
          <w:lang w:val="en-US" w:eastAsia="zh-CN"/>
        </w:rPr>
        <w:t>亿元，中期项目8项、投资约</w:t>
      </w:r>
      <w:r>
        <w:rPr>
          <w:rFonts w:hint="eastAsia" w:ascii="Times New Roman" w:hAnsi="Times New Roman" w:eastAsia="仿宋_GB2312" w:cs="Times New Roman"/>
          <w:color w:val="auto"/>
          <w:kern w:val="2"/>
          <w:sz w:val="32"/>
          <w:szCs w:val="32"/>
          <w:lang w:val="en-US" w:eastAsia="zh-CN"/>
        </w:rPr>
        <w:t>146.2</w:t>
      </w:r>
      <w:r>
        <w:rPr>
          <w:rFonts w:hint="default" w:ascii="Times New Roman" w:hAnsi="Times New Roman" w:eastAsia="仿宋_GB2312" w:cs="Times New Roman"/>
          <w:color w:val="auto"/>
          <w:kern w:val="2"/>
          <w:sz w:val="32"/>
          <w:szCs w:val="32"/>
          <w:lang w:val="en-US" w:eastAsia="zh-CN"/>
        </w:rPr>
        <w:t xml:space="preserve">亿元，远期项目10项、投资约188.8亿元。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、规划衔接情况</w:t>
      </w:r>
    </w:p>
    <w:p>
      <w:pPr>
        <w:pStyle w:val="1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rPr>
        <w:t>《规划》</w:t>
      </w:r>
      <w:r>
        <w:rPr>
          <w:rFonts w:hint="default" w:ascii="Times New Roman" w:hAnsi="Times New Roman" w:eastAsia="仿宋_GB2312" w:cs="Times New Roman"/>
          <w:color w:val="auto"/>
          <w:sz w:val="32"/>
          <w:szCs w:val="32"/>
        </w:rPr>
        <w:t>严格按照相关程序开展编制工作。</w:t>
      </w:r>
      <w:r>
        <w:rPr>
          <w:rFonts w:hint="eastAsia" w:ascii="Times New Roman" w:hAnsi="Times New Roman" w:eastAsia="仿宋_GB2312" w:cs="Times New Roman"/>
          <w:color w:val="auto"/>
          <w:sz w:val="32"/>
          <w:szCs w:val="32"/>
        </w:rPr>
        <w:t>本规划作为区域性规划，与《广东省国土空间</w:t>
      </w:r>
      <w:r>
        <w:rPr>
          <w:rFonts w:hint="eastAsia" w:ascii="Times New Roman" w:hAnsi="Times New Roman" w:eastAsia="仿宋_GB2312" w:cs="Times New Roman"/>
          <w:color w:val="auto"/>
          <w:sz w:val="32"/>
          <w:szCs w:val="32"/>
          <w:lang w:val="en-US" w:eastAsia="zh-CN"/>
        </w:rPr>
        <w:t>规划</w:t>
      </w:r>
      <w:r>
        <w:rPr>
          <w:rFonts w:hint="eastAsia" w:ascii="Times New Roman" w:hAnsi="Times New Roman" w:eastAsia="仿宋_GB2312" w:cs="Times New Roman"/>
          <w:color w:val="auto"/>
          <w:sz w:val="32"/>
          <w:szCs w:val="32"/>
        </w:rPr>
        <w:t>2021-2035年》、《汕尾市国土空间规划2021-2035年》等上位空间规划，《广东省综合立体交通网规划2021-2035年》、《汕尾市综合立体交通网规划2021-2035年》、《汕尾港总体规划202</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Times New Roman"/>
          <w:color w:val="auto"/>
          <w:sz w:val="32"/>
          <w:szCs w:val="32"/>
        </w:rPr>
        <w:t>2035年》等上位交通规划一脉相承，方向一致。</w:t>
      </w:r>
      <w:r>
        <w:rPr>
          <w:rFonts w:hint="eastAsia" w:ascii="Times New Roman" w:hAnsi="Times New Roman" w:eastAsia="仿宋_GB2312" w:cs="Times New Roman"/>
          <w:color w:val="auto"/>
          <w:sz w:val="32"/>
          <w:szCs w:val="32"/>
          <w:lang w:val="en-US" w:eastAsia="zh-CN"/>
        </w:rPr>
        <w:t>并</w:t>
      </w:r>
      <w:r>
        <w:rPr>
          <w:rFonts w:hint="eastAsia" w:ascii="Times New Roman" w:hAnsi="Times New Roman" w:eastAsia="仿宋_GB2312" w:cs="Times New Roman"/>
          <w:color w:val="auto"/>
          <w:sz w:val="32"/>
          <w:szCs w:val="32"/>
        </w:rPr>
        <w:t>依据城市综合交通体系规划标准编制，与区域详细规划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市政专项规划等有机衔接，统一格局，将部分衔接干线公路的城市道路一并纳入本规划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其中，</w:t>
      </w:r>
      <w:r>
        <w:rPr>
          <w:rFonts w:hint="eastAsia" w:ascii="FangSong_GB2312" w:hAnsi="FangSong_GB2312" w:eastAsia="FangSong_GB2312"/>
          <w:color w:val="auto"/>
          <w:sz w:val="32"/>
          <w:szCs w:val="24"/>
        </w:rPr>
        <w:t>为确保规划一张图内容清晰直观，表达明确，并将部分规划项目名称调整为与区域详细规划</w:t>
      </w:r>
      <w:r>
        <w:rPr>
          <w:rFonts w:hint="eastAsia" w:ascii="FangSong_GB2312" w:hAnsi="FangSong_GB2312" w:eastAsia="FangSong_GB2312"/>
          <w:color w:val="auto"/>
          <w:sz w:val="32"/>
          <w:szCs w:val="24"/>
          <w:lang w:eastAsia="zh-CN"/>
        </w:rPr>
        <w:t>、</w:t>
      </w:r>
      <w:r>
        <w:rPr>
          <w:rFonts w:hint="eastAsia" w:ascii="FangSong_GB2312" w:hAnsi="FangSong_GB2312" w:eastAsia="FangSong_GB2312"/>
          <w:color w:val="auto"/>
          <w:sz w:val="32"/>
          <w:szCs w:val="24"/>
        </w:rPr>
        <w:t>市政专项规划一致。</w:t>
      </w:r>
    </w:p>
    <w:p>
      <w:pPr>
        <w:pStyle w:val="18"/>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color w:val="auto"/>
          <w:sz w:val="32"/>
          <w:szCs w:val="32"/>
        </w:rPr>
      </w:pPr>
    </w:p>
    <w:p>
      <w:pPr>
        <w:pStyle w:val="18"/>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color w:val="auto"/>
          <w:sz w:val="32"/>
          <w:szCs w:val="32"/>
        </w:rPr>
      </w:pPr>
    </w:p>
    <w:p>
      <w:pPr>
        <w:pStyle w:val="18"/>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pStyle w:val="1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p>
    <w:p>
      <w:pPr>
        <w:pStyle w:val="1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p>
    <w:p>
      <w:pPr>
        <w:pStyle w:val="1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p>
    <w:p>
      <w:pPr>
        <w:pStyle w:val="18"/>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仿宋_GB2312" w:cs="Times New Roman"/>
          <w:color w:val="auto"/>
          <w:sz w:val="32"/>
          <w:szCs w:val="32"/>
          <w:lang w:val="en-US" w:eastAsia="zh-CN"/>
        </w:rPr>
      </w:pPr>
    </w:p>
    <w:sectPr>
      <w:footerReference r:id="rId3" w:type="default"/>
      <w:pgSz w:w="11906" w:h="16838"/>
      <w:pgMar w:top="1814"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1F64"/>
    <w:rsid w:val="00754705"/>
    <w:rsid w:val="00A302BD"/>
    <w:rsid w:val="00D21AE8"/>
    <w:rsid w:val="01017AC0"/>
    <w:rsid w:val="015631D6"/>
    <w:rsid w:val="019D5BC4"/>
    <w:rsid w:val="01A1217E"/>
    <w:rsid w:val="01CE0480"/>
    <w:rsid w:val="025B06C1"/>
    <w:rsid w:val="026B177A"/>
    <w:rsid w:val="03526A8D"/>
    <w:rsid w:val="0420101D"/>
    <w:rsid w:val="048522DF"/>
    <w:rsid w:val="04AB2F86"/>
    <w:rsid w:val="04C6512C"/>
    <w:rsid w:val="050E4677"/>
    <w:rsid w:val="0515731D"/>
    <w:rsid w:val="054D5070"/>
    <w:rsid w:val="054F55ED"/>
    <w:rsid w:val="056019B8"/>
    <w:rsid w:val="05816D92"/>
    <w:rsid w:val="05D52E60"/>
    <w:rsid w:val="05D53642"/>
    <w:rsid w:val="05E8208B"/>
    <w:rsid w:val="06262456"/>
    <w:rsid w:val="063C051C"/>
    <w:rsid w:val="0651102C"/>
    <w:rsid w:val="066B38CB"/>
    <w:rsid w:val="069157F1"/>
    <w:rsid w:val="06934F54"/>
    <w:rsid w:val="06E3028B"/>
    <w:rsid w:val="06E66EF6"/>
    <w:rsid w:val="070C09D6"/>
    <w:rsid w:val="07A15B0E"/>
    <w:rsid w:val="07A42397"/>
    <w:rsid w:val="07D3441B"/>
    <w:rsid w:val="08756719"/>
    <w:rsid w:val="08D51F7C"/>
    <w:rsid w:val="09364119"/>
    <w:rsid w:val="09477C9B"/>
    <w:rsid w:val="0A12122B"/>
    <w:rsid w:val="0A354037"/>
    <w:rsid w:val="0A470A69"/>
    <w:rsid w:val="0AAE6EDC"/>
    <w:rsid w:val="0BAA16E4"/>
    <w:rsid w:val="0BB42C54"/>
    <w:rsid w:val="0BB57B48"/>
    <w:rsid w:val="0C043D46"/>
    <w:rsid w:val="0C2A22BA"/>
    <w:rsid w:val="0CA8345B"/>
    <w:rsid w:val="0CC36739"/>
    <w:rsid w:val="0D1C636D"/>
    <w:rsid w:val="0D28254E"/>
    <w:rsid w:val="0D422726"/>
    <w:rsid w:val="0DA14DD5"/>
    <w:rsid w:val="0DB64C0C"/>
    <w:rsid w:val="0DBC04A1"/>
    <w:rsid w:val="0DFD19A1"/>
    <w:rsid w:val="0E1E1F45"/>
    <w:rsid w:val="0E2F69A0"/>
    <w:rsid w:val="0E7E5169"/>
    <w:rsid w:val="0EC7288A"/>
    <w:rsid w:val="0F11716D"/>
    <w:rsid w:val="0F29649F"/>
    <w:rsid w:val="0F406A3D"/>
    <w:rsid w:val="0F5E46D8"/>
    <w:rsid w:val="0F92732B"/>
    <w:rsid w:val="100A2459"/>
    <w:rsid w:val="104D3978"/>
    <w:rsid w:val="10CA60C1"/>
    <w:rsid w:val="11576E4C"/>
    <w:rsid w:val="11895E34"/>
    <w:rsid w:val="11CD71D5"/>
    <w:rsid w:val="11D42265"/>
    <w:rsid w:val="11FC19F3"/>
    <w:rsid w:val="12145ED3"/>
    <w:rsid w:val="122C634C"/>
    <w:rsid w:val="123211A6"/>
    <w:rsid w:val="12CF79C9"/>
    <w:rsid w:val="12DC2E15"/>
    <w:rsid w:val="12EE5B2F"/>
    <w:rsid w:val="13380516"/>
    <w:rsid w:val="13436BA6"/>
    <w:rsid w:val="13570BD9"/>
    <w:rsid w:val="13B22C6E"/>
    <w:rsid w:val="13CD4D0D"/>
    <w:rsid w:val="13E602E4"/>
    <w:rsid w:val="14213283"/>
    <w:rsid w:val="147F4115"/>
    <w:rsid w:val="14850DC3"/>
    <w:rsid w:val="149262B0"/>
    <w:rsid w:val="156D033C"/>
    <w:rsid w:val="16163B2E"/>
    <w:rsid w:val="171D43D3"/>
    <w:rsid w:val="17292E41"/>
    <w:rsid w:val="17706821"/>
    <w:rsid w:val="17BE08E3"/>
    <w:rsid w:val="17C96283"/>
    <w:rsid w:val="17F324CF"/>
    <w:rsid w:val="188E4176"/>
    <w:rsid w:val="18DA3E36"/>
    <w:rsid w:val="18E82277"/>
    <w:rsid w:val="190551C5"/>
    <w:rsid w:val="19883FC7"/>
    <w:rsid w:val="19951683"/>
    <w:rsid w:val="19CD0C11"/>
    <w:rsid w:val="19EB4319"/>
    <w:rsid w:val="19F61116"/>
    <w:rsid w:val="1A462F98"/>
    <w:rsid w:val="1A974635"/>
    <w:rsid w:val="1B9C743A"/>
    <w:rsid w:val="1BB75B82"/>
    <w:rsid w:val="1BC84F58"/>
    <w:rsid w:val="1C2D1E25"/>
    <w:rsid w:val="1C33692E"/>
    <w:rsid w:val="1C383517"/>
    <w:rsid w:val="1C7D7CB3"/>
    <w:rsid w:val="1C7F17F2"/>
    <w:rsid w:val="1C8745A1"/>
    <w:rsid w:val="1CC60A4D"/>
    <w:rsid w:val="1CD8212D"/>
    <w:rsid w:val="1CE8296B"/>
    <w:rsid w:val="1D265005"/>
    <w:rsid w:val="1D2A40DA"/>
    <w:rsid w:val="1D41028F"/>
    <w:rsid w:val="1D7069CF"/>
    <w:rsid w:val="1DEE38C9"/>
    <w:rsid w:val="1E160500"/>
    <w:rsid w:val="1E375CF9"/>
    <w:rsid w:val="1E631A03"/>
    <w:rsid w:val="1F623FA2"/>
    <w:rsid w:val="1F8A7F13"/>
    <w:rsid w:val="1FDD4779"/>
    <w:rsid w:val="20454CA3"/>
    <w:rsid w:val="211542E7"/>
    <w:rsid w:val="21340D55"/>
    <w:rsid w:val="21A12525"/>
    <w:rsid w:val="22010503"/>
    <w:rsid w:val="22B02705"/>
    <w:rsid w:val="22E8058C"/>
    <w:rsid w:val="23264F18"/>
    <w:rsid w:val="232E0C40"/>
    <w:rsid w:val="2372630D"/>
    <w:rsid w:val="23883231"/>
    <w:rsid w:val="251135A8"/>
    <w:rsid w:val="251D6650"/>
    <w:rsid w:val="25625157"/>
    <w:rsid w:val="25684D8E"/>
    <w:rsid w:val="25760F7C"/>
    <w:rsid w:val="257F2807"/>
    <w:rsid w:val="2580390E"/>
    <w:rsid w:val="264825FE"/>
    <w:rsid w:val="2690582D"/>
    <w:rsid w:val="272B782F"/>
    <w:rsid w:val="275170C5"/>
    <w:rsid w:val="27845E7B"/>
    <w:rsid w:val="27CF5873"/>
    <w:rsid w:val="28053643"/>
    <w:rsid w:val="28256034"/>
    <w:rsid w:val="28756F5E"/>
    <w:rsid w:val="289616D7"/>
    <w:rsid w:val="29265C40"/>
    <w:rsid w:val="2927361B"/>
    <w:rsid w:val="29776E5E"/>
    <w:rsid w:val="29944768"/>
    <w:rsid w:val="29EC4FF2"/>
    <w:rsid w:val="2A3D4D43"/>
    <w:rsid w:val="2A7D1394"/>
    <w:rsid w:val="2A870EA5"/>
    <w:rsid w:val="2AE717A4"/>
    <w:rsid w:val="2B685BE2"/>
    <w:rsid w:val="2B7C4C45"/>
    <w:rsid w:val="2C3B1224"/>
    <w:rsid w:val="2CA54305"/>
    <w:rsid w:val="2CCD1843"/>
    <w:rsid w:val="2CCE79AB"/>
    <w:rsid w:val="2D1E1EDF"/>
    <w:rsid w:val="2D342178"/>
    <w:rsid w:val="2D4B0DDF"/>
    <w:rsid w:val="2D6B385C"/>
    <w:rsid w:val="2D742100"/>
    <w:rsid w:val="2D96720F"/>
    <w:rsid w:val="2EB07FD7"/>
    <w:rsid w:val="2EE725FB"/>
    <w:rsid w:val="2F6344D2"/>
    <w:rsid w:val="2FA97E07"/>
    <w:rsid w:val="2FAB1F7A"/>
    <w:rsid w:val="2FBE1B5E"/>
    <w:rsid w:val="30151256"/>
    <w:rsid w:val="302D64FD"/>
    <w:rsid w:val="303A0D95"/>
    <w:rsid w:val="309A612B"/>
    <w:rsid w:val="310D56A7"/>
    <w:rsid w:val="312D6055"/>
    <w:rsid w:val="31552708"/>
    <w:rsid w:val="31862891"/>
    <w:rsid w:val="319B480F"/>
    <w:rsid w:val="31AC2788"/>
    <w:rsid w:val="322331B3"/>
    <w:rsid w:val="324B01AB"/>
    <w:rsid w:val="32891334"/>
    <w:rsid w:val="32C60068"/>
    <w:rsid w:val="33091C3B"/>
    <w:rsid w:val="333E4386"/>
    <w:rsid w:val="336245C1"/>
    <w:rsid w:val="33665265"/>
    <w:rsid w:val="33CC247F"/>
    <w:rsid w:val="34075E0B"/>
    <w:rsid w:val="343116B8"/>
    <w:rsid w:val="343B7691"/>
    <w:rsid w:val="34D64004"/>
    <w:rsid w:val="34DA6E76"/>
    <w:rsid w:val="34FD655D"/>
    <w:rsid w:val="352430CD"/>
    <w:rsid w:val="35275AFD"/>
    <w:rsid w:val="353F5364"/>
    <w:rsid w:val="353F5FE8"/>
    <w:rsid w:val="355C0E62"/>
    <w:rsid w:val="35B50607"/>
    <w:rsid w:val="35CC4288"/>
    <w:rsid w:val="35D052F6"/>
    <w:rsid w:val="35F20A54"/>
    <w:rsid w:val="36211CFE"/>
    <w:rsid w:val="36894729"/>
    <w:rsid w:val="36B335E8"/>
    <w:rsid w:val="36B33948"/>
    <w:rsid w:val="36C827E3"/>
    <w:rsid w:val="36E20BB7"/>
    <w:rsid w:val="378B6DBF"/>
    <w:rsid w:val="37AC0530"/>
    <w:rsid w:val="37AD226E"/>
    <w:rsid w:val="37B70A99"/>
    <w:rsid w:val="38210237"/>
    <w:rsid w:val="382D69C5"/>
    <w:rsid w:val="38306895"/>
    <w:rsid w:val="386502B5"/>
    <w:rsid w:val="387B607F"/>
    <w:rsid w:val="387E6154"/>
    <w:rsid w:val="38EC36EC"/>
    <w:rsid w:val="39677F50"/>
    <w:rsid w:val="396C460B"/>
    <w:rsid w:val="397F7C2C"/>
    <w:rsid w:val="39915EDD"/>
    <w:rsid w:val="39952CCB"/>
    <w:rsid w:val="39C3544E"/>
    <w:rsid w:val="3AB70F89"/>
    <w:rsid w:val="3AE467E7"/>
    <w:rsid w:val="3AF80D6B"/>
    <w:rsid w:val="3B8115D6"/>
    <w:rsid w:val="3BD64906"/>
    <w:rsid w:val="3BF26EE2"/>
    <w:rsid w:val="3C315C33"/>
    <w:rsid w:val="3CD1639D"/>
    <w:rsid w:val="3CDD5347"/>
    <w:rsid w:val="3CE51CBA"/>
    <w:rsid w:val="3CF9186D"/>
    <w:rsid w:val="3D311EF2"/>
    <w:rsid w:val="3D780652"/>
    <w:rsid w:val="3E0A08B8"/>
    <w:rsid w:val="3EC01729"/>
    <w:rsid w:val="3ED67821"/>
    <w:rsid w:val="3F5C30E9"/>
    <w:rsid w:val="3F6C3AAB"/>
    <w:rsid w:val="3F8D3B8B"/>
    <w:rsid w:val="3F954FBE"/>
    <w:rsid w:val="3FA82982"/>
    <w:rsid w:val="3FB34688"/>
    <w:rsid w:val="3FC41EA0"/>
    <w:rsid w:val="3FCB1D07"/>
    <w:rsid w:val="3FEC6272"/>
    <w:rsid w:val="409E29BD"/>
    <w:rsid w:val="40FD409E"/>
    <w:rsid w:val="410834EB"/>
    <w:rsid w:val="41217994"/>
    <w:rsid w:val="421F046F"/>
    <w:rsid w:val="42556FB8"/>
    <w:rsid w:val="42C819DB"/>
    <w:rsid w:val="432D688A"/>
    <w:rsid w:val="433B72AF"/>
    <w:rsid w:val="434E3B2F"/>
    <w:rsid w:val="43A71AB6"/>
    <w:rsid w:val="43CF6A1A"/>
    <w:rsid w:val="43EC1949"/>
    <w:rsid w:val="44041965"/>
    <w:rsid w:val="440638AD"/>
    <w:rsid w:val="44253EC6"/>
    <w:rsid w:val="44D55F29"/>
    <w:rsid w:val="45506A5B"/>
    <w:rsid w:val="4551273B"/>
    <w:rsid w:val="45A55AB5"/>
    <w:rsid w:val="45C45280"/>
    <w:rsid w:val="462F1240"/>
    <w:rsid w:val="46324888"/>
    <w:rsid w:val="466518AA"/>
    <w:rsid w:val="46834CE1"/>
    <w:rsid w:val="468E63DC"/>
    <w:rsid w:val="46CC2CA6"/>
    <w:rsid w:val="46DA2F58"/>
    <w:rsid w:val="46E46553"/>
    <w:rsid w:val="475576B9"/>
    <w:rsid w:val="477D3D7E"/>
    <w:rsid w:val="47EE4499"/>
    <w:rsid w:val="48855B60"/>
    <w:rsid w:val="48A25A4C"/>
    <w:rsid w:val="48EC48B7"/>
    <w:rsid w:val="48F82F61"/>
    <w:rsid w:val="490771AC"/>
    <w:rsid w:val="49214BEE"/>
    <w:rsid w:val="49304716"/>
    <w:rsid w:val="495C0ED1"/>
    <w:rsid w:val="4A24282C"/>
    <w:rsid w:val="4A285686"/>
    <w:rsid w:val="4A85190B"/>
    <w:rsid w:val="4A966244"/>
    <w:rsid w:val="4AAB1717"/>
    <w:rsid w:val="4AE93C5A"/>
    <w:rsid w:val="4AEA37C3"/>
    <w:rsid w:val="4AF721F5"/>
    <w:rsid w:val="4B773587"/>
    <w:rsid w:val="4BC15429"/>
    <w:rsid w:val="4BD13E6E"/>
    <w:rsid w:val="4C123C95"/>
    <w:rsid w:val="4C194787"/>
    <w:rsid w:val="4C591D37"/>
    <w:rsid w:val="4D624ECB"/>
    <w:rsid w:val="4D8014E6"/>
    <w:rsid w:val="4D906D34"/>
    <w:rsid w:val="4DB7197C"/>
    <w:rsid w:val="4DDA5D8A"/>
    <w:rsid w:val="4DE879FE"/>
    <w:rsid w:val="4E2760C3"/>
    <w:rsid w:val="4EBF5C41"/>
    <w:rsid w:val="4EF54CE6"/>
    <w:rsid w:val="4F24378D"/>
    <w:rsid w:val="4F4C3F25"/>
    <w:rsid w:val="4F594191"/>
    <w:rsid w:val="4F9A0321"/>
    <w:rsid w:val="4FC76B3A"/>
    <w:rsid w:val="50152011"/>
    <w:rsid w:val="50287FC3"/>
    <w:rsid w:val="50A669E0"/>
    <w:rsid w:val="50B969B9"/>
    <w:rsid w:val="511244E1"/>
    <w:rsid w:val="519306E3"/>
    <w:rsid w:val="519E3800"/>
    <w:rsid w:val="519E5928"/>
    <w:rsid w:val="521F6D98"/>
    <w:rsid w:val="522F3AFF"/>
    <w:rsid w:val="5271512D"/>
    <w:rsid w:val="52A10601"/>
    <w:rsid w:val="52A24D33"/>
    <w:rsid w:val="52B417D4"/>
    <w:rsid w:val="52CD37F8"/>
    <w:rsid w:val="52E07A45"/>
    <w:rsid w:val="52EB6B6A"/>
    <w:rsid w:val="533165DC"/>
    <w:rsid w:val="53400820"/>
    <w:rsid w:val="534D4562"/>
    <w:rsid w:val="54384AFD"/>
    <w:rsid w:val="549A5C90"/>
    <w:rsid w:val="54A63FAD"/>
    <w:rsid w:val="54B27D6D"/>
    <w:rsid w:val="54F1427D"/>
    <w:rsid w:val="54F47880"/>
    <w:rsid w:val="554078BA"/>
    <w:rsid w:val="55841761"/>
    <w:rsid w:val="558B0A06"/>
    <w:rsid w:val="5590163B"/>
    <w:rsid w:val="56DD6D77"/>
    <w:rsid w:val="57237190"/>
    <w:rsid w:val="57435E98"/>
    <w:rsid w:val="577A6330"/>
    <w:rsid w:val="580B2813"/>
    <w:rsid w:val="58A81205"/>
    <w:rsid w:val="59365B9C"/>
    <w:rsid w:val="59814776"/>
    <w:rsid w:val="5A686598"/>
    <w:rsid w:val="5A8E1126"/>
    <w:rsid w:val="5ABD2950"/>
    <w:rsid w:val="5B220916"/>
    <w:rsid w:val="5B377672"/>
    <w:rsid w:val="5BB5123B"/>
    <w:rsid w:val="5BBB5BA6"/>
    <w:rsid w:val="5BC2189B"/>
    <w:rsid w:val="5BFA1385"/>
    <w:rsid w:val="5C3E34DC"/>
    <w:rsid w:val="5C7D39C6"/>
    <w:rsid w:val="5C892BEC"/>
    <w:rsid w:val="5CCC09FC"/>
    <w:rsid w:val="5D715568"/>
    <w:rsid w:val="5D8C618D"/>
    <w:rsid w:val="5E206C86"/>
    <w:rsid w:val="5E292D50"/>
    <w:rsid w:val="5E443118"/>
    <w:rsid w:val="5E711745"/>
    <w:rsid w:val="5EB6738D"/>
    <w:rsid w:val="5EEC0ECD"/>
    <w:rsid w:val="5EEF10CD"/>
    <w:rsid w:val="5FAC46D0"/>
    <w:rsid w:val="5FCE02AE"/>
    <w:rsid w:val="601D3588"/>
    <w:rsid w:val="604917ED"/>
    <w:rsid w:val="611F47ED"/>
    <w:rsid w:val="61422759"/>
    <w:rsid w:val="617132AB"/>
    <w:rsid w:val="61775C15"/>
    <w:rsid w:val="619C03DA"/>
    <w:rsid w:val="61F6133A"/>
    <w:rsid w:val="62273517"/>
    <w:rsid w:val="63413B2B"/>
    <w:rsid w:val="634F4C27"/>
    <w:rsid w:val="63617A0E"/>
    <w:rsid w:val="63647C89"/>
    <w:rsid w:val="63693699"/>
    <w:rsid w:val="644707BA"/>
    <w:rsid w:val="6463486B"/>
    <w:rsid w:val="64B15697"/>
    <w:rsid w:val="64CD4DB5"/>
    <w:rsid w:val="64D21089"/>
    <w:rsid w:val="64D51E09"/>
    <w:rsid w:val="65717FDE"/>
    <w:rsid w:val="659B2967"/>
    <w:rsid w:val="65CB6F19"/>
    <w:rsid w:val="66216222"/>
    <w:rsid w:val="662658E7"/>
    <w:rsid w:val="66707006"/>
    <w:rsid w:val="667F7DE8"/>
    <w:rsid w:val="66830D1E"/>
    <w:rsid w:val="66BE4804"/>
    <w:rsid w:val="66E276A3"/>
    <w:rsid w:val="67231B5D"/>
    <w:rsid w:val="67B17D1E"/>
    <w:rsid w:val="67F440F9"/>
    <w:rsid w:val="685F2291"/>
    <w:rsid w:val="68873FF2"/>
    <w:rsid w:val="6921365F"/>
    <w:rsid w:val="697625F5"/>
    <w:rsid w:val="69CD0543"/>
    <w:rsid w:val="6A0960DA"/>
    <w:rsid w:val="6A0B41A2"/>
    <w:rsid w:val="6A1B7B25"/>
    <w:rsid w:val="6A2D0AEE"/>
    <w:rsid w:val="6A3848E2"/>
    <w:rsid w:val="6A464BB3"/>
    <w:rsid w:val="6A823B59"/>
    <w:rsid w:val="6A970226"/>
    <w:rsid w:val="6ADC5C57"/>
    <w:rsid w:val="6B1025B7"/>
    <w:rsid w:val="6B197613"/>
    <w:rsid w:val="6B78797A"/>
    <w:rsid w:val="6B7F427B"/>
    <w:rsid w:val="6BC22D7C"/>
    <w:rsid w:val="6C0B722F"/>
    <w:rsid w:val="6DB842D0"/>
    <w:rsid w:val="6DDE5DA3"/>
    <w:rsid w:val="6DEC68D7"/>
    <w:rsid w:val="6E030C19"/>
    <w:rsid w:val="6E2638BD"/>
    <w:rsid w:val="6E8F7D45"/>
    <w:rsid w:val="6F762DD7"/>
    <w:rsid w:val="6FB33B49"/>
    <w:rsid w:val="700064C6"/>
    <w:rsid w:val="70490C0C"/>
    <w:rsid w:val="70672D43"/>
    <w:rsid w:val="70B140EC"/>
    <w:rsid w:val="70CE169C"/>
    <w:rsid w:val="714B358C"/>
    <w:rsid w:val="71DE574A"/>
    <w:rsid w:val="721719A3"/>
    <w:rsid w:val="72343C40"/>
    <w:rsid w:val="724B122C"/>
    <w:rsid w:val="72917B89"/>
    <w:rsid w:val="73084129"/>
    <w:rsid w:val="73376B52"/>
    <w:rsid w:val="737C2043"/>
    <w:rsid w:val="73FD70D1"/>
    <w:rsid w:val="740C6204"/>
    <w:rsid w:val="74155DF8"/>
    <w:rsid w:val="741F0F75"/>
    <w:rsid w:val="74206737"/>
    <w:rsid w:val="743F5448"/>
    <w:rsid w:val="74641E33"/>
    <w:rsid w:val="747913CE"/>
    <w:rsid w:val="747C7883"/>
    <w:rsid w:val="748E2ECD"/>
    <w:rsid w:val="74E52126"/>
    <w:rsid w:val="75896E89"/>
    <w:rsid w:val="75A2454D"/>
    <w:rsid w:val="76075B79"/>
    <w:rsid w:val="760F2744"/>
    <w:rsid w:val="768A7B62"/>
    <w:rsid w:val="772F6516"/>
    <w:rsid w:val="773577F4"/>
    <w:rsid w:val="77C0369F"/>
    <w:rsid w:val="789604A8"/>
    <w:rsid w:val="79206EF5"/>
    <w:rsid w:val="796067B8"/>
    <w:rsid w:val="79F91D2C"/>
    <w:rsid w:val="7A327E55"/>
    <w:rsid w:val="7A520B67"/>
    <w:rsid w:val="7ABD7476"/>
    <w:rsid w:val="7B0C4D54"/>
    <w:rsid w:val="7B271CAD"/>
    <w:rsid w:val="7B2C0218"/>
    <w:rsid w:val="7B360283"/>
    <w:rsid w:val="7B5E3583"/>
    <w:rsid w:val="7B690F02"/>
    <w:rsid w:val="7B6A1345"/>
    <w:rsid w:val="7BF51B92"/>
    <w:rsid w:val="7CF4101B"/>
    <w:rsid w:val="7D03310C"/>
    <w:rsid w:val="7D6A69BB"/>
    <w:rsid w:val="7DAF1A45"/>
    <w:rsid w:val="7DB4173A"/>
    <w:rsid w:val="7DB974CF"/>
    <w:rsid w:val="7DD12F0A"/>
    <w:rsid w:val="7DE01CD6"/>
    <w:rsid w:val="7DE84F73"/>
    <w:rsid w:val="7DEF2B52"/>
    <w:rsid w:val="7DF63A1A"/>
    <w:rsid w:val="7ED737C9"/>
    <w:rsid w:val="7EDD2FAF"/>
    <w:rsid w:val="7EDE6126"/>
    <w:rsid w:val="7F076C5A"/>
    <w:rsid w:val="7F221C09"/>
    <w:rsid w:val="7F362D89"/>
    <w:rsid w:val="7F432865"/>
    <w:rsid w:val="7F487D09"/>
    <w:rsid w:val="7F834A90"/>
    <w:rsid w:val="7F935409"/>
    <w:rsid w:val="7FA06F68"/>
    <w:rsid w:val="7FA92170"/>
    <w:rsid w:val="7FDE5CD8"/>
    <w:rsid w:val="7FE5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line="600" w:lineRule="exact"/>
      <w:ind w:firstLine="880" w:firstLineChars="200"/>
      <w:jc w:val="both"/>
      <w:outlineLvl w:val="1"/>
    </w:pPr>
    <w:rPr>
      <w:rFonts w:eastAsia="黑体"/>
      <w:kern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ind w:firstLine="640" w:firstLineChars="200"/>
      <w:jc w:val="both"/>
      <w:outlineLvl w:val="2"/>
    </w:pPr>
    <w:rPr>
      <w:rFonts w:eastAsia="楷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3"/>
    </w:pPr>
    <w:rPr>
      <w:b/>
    </w:rPr>
  </w:style>
  <w:style w:type="paragraph" w:styleId="5">
    <w:name w:val="heading 4"/>
    <w:basedOn w:val="1"/>
    <w:next w:val="1"/>
    <w:semiHidden/>
    <w:unhideWhenUsed/>
    <w:qFormat/>
    <w:uiPriority w:val="0"/>
    <w:pPr>
      <w:keepNext/>
      <w:keepLines/>
      <w:spacing w:beforeLines="0" w:beforeAutospacing="0" w:after="100" w:afterLines="100" w:afterAutospacing="0" w:line="600" w:lineRule="exact"/>
      <w:ind w:firstLine="0" w:firstLineChars="0"/>
      <w:jc w:val="center"/>
      <w:outlineLvl w:val="0"/>
    </w:pPr>
    <w:rPr>
      <w:rFonts w:eastAsia="方正小标宋简体"/>
      <w:sz w:val="44"/>
      <w:szCs w:val="44"/>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Body Text Indent"/>
    <w:basedOn w:val="1"/>
    <w:qFormat/>
    <w:uiPriority w:val="0"/>
    <w:pPr>
      <w:ind w:firstLine="525"/>
    </w:pPr>
    <w:rPr>
      <w:rFonts w:ascii="Times New Roman" w:hAnsi="Times New Roman" w:eastAsia="Times New Roman"/>
      <w:sz w:val="28"/>
    </w:rPr>
  </w:style>
  <w:style w:type="paragraph" w:styleId="8">
    <w:name w:val="Plain Text"/>
    <w:basedOn w:val="1"/>
    <w:qFormat/>
    <w:uiPriority w:val="0"/>
    <w:rPr>
      <w:rFonts w:ascii="宋体" w:hAnsi="Courier New" w:cs="Courier New"/>
      <w:szCs w:val="21"/>
    </w:rPr>
  </w:style>
  <w:style w:type="paragraph" w:styleId="9">
    <w:name w:val="footer"/>
    <w:basedOn w:val="1"/>
    <w:link w:val="17"/>
    <w:qFormat/>
    <w:uiPriority w:val="0"/>
    <w:pPr>
      <w:tabs>
        <w:tab w:val="center" w:pos="4153"/>
        <w:tab w:val="right" w:pos="8306"/>
      </w:tabs>
      <w:snapToGrid w:val="0"/>
      <w:spacing w:line="600" w:lineRule="exact"/>
      <w:ind w:firstLine="0" w:firstLineChars="0"/>
      <w:jc w:val="center"/>
    </w:pPr>
    <w:rPr>
      <w:rFonts w:eastAsia="宋体"/>
      <w:sz w:val="28"/>
      <w:szCs w:val="2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unhideWhenUsed/>
    <w:qFormat/>
    <w:uiPriority w:val="99"/>
    <w:pPr>
      <w:snapToGrid w:val="0"/>
      <w:jc w:val="left"/>
    </w:pPr>
    <w:rPr>
      <w:rFonts w:ascii="Calibri" w:hAnsi="Calibri" w:eastAsia="宋体" w:cs="Times New Roman"/>
      <w:sz w:val="18"/>
      <w:szCs w:val="18"/>
    </w:rPr>
  </w:style>
  <w:style w:type="paragraph" w:styleId="12">
    <w:name w:val="Body Text First Indent 2"/>
    <w:basedOn w:val="7"/>
    <w:qFormat/>
    <w:uiPriority w:val="99"/>
    <w:pPr>
      <w:keepNext/>
      <w:keepLines/>
      <w:spacing w:after="0" w:line="380" w:lineRule="exact"/>
      <w:ind w:left="0" w:leftChars="0" w:firstLine="480"/>
      <w:jc w:val="left"/>
      <w:outlineLvl w:val="3"/>
    </w:pPr>
    <w:rPr>
      <w:b/>
      <w:sz w:val="28"/>
    </w:rPr>
  </w:style>
  <w:style w:type="character" w:styleId="15">
    <w:name w:val="footnote reference"/>
    <w:unhideWhenUsed/>
    <w:qFormat/>
    <w:uiPriority w:val="99"/>
    <w:rPr>
      <w:vertAlign w:val="superscript"/>
    </w:rPr>
  </w:style>
  <w:style w:type="character" w:customStyle="1" w:styleId="16">
    <w:name w:val="标题 1 Char"/>
    <w:basedOn w:val="14"/>
    <w:link w:val="2"/>
    <w:qFormat/>
    <w:uiPriority w:val="9"/>
    <w:rPr>
      <w:rFonts w:ascii="Times New Roman" w:hAnsi="Times New Roman" w:eastAsia="黑体"/>
      <w:kern w:val="44"/>
      <w:sz w:val="32"/>
      <w:szCs w:val="32"/>
    </w:rPr>
  </w:style>
  <w:style w:type="character" w:customStyle="1" w:styleId="17">
    <w:name w:val="页脚 Char"/>
    <w:basedOn w:val="14"/>
    <w:link w:val="9"/>
    <w:qFormat/>
    <w:uiPriority w:val="99"/>
    <w:rPr>
      <w:rFonts w:ascii="Times New Roman" w:hAnsi="Times New Roman" w:eastAsia="宋体"/>
      <w:sz w:val="28"/>
      <w:szCs w:val="28"/>
    </w:rPr>
  </w:style>
  <w:style w:type="paragraph" w:customStyle="1" w:styleId="18">
    <w:name w:val="Default"/>
    <w:basedOn w:val="1"/>
    <w:qFormat/>
    <w:uiPriority w:val="0"/>
    <w:pPr>
      <w:autoSpaceDE w:val="0"/>
      <w:autoSpaceDN w:val="0"/>
      <w:jc w:val="left"/>
    </w:pPr>
    <w:rPr>
      <w:rFonts w:ascii="宋体" w:hAnsi="宋体" w:cs="黑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4721</Words>
  <Characters>5028</Characters>
  <Lines>0</Lines>
  <Paragraphs>0</Paragraphs>
  <TotalTime>6</TotalTime>
  <ScaleCrop>false</ScaleCrop>
  <LinksUpToDate>false</LinksUpToDate>
  <CharactersWithSpaces>5080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2025-06-25T03:48:00Z</dcterms:created>
  <dc:creator>lenovo</dc:creator>
  <cp:lastModifiedBy>郭秋鹏</cp:lastModifiedBy>
  <dcterms:modified xsi:type="dcterms:W3CDTF">2026-07-08T02:09:12Z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9137D8FF40D24AFAA27F9A42155E933C</vt:lpwstr>
  </property>
  <property fmtid="{D5CDD505-2E9C-101B-9397-08002B2CF9AE}" pid="4" name="KSOTemplateDocerSaveRecord">
    <vt:lpwstr>eyJoZGlkIjoiZmNkMWQ5ZTQ5NTA0ZDAzOWZkZDJiNDgwNmYzN2QyYTEiLCJ1c2VySWQiOiIzMjQxNjM1ODgifQ==</vt:lpwstr>
  </property>
</Properties>
</file>