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《汕尾市水上客运专项规划》编制说明</w:t>
      </w:r>
    </w:p>
    <w:p>
      <w:pPr>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一、编制背景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全面贯彻省委“1310”具体部署，推进我市“百千万工程”、“明珠系列”攻坚行动和“兴海强市”战略实施，落实《汕尾市文化和旅游发展“十四五”规划》要求，服务我市推进“跳岛游”涉及的客运码头选址、航线建设等相关工作，按照市政府工作部署要求，我局组织开展了《汕尾市水上客运专项规划》（以下简称《规划》）编制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二、编制过程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2025年5月形成《规划》初稿，提交至交通大会战工作专班会议审议初步成果；2025年6月对市城区、海丰县、陆丰市等涉及区域及市直（含驻汕）有关单位开展意见征求</w:t>
      </w:r>
      <w:r>
        <w:rPr>
          <w:rFonts w:hint="eastAsia" w:ascii="仿宋_GB2312" w:hAnsi="仿宋_GB2312" w:eastAsia="仿宋_GB2312" w:cs="仿宋_GB2312"/>
          <w:sz w:val="32"/>
          <w:szCs w:val="32"/>
          <w:lang w:val="en-US" w:eastAsia="zh-CN"/>
        </w:rPr>
        <w:t>工作</w:t>
      </w:r>
      <w:r>
        <w:rPr>
          <w:rFonts w:hint="eastAsia" w:ascii="仿宋_GB2312" w:hAnsi="仿宋_GB2312" w:eastAsia="仿宋_GB2312" w:cs="仿宋_GB2312"/>
          <w:sz w:val="32"/>
          <w:szCs w:val="32"/>
        </w:rPr>
        <w:t>；2025年8月27日通过我局组织的专家评审论证；2025年</w:t>
      </w:r>
      <w:r>
        <w:rPr>
          <w:rFonts w:hint="default" w:ascii="仿宋_GB2312" w:hAnsi="仿宋_GB2312" w:eastAsia="仿宋_GB2312" w:cs="仿宋_GB2312"/>
          <w:sz w:val="32"/>
          <w:szCs w:val="32"/>
          <w:lang w:val="en-US"/>
        </w:rPr>
        <w:t>10</w:t>
      </w:r>
      <w:r>
        <w:rPr>
          <w:rFonts w:hint="eastAsia" w:ascii="仿宋_GB2312" w:hAnsi="仿宋_GB2312" w:eastAsia="仿宋_GB2312" w:cs="仿宋_GB2312"/>
          <w:sz w:val="32"/>
          <w:szCs w:val="32"/>
          <w:lang w:val="en-US" w:eastAsia="zh-CN"/>
        </w:rPr>
        <w:t>月</w:t>
      </w:r>
      <w:r>
        <w:rPr>
          <w:rFonts w:hint="default"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lang w:val="en-US" w:eastAsia="zh-CN"/>
        </w:rPr>
        <w:t>日，</w:t>
      </w:r>
      <w:r>
        <w:rPr>
          <w:rFonts w:hint="eastAsia" w:ascii="仿宋_GB2312" w:hAnsi="仿宋_GB2312" w:eastAsia="仿宋_GB2312" w:cs="仿宋_GB2312"/>
          <w:sz w:val="32"/>
          <w:szCs w:val="32"/>
        </w:rPr>
        <w:t>通过</w:t>
      </w:r>
      <w:r>
        <w:rPr>
          <w:rFonts w:hint="eastAsia" w:ascii="仿宋_GB2312" w:hAnsi="仿宋_GB2312" w:eastAsia="仿宋_GB2312" w:cs="仿宋_GB2312"/>
          <w:sz w:val="32"/>
          <w:szCs w:val="32"/>
          <w:lang w:val="en-US" w:eastAsia="zh-CN"/>
        </w:rPr>
        <w:t>汕尾市交通运输局</w:t>
      </w:r>
      <w:r>
        <w:rPr>
          <w:rFonts w:hint="eastAsia" w:ascii="仿宋_GB2312" w:hAnsi="仿宋_GB2312" w:eastAsia="仿宋_GB2312" w:cs="仿宋_GB2312"/>
          <w:sz w:val="32"/>
          <w:szCs w:val="32"/>
        </w:rPr>
        <w:t>官网公开征求公众意见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征求意见时间为</w:t>
      </w:r>
      <w:r>
        <w:rPr>
          <w:rFonts w:hint="default"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rPr>
        <w:t>10月30日-11月28日</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三、各单位征求意见情况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6月，《规划(征求意见稿)》征求各地各相关部门意见，共收集到18个部门意见建议，其中涉及规划衔接、实施建议、表述调整等内容均已采纳并修改完善。针对市自然资源局提出的金町湾是否纳入规划的问题，因金町湾海岸线均属于严格保护岸线，且受风浪条件限制，不具备纳入规划的可行性，故不予采纳。对于汕尾航道所提出的将汕尾航道管理码头不纳入水上客运航行规划的建议，考虑到该码头未来存在开发利用的可能性，为预留发展空间，故不予采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四、专家评审情况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8月27日，组织各单位代表召开专家评审会，专家评审会上专家组提出的明确规划定位、补充规划水平年、优化码头航线布局、适时纳入港口总规等四条主要建议及专家提出的其他意见，均已按要求作出补充修改。同时，结合专家及汕尾航道所参会意见，综合考量周边沿线码头分布密集、航道所公务船舶数量递增、现有泊位长度不足等实际因素，经研究决定取消航道所码头的设置规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五、规划主要内容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划》形成“一带、三区、十岛”的汕尾市水上客运空间结构。其中“一带”是指滨海旅游带，“三区”是指汕尾城区、红海湾分区、东部分区，“十岛”包括芒屿岛、江牡岛、小岛、龟龄岛、竹竿屿、妈屿、遮浪岩、金屿、甲子屿、施公寮岛。规划布置32个客运码头，可停靠城际客船、游览船和游艇，适时考虑停靠邮轮和无人船，并明确泊位需求。规划16条近海岸水上客运航线，其中城际航线1条，跳岛游航线9条，滨海观光航线3条，风渔旅专线3条。《规划》共九章：</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第一章概述。</w:t>
      </w:r>
      <w:r>
        <w:rPr>
          <w:rFonts w:hint="eastAsia" w:ascii="仿宋_GB2312" w:hAnsi="仿宋_GB2312" w:eastAsia="仿宋_GB2312" w:cs="仿宋_GB2312"/>
          <w:sz w:val="32"/>
          <w:szCs w:val="32"/>
        </w:rPr>
        <w:t>说明项目背景、研究内容、编制依据等；</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第二章基础条件和现状分析。</w:t>
      </w:r>
      <w:r>
        <w:rPr>
          <w:rFonts w:hint="eastAsia" w:ascii="仿宋_GB2312" w:hAnsi="仿宋_GB2312" w:eastAsia="仿宋_GB2312" w:cs="仿宋_GB2312"/>
          <w:sz w:val="32"/>
          <w:szCs w:val="32"/>
        </w:rPr>
        <w:t>梳理汕尾市的区位、自然和旅游资源等基础条件，分析汕尾市旅游经济呈现出极强的反弹性，但现状客运专用码头和航线较少，需增加水上客运专用码头数量，丰富水上客运航线，以满足未来日益提升的水上观光与客运需求。</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第三章既有规划分析。</w:t>
      </w:r>
      <w:r>
        <w:rPr>
          <w:rFonts w:hint="eastAsia" w:ascii="仿宋_GB2312" w:hAnsi="仿宋_GB2312" w:eastAsia="仿宋_GB2312" w:cs="仿宋_GB2312"/>
          <w:sz w:val="32"/>
          <w:szCs w:val="32"/>
        </w:rPr>
        <w:t>主要针对《汕尾港总体规划》、《汕尾市国土空间总体规划》、《汕尾市海岸带综合保护与利用总体规划》、《深惠汕海上客运航线基地综合发展规划》、《汕尾市综合立体交通网规划》、《汕尾市全域旅游发展规划》、《汕尾市现代化海洋牧场建设规划》等规划中关于客运功能布局、港口岸线利用、港航建设项目、海岛利用、滨海地区重要旅游景点等内容进行分析。</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第四章水上客运需求分析。</w:t>
      </w:r>
      <w:r>
        <w:rPr>
          <w:rFonts w:hint="eastAsia" w:ascii="仿宋_GB2312" w:hAnsi="仿宋_GB2312" w:eastAsia="仿宋_GB2312" w:cs="仿宋_GB2312"/>
          <w:sz w:val="32"/>
          <w:szCs w:val="32"/>
        </w:rPr>
        <w:t>结合汕尾水上客运发展趋势，明确汕尾水上客运体系将形成以“滨海休闲—跳岛体验—渔旅风电科普”为主轴，面向大湾区与周边游客的蓝色文旅水上客运体系，以跳岛游为核心产品、滨海观光与风渔旅为特色，兼顾城际补充与未来邮轮挂靠潜力。根据水上客运需求量，按照30m和62m设计船型为主，考虑泊位及岸线需求，城际航线以75米微邮轮为主。</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第五章总体布局方案。</w:t>
      </w:r>
      <w:r>
        <w:rPr>
          <w:rFonts w:hint="eastAsia" w:ascii="仿宋_GB2312" w:hAnsi="仿宋_GB2312" w:eastAsia="仿宋_GB2312" w:cs="仿宋_GB2312"/>
          <w:sz w:val="32"/>
          <w:szCs w:val="32"/>
        </w:rPr>
        <w:t>遵循陆海统筹、港城融合、适当前瞻的思路，综合码头建设条件、旅游资源、城市功能、人口分布等因素，规划形成“一带、三区、十岛”的汕尾市水上客运空间结构。其中“一带”是指滨海旅游带，“三区”是指汕尾城区、红海湾分区、</w:t>
      </w:r>
      <w:r>
        <w:rPr>
          <w:rFonts w:hint="eastAsia" w:ascii="仿宋_GB2312" w:hAnsi="仿宋_GB2312" w:eastAsia="仿宋_GB2312" w:cs="仿宋_GB2312"/>
          <w:sz w:val="32"/>
          <w:szCs w:val="32"/>
          <w:lang w:val="en-US" w:eastAsia="zh-CN"/>
        </w:rPr>
        <w:t>东部</w:t>
      </w:r>
      <w:bookmarkStart w:id="0" w:name="_GoBack"/>
      <w:bookmarkEnd w:id="0"/>
      <w:r>
        <w:rPr>
          <w:rFonts w:hint="eastAsia" w:ascii="仿宋_GB2312" w:hAnsi="仿宋_GB2312" w:eastAsia="仿宋_GB2312" w:cs="仿宋_GB2312"/>
          <w:sz w:val="32"/>
          <w:szCs w:val="32"/>
        </w:rPr>
        <w:t>分区，“十岛”包括芒屿岛、江牡岛、小岛、龟龄岛、竹竿屿、妈屿、遮浪岩、金屿、甲子屿、施公寮岛。规划布置32个客运码头，其中20个沿海水上客运码头、11个海岛码头，1个海洋牧场码头。规划16条近海岸水上客运航线，其中城际航线1条，跳岛游航线9条，滨海观光航线3条，风渔旅专线3条。明确泊位需求，规划岸线长度3556米。</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第六章码头规划方案。</w:t>
      </w:r>
      <w:r>
        <w:rPr>
          <w:rFonts w:hint="eastAsia" w:ascii="仿宋_GB2312" w:hAnsi="仿宋_GB2312" w:eastAsia="仿宋_GB2312" w:cs="仿宋_GB2312"/>
          <w:sz w:val="32"/>
          <w:szCs w:val="32"/>
        </w:rPr>
        <w:t>从利用现有码头改造，选择良好的掩护条件，结合后方资源联动，考虑未来发展可能性等方面，对汕尾城区和红海湾分区的15个码头进行选址和规划。</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第七章环境保护规划</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分析港口环境现状和对环境可能造成的影响，从港区环境控制和防止污染措施两方面，提出环境保护规划，并分别从建设期和营运期评价对环境的影响与变化趋势；</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第八章与相关规划关系。</w:t>
      </w:r>
      <w:r>
        <w:rPr>
          <w:rFonts w:hint="eastAsia" w:ascii="仿宋_GB2312" w:hAnsi="仿宋_GB2312" w:eastAsia="仿宋_GB2312" w:cs="仿宋_GB2312"/>
          <w:sz w:val="32"/>
          <w:szCs w:val="32"/>
        </w:rPr>
        <w:t>根据《汕尾市国土空间总体规划》，其中遮浪岩、妈屿、竹竿屿、高螺4个码头涉及生态保护红线，建议后续项目建设阶段，以有限人为活动中“不破坏生态功能的适度参观旅游、科普宣教及符合相关规划的配套性服务设施和相关的必要公共设施建设及维护”的理由申请。根据《汕尾市海岸带综合保护与利用总体规划》，其中浅澳及高螺码头位于严格保护岸线，高螺码头由现状码头改造，不涉及新建，不改变岸线生态功能，浅澳码头可采用大跨度结构跨越沙滩或采用人行浮桥穿越沙滩，确保不改变岸线生态功能。根据《广东省近岸海域环境功能区划》，芒屿岛、江牡岛、金屿、海洋牧场码头4个码头处于一类环境功能区，金凤湾、黄金湾等14个码头位于二类环境功能区，未来可结合建设安排，择机对近岸海域环境功能区划进行调整。根据《汕尾港总体规划》，其中芒屿岛、江牡岛等15个码头未规划客运岸线，建议增加客运岸线或客运功能。</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第九章实施与建议。</w:t>
      </w:r>
      <w:r>
        <w:rPr>
          <w:rFonts w:hint="eastAsia" w:ascii="仿宋_GB2312" w:hAnsi="仿宋_GB2312" w:eastAsia="仿宋_GB2312" w:cs="仿宋_GB2312"/>
          <w:sz w:val="32"/>
          <w:szCs w:val="32"/>
        </w:rPr>
        <w:t>按照“聚”、“提”、“推”分阶段策略，建议近期建设基础条件较好的6个客运码头，中期建设汕尾城区和红海湾分区的16个客运码头，远期启动红海湾分区及东部分区的10个客运码头建设。从培育市场主体、加强市场投资、规范码头管理制度、加强智慧旅游体系建设、加强安全应急体系建设等8个方面提出保障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六</w:t>
      </w:r>
      <w:r>
        <w:rPr>
          <w:rFonts w:hint="eastAsia" w:ascii="黑体" w:hAnsi="黑体" w:eastAsia="黑体" w:cs="黑体"/>
          <w:sz w:val="32"/>
          <w:szCs w:val="32"/>
        </w:rPr>
        <w:t>、规划衔接情况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《规划》严格按照相关程序开展编制工作。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规划作为专项规划，与《广东省国土空间规划（2021-2035年）》《汕尾市国土空间规划（2021-2035年）》等上位空间规划，《汕尾市综合立体交通网规划2021-2035年》《汕尾港总体规划（2025-2035年）（报批稿）》等上位交通规划一脉相承，方向一致。参考港口规划编制办法，与区域详细规划、相关专项规划和客运船舶管理办法等有机衔接，将部分无居民海岛、有居民海岛和海洋牧场码头一并纳入本规划。</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510EBC"/>
    <w:rsid w:val="0C510EBC"/>
    <w:rsid w:val="34437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2026-07-08T01:21:00Z</dcterms:created>
  <dc:creator>郭秋鹏</dc:creator>
  <cp:lastModifiedBy>郭秋鹏</cp:lastModifiedBy>
  <dcterms:modified xsi:type="dcterms:W3CDTF">2026-07-08T01:39:37Z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F272357FDA054D908174077952CF294A</vt:lpwstr>
  </property>
</Properties>
</file>