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eastAsia="方正小标宋简体"/>
          <w:sz w:val="44"/>
          <w:szCs w:val="44"/>
          <w:lang w:val="en-US" w:eastAsia="zh-CN"/>
        </w:rPr>
      </w:pPr>
    </w:p>
    <w:p>
      <w:pPr>
        <w:snapToGrid w:val="0"/>
        <w:jc w:val="center"/>
        <w:rPr>
          <w:rFonts w:hint="eastAsia" w:ascii="方正小标宋简体" w:eastAsia="方正小标宋简体"/>
          <w:color w:val="3D3D3D"/>
          <w:sz w:val="44"/>
          <w:szCs w:val="44"/>
          <w:shd w:val="clear" w:color="auto" w:fill="FFFFFF"/>
        </w:rPr>
      </w:pPr>
      <w:r>
        <w:rPr>
          <w:rFonts w:hint="eastAsia" w:ascii="方正小标宋简体" w:eastAsia="方正小标宋简体"/>
          <w:sz w:val="44"/>
          <w:szCs w:val="44"/>
          <w:lang w:val="en-US" w:eastAsia="zh-CN"/>
        </w:rPr>
        <w:t>关于修订</w:t>
      </w:r>
      <w:r>
        <w:rPr>
          <w:rFonts w:hint="eastAsia" w:ascii="方正小标宋简体" w:eastAsia="方正小标宋简体"/>
          <w:sz w:val="44"/>
          <w:szCs w:val="44"/>
        </w:rPr>
        <w:t>《</w:t>
      </w:r>
      <w:r>
        <w:rPr>
          <w:rFonts w:hint="eastAsia" w:ascii="方正小标宋简体" w:eastAsia="方正小标宋简体"/>
          <w:color w:val="3D3D3D"/>
          <w:sz w:val="44"/>
          <w:szCs w:val="44"/>
          <w:shd w:val="clear" w:color="auto" w:fill="FFFFFF"/>
        </w:rPr>
        <w:t>汕尾市“汕农优品”认定管理</w:t>
      </w:r>
    </w:p>
    <w:p>
      <w:pPr>
        <w:snapToGrid w:val="0"/>
        <w:jc w:val="center"/>
        <w:rPr>
          <w:rFonts w:hint="eastAsia" w:ascii="方正小标宋简体" w:eastAsia="方正小标宋简体"/>
          <w:sz w:val="44"/>
          <w:szCs w:val="44"/>
        </w:rPr>
      </w:pPr>
      <w:r>
        <w:rPr>
          <w:rFonts w:hint="eastAsia" w:ascii="方正小标宋简体" w:eastAsia="方正小标宋简体"/>
          <w:color w:val="3D3D3D"/>
          <w:sz w:val="44"/>
          <w:szCs w:val="44"/>
          <w:shd w:val="clear" w:color="auto" w:fill="FFFFFF"/>
        </w:rPr>
        <w:t>办法</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的起草</w:t>
      </w:r>
      <w:r>
        <w:rPr>
          <w:rFonts w:hint="eastAsia" w:ascii="方正小标宋简体" w:eastAsia="方正小标宋简体"/>
          <w:sz w:val="44"/>
          <w:szCs w:val="44"/>
        </w:rPr>
        <w:t>说明</w:t>
      </w:r>
    </w:p>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方正小标宋简体" w:eastAsia="方正小标宋简体"/>
          <w:sz w:val="44"/>
          <w:szCs w:val="44"/>
        </w:rPr>
      </w:pPr>
    </w:p>
    <w:p>
      <w:pPr>
        <w:ind w:firstLine="660"/>
        <w:rPr>
          <w:rFonts w:ascii="仿宋_GB2312" w:eastAsia="仿宋_GB2312"/>
          <w:color w:val="auto"/>
          <w:sz w:val="32"/>
          <w:szCs w:val="32"/>
        </w:rPr>
      </w:pPr>
      <w:r>
        <w:rPr>
          <w:rFonts w:hint="eastAsia" w:ascii="仿宋_GB2312" w:eastAsia="仿宋_GB2312"/>
          <w:color w:val="auto"/>
          <w:sz w:val="32"/>
          <w:szCs w:val="32"/>
        </w:rPr>
        <w:t>为</w:t>
      </w:r>
      <w:r>
        <w:rPr>
          <w:rFonts w:hint="eastAsia" w:ascii="仿宋_GB2312" w:eastAsia="仿宋_GB2312"/>
          <w:color w:val="auto"/>
          <w:sz w:val="32"/>
          <w:szCs w:val="32"/>
          <w:lang w:val="en-US" w:eastAsia="zh-CN"/>
        </w:rPr>
        <w:t>贯彻落实市委、市政府“1＋2＋9”工作安排，加快构建现代化农业产业体系，发挥品牌对农业产业高质量发展的引领作用，</w:t>
      </w:r>
      <w:r>
        <w:rPr>
          <w:rFonts w:hint="eastAsia" w:ascii="仿宋_GB2312" w:hAnsi="仿宋_GB2312" w:eastAsia="仿宋_GB2312" w:cs="仿宋_GB2312"/>
          <w:sz w:val="32"/>
          <w:szCs w:val="32"/>
          <w:lang w:val="en-US" w:eastAsia="zh-CN"/>
        </w:rPr>
        <w:t>进一步明确 “汕农优品”的申报主体资格，</w:t>
      </w:r>
      <w:r>
        <w:rPr>
          <w:rFonts w:hint="eastAsia" w:ascii="仿宋_GB2312" w:eastAsia="仿宋_GB2312"/>
          <w:color w:val="auto"/>
          <w:sz w:val="32"/>
          <w:szCs w:val="32"/>
          <w:lang w:val="en-US" w:eastAsia="zh-CN"/>
        </w:rPr>
        <w:t>我局</w:t>
      </w:r>
      <w:r>
        <w:rPr>
          <w:rFonts w:hint="eastAsia" w:ascii="仿宋_GB2312" w:hAnsi="仿宋_GB2312" w:eastAsia="仿宋_GB2312" w:cs="仿宋_GB2312"/>
          <w:sz w:val="32"/>
          <w:szCs w:val="32"/>
          <w:lang w:val="en-US" w:eastAsia="zh-CN"/>
        </w:rPr>
        <w:t>对《汕尾市“汕农优品”认定管理办法（试行）》（以下简称《管理办法》进行了修订</w:t>
      </w:r>
      <w:r>
        <w:rPr>
          <w:rFonts w:hint="eastAsia" w:ascii="仿宋_GB2312" w:eastAsia="仿宋_GB2312"/>
          <w:color w:val="auto"/>
          <w:sz w:val="32"/>
          <w:szCs w:val="32"/>
        </w:rPr>
        <w:t>。现将</w:t>
      </w:r>
      <w:r>
        <w:rPr>
          <w:rFonts w:hint="eastAsia" w:ascii="仿宋_GB2312" w:eastAsia="仿宋_GB2312"/>
          <w:color w:val="auto"/>
          <w:sz w:val="32"/>
          <w:szCs w:val="32"/>
          <w:lang w:val="en-US" w:eastAsia="zh-CN"/>
        </w:rPr>
        <w:t>有关修订情况说明</w:t>
      </w:r>
      <w:r>
        <w:rPr>
          <w:rFonts w:hint="eastAsia" w:ascii="仿宋_GB2312" w:eastAsia="仿宋_GB2312"/>
          <w:color w:val="auto"/>
          <w:sz w:val="32"/>
          <w:szCs w:val="32"/>
        </w:rPr>
        <w:t>：</w:t>
      </w:r>
    </w:p>
    <w:p>
      <w:pPr>
        <w:ind w:firstLine="660"/>
        <w:rPr>
          <w:rFonts w:hint="eastAsia" w:ascii="黑体" w:hAnsi="黑体" w:eastAsia="黑体"/>
          <w:color w:val="auto"/>
          <w:sz w:val="32"/>
          <w:szCs w:val="32"/>
          <w:lang w:val="en-US" w:eastAsia="zh-CN"/>
        </w:rPr>
      </w:pPr>
      <w:r>
        <w:rPr>
          <w:rFonts w:hint="eastAsia" w:ascii="黑体" w:hAnsi="黑体" w:eastAsia="黑体"/>
          <w:color w:val="auto"/>
          <w:sz w:val="32"/>
          <w:szCs w:val="32"/>
        </w:rPr>
        <w:t>一、</w:t>
      </w:r>
      <w:r>
        <w:rPr>
          <w:rFonts w:hint="eastAsia" w:ascii="黑体" w:hAnsi="黑体" w:eastAsia="黑体"/>
          <w:color w:val="auto"/>
          <w:sz w:val="32"/>
          <w:szCs w:val="32"/>
          <w:lang w:val="en-US" w:eastAsia="zh-CN"/>
        </w:rPr>
        <w:t>修订</w:t>
      </w:r>
      <w:r>
        <w:rPr>
          <w:rFonts w:hint="eastAsia" w:ascii="黑体" w:hAnsi="黑体" w:eastAsia="黑体"/>
          <w:color w:val="auto"/>
          <w:sz w:val="32"/>
          <w:szCs w:val="32"/>
        </w:rPr>
        <w:t>《管理办法》的</w:t>
      </w:r>
      <w:r>
        <w:rPr>
          <w:rFonts w:hint="eastAsia" w:ascii="黑体" w:hAnsi="黑体" w:eastAsia="黑体"/>
          <w:color w:val="auto"/>
          <w:sz w:val="32"/>
          <w:szCs w:val="32"/>
          <w:lang w:val="en-US" w:eastAsia="zh-CN"/>
        </w:rPr>
        <w:t>背景</w:t>
      </w:r>
    </w:p>
    <w:p>
      <w:pPr>
        <w:ind w:firstLine="66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管理办法》自2023年印发，各地积极开展申报工作，2024年，共收到企业申报46份，最终有20个产品通过，获得了”汕农优品“的称号，对我市农产品品牌建设发挥了重要作用。但在实际工作中发现，《管理办法》内规定的</w:t>
      </w:r>
      <w:r>
        <w:rPr>
          <w:rFonts w:hint="eastAsia" w:ascii="仿宋_GB2312" w:hAnsi="仿宋_GB2312" w:eastAsia="仿宋_GB2312" w:cs="仿宋_GB2312"/>
          <w:sz w:val="32"/>
          <w:szCs w:val="32"/>
          <w:lang w:val="en-US" w:eastAsia="zh-CN"/>
        </w:rPr>
        <w:t>申报主体条件中的要求之一“有</w:t>
      </w:r>
      <w:r>
        <w:rPr>
          <w:rFonts w:hint="eastAsia" w:ascii="FangSong_GB2312" w:hAnsi="FangSong_GB2312" w:eastAsia="FangSong_GB2312"/>
          <w:sz w:val="32"/>
        </w:rPr>
        <w:t>独立的法人资格</w:t>
      </w:r>
      <w:r>
        <w:rPr>
          <w:rFonts w:hint="eastAsia" w:ascii="FangSong_GB2312" w:hAnsi="FangSong_GB2312" w:eastAsia="FangSong_GB2312"/>
          <w:sz w:val="32"/>
          <w:lang w:eastAsia="zh-CN"/>
        </w:rPr>
        <w:t>”</w:t>
      </w:r>
      <w:r>
        <w:rPr>
          <w:rFonts w:hint="eastAsia" w:ascii="FangSong_GB2312" w:hAnsi="FangSong_GB2312" w:eastAsia="FangSong_GB2312"/>
          <w:sz w:val="32"/>
          <w:lang w:val="en-US" w:eastAsia="zh-CN"/>
        </w:rPr>
        <w:t>限制了家庭农场、合作社等新型农业经营主体的申报。为此，我局认为有必要对《管理办法》</w:t>
      </w:r>
      <w:r>
        <w:rPr>
          <w:rFonts w:hint="eastAsia" w:ascii="仿宋_GB2312" w:eastAsia="仿宋_GB2312"/>
          <w:color w:val="auto"/>
          <w:sz w:val="32"/>
          <w:szCs w:val="32"/>
          <w:lang w:val="en-US" w:eastAsia="zh-CN"/>
        </w:rPr>
        <w:t>进行修订。</w:t>
      </w:r>
    </w:p>
    <w:p>
      <w:pPr>
        <w:ind w:firstLine="660"/>
        <w:rPr>
          <w:rFonts w:ascii="黑体" w:hAnsi="黑体" w:eastAsia="黑体"/>
          <w:color w:val="auto"/>
          <w:sz w:val="32"/>
          <w:szCs w:val="32"/>
        </w:rPr>
      </w:pPr>
      <w:r>
        <w:rPr>
          <w:rFonts w:hint="eastAsia" w:ascii="黑体" w:hAnsi="黑体" w:eastAsia="黑体"/>
          <w:color w:val="auto"/>
          <w:sz w:val="32"/>
          <w:szCs w:val="32"/>
        </w:rPr>
        <w:t>二、</w:t>
      </w:r>
      <w:r>
        <w:rPr>
          <w:rFonts w:hint="eastAsia" w:ascii="黑体" w:hAnsi="黑体" w:eastAsia="黑体"/>
          <w:sz w:val="32"/>
          <w:szCs w:val="32"/>
        </w:rPr>
        <w:t>修订</w:t>
      </w:r>
      <w:r>
        <w:rPr>
          <w:rFonts w:hint="eastAsia" w:ascii="黑体" w:hAnsi="黑体" w:eastAsia="黑体"/>
          <w:sz w:val="32"/>
          <w:szCs w:val="32"/>
          <w:lang w:val="en-US" w:eastAsia="zh-CN"/>
        </w:rPr>
        <w:t>的主要</w:t>
      </w:r>
      <w:r>
        <w:rPr>
          <w:rFonts w:hint="eastAsia" w:ascii="黑体" w:hAnsi="黑体" w:eastAsia="黑体"/>
          <w:sz w:val="32"/>
          <w:szCs w:val="32"/>
        </w:rPr>
        <w:t>内容</w:t>
      </w:r>
    </w:p>
    <w:p>
      <w:pPr>
        <w:ind w:firstLine="66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本次修订，仅在原有条文的基础上进行了修改，保持了24条的框架。调整的内容主要包括：</w:t>
      </w:r>
    </w:p>
    <w:p>
      <w:pPr>
        <w:ind w:firstLine="66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1.在第一条中，增加了“</w:t>
      </w:r>
      <w:r>
        <w:rPr>
          <w:rFonts w:hint="eastAsia" w:ascii="仿宋_GB2312" w:eastAsia="仿宋_GB2312"/>
          <w:color w:val="auto"/>
          <w:sz w:val="32"/>
          <w:szCs w:val="32"/>
        </w:rPr>
        <w:t>聚焦市委市政府</w:t>
      </w:r>
      <w:r>
        <w:rPr>
          <w:rFonts w:hint="eastAsia" w:ascii="仿宋_GB2312" w:eastAsia="仿宋_GB2312"/>
          <w:color w:val="auto"/>
          <w:sz w:val="32"/>
          <w:szCs w:val="32"/>
          <w:lang w:eastAsia="zh-CN"/>
        </w:rPr>
        <w:t>‘</w:t>
      </w:r>
      <w:r>
        <w:rPr>
          <w:rFonts w:hint="eastAsia" w:ascii="仿宋_GB2312" w:eastAsia="仿宋_GB2312"/>
          <w:color w:val="auto"/>
          <w:sz w:val="32"/>
          <w:szCs w:val="32"/>
        </w:rPr>
        <w:t>1＋2＋9</w:t>
      </w:r>
      <w:r>
        <w:rPr>
          <w:rFonts w:hint="eastAsia" w:ascii="仿宋_GB2312" w:eastAsia="仿宋_GB2312"/>
          <w:color w:val="auto"/>
          <w:sz w:val="32"/>
          <w:szCs w:val="32"/>
          <w:lang w:eastAsia="zh-CN"/>
        </w:rPr>
        <w:t>’</w:t>
      </w:r>
      <w:r>
        <w:rPr>
          <w:rFonts w:hint="eastAsia" w:ascii="仿宋_GB2312" w:eastAsia="仿宋_GB2312"/>
          <w:color w:val="auto"/>
          <w:sz w:val="32"/>
          <w:szCs w:val="32"/>
        </w:rPr>
        <w:t>工作安排，锚定“做实做强西承东联桥头堡、全力打造东海岸重要支点”全新发展定位，加快构建现代化农业产业体系</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的内容，主要为贯彻落实市委、市政府最新的工作部署。</w:t>
      </w:r>
    </w:p>
    <w:p>
      <w:pPr>
        <w:ind w:firstLine="66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2.将第六条第一款，修改为：“</w:t>
      </w:r>
      <w:r>
        <w:rPr>
          <w:rFonts w:hint="eastAsia" w:ascii="仿宋_GB2312" w:eastAsia="仿宋_GB2312"/>
          <w:color w:val="auto"/>
          <w:sz w:val="32"/>
          <w:szCs w:val="32"/>
        </w:rPr>
        <w:t>（一）申报主体必须是依法登记的农产品生产加工企业或农民专业合作社等农业经营主体，取得合法有效的注册商标，采用国际标准或国家标准、行业标准、地方标准、企业标准组织生产，主要原料产地及产品均在汕尾市域内</w:t>
      </w:r>
      <w:r>
        <w:rPr>
          <w:rFonts w:hint="eastAsia" w:ascii="仿宋_GB2312" w:eastAsia="仿宋_GB2312"/>
          <w:color w:val="auto"/>
          <w:sz w:val="32"/>
          <w:szCs w:val="32"/>
          <w:lang w:eastAsia="zh-CN"/>
        </w:rPr>
        <w:t>”</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修改后：所有的经营主体均可申报“汕农优品”。</w:t>
      </w:r>
    </w:p>
    <w:p>
      <w:pPr>
        <w:ind w:firstLine="66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3.在第六条第三款，“</w:t>
      </w:r>
      <w:r>
        <w:rPr>
          <w:rFonts w:hint="eastAsia" w:ascii="仿宋_GB2312" w:eastAsia="仿宋_GB2312"/>
          <w:sz w:val="32"/>
          <w:szCs w:val="32"/>
        </w:rPr>
        <w:t>或通过GAP良好农业规范、HACCP危害分析与关键控制点等国际体系认证</w:t>
      </w:r>
      <w:r>
        <w:rPr>
          <w:rFonts w:hint="eastAsia" w:ascii="仿宋_GB2312" w:eastAsia="仿宋_GB2312"/>
          <w:sz w:val="32"/>
          <w:szCs w:val="32"/>
          <w:lang w:eastAsia="zh-CN"/>
        </w:rPr>
        <w:t>”，</w:t>
      </w:r>
      <w:r>
        <w:rPr>
          <w:rFonts w:hint="eastAsia" w:ascii="仿宋_GB2312" w:eastAsia="仿宋_GB2312"/>
          <w:color w:val="auto"/>
          <w:sz w:val="32"/>
          <w:szCs w:val="32"/>
          <w:lang w:val="en-US" w:eastAsia="zh-CN"/>
        </w:rPr>
        <w:t>后增加“</w:t>
      </w:r>
      <w:r>
        <w:rPr>
          <w:rFonts w:hint="eastAsia" w:ascii="仿宋_GB2312" w:eastAsia="仿宋_GB2312"/>
          <w:color w:val="auto"/>
          <w:sz w:val="32"/>
          <w:szCs w:val="32"/>
        </w:rPr>
        <w:t>中的任意一项</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更加明确了申报要求，避免申报主体重复认证。</w:t>
      </w:r>
    </w:p>
    <w:p>
      <w:pPr>
        <w:ind w:firstLine="66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4.修改</w:t>
      </w:r>
      <w:r>
        <w:rPr>
          <w:rFonts w:hint="eastAsia" w:ascii="仿宋_GB2312" w:hAnsi="仿宋_GB2312" w:eastAsia="仿宋_GB2312" w:cs="仿宋_GB2312"/>
          <w:sz w:val="32"/>
          <w:szCs w:val="32"/>
        </w:rPr>
        <w:t>第二十四条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将实施时间和有效期为自2025年XX月XX日起实施（待正式印发后确定），有效期3年。</w:t>
      </w:r>
    </w:p>
    <w:p>
      <w:pPr>
        <w:ind w:firstLine="660"/>
        <w:rPr>
          <w:rFonts w:ascii="黑体" w:eastAsia="黑体" w:cs="黑体"/>
          <w:color w:val="auto"/>
          <w:kern w:val="0"/>
          <w:sz w:val="32"/>
          <w:szCs w:val="32"/>
        </w:rPr>
      </w:pPr>
      <w:r>
        <w:rPr>
          <w:rFonts w:hint="eastAsia" w:ascii="黑体" w:eastAsia="黑体" w:cs="黑体"/>
          <w:color w:val="auto"/>
          <w:kern w:val="0"/>
          <w:sz w:val="32"/>
          <w:szCs w:val="32"/>
        </w:rPr>
        <w:t>三、</w:t>
      </w:r>
      <w:r>
        <w:rPr>
          <w:rFonts w:hint="eastAsia" w:ascii="黑体" w:eastAsia="黑体" w:cs="黑体"/>
          <w:kern w:val="0"/>
          <w:sz w:val="32"/>
          <w:szCs w:val="32"/>
        </w:rPr>
        <w:t>修订依据</w:t>
      </w:r>
    </w:p>
    <w:p>
      <w:pPr>
        <w:ind w:firstLine="660"/>
        <w:rPr>
          <w:rFonts w:ascii="仿宋_GB2312" w:eastAsia="仿宋_GB2312"/>
          <w:sz w:val="32"/>
          <w:szCs w:val="32"/>
        </w:rPr>
      </w:pPr>
      <w:bookmarkStart w:id="0" w:name="OLE_LINK1"/>
      <w:r>
        <w:rPr>
          <w:rFonts w:hint="eastAsia" w:ascii="仿宋_GB2312" w:eastAsia="仿宋_GB2312"/>
          <w:sz w:val="32"/>
          <w:szCs w:val="32"/>
        </w:rPr>
        <w:t>《广东省行政规范性文件管理规定》（2024修订）</w:t>
      </w:r>
    </w:p>
    <w:bookmarkEnd w:id="0"/>
    <w:p>
      <w:pPr>
        <w:ind w:firstLine="660"/>
        <w:rPr>
          <w:rFonts w:ascii="仿宋_GB2312" w:eastAsia="仿宋_GB2312"/>
          <w:sz w:val="32"/>
          <w:szCs w:val="32"/>
        </w:rPr>
      </w:pPr>
      <w:bookmarkStart w:id="2" w:name="_GoBack"/>
      <w:bookmarkStart w:id="1" w:name="OLE_LINK2"/>
      <w:r>
        <w:rPr>
          <w:rFonts w:hint="eastAsia" w:ascii="仿宋_GB2312" w:eastAsia="仿宋_GB2312"/>
          <w:sz w:val="32"/>
          <w:szCs w:val="32"/>
        </w:rPr>
        <w:t>《公平竞争审查条例》</w:t>
      </w:r>
      <w:bookmarkEnd w:id="2"/>
      <w:bookmarkEnd w:id="1"/>
    </w:p>
    <w:p>
      <w:pPr>
        <w:ind w:firstLine="660"/>
        <w:rPr>
          <w:rFonts w:ascii="黑体" w:eastAsia="黑体" w:cs="黑体"/>
          <w:color w:val="auto"/>
          <w:kern w:val="0"/>
          <w:sz w:val="32"/>
          <w:szCs w:val="32"/>
        </w:rPr>
      </w:pPr>
      <w:r>
        <w:rPr>
          <w:rFonts w:hint="eastAsia" w:ascii="黑体" w:eastAsia="黑体" w:cs="黑体"/>
          <w:color w:val="auto"/>
          <w:kern w:val="0"/>
          <w:sz w:val="32"/>
          <w:szCs w:val="32"/>
        </w:rPr>
        <w:t>四、起草过程</w:t>
      </w:r>
    </w:p>
    <w:p>
      <w:pPr>
        <w:ind w:firstLine="660"/>
        <w:rPr>
          <w:rFonts w:ascii="楷体_GB2312" w:eastAsia="楷体_GB2312" w:cs="楷体_GB2312"/>
          <w:color w:val="auto"/>
          <w:kern w:val="0"/>
          <w:sz w:val="32"/>
          <w:szCs w:val="32"/>
        </w:rPr>
      </w:pPr>
      <w:r>
        <w:rPr>
          <w:rFonts w:hint="eastAsia" w:ascii="楷体_GB2312" w:eastAsia="楷体_GB2312" w:cs="楷体_GB2312"/>
          <w:color w:val="auto"/>
          <w:kern w:val="0"/>
          <w:sz w:val="32"/>
          <w:szCs w:val="32"/>
        </w:rPr>
        <w:t>（一）征求相关部门意见</w:t>
      </w:r>
    </w:p>
    <w:p>
      <w:pPr>
        <w:ind w:firstLine="66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2025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日至</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30</w:t>
      </w:r>
      <w:r>
        <w:rPr>
          <w:rFonts w:hint="eastAsia" w:ascii="仿宋_GB2312" w:eastAsia="仿宋_GB2312"/>
          <w:color w:val="auto"/>
          <w:sz w:val="32"/>
          <w:szCs w:val="32"/>
        </w:rPr>
        <w:t>日，征求市直各相关单位意见。其中，</w:t>
      </w:r>
      <w:r>
        <w:rPr>
          <w:rFonts w:hint="eastAsia" w:ascii="仿宋_GB2312" w:eastAsia="仿宋_GB2312"/>
          <w:color w:val="auto"/>
          <w:sz w:val="32"/>
          <w:szCs w:val="32"/>
          <w:lang w:val="en-US" w:eastAsia="zh-CN"/>
        </w:rPr>
        <w:t>市文广旅体局</w:t>
      </w:r>
      <w:r>
        <w:rPr>
          <w:rFonts w:hint="eastAsia" w:ascii="仿宋_GB2312" w:eastAsia="仿宋_GB2312"/>
          <w:color w:val="auto"/>
          <w:sz w:val="32"/>
          <w:szCs w:val="32"/>
        </w:rPr>
        <w:t>提出修改意见，其他单位无修改意见</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市文广旅体局的意见已采纳。</w:t>
      </w:r>
    </w:p>
    <w:p>
      <w:pPr>
        <w:ind w:firstLine="660"/>
        <w:rPr>
          <w:rFonts w:ascii="楷体_GB2312" w:eastAsia="楷体_GB2312" w:cs="楷体_GB2312"/>
          <w:color w:val="auto"/>
          <w:kern w:val="0"/>
          <w:sz w:val="32"/>
          <w:szCs w:val="32"/>
        </w:rPr>
      </w:pPr>
      <w:r>
        <w:rPr>
          <w:rFonts w:hint="eastAsia" w:ascii="楷体_GB2312" w:eastAsia="楷体_GB2312" w:cs="楷体_GB2312"/>
          <w:color w:val="auto"/>
          <w:kern w:val="0"/>
          <w:sz w:val="32"/>
          <w:szCs w:val="32"/>
        </w:rPr>
        <w:t>（二）征求社会公众意见</w:t>
      </w:r>
    </w:p>
    <w:p>
      <w:pPr>
        <w:ind w:firstLine="660"/>
        <w:rPr>
          <w:rFonts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日至</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日公开征求社会公众意见，截至公告期满，未收到反馈意见或建议。</w:t>
      </w:r>
    </w:p>
    <w:p>
      <w:pPr>
        <w:ind w:firstLine="660"/>
        <w:rPr>
          <w:rFonts w:ascii="楷体_GB2312" w:eastAsia="楷体_GB2312" w:cs="楷体_GB2312"/>
          <w:color w:val="auto"/>
          <w:kern w:val="0"/>
          <w:sz w:val="32"/>
          <w:szCs w:val="32"/>
        </w:rPr>
      </w:pPr>
      <w:r>
        <w:rPr>
          <w:rFonts w:hint="eastAsia" w:ascii="楷体_GB2312" w:eastAsia="楷体_GB2312" w:cs="楷体_GB2312"/>
          <w:color w:val="auto"/>
          <w:kern w:val="0"/>
          <w:sz w:val="32"/>
          <w:szCs w:val="32"/>
        </w:rPr>
        <w:t>（三）局合法性审查</w:t>
      </w:r>
    </w:p>
    <w:p>
      <w:pPr>
        <w:ind w:firstLine="660"/>
        <w:rPr>
          <w:rFonts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日通过局政策法规与</w:t>
      </w:r>
      <w:r>
        <w:rPr>
          <w:rFonts w:hint="eastAsia" w:ascii="仿宋_GB2312" w:eastAsia="仿宋_GB2312"/>
          <w:color w:val="auto"/>
          <w:sz w:val="32"/>
          <w:szCs w:val="32"/>
          <w:lang w:val="en-US" w:eastAsia="zh-CN"/>
        </w:rPr>
        <w:t>执法监督</w:t>
      </w:r>
      <w:r>
        <w:rPr>
          <w:rFonts w:hint="eastAsia" w:ascii="仿宋_GB2312" w:eastAsia="仿宋_GB2312"/>
          <w:color w:val="auto"/>
          <w:sz w:val="32"/>
          <w:szCs w:val="32"/>
        </w:rPr>
        <w:t>科合法性审查。</w:t>
      </w:r>
    </w:p>
    <w:p>
      <w:pPr>
        <w:ind w:firstLine="660"/>
        <w:rPr>
          <w:rFonts w:ascii="楷体_GB2312" w:eastAsia="楷体_GB2312" w:cs="楷体_GB2312"/>
          <w:color w:val="auto"/>
          <w:kern w:val="0"/>
          <w:sz w:val="32"/>
          <w:szCs w:val="32"/>
        </w:rPr>
      </w:pPr>
      <w:r>
        <w:rPr>
          <w:rFonts w:hint="eastAsia" w:ascii="楷体_GB2312" w:eastAsia="楷体_GB2312" w:cs="楷体_GB2312"/>
          <w:color w:val="auto"/>
          <w:kern w:val="0"/>
          <w:sz w:val="32"/>
          <w:szCs w:val="32"/>
        </w:rPr>
        <w:t>（四）局</w:t>
      </w:r>
      <w:r>
        <w:rPr>
          <w:rFonts w:hint="eastAsia" w:ascii="楷体_GB2312" w:eastAsia="楷体_GB2312" w:cs="楷体_GB2312"/>
          <w:color w:val="auto"/>
          <w:kern w:val="0"/>
          <w:sz w:val="32"/>
          <w:szCs w:val="32"/>
          <w:lang w:val="en-US" w:eastAsia="zh-CN"/>
        </w:rPr>
        <w:t>务会议</w:t>
      </w:r>
      <w:r>
        <w:rPr>
          <w:rFonts w:hint="eastAsia" w:ascii="楷体_GB2312" w:eastAsia="楷体_GB2312" w:cs="楷体_GB2312"/>
          <w:color w:val="auto"/>
          <w:kern w:val="0"/>
          <w:sz w:val="32"/>
          <w:szCs w:val="32"/>
        </w:rPr>
        <w:t>审议通过</w:t>
      </w:r>
    </w:p>
    <w:p>
      <w:pPr>
        <w:ind w:firstLine="660"/>
        <w:rPr>
          <w:rFonts w:hint="eastAsia"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28</w:t>
      </w:r>
      <w:r>
        <w:rPr>
          <w:rFonts w:hint="eastAsia" w:ascii="仿宋_GB2312" w:eastAsia="仿宋_GB2312"/>
          <w:color w:val="auto"/>
          <w:sz w:val="32"/>
          <w:szCs w:val="32"/>
        </w:rPr>
        <w:t>日经局</w:t>
      </w:r>
      <w:r>
        <w:rPr>
          <w:rFonts w:hint="eastAsia" w:ascii="仿宋_GB2312" w:eastAsia="仿宋_GB2312"/>
          <w:color w:val="auto"/>
          <w:sz w:val="32"/>
          <w:szCs w:val="32"/>
          <w:lang w:val="en-US" w:eastAsia="zh-CN"/>
        </w:rPr>
        <w:t>务会议</w:t>
      </w:r>
      <w:r>
        <w:rPr>
          <w:rFonts w:hint="eastAsia" w:ascii="仿宋_GB2312" w:eastAsia="仿宋_GB2312"/>
          <w:color w:val="auto"/>
          <w:sz w:val="32"/>
          <w:szCs w:val="32"/>
        </w:rPr>
        <w:t>研究决定，原则上通过《</w:t>
      </w:r>
      <w:r>
        <w:rPr>
          <w:rFonts w:hint="eastAsia" w:ascii="仿宋_GB2312" w:eastAsia="仿宋_GB2312" w:cs="仿宋_GB2312"/>
          <w:color w:val="auto"/>
          <w:kern w:val="0"/>
          <w:sz w:val="32"/>
          <w:szCs w:val="32"/>
        </w:rPr>
        <w:t>管理办法</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2025修订</w:t>
      </w:r>
      <w:r>
        <w:rPr>
          <w:rFonts w:hint="eastAsia" w:ascii="仿宋_GB2312" w:eastAsia="仿宋_GB2312" w:cs="仿宋_GB2312"/>
          <w:color w:val="auto"/>
          <w:kern w:val="0"/>
          <w:sz w:val="32"/>
          <w:szCs w:val="32"/>
          <w:lang w:eastAsia="zh-CN"/>
        </w:rPr>
        <w:t>）</w:t>
      </w:r>
      <w:r>
        <w:rPr>
          <w:rFonts w:hint="eastAsia" w:ascii="仿宋_GB2312" w:eastAsia="仿宋_GB2312"/>
          <w:color w:val="auto"/>
          <w:sz w:val="32"/>
          <w:szCs w:val="32"/>
        </w:rPr>
        <w:t>》。</w:t>
      </w:r>
    </w:p>
    <w:p>
      <w:pPr>
        <w:ind w:firstLine="660"/>
        <w:rPr>
          <w:rFonts w:hint="eastAsia" w:ascii="仿宋_GB2312" w:eastAsia="仿宋_GB2312"/>
          <w:color w:val="auto"/>
          <w:sz w:val="32"/>
          <w:szCs w:val="32"/>
        </w:rPr>
      </w:pPr>
    </w:p>
    <w:p>
      <w:pPr>
        <w:ind w:firstLine="660"/>
        <w:rPr>
          <w:rFonts w:hint="eastAsia" w:ascii="仿宋_GB2312" w:eastAsia="仿宋_GB2312"/>
          <w:color w:val="auto"/>
          <w:sz w:val="32"/>
          <w:szCs w:val="32"/>
        </w:rPr>
      </w:pPr>
    </w:p>
    <w:p>
      <w:pPr>
        <w:ind w:firstLine="660"/>
        <w:rPr>
          <w:rFonts w:hint="eastAsia" w:ascii="仿宋_GB2312" w:eastAsia="仿宋_GB2312"/>
          <w:color w:val="auto"/>
          <w:sz w:val="32"/>
          <w:szCs w:val="32"/>
        </w:rPr>
      </w:pPr>
    </w:p>
    <w:p>
      <w:pPr>
        <w:ind w:firstLine="660"/>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afterLines="0" w:afterAutospacing="0" w:line="560" w:lineRule="exact"/>
        <w:ind w:left="0" w:leftChars="0" w:right="619" w:rightChars="295" w:firstLine="640" w:firstLineChars="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汕尾市农业农村局</w:t>
      </w:r>
    </w:p>
    <w:p>
      <w:pPr>
        <w:pStyle w:val="2"/>
        <w:ind w:right="619" w:rightChars="295"/>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                           2025年5月20日</w:t>
      </w:r>
    </w:p>
    <w:p>
      <w:pPr>
        <w:ind w:firstLine="660"/>
        <w:rPr>
          <w:rFonts w:hint="eastAsia" w:ascii="仿宋_GB2312" w:eastAsia="仿宋_GB2312"/>
          <w:color w:val="auto"/>
          <w:sz w:val="32"/>
          <w:szCs w:val="32"/>
          <w:lang w:eastAsia="zh-CN"/>
        </w:rPr>
      </w:pPr>
    </w:p>
    <w:p>
      <w:pPr>
        <w:numPr>
          <w:ilvl w:val="0"/>
          <w:numId w:val="0"/>
        </w:numPr>
        <w:ind w:firstLine="640"/>
        <w:rPr>
          <w:rFonts w:hint="eastAsia" w:ascii="楷体_GB2312" w:hAnsi="楷体_GB2312" w:eastAsia="楷体_GB2312" w:cs="楷体_GB2312"/>
          <w:color w:val="auto"/>
          <w:sz w:val="32"/>
          <w:szCs w:val="32"/>
          <w:lang w:val="en-US" w:eastAsia="zh-CN"/>
        </w:rPr>
      </w:pPr>
    </w:p>
    <w:p>
      <w:pPr>
        <w:numPr>
          <w:ilvl w:val="0"/>
          <w:numId w:val="0"/>
        </w:numPr>
        <w:rPr>
          <w:rFonts w:hint="default" w:ascii="仿宋_GB2312" w:eastAsia="仿宋_GB2312"/>
          <w:color w:val="auto"/>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6072899"/>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wN2I1NThhMjZmYWNlMGEwODM0MzM2NGJmMGU1NmYifQ=="/>
  </w:docVars>
  <w:rsids>
    <w:rsidRoot w:val="00172A27"/>
    <w:rsid w:val="00044921"/>
    <w:rsid w:val="001E65E2"/>
    <w:rsid w:val="001F451E"/>
    <w:rsid w:val="0023618F"/>
    <w:rsid w:val="00237821"/>
    <w:rsid w:val="002E2D28"/>
    <w:rsid w:val="002E6C3A"/>
    <w:rsid w:val="003737CC"/>
    <w:rsid w:val="00454A3B"/>
    <w:rsid w:val="004A6611"/>
    <w:rsid w:val="004F51EF"/>
    <w:rsid w:val="00506099"/>
    <w:rsid w:val="0056053E"/>
    <w:rsid w:val="005B0266"/>
    <w:rsid w:val="006063D5"/>
    <w:rsid w:val="006E4AA3"/>
    <w:rsid w:val="0082000A"/>
    <w:rsid w:val="00854E8D"/>
    <w:rsid w:val="00881805"/>
    <w:rsid w:val="008C506D"/>
    <w:rsid w:val="008D08FE"/>
    <w:rsid w:val="008D4FAD"/>
    <w:rsid w:val="0091555D"/>
    <w:rsid w:val="00947BA1"/>
    <w:rsid w:val="009F3759"/>
    <w:rsid w:val="00A77C60"/>
    <w:rsid w:val="00B546C9"/>
    <w:rsid w:val="00BA1E01"/>
    <w:rsid w:val="00BC4165"/>
    <w:rsid w:val="00C9772C"/>
    <w:rsid w:val="00CC20DF"/>
    <w:rsid w:val="00D00EC1"/>
    <w:rsid w:val="00D1536C"/>
    <w:rsid w:val="00D53197"/>
    <w:rsid w:val="00D92A40"/>
    <w:rsid w:val="00E007C9"/>
    <w:rsid w:val="00E56D32"/>
    <w:rsid w:val="00EC742C"/>
    <w:rsid w:val="00ED182F"/>
    <w:rsid w:val="00FD3213"/>
    <w:rsid w:val="018C08A6"/>
    <w:rsid w:val="021C203F"/>
    <w:rsid w:val="026A0BEC"/>
    <w:rsid w:val="0B8544C5"/>
    <w:rsid w:val="0DC67788"/>
    <w:rsid w:val="14034134"/>
    <w:rsid w:val="14966BE3"/>
    <w:rsid w:val="177C044D"/>
    <w:rsid w:val="23140AD8"/>
    <w:rsid w:val="2BE15516"/>
    <w:rsid w:val="2DBC3C58"/>
    <w:rsid w:val="2F841F64"/>
    <w:rsid w:val="3157113F"/>
    <w:rsid w:val="317C45C4"/>
    <w:rsid w:val="367A32CA"/>
    <w:rsid w:val="388D4D7E"/>
    <w:rsid w:val="44B74036"/>
    <w:rsid w:val="450C61D2"/>
    <w:rsid w:val="4DF55131"/>
    <w:rsid w:val="4EDC2E5F"/>
    <w:rsid w:val="51265915"/>
    <w:rsid w:val="5C2E74AA"/>
    <w:rsid w:val="5D6E1BE6"/>
    <w:rsid w:val="64047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Lines="0" w:afterAutospacing="0"/>
      <w:ind w:left="0" w:leftChars="0" w:firstLine="640" w:firstLineChars="2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5"/>
    <w:link w:val="4"/>
    <w:qFormat/>
    <w:uiPriority w:val="99"/>
    <w:rPr>
      <w:sz w:val="18"/>
      <w:szCs w:val="18"/>
    </w:rPr>
  </w:style>
  <w:style w:type="character" w:customStyle="1" w:styleId="8">
    <w:name w:val="页脚 字符"/>
    <w:basedOn w:val="5"/>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1066</Words>
  <Characters>1096</Characters>
  <Lines>7</Lines>
  <Paragraphs>2</Paragraphs>
  <TotalTime>49</TotalTime>
  <ScaleCrop>false</ScaleCrop>
  <LinksUpToDate>false</LinksUpToDate>
  <CharactersWithSpaces>1096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2023-12-14T01:14:00Z</dcterms:created>
  <dc:creator>Administrator</dc:creator>
  <cp:lastModifiedBy>春暖花开</cp:lastModifiedBy>
  <cp:lastPrinted>2025-05-20T06:59:00Z</cp:lastPrinted>
  <dcterms:modified xsi:type="dcterms:W3CDTF">2025-05-20T09:36:15Z</dcterms:modified>
  <dc:title>《汕尾市“汕农优品”认定管理办法</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816708A6D3AA4EAE918E451B69EB899C_12</vt:lpwstr>
  </property>
</Properties>
</file>