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2"/>
          <w:highlight w:val="none"/>
          <w:u w:val="none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第四届汕尾市政府质量奖及提名奖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获奖建议名单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汕尾市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政府质量奖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获奖建议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名单</w:t>
      </w:r>
      <w:r>
        <w:rPr>
          <w:rFonts w:hint="default" w:ascii="Times New Roman" w:hAnsi="Times New Roman" w:eastAsia="黑体" w:cs="Times New Roman"/>
          <w:color w:val="000000"/>
          <w:sz w:val="32"/>
          <w:szCs w:val="2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color w:val="000000"/>
          <w:sz w:val="32"/>
          <w:szCs w:val="2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32"/>
          <w:szCs w:val="22"/>
          <w:lang w:val="en-US" w:eastAsia="zh-CN"/>
        </w:rPr>
        <w:t>个</w:t>
      </w:r>
      <w:r>
        <w:rPr>
          <w:rFonts w:hint="default" w:ascii="Times New Roman" w:hAnsi="Times New Roman" w:eastAsia="黑体" w:cs="Times New Roman"/>
          <w:color w:val="000000"/>
          <w:sz w:val="32"/>
          <w:szCs w:val="22"/>
          <w:u w:val="none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广东德康威尔科技有限公司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汕尾市理想首饰有限公司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中广核汕尾新能源有限公司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highlight w:val="none"/>
          <w:u w:val="none"/>
          <w:lang w:val="en-US" w:eastAsia="zh-CN"/>
        </w:rPr>
        <w:t>广东红海湾发电有限公司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二、汕尾市政府质量奖提名奖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获奖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建议名单（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22"/>
          <w:lang w:val="en-US" w:eastAsia="zh-CN"/>
        </w:rPr>
        <w:t>个）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广东海迪酒店管理有限公司</w:t>
      </w: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汕尾市丰隆米业有限公司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中奕新材料(广东)有限公司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22"/>
          <w:lang w:val="en-US" w:eastAsia="zh-CN"/>
        </w:rPr>
        <w:t>广东星晟物业发展有限公司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26A6F"/>
    <w:rsid w:val="53D26A6F"/>
    <w:rsid w:val="7FD8C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left="0" w:firstLine="880" w:firstLineChars="200"/>
      <w:jc w:val="left"/>
    </w:pPr>
    <w:rPr>
      <w:rFonts w:ascii="宋体" w:hAnsi="宋体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 w:val="30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2025-07-17T14:54:00Z</dcterms:created>
  <dc:creator>胡翌婧</dc:creator>
  <cp:lastModifiedBy>yuanjiaxin</cp:lastModifiedBy>
  <dcterms:modified xsi:type="dcterms:W3CDTF">2026-06-22T15:46:58Z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95C1CF0A570642579B85B015A8F52D80_11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