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3441E">
      <w:pPr>
        <w:jc w:val="center"/>
        <w:rPr>
          <w:rFonts w:hint="eastAsia" w:ascii="方正小标宋简体" w:hAnsi="方正小标宋简体" w:eastAsia="方正小标宋简体" w:cs="方正小标宋简体"/>
          <w:sz w:val="44"/>
          <w:szCs w:val="44"/>
        </w:rPr>
      </w:pPr>
    </w:p>
    <w:p w14:paraId="7B676EFD">
      <w:pPr>
        <w:jc w:val="center"/>
        <w:rPr>
          <w:rFonts w:hint="eastAsia" w:ascii="方正小标宋简体" w:hAnsi="方正小标宋简体" w:eastAsia="方正小标宋简体" w:cs="方正小标宋简体"/>
          <w:sz w:val="44"/>
          <w:szCs w:val="44"/>
        </w:rPr>
      </w:pPr>
    </w:p>
    <w:p w14:paraId="74CFBA77">
      <w:pPr>
        <w:jc w:val="center"/>
        <w:rPr>
          <w:rFonts w:hint="eastAsia" w:ascii="方正小标宋简体" w:hAnsi="方正小标宋简体" w:eastAsia="方正小标宋简体" w:cs="方正小标宋简体"/>
          <w:sz w:val="44"/>
          <w:szCs w:val="44"/>
        </w:rPr>
      </w:pPr>
    </w:p>
    <w:p w14:paraId="73A3F86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汕尾市高标准农田建设规划</w:t>
      </w:r>
    </w:p>
    <w:p w14:paraId="0014F742">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（2021-2030年）</w:t>
      </w:r>
    </w:p>
    <w:p w14:paraId="06A6FBE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14:paraId="53AE5A02">
      <w:pPr>
        <w:jc w:val="center"/>
        <w:rPr>
          <w:rFonts w:hint="eastAsia" w:ascii="方正小标宋简体" w:hAnsi="方正小标宋简体" w:eastAsia="方正小标宋简体" w:cs="方正小标宋简体"/>
          <w:sz w:val="44"/>
          <w:szCs w:val="44"/>
          <w:lang w:val="en-US" w:eastAsia="zh-CN"/>
        </w:rPr>
      </w:pPr>
    </w:p>
    <w:p w14:paraId="74B3C86C">
      <w:pPr>
        <w:jc w:val="center"/>
        <w:rPr>
          <w:rFonts w:hint="eastAsia" w:ascii="方正小标宋简体" w:hAnsi="方正小标宋简体" w:eastAsia="方正小标宋简体" w:cs="方正小标宋简体"/>
          <w:sz w:val="44"/>
          <w:szCs w:val="44"/>
          <w:lang w:val="en-US" w:eastAsia="zh-CN"/>
        </w:rPr>
      </w:pPr>
    </w:p>
    <w:p w14:paraId="4619D4F2">
      <w:pPr>
        <w:jc w:val="center"/>
        <w:rPr>
          <w:rFonts w:hint="eastAsia" w:ascii="方正小标宋简体" w:hAnsi="方正小标宋简体" w:eastAsia="方正小标宋简体" w:cs="方正小标宋简体"/>
          <w:sz w:val="44"/>
          <w:szCs w:val="44"/>
          <w:lang w:val="en-US" w:eastAsia="zh-CN"/>
        </w:rPr>
      </w:pPr>
    </w:p>
    <w:p w14:paraId="0F58D28D">
      <w:pPr>
        <w:jc w:val="center"/>
        <w:rPr>
          <w:rFonts w:hint="eastAsia" w:ascii="方正小标宋简体" w:hAnsi="方正小标宋简体" w:eastAsia="方正小标宋简体" w:cs="方正小标宋简体"/>
          <w:sz w:val="44"/>
          <w:szCs w:val="44"/>
          <w:lang w:val="en-US" w:eastAsia="zh-CN"/>
        </w:rPr>
      </w:pPr>
    </w:p>
    <w:p w14:paraId="2F2C26F9">
      <w:pPr>
        <w:jc w:val="center"/>
        <w:rPr>
          <w:rFonts w:hint="eastAsia" w:ascii="方正小标宋简体" w:hAnsi="方正小标宋简体" w:eastAsia="方正小标宋简体" w:cs="方正小标宋简体"/>
          <w:sz w:val="44"/>
          <w:szCs w:val="44"/>
          <w:lang w:val="en-US" w:eastAsia="zh-CN"/>
        </w:rPr>
      </w:pPr>
    </w:p>
    <w:p w14:paraId="61BD99B1">
      <w:pPr>
        <w:jc w:val="center"/>
        <w:rPr>
          <w:rFonts w:hint="eastAsia" w:ascii="方正小标宋简体" w:hAnsi="方正小标宋简体" w:eastAsia="方正小标宋简体" w:cs="方正小标宋简体"/>
          <w:sz w:val="44"/>
          <w:szCs w:val="44"/>
          <w:lang w:val="en-US" w:eastAsia="zh-CN"/>
        </w:rPr>
      </w:pPr>
    </w:p>
    <w:p w14:paraId="340029F6">
      <w:pPr>
        <w:jc w:val="both"/>
        <w:rPr>
          <w:rFonts w:hint="eastAsia" w:ascii="方正小标宋简体" w:hAnsi="方正小标宋简体" w:eastAsia="方正小标宋简体" w:cs="方正小标宋简体"/>
          <w:sz w:val="44"/>
          <w:szCs w:val="44"/>
          <w:lang w:val="en-US" w:eastAsia="zh-CN"/>
        </w:rPr>
      </w:pPr>
    </w:p>
    <w:p w14:paraId="7C42B9D2">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汕尾市农业农村局</w:t>
      </w:r>
    </w:p>
    <w:p w14:paraId="3C1CC8E4">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2022年11月</w:t>
      </w:r>
    </w:p>
    <w:p w14:paraId="3BF303BD">
      <w:pPr>
        <w:rPr>
          <w:rFonts w:hint="eastAsia" w:ascii="黑体" w:hAnsi="黑体" w:eastAsia="黑体" w:cs="黑体"/>
          <w:sz w:val="36"/>
          <w:szCs w:val="36"/>
          <w:lang w:val="en-US" w:eastAsia="zh-CN"/>
        </w:rPr>
        <w:sectPr>
          <w:pgSz w:w="11906" w:h="16838"/>
          <w:pgMar w:top="1440" w:right="1800" w:bottom="1440" w:left="1800" w:header="851" w:footer="992" w:gutter="0"/>
          <w:cols w:space="425" w:num="1"/>
          <w:docGrid w:type="lines" w:linePitch="312" w:charSpace="0"/>
        </w:sectPr>
      </w:pPr>
    </w:p>
    <w:p w14:paraId="5D290B5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黑体" w:hAnsi="黑体" w:eastAsia="黑体" w:cs="黑体"/>
          <w:sz w:val="44"/>
          <w:szCs w:val="44"/>
          <w:lang w:val="en-US" w:eastAsia="zh-CN"/>
        </w:rPr>
      </w:pPr>
      <w:bookmarkStart w:id="0" w:name="_Toc21070"/>
      <w:bookmarkStart w:id="1" w:name="_Toc7232"/>
      <w:bookmarkStart w:id="2" w:name="_Toc20668"/>
      <w:bookmarkStart w:id="3" w:name="_Toc7075"/>
      <w:bookmarkStart w:id="4" w:name="_Toc6902"/>
      <w:r>
        <w:rPr>
          <w:rFonts w:hint="eastAsia" w:ascii="黑体" w:hAnsi="黑体" w:eastAsia="黑体" w:cs="黑体"/>
          <w:sz w:val="44"/>
          <w:szCs w:val="44"/>
          <w:lang w:val="en-US" w:eastAsia="zh-CN"/>
        </w:rPr>
        <w:t>前  言</w:t>
      </w:r>
      <w:bookmarkEnd w:id="0"/>
      <w:bookmarkEnd w:id="1"/>
      <w:bookmarkEnd w:id="2"/>
      <w:bookmarkEnd w:id="3"/>
      <w:bookmarkEnd w:id="4"/>
    </w:p>
    <w:p w14:paraId="3C5A00A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中央、国务院高度重视高标准农田建设工作。习近平总书记强调，保障国家粮食安全的根本在耕地，耕地是粮食生产的命根子，关键在于落实“藏粮于地、藏粮于技”战略，要建设高标准农田，真正实现旱涝保收、高产稳产。我国《国民经济和社会发展第十四个五年规划和2035年远景目标纲要》提出，坚持最严格的耕地保护制度，强化耕地数量保护和质量提升，严守18亿亩耕地红线。以粮食生产功能区和重要农产品生产保护区为重点，建设国家粮食安全产业带，实施高标准农田建设工程，建成10.75亿亩集中连片高标准农田。建设高标准农田，是巩固和提高粮食生产能力、保障国家粮食安全的关键举措，是发展现代农业、增加农民收入的战略基础和重要途径，对提高农业综合生产能力，保障粮食安全和主要农产品有效供给具有重要的意义。</w:t>
      </w:r>
    </w:p>
    <w:p w14:paraId="3C67B05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lang w:val="en-US" w:eastAsia="zh-CN"/>
        </w:rPr>
        <w:sectPr>
          <w:footerReference r:id="rId3" w:type="default"/>
          <w:pgSz w:w="11906" w:h="16838"/>
          <w:pgMar w:top="1440" w:right="1800" w:bottom="1440" w:left="1800" w:header="851" w:footer="992" w:gutter="0"/>
          <w:pgNumType w:fmt="upperRoman" w:start="1"/>
          <w:cols w:space="425" w:num="1"/>
          <w:docGrid w:type="lines" w:linePitch="312" w:charSpace="0"/>
        </w:sectPr>
      </w:pPr>
      <w:r>
        <w:rPr>
          <w:rFonts w:hint="eastAsia" w:ascii="仿宋" w:hAnsi="仿宋" w:eastAsia="仿宋" w:cs="仿宋"/>
          <w:sz w:val="32"/>
          <w:szCs w:val="32"/>
          <w:lang w:val="en-US" w:eastAsia="zh-CN"/>
        </w:rPr>
        <w:t>为切实加强高标准农田建设和高质量保障粮食综合生产能力，根据《广东省人民政府办公厅关于进一步加强高标准农田建设的通知》《广东省高标准农田建设规划（2021-2030年）》《汕尾市国民经济和社会发展第十四个五年规划和二〇三五年远景目标纲要》《汕尾市农业农村现代化“十四五”规划》等重要文件，衔接国土空间、水利发展、生态环境保护等相关规划和国土“三调”成果，编制《汕尾</w:t>
      </w:r>
    </w:p>
    <w:p w14:paraId="0187CA62">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市高标准农田建设规划（2021-2030年）》，明确今后一个时期我市高标准农田建设的主要目标和建设任务，作为指导各县（市、区）开展高标准农田建设的重要依据。规划基准年为2020年，规划期为2021-2030年。</w:t>
      </w:r>
    </w:p>
    <w:p w14:paraId="3979B2A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黑体" w:hAnsi="黑体" w:eastAsia="黑体" w:cs="黑体"/>
          <w:b w:val="0"/>
          <w:bCs w:val="0"/>
          <w:sz w:val="36"/>
          <w:szCs w:val="36"/>
          <w:highlight w:val="none"/>
          <w:lang w:val="en-US" w:eastAsia="zh-CN"/>
        </w:rPr>
        <w:sectPr>
          <w:footerReference r:id="rId4" w:type="default"/>
          <w:pgSz w:w="11906" w:h="16838"/>
          <w:pgMar w:top="1440" w:right="1800" w:bottom="1440" w:left="1800" w:header="851" w:footer="992" w:gutter="0"/>
          <w:pgNumType w:fmt="upperRoman"/>
          <w:cols w:space="425" w:num="1"/>
          <w:docGrid w:type="lines" w:linePitch="312" w:charSpace="0"/>
        </w:sectPr>
      </w:pPr>
      <w:bookmarkStart w:id="5" w:name="_Toc2553"/>
      <w:bookmarkStart w:id="6" w:name="_Toc4296"/>
    </w:p>
    <w:sdt>
      <w:sdtPr>
        <w:rPr>
          <w:rFonts w:ascii="宋体" w:hAnsi="宋体" w:eastAsia="宋体" w:cstheme="minorBidi"/>
          <w:kern w:val="2"/>
          <w:sz w:val="21"/>
          <w:szCs w:val="24"/>
          <w:lang w:val="en-US" w:eastAsia="zh-CN" w:bidi="ar-SA"/>
        </w:rPr>
        <w:id w:val="147473923"/>
        <w15:color w:val="DBDBDB"/>
        <w:docPartObj>
          <w:docPartGallery w:val="Table of Contents"/>
          <w:docPartUnique/>
        </w:docPartObj>
      </w:sdtPr>
      <w:sdtEndPr>
        <w:rPr>
          <w:rFonts w:hint="eastAsia" w:ascii="楷体" w:hAnsi="楷体" w:eastAsia="楷体" w:cs="楷体"/>
          <w:b/>
          <w:bCs w:val="0"/>
          <w:kern w:val="2"/>
          <w:sz w:val="30"/>
          <w:szCs w:val="30"/>
          <w:highlight w:val="none"/>
          <w:lang w:val="en-US" w:eastAsia="zh-CN" w:bidi="ar-SA"/>
        </w:rPr>
      </w:sdtEndPr>
      <w:sdtContent>
        <w:p w14:paraId="61A7A860">
          <w:pPr>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pPr>
          <w:bookmarkStart w:id="7" w:name="_Toc20471"/>
          <w:bookmarkStart w:id="8" w:name="_Toc26307"/>
          <w:r>
            <w:rPr>
              <w:rFonts w:hint="eastAsia" w:ascii="楷体" w:hAnsi="楷体" w:eastAsia="楷体" w:cs="楷体"/>
              <w:sz w:val="44"/>
              <w:szCs w:val="44"/>
            </w:rPr>
            <w:t>目</w:t>
          </w:r>
          <w:r>
            <w:rPr>
              <w:rFonts w:hint="eastAsia" w:ascii="楷体" w:hAnsi="楷体" w:eastAsia="楷体" w:cs="楷体"/>
              <w:sz w:val="44"/>
              <w:szCs w:val="44"/>
              <w:lang w:val="en-US" w:eastAsia="zh-CN"/>
            </w:rPr>
            <w:t xml:space="preserve">  </w:t>
          </w:r>
          <w:r>
            <w:rPr>
              <w:rFonts w:hint="eastAsia" w:ascii="楷体" w:hAnsi="楷体" w:eastAsia="楷体" w:cs="楷体"/>
              <w:sz w:val="44"/>
              <w:szCs w:val="44"/>
            </w:rPr>
            <w:t>录</w:t>
          </w:r>
        </w:p>
        <w:p w14:paraId="4D8C270C">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val="0"/>
              <w:bCs w:val="0"/>
              <w:sz w:val="28"/>
              <w:szCs w:val="28"/>
              <w:highlight w:val="none"/>
              <w:lang w:val="en-US" w:eastAsia="zh-CN"/>
            </w:rPr>
            <w:fldChar w:fldCharType="begin"/>
          </w:r>
          <w:r>
            <w:rPr>
              <w:rFonts w:hint="eastAsia" w:ascii="楷体" w:hAnsi="楷体" w:eastAsia="楷体" w:cs="楷体"/>
              <w:b w:val="0"/>
              <w:bCs w:val="0"/>
              <w:sz w:val="28"/>
              <w:szCs w:val="28"/>
              <w:highlight w:val="none"/>
              <w:lang w:val="en-US" w:eastAsia="zh-CN"/>
            </w:rPr>
            <w:instrText xml:space="preserve">TOC \o "1-2" \h \u </w:instrText>
          </w:r>
          <w:r>
            <w:rPr>
              <w:rFonts w:hint="eastAsia" w:ascii="楷体" w:hAnsi="楷体" w:eastAsia="楷体" w:cs="楷体"/>
              <w:b w:val="0"/>
              <w:bCs w:val="0"/>
              <w:sz w:val="28"/>
              <w:szCs w:val="28"/>
              <w:highlight w:val="none"/>
              <w:lang w:val="en-US" w:eastAsia="zh-CN"/>
            </w:rPr>
            <w:fldChar w:fldCharType="separate"/>
          </w: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_Toc7075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lang w:val="en-US" w:eastAsia="zh-CN"/>
            </w:rPr>
            <w:t>前  言</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_Toc7075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I</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14:paraId="7A052DBF">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_Toc13664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第一章 规划基础</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_Toc13664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1</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14:paraId="59DB05BE">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_Toc2155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一、规划背景</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_Toc2155 \h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502BD89C">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_Toc6389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二、现实基础</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_Toc6389 \h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239C3FC4">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_Toc29481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三、建设成效</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_Toc29481 \h </w:instrText>
          </w:r>
          <w:r>
            <w:rPr>
              <w:rFonts w:hint="eastAsia" w:ascii="楷体" w:hAnsi="楷体" w:eastAsia="楷体" w:cs="楷体"/>
              <w:sz w:val="28"/>
              <w:szCs w:val="28"/>
            </w:rPr>
            <w:fldChar w:fldCharType="separate"/>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7ACA431A">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_Toc23194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四、主要问题</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_Toc23194 \h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1CCAA4A3">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_Toc5720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五、有利条件</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_Toc5720 \h </w:instrText>
          </w:r>
          <w:r>
            <w:rPr>
              <w:rFonts w:hint="eastAsia" w:ascii="楷体" w:hAnsi="楷体" w:eastAsia="楷体" w:cs="楷体"/>
              <w:sz w:val="28"/>
              <w:szCs w:val="28"/>
            </w:rPr>
            <w:fldChar w:fldCharType="separate"/>
          </w:r>
          <w:r>
            <w:rPr>
              <w:rFonts w:hint="eastAsia" w:ascii="楷体" w:hAnsi="楷体" w:eastAsia="楷体" w:cs="楷体"/>
              <w:sz w:val="28"/>
              <w:szCs w:val="28"/>
            </w:rPr>
            <w:t>7</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2C7E8800">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_Toc27040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六、规划依据</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_Toc27040 \h </w:instrText>
          </w:r>
          <w:r>
            <w:rPr>
              <w:rFonts w:hint="eastAsia" w:ascii="楷体" w:hAnsi="楷体" w:eastAsia="楷体" w:cs="楷体"/>
              <w:sz w:val="28"/>
              <w:szCs w:val="28"/>
            </w:rPr>
            <w:fldChar w:fldCharType="separate"/>
          </w:r>
          <w:r>
            <w:rPr>
              <w:rFonts w:hint="eastAsia" w:ascii="楷体" w:hAnsi="楷体" w:eastAsia="楷体" w:cs="楷体"/>
              <w:sz w:val="28"/>
              <w:szCs w:val="28"/>
            </w:rPr>
            <w:t>10</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5CCE0CF9">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_Toc1586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第二章 总体思路</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_Toc1586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15</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14:paraId="13ABE1AE">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_Toc12139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一、指导思想</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_Toc12139 \h </w:instrText>
          </w:r>
          <w:r>
            <w:rPr>
              <w:rFonts w:hint="eastAsia" w:ascii="楷体" w:hAnsi="楷体" w:eastAsia="楷体" w:cs="楷体"/>
              <w:sz w:val="28"/>
              <w:szCs w:val="28"/>
            </w:rPr>
            <w:fldChar w:fldCharType="separate"/>
          </w:r>
          <w:r>
            <w:rPr>
              <w:rFonts w:hint="eastAsia" w:ascii="楷体" w:hAnsi="楷体" w:eastAsia="楷体" w:cs="楷体"/>
              <w:sz w:val="28"/>
              <w:szCs w:val="28"/>
            </w:rPr>
            <w:t>15</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185988FD">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ind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_Toc12386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bCs w:val="0"/>
              <w:sz w:val="28"/>
              <w:szCs w:val="28"/>
              <w:highlight w:val="none"/>
              <w:lang w:val="en-US" w:eastAsia="zh-CN"/>
            </w:rPr>
            <w:t>二、基本原则</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_Toc12386 \h </w:instrText>
          </w:r>
          <w:r>
            <w:rPr>
              <w:rFonts w:hint="eastAsia" w:ascii="楷体" w:hAnsi="楷体" w:eastAsia="楷体" w:cs="楷体"/>
              <w:sz w:val="28"/>
              <w:szCs w:val="28"/>
            </w:rPr>
            <w:fldChar w:fldCharType="separate"/>
          </w:r>
          <w:r>
            <w:rPr>
              <w:rFonts w:hint="eastAsia" w:ascii="楷体" w:hAnsi="楷体" w:eastAsia="楷体" w:cs="楷体"/>
              <w:sz w:val="28"/>
              <w:szCs w:val="28"/>
            </w:rPr>
            <w:t>15</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1EBD6D85">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_Toc2888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三、目标任务</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_Toc2888 \h </w:instrText>
          </w:r>
          <w:r>
            <w:rPr>
              <w:rFonts w:hint="eastAsia" w:ascii="楷体" w:hAnsi="楷体" w:eastAsia="楷体" w:cs="楷体"/>
              <w:sz w:val="28"/>
              <w:szCs w:val="28"/>
            </w:rPr>
            <w:fldChar w:fldCharType="separate"/>
          </w:r>
          <w:r>
            <w:rPr>
              <w:rFonts w:hint="eastAsia" w:ascii="楷体" w:hAnsi="楷体" w:eastAsia="楷体" w:cs="楷体"/>
              <w:sz w:val="28"/>
              <w:szCs w:val="28"/>
            </w:rPr>
            <w:t>17</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40DBD7BF">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_Toc17444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第三章 建设布局与建设任务</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_Toc17444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20</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14:paraId="74574024">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_Toc2782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一、建设布局</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_Toc2782 \h </w:instrText>
          </w:r>
          <w:r>
            <w:rPr>
              <w:rFonts w:hint="eastAsia" w:ascii="楷体" w:hAnsi="楷体" w:eastAsia="楷体" w:cs="楷体"/>
              <w:sz w:val="28"/>
              <w:szCs w:val="28"/>
            </w:rPr>
            <w:fldChar w:fldCharType="separate"/>
          </w:r>
          <w:r>
            <w:rPr>
              <w:rFonts w:hint="eastAsia" w:ascii="楷体" w:hAnsi="楷体" w:eastAsia="楷体" w:cs="楷体"/>
              <w:sz w:val="28"/>
              <w:szCs w:val="28"/>
            </w:rPr>
            <w:t>20</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79B13A4A">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_Toc20257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二、建设任务</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_Toc20257 \h </w:instrText>
          </w:r>
          <w:r>
            <w:rPr>
              <w:rFonts w:hint="eastAsia" w:ascii="楷体" w:hAnsi="楷体" w:eastAsia="楷体" w:cs="楷体"/>
              <w:sz w:val="28"/>
              <w:szCs w:val="28"/>
            </w:rPr>
            <w:fldChar w:fldCharType="separate"/>
          </w:r>
          <w:r>
            <w:rPr>
              <w:rFonts w:hint="eastAsia" w:ascii="楷体" w:hAnsi="楷体" w:eastAsia="楷体" w:cs="楷体"/>
              <w:sz w:val="28"/>
              <w:szCs w:val="28"/>
            </w:rPr>
            <w:t>21</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25A45467">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_Toc2286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第四章 建设内容</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_Toc2286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23</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14:paraId="2EDA04A9">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_Toc6133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一、田块整治</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_Toc6133 \h </w:instrText>
          </w:r>
          <w:r>
            <w:rPr>
              <w:rFonts w:hint="eastAsia" w:ascii="楷体" w:hAnsi="楷体" w:eastAsia="楷体" w:cs="楷体"/>
              <w:sz w:val="28"/>
              <w:szCs w:val="28"/>
            </w:rPr>
            <w:fldChar w:fldCharType="separate"/>
          </w:r>
          <w:r>
            <w:rPr>
              <w:rFonts w:hint="eastAsia" w:ascii="楷体" w:hAnsi="楷体" w:eastAsia="楷体" w:cs="楷体"/>
              <w:sz w:val="28"/>
              <w:szCs w:val="28"/>
            </w:rPr>
            <w:t>23</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5E3F3EFD">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_Toc1288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二、土壤改良</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_Toc1288 \h </w:instrText>
          </w:r>
          <w:r>
            <w:rPr>
              <w:rFonts w:hint="eastAsia" w:ascii="楷体" w:hAnsi="楷体" w:eastAsia="楷体" w:cs="楷体"/>
              <w:sz w:val="28"/>
              <w:szCs w:val="28"/>
            </w:rPr>
            <w:fldChar w:fldCharType="separate"/>
          </w:r>
          <w:r>
            <w:rPr>
              <w:rFonts w:hint="eastAsia" w:ascii="楷体" w:hAnsi="楷体" w:eastAsia="楷体" w:cs="楷体"/>
              <w:sz w:val="28"/>
              <w:szCs w:val="28"/>
            </w:rPr>
            <w:t>24</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769D1937">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_Toc16797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三、灌排设施</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_Toc16797 \h </w:instrText>
          </w:r>
          <w:r>
            <w:rPr>
              <w:rFonts w:hint="eastAsia" w:ascii="楷体" w:hAnsi="楷体" w:eastAsia="楷体" w:cs="楷体"/>
              <w:sz w:val="28"/>
              <w:szCs w:val="28"/>
            </w:rPr>
            <w:fldChar w:fldCharType="separate"/>
          </w:r>
          <w:r>
            <w:rPr>
              <w:rFonts w:hint="eastAsia" w:ascii="楷体" w:hAnsi="楷体" w:eastAsia="楷体" w:cs="楷体"/>
              <w:sz w:val="28"/>
              <w:szCs w:val="28"/>
            </w:rPr>
            <w:t>24</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0B6CDDE7">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_Toc15034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四、田间道路</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_Toc15034 \h </w:instrText>
          </w:r>
          <w:r>
            <w:rPr>
              <w:rFonts w:hint="eastAsia" w:ascii="楷体" w:hAnsi="楷体" w:eastAsia="楷体" w:cs="楷体"/>
              <w:sz w:val="28"/>
              <w:szCs w:val="28"/>
            </w:rPr>
            <w:fldChar w:fldCharType="separate"/>
          </w:r>
          <w:r>
            <w:rPr>
              <w:rFonts w:hint="eastAsia" w:ascii="楷体" w:hAnsi="楷体" w:eastAsia="楷体" w:cs="楷体"/>
              <w:sz w:val="28"/>
              <w:szCs w:val="28"/>
            </w:rPr>
            <w:t>26</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03DFC416">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_Toc13672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五、科技服务</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_Toc13672 \h </w:instrText>
          </w:r>
          <w:r>
            <w:rPr>
              <w:rFonts w:hint="eastAsia" w:ascii="楷体" w:hAnsi="楷体" w:eastAsia="楷体" w:cs="楷体"/>
              <w:sz w:val="28"/>
              <w:szCs w:val="28"/>
            </w:rPr>
            <w:fldChar w:fldCharType="separate"/>
          </w:r>
          <w:r>
            <w:rPr>
              <w:rFonts w:hint="eastAsia" w:ascii="楷体" w:hAnsi="楷体" w:eastAsia="楷体" w:cs="楷体"/>
              <w:sz w:val="28"/>
              <w:szCs w:val="28"/>
            </w:rPr>
            <w:t>27</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58C821CA">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_Toc24377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六、生态防护</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_Toc24377 \h </w:instrText>
          </w:r>
          <w:r>
            <w:rPr>
              <w:rFonts w:hint="eastAsia" w:ascii="楷体" w:hAnsi="楷体" w:eastAsia="楷体" w:cs="楷体"/>
              <w:sz w:val="28"/>
              <w:szCs w:val="28"/>
            </w:rPr>
            <w:fldChar w:fldCharType="separate"/>
          </w:r>
          <w:r>
            <w:rPr>
              <w:rFonts w:hint="eastAsia" w:ascii="楷体" w:hAnsi="楷体" w:eastAsia="楷体" w:cs="楷体"/>
              <w:sz w:val="28"/>
              <w:szCs w:val="28"/>
            </w:rPr>
            <w:t>27</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188F535B">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_Toc31144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七、农田输配电</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_Toc31144 \h </w:instrText>
          </w:r>
          <w:r>
            <w:rPr>
              <w:rFonts w:hint="eastAsia" w:ascii="楷体" w:hAnsi="楷体" w:eastAsia="楷体" w:cs="楷体"/>
              <w:sz w:val="28"/>
              <w:szCs w:val="28"/>
            </w:rPr>
            <w:fldChar w:fldCharType="separate"/>
          </w:r>
          <w:r>
            <w:rPr>
              <w:rFonts w:hint="eastAsia" w:ascii="楷体" w:hAnsi="楷体" w:eastAsia="楷体" w:cs="楷体"/>
              <w:sz w:val="28"/>
              <w:szCs w:val="28"/>
            </w:rPr>
            <w:t>28</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306AB32B">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_Toc29289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八、管护利用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_Toc29289 \h </w:instrText>
          </w:r>
          <w:r>
            <w:rPr>
              <w:rFonts w:hint="eastAsia" w:ascii="楷体" w:hAnsi="楷体" w:eastAsia="楷体" w:cs="楷体"/>
              <w:sz w:val="28"/>
              <w:szCs w:val="28"/>
            </w:rPr>
            <w:fldChar w:fldCharType="separate"/>
          </w:r>
          <w:r>
            <w:rPr>
              <w:rFonts w:hint="eastAsia" w:ascii="楷体" w:hAnsi="楷体" w:eastAsia="楷体" w:cs="楷体"/>
              <w:sz w:val="28"/>
              <w:szCs w:val="28"/>
            </w:rPr>
            <w:t>29</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41D0CBC0">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_Toc16615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第五章 建设重点</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_Toc16615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30</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14:paraId="039E9940">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_Toc14425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一、建设情况</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_Toc14425 \h </w:instrText>
          </w:r>
          <w:r>
            <w:rPr>
              <w:rFonts w:hint="eastAsia" w:ascii="楷体" w:hAnsi="楷体" w:eastAsia="楷体" w:cs="楷体"/>
              <w:sz w:val="28"/>
              <w:szCs w:val="28"/>
            </w:rPr>
            <w:fldChar w:fldCharType="separate"/>
          </w:r>
          <w:r>
            <w:rPr>
              <w:rFonts w:hint="eastAsia" w:ascii="楷体" w:hAnsi="楷体" w:eastAsia="楷体" w:cs="楷体"/>
              <w:sz w:val="28"/>
              <w:szCs w:val="28"/>
            </w:rPr>
            <w:t>30</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4B23E02D">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_Toc19794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二、建设重点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_Toc19794 \h </w:instrText>
          </w:r>
          <w:r>
            <w:rPr>
              <w:rFonts w:hint="eastAsia" w:ascii="楷体" w:hAnsi="楷体" w:eastAsia="楷体" w:cs="楷体"/>
              <w:sz w:val="28"/>
              <w:szCs w:val="28"/>
            </w:rPr>
            <w:fldChar w:fldCharType="separate"/>
          </w:r>
          <w:r>
            <w:rPr>
              <w:rFonts w:hint="eastAsia" w:ascii="楷体" w:hAnsi="楷体" w:eastAsia="楷体" w:cs="楷体"/>
              <w:sz w:val="28"/>
              <w:szCs w:val="28"/>
            </w:rPr>
            <w:t>30</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312E8B8F">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_Toc25940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三、建设分区</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_Toc25940 \h </w:instrText>
          </w:r>
          <w:r>
            <w:rPr>
              <w:rFonts w:hint="eastAsia" w:ascii="楷体" w:hAnsi="楷体" w:eastAsia="楷体" w:cs="楷体"/>
              <w:sz w:val="28"/>
              <w:szCs w:val="28"/>
            </w:rPr>
            <w:fldChar w:fldCharType="separate"/>
          </w:r>
          <w:r>
            <w:rPr>
              <w:rFonts w:hint="eastAsia" w:ascii="楷体" w:hAnsi="楷体" w:eastAsia="楷体" w:cs="楷体"/>
              <w:sz w:val="28"/>
              <w:szCs w:val="28"/>
            </w:rPr>
            <w:t>32</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1F8A00A7">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_Toc12507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四、示范工程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_Toc12507 \h </w:instrText>
          </w:r>
          <w:r>
            <w:rPr>
              <w:rFonts w:hint="eastAsia" w:ascii="楷体" w:hAnsi="楷体" w:eastAsia="楷体" w:cs="楷体"/>
              <w:sz w:val="28"/>
              <w:szCs w:val="28"/>
            </w:rPr>
            <w:fldChar w:fldCharType="separate"/>
          </w:r>
          <w:r>
            <w:rPr>
              <w:rFonts w:hint="eastAsia" w:ascii="楷体" w:hAnsi="楷体" w:eastAsia="楷体" w:cs="楷体"/>
              <w:sz w:val="28"/>
              <w:szCs w:val="28"/>
            </w:rPr>
            <w:t>35</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1F5B4F5F">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_Toc29648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第六章 效益分析</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_Toc29648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43</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14:paraId="211FA77B">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_Toc2242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一、经济效益</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_Toc2242 \h </w:instrText>
          </w:r>
          <w:r>
            <w:rPr>
              <w:rFonts w:hint="eastAsia" w:ascii="楷体" w:hAnsi="楷体" w:eastAsia="楷体" w:cs="楷体"/>
              <w:sz w:val="28"/>
              <w:szCs w:val="28"/>
            </w:rPr>
            <w:fldChar w:fldCharType="separate"/>
          </w:r>
          <w:r>
            <w:rPr>
              <w:rFonts w:hint="eastAsia" w:ascii="楷体" w:hAnsi="楷体" w:eastAsia="楷体" w:cs="楷体"/>
              <w:sz w:val="28"/>
              <w:szCs w:val="28"/>
            </w:rPr>
            <w:t>43</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0B5D3A5A">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_Toc19513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二、社会效益</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_Toc19513 \h </w:instrText>
          </w:r>
          <w:r>
            <w:rPr>
              <w:rFonts w:hint="eastAsia" w:ascii="楷体" w:hAnsi="楷体" w:eastAsia="楷体" w:cs="楷体"/>
              <w:sz w:val="28"/>
              <w:szCs w:val="28"/>
            </w:rPr>
            <w:fldChar w:fldCharType="separate"/>
          </w:r>
          <w:r>
            <w:rPr>
              <w:rFonts w:hint="eastAsia" w:ascii="楷体" w:hAnsi="楷体" w:eastAsia="楷体" w:cs="楷体"/>
              <w:sz w:val="28"/>
              <w:szCs w:val="28"/>
            </w:rPr>
            <w:t>43</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10199859">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_Toc29711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三、生态效益</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_Toc29711 \h </w:instrText>
          </w:r>
          <w:r>
            <w:rPr>
              <w:rFonts w:hint="eastAsia" w:ascii="楷体" w:hAnsi="楷体" w:eastAsia="楷体" w:cs="楷体"/>
              <w:sz w:val="28"/>
              <w:szCs w:val="28"/>
            </w:rPr>
            <w:fldChar w:fldCharType="separate"/>
          </w:r>
          <w:r>
            <w:rPr>
              <w:rFonts w:hint="eastAsia" w:ascii="楷体" w:hAnsi="楷体" w:eastAsia="楷体" w:cs="楷体"/>
              <w:sz w:val="28"/>
              <w:szCs w:val="28"/>
            </w:rPr>
            <w:t>44</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78F8E486">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_Toc5268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第七章 建设监管和建后管护</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_Toc5268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45</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14:paraId="18F6E71A">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_Toc31837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一、强化质量监管</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_Toc31837 \h </w:instrText>
          </w:r>
          <w:r>
            <w:rPr>
              <w:rFonts w:hint="eastAsia" w:ascii="楷体" w:hAnsi="楷体" w:eastAsia="楷体" w:cs="楷体"/>
              <w:sz w:val="28"/>
              <w:szCs w:val="28"/>
            </w:rPr>
            <w:fldChar w:fldCharType="separate"/>
          </w:r>
          <w:r>
            <w:rPr>
              <w:rFonts w:hint="eastAsia" w:ascii="楷体" w:hAnsi="楷体" w:eastAsia="楷体" w:cs="楷体"/>
              <w:sz w:val="28"/>
              <w:szCs w:val="28"/>
            </w:rPr>
            <w:t>45</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6F1D581F">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_Toc10410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二、规范竣工验收</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_Toc10410 \h </w:instrText>
          </w:r>
          <w:r>
            <w:rPr>
              <w:rFonts w:hint="eastAsia" w:ascii="楷体" w:hAnsi="楷体" w:eastAsia="楷体" w:cs="楷体"/>
              <w:sz w:val="28"/>
              <w:szCs w:val="28"/>
            </w:rPr>
            <w:fldChar w:fldCharType="separate"/>
          </w:r>
          <w:r>
            <w:rPr>
              <w:rFonts w:hint="eastAsia" w:ascii="楷体" w:hAnsi="楷体" w:eastAsia="楷体" w:cs="楷体"/>
              <w:sz w:val="28"/>
              <w:szCs w:val="28"/>
            </w:rPr>
            <w:t>46</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6AB33811">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_Toc32316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三、加强建后管护</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_Toc32316 \h </w:instrText>
          </w:r>
          <w:r>
            <w:rPr>
              <w:rFonts w:hint="eastAsia" w:ascii="楷体" w:hAnsi="楷体" w:eastAsia="楷体" w:cs="楷体"/>
              <w:sz w:val="28"/>
              <w:szCs w:val="28"/>
            </w:rPr>
            <w:fldChar w:fldCharType="separate"/>
          </w:r>
          <w:r>
            <w:rPr>
              <w:rFonts w:hint="eastAsia" w:ascii="楷体" w:hAnsi="楷体" w:eastAsia="楷体" w:cs="楷体"/>
              <w:sz w:val="28"/>
              <w:szCs w:val="28"/>
            </w:rPr>
            <w:t>46</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5838BDAA">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_Toc7518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四、严格保护利用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_Toc7518 \h </w:instrText>
          </w:r>
          <w:r>
            <w:rPr>
              <w:rFonts w:hint="eastAsia" w:ascii="楷体" w:hAnsi="楷体" w:eastAsia="楷体" w:cs="楷体"/>
              <w:sz w:val="28"/>
              <w:szCs w:val="28"/>
            </w:rPr>
            <w:fldChar w:fldCharType="separate"/>
          </w:r>
          <w:r>
            <w:rPr>
              <w:rFonts w:hint="eastAsia" w:ascii="楷体" w:hAnsi="楷体" w:eastAsia="楷体" w:cs="楷体"/>
              <w:sz w:val="28"/>
              <w:szCs w:val="28"/>
            </w:rPr>
            <w:t>48</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063ECF52">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_Toc19454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五、统一上图入库</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_Toc19454 \h </w:instrText>
          </w:r>
          <w:r>
            <w:rPr>
              <w:rFonts w:hint="eastAsia" w:ascii="楷体" w:hAnsi="楷体" w:eastAsia="楷体" w:cs="楷体"/>
              <w:sz w:val="28"/>
              <w:szCs w:val="28"/>
            </w:rPr>
            <w:fldChar w:fldCharType="separate"/>
          </w:r>
          <w:r>
            <w:rPr>
              <w:rFonts w:hint="eastAsia" w:ascii="楷体" w:hAnsi="楷体" w:eastAsia="楷体" w:cs="楷体"/>
              <w:sz w:val="28"/>
              <w:szCs w:val="28"/>
            </w:rPr>
            <w:t>49</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5E7836FE">
          <w:pPr>
            <w:pStyle w:val="5"/>
            <w:keepNext w:val="0"/>
            <w:keepLines w:val="0"/>
            <w:pageBreakBefore w:val="0"/>
            <w:widowControl w:val="0"/>
            <w:tabs>
              <w:tab w:val="right" w:leader="dot" w:pos="8306"/>
            </w:tabs>
            <w:kinsoku/>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fldChar w:fldCharType="begin"/>
          </w:r>
          <w:r>
            <w:rPr>
              <w:rFonts w:hint="eastAsia" w:ascii="楷体" w:hAnsi="楷体" w:eastAsia="楷体" w:cs="楷体"/>
              <w:b/>
              <w:bCs/>
              <w:sz w:val="32"/>
              <w:szCs w:val="32"/>
              <w:highlight w:val="none"/>
              <w:lang w:val="en-US" w:eastAsia="zh-CN"/>
            </w:rPr>
            <w:instrText xml:space="preserve"> HYPERLINK \l _Toc1816 </w:instrText>
          </w:r>
          <w:r>
            <w:rPr>
              <w:rFonts w:hint="eastAsia" w:ascii="楷体" w:hAnsi="楷体" w:eastAsia="楷体" w:cs="楷体"/>
              <w:b/>
              <w:bCs/>
              <w:sz w:val="32"/>
              <w:szCs w:val="32"/>
              <w:highlight w:val="none"/>
              <w:lang w:val="en-US" w:eastAsia="zh-CN"/>
            </w:rPr>
            <w:fldChar w:fldCharType="separate"/>
          </w:r>
          <w:r>
            <w:rPr>
              <w:rFonts w:hint="eastAsia" w:ascii="楷体" w:hAnsi="楷体" w:eastAsia="楷体" w:cs="楷体"/>
              <w:b/>
              <w:bCs/>
              <w:sz w:val="32"/>
              <w:szCs w:val="32"/>
              <w:highlight w:val="none"/>
              <w:lang w:val="en-US" w:eastAsia="zh-CN"/>
            </w:rPr>
            <w:t>第八章 保障措施</w:t>
          </w:r>
          <w:r>
            <w:rPr>
              <w:rFonts w:hint="eastAsia" w:ascii="楷体" w:hAnsi="楷体" w:eastAsia="楷体" w:cs="楷体"/>
              <w:b/>
              <w:bCs/>
              <w:sz w:val="32"/>
              <w:szCs w:val="32"/>
            </w:rPr>
            <w:tab/>
          </w:r>
          <w:r>
            <w:rPr>
              <w:rFonts w:hint="eastAsia" w:ascii="楷体" w:hAnsi="楷体" w:eastAsia="楷体" w:cs="楷体"/>
              <w:b/>
              <w:bCs/>
              <w:sz w:val="32"/>
              <w:szCs w:val="32"/>
            </w:rPr>
            <w:fldChar w:fldCharType="begin"/>
          </w:r>
          <w:r>
            <w:rPr>
              <w:rFonts w:hint="eastAsia" w:ascii="楷体" w:hAnsi="楷体" w:eastAsia="楷体" w:cs="楷体"/>
              <w:b/>
              <w:bCs/>
              <w:sz w:val="32"/>
              <w:szCs w:val="32"/>
            </w:rPr>
            <w:instrText xml:space="preserve"> PAGEREF _Toc1816 \h </w:instrText>
          </w:r>
          <w:r>
            <w:rPr>
              <w:rFonts w:hint="eastAsia" w:ascii="楷体" w:hAnsi="楷体" w:eastAsia="楷体" w:cs="楷体"/>
              <w:b/>
              <w:bCs/>
              <w:sz w:val="32"/>
              <w:szCs w:val="32"/>
            </w:rPr>
            <w:fldChar w:fldCharType="separate"/>
          </w:r>
          <w:r>
            <w:rPr>
              <w:rFonts w:hint="eastAsia" w:ascii="楷体" w:hAnsi="楷体" w:eastAsia="楷体" w:cs="楷体"/>
              <w:b/>
              <w:bCs/>
              <w:sz w:val="32"/>
              <w:szCs w:val="32"/>
            </w:rPr>
            <w:t>51</w:t>
          </w:r>
          <w:r>
            <w:rPr>
              <w:rFonts w:hint="eastAsia" w:ascii="楷体" w:hAnsi="楷体" w:eastAsia="楷体" w:cs="楷体"/>
              <w:b/>
              <w:bCs/>
              <w:sz w:val="32"/>
              <w:szCs w:val="32"/>
            </w:rPr>
            <w:fldChar w:fldCharType="end"/>
          </w:r>
          <w:r>
            <w:rPr>
              <w:rFonts w:hint="eastAsia" w:ascii="楷体" w:hAnsi="楷体" w:eastAsia="楷体" w:cs="楷体"/>
              <w:b/>
              <w:bCs/>
              <w:sz w:val="32"/>
              <w:szCs w:val="32"/>
              <w:highlight w:val="none"/>
              <w:lang w:val="en-US" w:eastAsia="zh-CN"/>
            </w:rPr>
            <w:fldChar w:fldCharType="end"/>
          </w:r>
        </w:p>
        <w:p w14:paraId="41401F59">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_Toc13522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一、加强组织领导</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_Toc13522 \h </w:instrText>
          </w:r>
          <w:r>
            <w:rPr>
              <w:rFonts w:hint="eastAsia" w:ascii="楷体" w:hAnsi="楷体" w:eastAsia="楷体" w:cs="楷体"/>
              <w:sz w:val="28"/>
              <w:szCs w:val="28"/>
            </w:rPr>
            <w:fldChar w:fldCharType="separate"/>
          </w:r>
          <w:r>
            <w:rPr>
              <w:rFonts w:hint="eastAsia" w:ascii="楷体" w:hAnsi="楷体" w:eastAsia="楷体" w:cs="楷体"/>
              <w:sz w:val="28"/>
              <w:szCs w:val="28"/>
            </w:rPr>
            <w:t>51</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0D521B81">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_Toc2662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二、强化规划引领</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_Toc2662 \h </w:instrText>
          </w:r>
          <w:r>
            <w:rPr>
              <w:rFonts w:hint="eastAsia" w:ascii="楷体" w:hAnsi="楷体" w:eastAsia="楷体" w:cs="楷体"/>
              <w:sz w:val="28"/>
              <w:szCs w:val="28"/>
            </w:rPr>
            <w:fldChar w:fldCharType="separate"/>
          </w:r>
          <w:r>
            <w:rPr>
              <w:rFonts w:hint="eastAsia" w:ascii="楷体" w:hAnsi="楷体" w:eastAsia="楷体" w:cs="楷体"/>
              <w:sz w:val="28"/>
              <w:szCs w:val="28"/>
            </w:rPr>
            <w:t>52</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0420CFD9">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_Toc19007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三、加强资金保障</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_Toc19007 \h </w:instrText>
          </w:r>
          <w:r>
            <w:rPr>
              <w:rFonts w:hint="eastAsia" w:ascii="楷体" w:hAnsi="楷体" w:eastAsia="楷体" w:cs="楷体"/>
              <w:sz w:val="28"/>
              <w:szCs w:val="28"/>
            </w:rPr>
            <w:fldChar w:fldCharType="separate"/>
          </w:r>
          <w:r>
            <w:rPr>
              <w:rFonts w:hint="eastAsia" w:ascii="楷体" w:hAnsi="楷体" w:eastAsia="楷体" w:cs="楷体"/>
              <w:sz w:val="28"/>
              <w:szCs w:val="28"/>
            </w:rPr>
            <w:t>53</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2226D1F1">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_Toc8812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四、加大科技支撑</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_Toc8812 \h </w:instrText>
          </w:r>
          <w:r>
            <w:rPr>
              <w:rFonts w:hint="eastAsia" w:ascii="楷体" w:hAnsi="楷体" w:eastAsia="楷体" w:cs="楷体"/>
              <w:sz w:val="28"/>
              <w:szCs w:val="28"/>
            </w:rPr>
            <w:fldChar w:fldCharType="separate"/>
          </w:r>
          <w:r>
            <w:rPr>
              <w:rFonts w:hint="eastAsia" w:ascii="楷体" w:hAnsi="楷体" w:eastAsia="楷体" w:cs="楷体"/>
              <w:sz w:val="28"/>
              <w:szCs w:val="28"/>
            </w:rPr>
            <w:t>55</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31D4A49D">
          <w:pPr>
            <w:pStyle w:val="7"/>
            <w:keepNext w:val="0"/>
            <w:keepLines w:val="0"/>
            <w:pageBreakBefore w:val="0"/>
            <w:widowControl w:val="0"/>
            <w:tabs>
              <w:tab w:val="right" w:leader="dot" w:pos="8306"/>
            </w:tabs>
            <w:kinsoku/>
            <w:overflowPunct/>
            <w:topLinePunct w:val="0"/>
            <w:autoSpaceDE/>
            <w:autoSpaceDN/>
            <w:bidi w:val="0"/>
            <w:adjustRightInd/>
            <w:snapToGrid/>
            <w:spacing w:line="560" w:lineRule="exact"/>
            <w:ind w:left="0" w:leftChars="0" w:firstLine="280" w:firstLineChars="100"/>
            <w:textAlignment w:val="auto"/>
            <w:rPr>
              <w:rFonts w:hint="eastAsia" w:ascii="楷体" w:hAnsi="楷体" w:eastAsia="楷体" w:cs="楷体"/>
              <w:sz w:val="28"/>
              <w:szCs w:val="28"/>
            </w:rPr>
          </w:pPr>
          <w:r>
            <w:rPr>
              <w:rFonts w:hint="eastAsia" w:ascii="楷体" w:hAnsi="楷体" w:eastAsia="楷体" w:cs="楷体"/>
              <w:bCs w:val="0"/>
              <w:sz w:val="28"/>
              <w:szCs w:val="28"/>
              <w:highlight w:val="none"/>
              <w:lang w:val="en-US" w:eastAsia="zh-CN"/>
            </w:rPr>
            <w:fldChar w:fldCharType="begin"/>
          </w:r>
          <w:r>
            <w:rPr>
              <w:rFonts w:hint="eastAsia" w:ascii="楷体" w:hAnsi="楷体" w:eastAsia="楷体" w:cs="楷体"/>
              <w:bCs w:val="0"/>
              <w:sz w:val="28"/>
              <w:szCs w:val="28"/>
              <w:highlight w:val="none"/>
              <w:lang w:val="en-US" w:eastAsia="zh-CN"/>
            </w:rPr>
            <w:instrText xml:space="preserve"> HYPERLINK \l _Toc2515 </w:instrText>
          </w:r>
          <w:r>
            <w:rPr>
              <w:rFonts w:hint="eastAsia" w:ascii="楷体" w:hAnsi="楷体" w:eastAsia="楷体" w:cs="楷体"/>
              <w:bCs w:val="0"/>
              <w:sz w:val="28"/>
              <w:szCs w:val="28"/>
              <w:highlight w:val="none"/>
              <w:lang w:val="en-US" w:eastAsia="zh-CN"/>
            </w:rPr>
            <w:fldChar w:fldCharType="separate"/>
          </w:r>
          <w:r>
            <w:rPr>
              <w:rFonts w:hint="eastAsia" w:ascii="楷体" w:hAnsi="楷体" w:eastAsia="楷体" w:cs="楷体"/>
              <w:sz w:val="28"/>
              <w:szCs w:val="28"/>
              <w:highlight w:val="none"/>
              <w:lang w:val="en-US" w:eastAsia="zh-CN"/>
            </w:rPr>
            <w:t>五、严格监督考核</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_Toc2515 \h </w:instrText>
          </w:r>
          <w:r>
            <w:rPr>
              <w:rFonts w:hint="eastAsia" w:ascii="楷体" w:hAnsi="楷体" w:eastAsia="楷体" w:cs="楷体"/>
              <w:sz w:val="28"/>
              <w:szCs w:val="28"/>
            </w:rPr>
            <w:fldChar w:fldCharType="separate"/>
          </w:r>
          <w:r>
            <w:rPr>
              <w:rFonts w:hint="eastAsia" w:ascii="楷体" w:hAnsi="楷体" w:eastAsia="楷体" w:cs="楷体"/>
              <w:sz w:val="28"/>
              <w:szCs w:val="28"/>
            </w:rPr>
            <w:t>56</w:t>
          </w:r>
          <w:r>
            <w:rPr>
              <w:rFonts w:hint="eastAsia" w:ascii="楷体" w:hAnsi="楷体" w:eastAsia="楷体" w:cs="楷体"/>
              <w:sz w:val="28"/>
              <w:szCs w:val="28"/>
            </w:rPr>
            <w:fldChar w:fldCharType="end"/>
          </w:r>
          <w:r>
            <w:rPr>
              <w:rFonts w:hint="eastAsia" w:ascii="楷体" w:hAnsi="楷体" w:eastAsia="楷体" w:cs="楷体"/>
              <w:bCs w:val="0"/>
              <w:sz w:val="28"/>
              <w:szCs w:val="28"/>
              <w:highlight w:val="none"/>
              <w:lang w:val="en-US" w:eastAsia="zh-CN"/>
            </w:rPr>
            <w:fldChar w:fldCharType="end"/>
          </w:r>
        </w:p>
        <w:p w14:paraId="51A9C1C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outlineLvl w:val="9"/>
            <w:rPr>
              <w:rFonts w:hint="eastAsia" w:ascii="楷体" w:hAnsi="楷体" w:eastAsia="楷体" w:cs="楷体"/>
              <w:b w:val="0"/>
              <w:bCs w:val="0"/>
              <w:sz w:val="30"/>
              <w:szCs w:val="30"/>
              <w:highlight w:val="none"/>
              <w:lang w:val="en-US" w:eastAsia="zh-CN"/>
            </w:rPr>
            <w:sectPr>
              <w:footerReference r:id="rId5" w:type="default"/>
              <w:pgSz w:w="11906" w:h="16838"/>
              <w:pgMar w:top="1440" w:right="1800" w:bottom="1440" w:left="1800" w:header="851" w:footer="992" w:gutter="0"/>
              <w:pgNumType w:fmt="upperRoman"/>
              <w:cols w:space="425" w:num="1"/>
              <w:docGrid w:type="lines" w:linePitch="312" w:charSpace="0"/>
            </w:sectPr>
          </w:pPr>
          <w:r>
            <w:rPr>
              <w:rFonts w:hint="eastAsia" w:ascii="楷体" w:hAnsi="楷体" w:eastAsia="楷体" w:cs="楷体"/>
              <w:bCs w:val="0"/>
              <w:sz w:val="28"/>
              <w:szCs w:val="28"/>
              <w:highlight w:val="none"/>
              <w:lang w:val="en-US" w:eastAsia="zh-CN"/>
            </w:rPr>
            <w:fldChar w:fldCharType="end"/>
          </w:r>
        </w:p>
      </w:sdtContent>
    </w:sdt>
    <w:p w14:paraId="17AE83C4">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9" w:name="_Toc13664"/>
      <w:r>
        <w:rPr>
          <w:rFonts w:hint="eastAsia" w:ascii="黑体" w:hAnsi="黑体" w:eastAsia="黑体" w:cs="黑体"/>
          <w:b w:val="0"/>
          <w:bCs w:val="0"/>
          <w:sz w:val="36"/>
          <w:szCs w:val="36"/>
          <w:highlight w:val="none"/>
          <w:lang w:val="en-US" w:eastAsia="zh-CN"/>
        </w:rPr>
        <w:t>第一章</w:t>
      </w:r>
      <w:bookmarkEnd w:id="5"/>
      <w:r>
        <w:rPr>
          <w:rFonts w:hint="eastAsia" w:ascii="黑体" w:hAnsi="黑体" w:eastAsia="黑体" w:cs="黑体"/>
          <w:b w:val="0"/>
          <w:bCs w:val="0"/>
          <w:sz w:val="36"/>
          <w:szCs w:val="36"/>
          <w:highlight w:val="none"/>
          <w:lang w:val="en-US" w:eastAsia="zh-CN"/>
        </w:rPr>
        <w:t xml:space="preserve"> 规划</w:t>
      </w:r>
      <w:bookmarkEnd w:id="6"/>
      <w:r>
        <w:rPr>
          <w:rFonts w:hint="eastAsia" w:ascii="黑体" w:hAnsi="黑体" w:eastAsia="黑体" w:cs="黑体"/>
          <w:b w:val="0"/>
          <w:bCs w:val="0"/>
          <w:sz w:val="36"/>
          <w:szCs w:val="36"/>
          <w:highlight w:val="none"/>
          <w:lang w:val="en-US" w:eastAsia="zh-CN"/>
        </w:rPr>
        <w:t>基础</w:t>
      </w:r>
      <w:bookmarkEnd w:id="7"/>
      <w:bookmarkEnd w:id="8"/>
      <w:bookmarkEnd w:id="9"/>
    </w:p>
    <w:p w14:paraId="3E0CC70A">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6"/>
          <w:szCs w:val="36"/>
          <w:highlight w:val="none"/>
          <w:lang w:val="en-US" w:eastAsia="zh-CN"/>
        </w:rPr>
      </w:pPr>
    </w:p>
    <w:p w14:paraId="2141F894">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val="0"/>
          <w:sz w:val="32"/>
          <w:szCs w:val="32"/>
          <w:highlight w:val="none"/>
          <w:lang w:val="en-US" w:eastAsia="zh-CN"/>
        </w:rPr>
      </w:pPr>
      <w:bookmarkStart w:id="10" w:name="_Toc2155"/>
      <w:bookmarkStart w:id="11" w:name="_Toc29812"/>
      <w:bookmarkStart w:id="12" w:name="_Toc3494"/>
      <w:r>
        <w:rPr>
          <w:rFonts w:hint="eastAsia" w:ascii="黑体" w:hAnsi="黑体" w:eastAsia="黑体" w:cs="黑体"/>
          <w:b w:val="0"/>
          <w:bCs w:val="0"/>
          <w:sz w:val="32"/>
          <w:szCs w:val="32"/>
          <w:highlight w:val="none"/>
          <w:lang w:val="en-US" w:eastAsia="zh-CN"/>
        </w:rPr>
        <w:t>一、规划背景</w:t>
      </w:r>
      <w:bookmarkEnd w:id="10"/>
      <w:bookmarkEnd w:id="11"/>
      <w:bookmarkEnd w:id="12"/>
    </w:p>
    <w:p w14:paraId="0EF8F1C2">
      <w:pPr>
        <w:keepNext w:val="0"/>
        <w:keepLines w:val="0"/>
        <w:pageBreakBefore w:val="0"/>
        <w:kinsoku/>
        <w:wordWrap w:val="0"/>
        <w:overflowPunct/>
        <w:topLinePunct w:val="0"/>
        <w:autoSpaceDE/>
        <w:autoSpaceDN/>
        <w:bidi w:val="0"/>
        <w:adjustRightInd/>
        <w:snapToGrid/>
        <w:spacing w:line="600" w:lineRule="exact"/>
        <w:ind w:firstLine="640" w:firstLineChars="200"/>
        <w:jc w:val="both"/>
        <w:textAlignment w:val="auto"/>
        <w:outlineLvl w:val="0"/>
        <w:rPr>
          <w:rFonts w:hint="eastAsia" w:ascii="仿宋" w:hAnsi="仿宋" w:eastAsia="仿宋" w:cs="仿宋"/>
          <w:b w:val="0"/>
          <w:bCs w:val="0"/>
          <w:sz w:val="32"/>
          <w:szCs w:val="32"/>
          <w:highlight w:val="none"/>
          <w:lang w:val="en-US" w:eastAsia="zh-CN"/>
        </w:rPr>
      </w:pPr>
      <w:bookmarkStart w:id="13" w:name="_Toc30650"/>
      <w:bookmarkStart w:id="14" w:name="_Toc30889"/>
      <w:bookmarkStart w:id="15" w:name="_Toc18791"/>
      <w:bookmarkStart w:id="16" w:name="_Toc3896"/>
      <w:bookmarkStart w:id="17" w:name="_Toc17043"/>
      <w:bookmarkStart w:id="18" w:name="_Toc25679"/>
      <w:bookmarkStart w:id="19" w:name="_Toc26092"/>
      <w:bookmarkStart w:id="20" w:name="_Toc29760"/>
      <w:bookmarkStart w:id="21" w:name="_Toc14073"/>
      <w:r>
        <w:rPr>
          <w:rFonts w:hint="eastAsia" w:ascii="仿宋" w:hAnsi="仿宋" w:eastAsia="仿宋" w:cs="仿宋"/>
          <w:b w:val="0"/>
          <w:bCs w:val="0"/>
          <w:sz w:val="32"/>
          <w:szCs w:val="32"/>
          <w:highlight w:val="none"/>
          <w:lang w:val="en-US" w:eastAsia="zh-CN"/>
        </w:rPr>
        <w:t>高标准农田建设是实施“藏粮于地、藏粮于技”战略的重要举措，是稳定提升农业综合生产能力、保障国家粮食安全、推动现代农业高质量发展的关键途径。“十三五”时期，汕尾市紧紧围绕党中央、国务院关于高标准农田建设的决策部署，全面落实省委、省政府和市委、市政府关于新建高标准农田以及保障粮食生产能力的要求，坚持将高标准农田建设放在汕尾市“三农”工作全局中谋划推动，狠抓各项措施，确保实施到位，取得了明显成效。</w:t>
      </w:r>
      <w:bookmarkEnd w:id="13"/>
      <w:bookmarkEnd w:id="14"/>
      <w:bookmarkEnd w:id="15"/>
      <w:bookmarkEnd w:id="16"/>
      <w:bookmarkEnd w:id="17"/>
      <w:bookmarkEnd w:id="18"/>
      <w:bookmarkEnd w:id="19"/>
      <w:bookmarkEnd w:id="20"/>
      <w:bookmarkEnd w:id="21"/>
    </w:p>
    <w:p w14:paraId="6ACCC26A">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b w:val="0"/>
          <w:bCs w:val="0"/>
          <w:sz w:val="32"/>
          <w:szCs w:val="32"/>
          <w:highlight w:val="none"/>
          <w:lang w:val="en-US" w:eastAsia="zh-CN"/>
        </w:rPr>
      </w:pPr>
    </w:p>
    <w:p w14:paraId="1C14E11A">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val="0"/>
          <w:sz w:val="32"/>
          <w:szCs w:val="32"/>
          <w:highlight w:val="none"/>
          <w:lang w:val="en-US" w:eastAsia="zh-CN"/>
        </w:rPr>
      </w:pPr>
      <w:bookmarkStart w:id="22" w:name="_Toc29418"/>
      <w:bookmarkStart w:id="23" w:name="_Toc2270"/>
      <w:bookmarkStart w:id="24" w:name="_Toc6389"/>
      <w:r>
        <w:rPr>
          <w:rFonts w:hint="eastAsia" w:ascii="黑体" w:hAnsi="黑体" w:eastAsia="黑体" w:cs="黑体"/>
          <w:b w:val="0"/>
          <w:bCs w:val="0"/>
          <w:sz w:val="32"/>
          <w:szCs w:val="32"/>
          <w:highlight w:val="none"/>
          <w:lang w:val="en-US" w:eastAsia="zh-CN"/>
        </w:rPr>
        <w:t>二、现实基础</w:t>
      </w:r>
      <w:bookmarkEnd w:id="22"/>
      <w:bookmarkEnd w:id="23"/>
      <w:bookmarkEnd w:id="24"/>
    </w:p>
    <w:p w14:paraId="5F299DC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楷体" w:hAnsi="楷体" w:eastAsia="楷体" w:cs="楷体"/>
          <w:b w:val="0"/>
          <w:bCs w:val="0"/>
          <w:sz w:val="32"/>
          <w:szCs w:val="32"/>
          <w:highlight w:val="none"/>
          <w:lang w:val="en-US" w:eastAsia="zh-CN"/>
        </w:rPr>
      </w:pPr>
      <w:bookmarkStart w:id="25" w:name="_Toc4082"/>
      <w:bookmarkStart w:id="26" w:name="_Toc24063"/>
      <w:bookmarkStart w:id="27" w:name="_Toc27700"/>
      <w:bookmarkStart w:id="28" w:name="_Toc17162"/>
      <w:bookmarkStart w:id="29" w:name="_Toc2510"/>
      <w:bookmarkStart w:id="30" w:name="_Toc28132"/>
      <w:bookmarkStart w:id="31" w:name="_Toc22006"/>
      <w:bookmarkStart w:id="32" w:name="_Toc1921"/>
      <w:bookmarkStart w:id="33" w:name="_Toc29593"/>
      <w:r>
        <w:rPr>
          <w:rFonts w:hint="eastAsia" w:ascii="楷体" w:hAnsi="楷体" w:eastAsia="楷体" w:cs="楷体"/>
          <w:b w:val="0"/>
          <w:bCs w:val="0"/>
          <w:sz w:val="32"/>
          <w:szCs w:val="32"/>
          <w:highlight w:val="none"/>
          <w:lang w:val="en-US" w:eastAsia="zh-CN"/>
        </w:rPr>
        <w:t>（一）基本情况</w:t>
      </w:r>
      <w:bookmarkEnd w:id="25"/>
      <w:bookmarkEnd w:id="26"/>
      <w:bookmarkEnd w:id="27"/>
      <w:bookmarkEnd w:id="28"/>
      <w:bookmarkEnd w:id="29"/>
      <w:bookmarkEnd w:id="30"/>
      <w:bookmarkEnd w:id="31"/>
      <w:bookmarkEnd w:id="32"/>
      <w:bookmarkEnd w:id="33"/>
    </w:p>
    <w:p w14:paraId="5A74F097">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仿宋" w:hAnsi="仿宋" w:eastAsia="仿宋" w:cs="仿宋"/>
          <w:b w:val="0"/>
          <w:bCs w:val="0"/>
          <w:sz w:val="32"/>
          <w:szCs w:val="32"/>
          <w:highlight w:val="none"/>
          <w:lang w:val="en-US" w:eastAsia="zh-CN"/>
        </w:rPr>
      </w:pPr>
      <w:bookmarkStart w:id="34" w:name="_Toc9728"/>
      <w:bookmarkStart w:id="35" w:name="_Toc12711"/>
      <w:bookmarkStart w:id="36" w:name="_Toc17413"/>
      <w:bookmarkStart w:id="37" w:name="_Toc18233"/>
      <w:bookmarkStart w:id="38" w:name="_Toc12097"/>
      <w:bookmarkStart w:id="39" w:name="_Toc7890"/>
      <w:bookmarkStart w:id="40" w:name="_Toc20818"/>
      <w:bookmarkStart w:id="41" w:name="_Toc13665"/>
      <w:bookmarkStart w:id="42" w:name="_Toc19929"/>
      <w:r>
        <w:rPr>
          <w:rFonts w:hint="eastAsia" w:ascii="仿宋" w:hAnsi="仿宋" w:eastAsia="仿宋" w:cs="仿宋"/>
          <w:b w:val="0"/>
          <w:bCs w:val="0"/>
          <w:sz w:val="32"/>
          <w:szCs w:val="32"/>
          <w:highlight w:val="none"/>
          <w:lang w:val="en-US" w:eastAsia="zh-CN"/>
        </w:rPr>
        <w:t>汕尾市位于广东省东南部沿海，莲花山南麓,珠江三角洲东岸，为海峡西岸经济区连接粤港澳大湾区桥头堡。汕尾市东邻揭阳市惠来县，西连惠州市惠东县，南濒南海，临红海湾和碣石湾，北接梅州市五华县和河源市紫金县，总面积4865.05平方公里（包括深汕合作区)，下辖1个市辖区（城区）、2个县（海丰县、陆河县），代管1个县级市（陆丰市），另设2个管理区或功能区（红海湾经济开发区、华侨管理区）。大陆沿海岸线（包括深汕合作区）长455.2公里，占全省岸线长度的11.1%。大陆架内（即200米水深以内）海域面积（包括深汕合作区 )2.39万平方公里，相当于陆地面积的4.5倍。</w:t>
      </w:r>
      <w:bookmarkEnd w:id="34"/>
      <w:bookmarkEnd w:id="35"/>
      <w:bookmarkEnd w:id="36"/>
      <w:bookmarkEnd w:id="37"/>
      <w:bookmarkEnd w:id="38"/>
      <w:bookmarkEnd w:id="39"/>
      <w:bookmarkEnd w:id="40"/>
      <w:bookmarkEnd w:id="41"/>
      <w:bookmarkEnd w:id="42"/>
    </w:p>
    <w:p w14:paraId="6473BC3E">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楷体" w:hAnsi="楷体" w:eastAsia="楷体" w:cs="楷体"/>
          <w:b w:val="0"/>
          <w:bCs w:val="0"/>
          <w:sz w:val="32"/>
          <w:szCs w:val="32"/>
          <w:highlight w:val="none"/>
          <w:lang w:val="en-US" w:eastAsia="zh-CN"/>
        </w:rPr>
      </w:pPr>
      <w:bookmarkStart w:id="43" w:name="_Toc14503"/>
      <w:bookmarkStart w:id="44" w:name="_Toc12731"/>
      <w:bookmarkStart w:id="45" w:name="_Toc21107"/>
      <w:bookmarkStart w:id="46" w:name="_Toc9166"/>
      <w:bookmarkStart w:id="47" w:name="_Toc14748"/>
      <w:bookmarkStart w:id="48" w:name="_Toc23096"/>
      <w:bookmarkStart w:id="49" w:name="_Toc25626"/>
      <w:bookmarkStart w:id="50" w:name="_Toc23877"/>
      <w:bookmarkStart w:id="51" w:name="_Toc2622"/>
      <w:r>
        <w:rPr>
          <w:rFonts w:hint="eastAsia" w:ascii="楷体" w:hAnsi="楷体" w:eastAsia="楷体" w:cs="楷体"/>
          <w:b w:val="0"/>
          <w:bCs w:val="0"/>
          <w:sz w:val="32"/>
          <w:szCs w:val="32"/>
          <w:highlight w:val="none"/>
          <w:lang w:val="en-US" w:eastAsia="zh-CN"/>
        </w:rPr>
        <w:t>（二）地貌、地质</w:t>
      </w:r>
      <w:bookmarkEnd w:id="43"/>
      <w:bookmarkEnd w:id="44"/>
      <w:bookmarkEnd w:id="45"/>
      <w:bookmarkEnd w:id="46"/>
      <w:bookmarkEnd w:id="47"/>
      <w:bookmarkEnd w:id="48"/>
      <w:bookmarkEnd w:id="49"/>
      <w:bookmarkEnd w:id="50"/>
      <w:bookmarkEnd w:id="51"/>
    </w:p>
    <w:p w14:paraId="00D539D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default" w:ascii="仿宋" w:hAnsi="仿宋" w:eastAsia="仿宋" w:cs="仿宋"/>
          <w:b w:val="0"/>
          <w:bCs w:val="0"/>
          <w:sz w:val="32"/>
          <w:szCs w:val="32"/>
          <w:highlight w:val="none"/>
          <w:lang w:val="en-US" w:eastAsia="zh-CN"/>
        </w:rPr>
      </w:pPr>
      <w:bookmarkStart w:id="52" w:name="_Toc15356"/>
      <w:bookmarkStart w:id="53" w:name="_Toc31955"/>
      <w:bookmarkStart w:id="54" w:name="_Toc5869"/>
      <w:bookmarkStart w:id="55" w:name="_Toc5868"/>
      <w:bookmarkStart w:id="56" w:name="_Toc14937"/>
      <w:bookmarkStart w:id="57" w:name="_Toc713"/>
      <w:bookmarkStart w:id="58" w:name="_Toc12929"/>
      <w:bookmarkStart w:id="59" w:name="_Toc21692"/>
      <w:bookmarkStart w:id="60" w:name="_Toc6007"/>
      <w:r>
        <w:rPr>
          <w:rFonts w:hint="default" w:ascii="仿宋" w:hAnsi="仿宋" w:eastAsia="仿宋" w:cs="仿宋"/>
          <w:b w:val="0"/>
          <w:bCs w:val="0"/>
          <w:sz w:val="32"/>
          <w:szCs w:val="32"/>
          <w:highlight w:val="none"/>
          <w:lang w:val="en-US" w:eastAsia="zh-CN"/>
        </w:rPr>
        <w:t>由于历次地壳运动褶皱、断裂和火山岩隆起的影响，汕尾市形成了山地、丘陵、台地、平原兼有的复杂地形地貌。汕尾位于莲花山南麓，其山脉走势为东北向西南方向倾斜。莲花山脉由闽粤边界的铜鼓岭向东南经汕尾跨惠阳到香港附近入海。地形为北部高丘山地，山峦重叠，公里以上高山有23座，最高峰为莲花山，海拔1337.3米，位于海丰县西北境内；中部多丘陵、台地；南部沿海多为台地、平原。全市境内山地、丘陵面积比例约占总面积的43.7%。</w:t>
      </w:r>
      <w:bookmarkEnd w:id="52"/>
      <w:bookmarkEnd w:id="53"/>
      <w:bookmarkEnd w:id="54"/>
      <w:bookmarkEnd w:id="55"/>
      <w:bookmarkEnd w:id="56"/>
      <w:bookmarkEnd w:id="57"/>
      <w:bookmarkEnd w:id="58"/>
      <w:bookmarkEnd w:id="59"/>
      <w:bookmarkEnd w:id="60"/>
    </w:p>
    <w:p w14:paraId="3D490550">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default" w:ascii="仿宋" w:hAnsi="仿宋" w:eastAsia="仿宋" w:cs="仿宋"/>
          <w:b w:val="0"/>
          <w:bCs w:val="0"/>
          <w:sz w:val="32"/>
          <w:szCs w:val="32"/>
          <w:highlight w:val="none"/>
          <w:lang w:val="en-US" w:eastAsia="zh-CN"/>
        </w:rPr>
      </w:pPr>
      <w:bookmarkStart w:id="61" w:name="_Toc16324"/>
      <w:bookmarkStart w:id="62" w:name="_Toc13680"/>
      <w:bookmarkStart w:id="63" w:name="_Toc24059"/>
      <w:bookmarkStart w:id="64" w:name="_Toc27467"/>
      <w:bookmarkStart w:id="65" w:name="_Toc1112"/>
      <w:bookmarkStart w:id="66" w:name="_Toc28311"/>
      <w:bookmarkStart w:id="67" w:name="_Toc3046"/>
      <w:bookmarkStart w:id="68" w:name="_Toc25442"/>
      <w:bookmarkStart w:id="69" w:name="_Toc19057"/>
      <w:r>
        <w:rPr>
          <w:rFonts w:hint="default" w:ascii="仿宋" w:hAnsi="仿宋" w:eastAsia="仿宋" w:cs="仿宋"/>
          <w:b w:val="0"/>
          <w:bCs w:val="0"/>
          <w:sz w:val="32"/>
          <w:szCs w:val="32"/>
          <w:highlight w:val="none"/>
          <w:lang w:val="en-US" w:eastAsia="zh-CN"/>
        </w:rPr>
        <w:t>汕尾市主要深、大断裂有：莲花山深断裂带和潮安—普宁深断裂带。莲花山深断裂带：沿莲花山山脉向东经梅县进入福建，向西至惠东，分别于大亚湾、深圳湾入南海，呈北东向延伸，省内长约500公里，是广东主要断裂带之一，具有多旋回活动特征，第四纪以来有活动表现。潮安—普宁深断裂带：见于饶平、潮安、普宁、陆丰一带，呈北东向延伸，省内长达210公里。该断裂形成于侏罗纪晚期，近期仍有活动。地层相对较简单，主要发育中生代和新生代地层，包括侏罗系（J）和三叠系（T）。侏罗系（J）的侏罗系上统高基坪群上亚群（J3b）主要见于深汕合作区、海丰赤石—内碗窑—黄山洞水库一带，海丰鲘门、观妈山、麒麟尾及陆丰县尖峰峒一带，其他地方有小片出露。岩性为流纹质岩类、英安岩及其火山碎屑岩夹砂页岩，厚约1280~8460米。三叠系（T）的三叠系上统—侏罗系（T3-J）主要见于海丰、陆丰局部及看、陆河北部小片出露。岩性为砾岩、沙砾岩、粉砂岩。</w:t>
      </w:r>
      <w:bookmarkEnd w:id="61"/>
      <w:bookmarkEnd w:id="62"/>
      <w:bookmarkEnd w:id="63"/>
      <w:bookmarkEnd w:id="64"/>
      <w:bookmarkEnd w:id="65"/>
      <w:bookmarkEnd w:id="66"/>
      <w:bookmarkEnd w:id="67"/>
      <w:bookmarkEnd w:id="68"/>
      <w:bookmarkEnd w:id="69"/>
    </w:p>
    <w:p w14:paraId="2D6C497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楷体" w:hAnsi="楷体" w:eastAsia="楷体" w:cs="楷体"/>
          <w:b w:val="0"/>
          <w:bCs w:val="0"/>
          <w:sz w:val="32"/>
          <w:szCs w:val="32"/>
          <w:highlight w:val="none"/>
          <w:lang w:val="en-US" w:eastAsia="zh-CN"/>
        </w:rPr>
      </w:pPr>
      <w:bookmarkStart w:id="70" w:name="_Toc1557"/>
      <w:bookmarkStart w:id="71" w:name="_Toc16560"/>
      <w:bookmarkStart w:id="72" w:name="_Toc11245"/>
      <w:bookmarkStart w:id="73" w:name="_Toc31256"/>
      <w:bookmarkStart w:id="74" w:name="_Toc17945"/>
      <w:bookmarkStart w:id="75" w:name="_Toc17837"/>
      <w:bookmarkStart w:id="76" w:name="_Toc23531"/>
      <w:bookmarkStart w:id="77" w:name="_Toc12927"/>
      <w:bookmarkStart w:id="78" w:name="_Toc18449"/>
      <w:r>
        <w:rPr>
          <w:rFonts w:hint="eastAsia" w:ascii="楷体" w:hAnsi="楷体" w:eastAsia="楷体" w:cs="楷体"/>
          <w:b w:val="0"/>
          <w:bCs w:val="0"/>
          <w:sz w:val="32"/>
          <w:szCs w:val="32"/>
          <w:highlight w:val="none"/>
          <w:lang w:val="en-US" w:eastAsia="zh-CN"/>
        </w:rPr>
        <w:t>（三）气象与水文</w:t>
      </w:r>
      <w:bookmarkEnd w:id="70"/>
      <w:bookmarkEnd w:id="71"/>
      <w:bookmarkEnd w:id="72"/>
      <w:bookmarkEnd w:id="73"/>
      <w:bookmarkEnd w:id="74"/>
      <w:bookmarkEnd w:id="75"/>
      <w:bookmarkEnd w:id="76"/>
      <w:bookmarkEnd w:id="77"/>
      <w:bookmarkEnd w:id="78"/>
    </w:p>
    <w:p w14:paraId="3B8F509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default" w:ascii="仿宋" w:hAnsi="仿宋" w:eastAsia="仿宋" w:cs="仿宋"/>
          <w:b w:val="0"/>
          <w:bCs w:val="0"/>
          <w:sz w:val="32"/>
          <w:szCs w:val="32"/>
          <w:highlight w:val="none"/>
          <w:lang w:val="en-US" w:eastAsia="zh-CN"/>
        </w:rPr>
      </w:pPr>
      <w:bookmarkStart w:id="79" w:name="_Toc2610"/>
      <w:bookmarkStart w:id="80" w:name="_Toc28496"/>
      <w:bookmarkStart w:id="81" w:name="_Toc32280"/>
      <w:bookmarkStart w:id="82" w:name="_Toc30789"/>
      <w:bookmarkStart w:id="83" w:name="_Toc8786"/>
      <w:bookmarkStart w:id="84" w:name="_Toc32720"/>
      <w:bookmarkStart w:id="85" w:name="_Toc9404"/>
      <w:bookmarkStart w:id="86" w:name="_Toc6247"/>
      <w:bookmarkStart w:id="87" w:name="_Toc12877"/>
      <w:r>
        <w:rPr>
          <w:rFonts w:hint="default" w:ascii="仿宋" w:hAnsi="仿宋" w:eastAsia="仿宋" w:cs="仿宋"/>
          <w:b w:val="0"/>
          <w:bCs w:val="0"/>
          <w:sz w:val="32"/>
          <w:szCs w:val="32"/>
          <w:highlight w:val="none"/>
          <w:lang w:val="en-US" w:eastAsia="zh-CN"/>
        </w:rPr>
        <w:t>汕尾市地处中国大陆东南部沿海，属亚热带季风气候区，海洋性气候明显，光、热、水资源丰富。其主要气候特点是：气候温暖，雨量丰沛，干湿明显，光照充足；冬不寒冷，夏不酷热，夏长冬短，春早秋迟；秋冬春旱，常有发生，夏涝风灾，危害较重。汕尾市降雨南多北少、阶段旱涝明显；初台偏早，台风影响轻，汛期总雨量占全年雨量94%。境内集雨面积100km</w:t>
      </w:r>
      <w:r>
        <w:rPr>
          <w:rFonts w:hint="default" w:ascii="仿宋" w:hAnsi="仿宋" w:eastAsia="仿宋" w:cs="仿宋"/>
          <w:b w:val="0"/>
          <w:bCs w:val="0"/>
          <w:sz w:val="32"/>
          <w:szCs w:val="32"/>
          <w:highlight w:val="none"/>
          <w:vertAlign w:val="superscript"/>
          <w:lang w:val="en-US" w:eastAsia="zh-CN"/>
        </w:rPr>
        <w:t>2</w:t>
      </w:r>
      <w:r>
        <w:rPr>
          <w:rFonts w:hint="default" w:ascii="仿宋" w:hAnsi="仿宋" w:eastAsia="仿宋" w:cs="仿宋"/>
          <w:b w:val="0"/>
          <w:bCs w:val="0"/>
          <w:sz w:val="32"/>
          <w:szCs w:val="32"/>
          <w:highlight w:val="none"/>
          <w:lang w:val="en-US" w:eastAsia="zh-CN"/>
        </w:rPr>
        <w:t>以上河流有13条，其中直流入海的有4条。螺河和黄江是区域内集雨面积1000km</w:t>
      </w:r>
      <w:r>
        <w:rPr>
          <w:rFonts w:hint="default" w:ascii="仿宋" w:hAnsi="仿宋" w:eastAsia="仿宋" w:cs="仿宋"/>
          <w:b w:val="0"/>
          <w:bCs w:val="0"/>
          <w:sz w:val="32"/>
          <w:szCs w:val="32"/>
          <w:highlight w:val="none"/>
          <w:vertAlign w:val="superscript"/>
          <w:lang w:val="en-US" w:eastAsia="zh-CN"/>
        </w:rPr>
        <w:t>2</w:t>
      </w:r>
      <w:r>
        <w:rPr>
          <w:rFonts w:hint="default" w:ascii="仿宋" w:hAnsi="仿宋" w:eastAsia="仿宋" w:cs="仿宋"/>
          <w:b w:val="0"/>
          <w:bCs w:val="0"/>
          <w:sz w:val="32"/>
          <w:szCs w:val="32"/>
          <w:highlight w:val="none"/>
          <w:lang w:val="en-US" w:eastAsia="zh-CN"/>
        </w:rPr>
        <w:t>以上的两大河流。</w:t>
      </w:r>
      <w:bookmarkEnd w:id="79"/>
      <w:bookmarkEnd w:id="80"/>
      <w:bookmarkEnd w:id="81"/>
      <w:bookmarkEnd w:id="82"/>
      <w:bookmarkEnd w:id="83"/>
      <w:bookmarkEnd w:id="84"/>
      <w:bookmarkEnd w:id="85"/>
      <w:bookmarkEnd w:id="86"/>
      <w:bookmarkEnd w:id="87"/>
    </w:p>
    <w:p w14:paraId="6BD8974C">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default" w:ascii="仿宋" w:hAnsi="仿宋" w:eastAsia="仿宋" w:cs="仿宋"/>
          <w:b w:val="0"/>
          <w:bCs w:val="0"/>
          <w:sz w:val="32"/>
          <w:szCs w:val="32"/>
          <w:highlight w:val="none"/>
          <w:lang w:val="en-US" w:eastAsia="zh-CN"/>
        </w:rPr>
      </w:pPr>
      <w:bookmarkStart w:id="88" w:name="_Toc6825"/>
      <w:bookmarkStart w:id="89" w:name="_Toc3713"/>
      <w:bookmarkStart w:id="90" w:name="_Toc4984"/>
      <w:bookmarkStart w:id="91" w:name="_Toc13380"/>
      <w:bookmarkStart w:id="92" w:name="_Toc30239"/>
      <w:bookmarkStart w:id="93" w:name="_Toc22208"/>
      <w:bookmarkStart w:id="94" w:name="_Toc8231"/>
      <w:bookmarkStart w:id="95" w:name="_Toc4992"/>
      <w:bookmarkStart w:id="96" w:name="_Toc14179"/>
      <w:r>
        <w:rPr>
          <w:rFonts w:hint="default" w:ascii="仿宋" w:hAnsi="仿宋" w:eastAsia="仿宋" w:cs="仿宋"/>
          <w:b w:val="0"/>
          <w:bCs w:val="0"/>
          <w:sz w:val="32"/>
          <w:szCs w:val="32"/>
          <w:highlight w:val="none"/>
          <w:lang w:val="en-US" w:eastAsia="zh-CN"/>
        </w:rPr>
        <w:t>汕尾市城区年平均气温23.7℃，海丰县年平均气温22.9℃，陆丰市年平均气温23℃，陆河年平均气温23.4℃。汕尾市的高温日数并不突出，但日平均气温≥ 28℃的炎热天数偏多，其中汕尾市城区偏多21.7天，陆河县偏多32.6天。炎热天数主要集中在6—9月。</w:t>
      </w:r>
      <w:bookmarkEnd w:id="88"/>
      <w:bookmarkEnd w:id="89"/>
      <w:bookmarkEnd w:id="90"/>
      <w:bookmarkEnd w:id="91"/>
      <w:bookmarkEnd w:id="92"/>
      <w:bookmarkEnd w:id="93"/>
      <w:bookmarkEnd w:id="94"/>
      <w:bookmarkEnd w:id="95"/>
      <w:bookmarkEnd w:id="96"/>
    </w:p>
    <w:p w14:paraId="6996C15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default" w:ascii="仿宋" w:hAnsi="仿宋" w:eastAsia="仿宋" w:cs="仿宋"/>
          <w:b w:val="0"/>
          <w:bCs w:val="0"/>
          <w:sz w:val="32"/>
          <w:szCs w:val="32"/>
          <w:highlight w:val="none"/>
          <w:lang w:val="en-US" w:eastAsia="zh-CN"/>
        </w:rPr>
      </w:pPr>
      <w:bookmarkStart w:id="97" w:name="_Toc31394"/>
      <w:bookmarkStart w:id="98" w:name="_Toc22607"/>
      <w:bookmarkStart w:id="99" w:name="_Toc27174"/>
      <w:bookmarkStart w:id="100" w:name="_Toc29684"/>
      <w:bookmarkStart w:id="101" w:name="_Toc16517"/>
      <w:bookmarkStart w:id="102" w:name="_Toc1109"/>
      <w:bookmarkStart w:id="103" w:name="_Toc14192"/>
      <w:bookmarkStart w:id="104" w:name="_Toc11384"/>
      <w:bookmarkStart w:id="105" w:name="_Toc21108"/>
      <w:r>
        <w:rPr>
          <w:rFonts w:hint="default" w:ascii="仿宋" w:hAnsi="仿宋" w:eastAsia="仿宋" w:cs="仿宋"/>
          <w:b w:val="0"/>
          <w:bCs w:val="0"/>
          <w:sz w:val="32"/>
          <w:szCs w:val="32"/>
          <w:highlight w:val="none"/>
          <w:lang w:val="en-US" w:eastAsia="zh-CN"/>
        </w:rPr>
        <w:t>汕尾市降雨空间总体分布南多北少，全市最大年雨量（红海湾遮浪2117毫米)是最小年雨量（陆河南万1017毫米）的2.1倍。降雨时间分布高度集中于汛期，4—9月总雨量1769毫米占全年的94%，而非汛期的1—3月总雨量100毫米、10—12月总雨量不足10毫米。这导致了阶段性的明显旱涝。</w:t>
      </w:r>
      <w:bookmarkEnd w:id="97"/>
      <w:bookmarkEnd w:id="98"/>
      <w:bookmarkEnd w:id="99"/>
      <w:bookmarkEnd w:id="100"/>
      <w:bookmarkEnd w:id="101"/>
      <w:bookmarkEnd w:id="102"/>
      <w:bookmarkEnd w:id="103"/>
      <w:bookmarkEnd w:id="104"/>
      <w:bookmarkEnd w:id="105"/>
    </w:p>
    <w:p w14:paraId="0E1BD96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default" w:ascii="楷体" w:hAnsi="楷体" w:eastAsia="楷体" w:cs="楷体"/>
          <w:b w:val="0"/>
          <w:bCs w:val="0"/>
          <w:sz w:val="32"/>
          <w:szCs w:val="32"/>
          <w:highlight w:val="none"/>
          <w:lang w:val="en-US" w:eastAsia="zh-CN"/>
        </w:rPr>
      </w:pPr>
      <w:bookmarkStart w:id="106" w:name="_Toc25997"/>
      <w:bookmarkStart w:id="107" w:name="_Toc17453"/>
      <w:bookmarkStart w:id="108" w:name="_Toc20102"/>
      <w:bookmarkStart w:id="109" w:name="_Toc6973"/>
      <w:bookmarkStart w:id="110" w:name="_Toc9104"/>
      <w:bookmarkStart w:id="111" w:name="_Toc23704"/>
      <w:bookmarkStart w:id="112" w:name="_Toc18778"/>
      <w:bookmarkStart w:id="113" w:name="_Toc32321"/>
      <w:bookmarkStart w:id="114" w:name="_Toc5209"/>
      <w:r>
        <w:rPr>
          <w:rFonts w:hint="eastAsia" w:ascii="楷体" w:hAnsi="楷体" w:eastAsia="楷体" w:cs="楷体"/>
          <w:b w:val="0"/>
          <w:bCs w:val="0"/>
          <w:sz w:val="32"/>
          <w:szCs w:val="32"/>
          <w:highlight w:val="none"/>
          <w:lang w:val="en-US" w:eastAsia="zh-CN"/>
        </w:rPr>
        <w:t>（四）高标准农田建设情况</w:t>
      </w:r>
      <w:bookmarkEnd w:id="106"/>
      <w:bookmarkEnd w:id="107"/>
      <w:bookmarkEnd w:id="108"/>
      <w:bookmarkEnd w:id="109"/>
      <w:bookmarkEnd w:id="110"/>
      <w:bookmarkEnd w:id="111"/>
      <w:bookmarkEnd w:id="112"/>
      <w:bookmarkEnd w:id="113"/>
      <w:bookmarkEnd w:id="114"/>
    </w:p>
    <w:p w14:paraId="38A0A14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仿宋" w:hAnsi="仿宋" w:eastAsia="仿宋" w:cs="仿宋"/>
          <w:b w:val="0"/>
          <w:bCs w:val="0"/>
          <w:sz w:val="32"/>
          <w:szCs w:val="32"/>
          <w:highlight w:val="none"/>
          <w:lang w:val="en-US" w:eastAsia="zh-CN"/>
        </w:rPr>
      </w:pPr>
      <w:bookmarkStart w:id="115" w:name="_Toc22621"/>
      <w:bookmarkStart w:id="116" w:name="_Toc9110"/>
      <w:bookmarkStart w:id="117" w:name="_Toc21999"/>
      <w:bookmarkStart w:id="118" w:name="_Toc9569"/>
      <w:bookmarkStart w:id="119" w:name="_Toc2839"/>
      <w:bookmarkStart w:id="120" w:name="_Toc19979"/>
      <w:bookmarkStart w:id="121" w:name="_Toc31967"/>
      <w:bookmarkStart w:id="122" w:name="_Toc12870"/>
      <w:bookmarkStart w:id="123" w:name="_Toc15344"/>
      <w:bookmarkStart w:id="124" w:name="_Toc16196"/>
      <w:r>
        <w:rPr>
          <w:rFonts w:hint="eastAsia" w:ascii="仿宋" w:hAnsi="仿宋" w:eastAsia="仿宋" w:cs="仿宋"/>
          <w:b w:val="0"/>
          <w:bCs w:val="0"/>
          <w:sz w:val="32"/>
          <w:szCs w:val="32"/>
          <w:highlight w:val="none"/>
          <w:lang w:val="en-US" w:eastAsia="zh-CN"/>
        </w:rPr>
        <w:t>“十二五”以来，我市坚决贯彻落实党中央、国务院决策部署，加强资金整合，加大投入力度，切实加强高标准农田建设，改善了农田基础设施，提升了耕地质量、农业生产水平和粮食产能。据统计，截至2020年底，全市累计建成高标准农田面积84.68万亩。通过开展高标准农田建设，项目区内田、土、水、路、林等得到综合治理，农田基础设施和农业生产条件得到改善，大幅度提升了耕地抵御自然灾害能力和农业综合生产能力，提高了农业机械化水平，推动了土地流转，既保障了粮食安全，又促进了现代农业发展。</w:t>
      </w:r>
      <w:bookmarkEnd w:id="115"/>
      <w:bookmarkEnd w:id="116"/>
      <w:bookmarkEnd w:id="117"/>
      <w:bookmarkEnd w:id="118"/>
      <w:bookmarkEnd w:id="119"/>
      <w:bookmarkEnd w:id="120"/>
      <w:bookmarkEnd w:id="121"/>
      <w:bookmarkEnd w:id="122"/>
      <w:bookmarkEnd w:id="123"/>
      <w:bookmarkEnd w:id="124"/>
      <w:bookmarkStart w:id="125" w:name="_Toc19432"/>
      <w:bookmarkStart w:id="126" w:name="_Toc12587"/>
    </w:p>
    <w:p w14:paraId="734CE9AB">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p>
    <w:bookmarkEnd w:id="125"/>
    <w:p w14:paraId="32419E85">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default" w:ascii="黑体" w:hAnsi="黑体" w:eastAsia="黑体" w:cs="黑体"/>
          <w:b w:val="0"/>
          <w:bCs w:val="0"/>
          <w:sz w:val="32"/>
          <w:szCs w:val="32"/>
          <w:highlight w:val="none"/>
          <w:lang w:val="en-US" w:eastAsia="zh-CN"/>
        </w:rPr>
      </w:pPr>
      <w:bookmarkStart w:id="127" w:name="_Toc29481"/>
      <w:bookmarkStart w:id="128" w:name="_Toc20964"/>
      <w:bookmarkStart w:id="129" w:name="_Toc31071"/>
      <w:r>
        <w:rPr>
          <w:rFonts w:hint="eastAsia" w:ascii="黑体" w:hAnsi="黑体" w:eastAsia="黑体" w:cs="黑体"/>
          <w:b w:val="0"/>
          <w:bCs w:val="0"/>
          <w:sz w:val="32"/>
          <w:szCs w:val="32"/>
          <w:highlight w:val="none"/>
          <w:lang w:val="en-US" w:eastAsia="zh-CN"/>
        </w:rPr>
        <w:t>三、建设成效</w:t>
      </w:r>
      <w:bookmarkEnd w:id="126"/>
      <w:bookmarkEnd w:id="127"/>
      <w:bookmarkEnd w:id="128"/>
      <w:bookmarkEnd w:id="129"/>
    </w:p>
    <w:p w14:paraId="16788B6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（一）提高了国家粮食综合生产能力</w:t>
      </w:r>
    </w:p>
    <w:p w14:paraId="02BA453C">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highlight w:val="yellow"/>
          <w:lang w:val="en-US" w:eastAsia="zh-CN"/>
        </w:rPr>
      </w:pPr>
      <w:r>
        <w:rPr>
          <w:rFonts w:hint="eastAsia" w:ascii="仿宋" w:hAnsi="仿宋" w:eastAsia="仿宋" w:cs="仿宋"/>
          <w:b w:val="0"/>
          <w:bCs w:val="0"/>
          <w:sz w:val="32"/>
          <w:szCs w:val="32"/>
          <w:highlight w:val="none"/>
          <w:lang w:val="en-US" w:eastAsia="zh-CN"/>
        </w:rPr>
        <w:t>高标准农田建设夯实了农田基础设施，改善了农业生产条件，增强了农田防灾抗灾减灾能力，推动了耕地质量和地力提升，巩固提高了粮食综合生产能力，有效降低了粮食生产受灾损失，为粮食和重要农产品稳产保供提供了有力支撑。建成后的高标准农田，旱涝保收、稳产高产，亩均粮食产能增加10%-20%，提高了农民种粮的积极性，持续提升了全市粮食安全保障能力。2018年至2020年，全市粮食播种面积从119.09万亩增加到122.18万亩，粮食单产从亩均324公斤增加到350公斤，粮食总产量从38.60万吨提高到42.70万吨，高标准农田建设发挥了至关重要的作用。</w:t>
      </w:r>
    </w:p>
    <w:p w14:paraId="098A667C">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（二）推动了农业生产方式转型升级</w:t>
      </w:r>
    </w:p>
    <w:p w14:paraId="40C20519">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高标准农田通过集中连片开展田块整治、土壤改良、配套设施建设等措施,解决了耕地碎片化、质量下降、设施不配套等问题,有效促进了农业规模化、标准化、专业化经营,带动了农业机械化提档升级,提高了水土资源利用效率和土地产出率,加快了新型农业经营主体培育,推动了农业经营方式、生产方式、资源利用方式的转变,有效提高了农业综合效益和竞争力。</w:t>
      </w:r>
    </w:p>
    <w:p w14:paraId="7EAFD206">
      <w:pPr>
        <w:keepNext w:val="0"/>
        <w:keepLines w:val="0"/>
        <w:pageBreakBefore w:val="0"/>
        <w:numPr>
          <w:ilvl w:val="0"/>
          <w:numId w:val="0"/>
        </w:numPr>
        <w:kinsoku/>
        <w:wordWrap w:val="0"/>
        <w:overflowPunct/>
        <w:topLinePunct w:val="0"/>
        <w:autoSpaceDE/>
        <w:autoSpaceDN/>
        <w:bidi w:val="0"/>
        <w:adjustRightInd/>
        <w:snapToGrid/>
        <w:spacing w:line="600" w:lineRule="exact"/>
        <w:ind w:left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（三）改善了农田生态环境</w:t>
      </w:r>
    </w:p>
    <w:p w14:paraId="34A9609F">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高标准农田建设通过田块整治、秸秆还田、沟渠配套、节水灌溉、林网建设和集成推广绿色农业技术等措施，调整优化了农田生态格局，增强了农田生态防护能力，提高了农业生产投入品利用率，减少了农田水土流失，减轻了农业面源污染，防治了土壤酸化、潜育化和盐渍化，保持了耕地土壤健康，提升了农田生态系统碳汇能力，保护了农业生态环境。建成后的高标准农田,节水高效、生态友好，亩均节水、节药、节肥率均在10%以上，推动了农业绿色低碳发展，有效促进了山水林田湖草整体保护和农村环境连片整治，为实现生态宜居打下了坚实基础。</w:t>
      </w:r>
    </w:p>
    <w:p w14:paraId="2EE01EAF">
      <w:pPr>
        <w:keepNext w:val="0"/>
        <w:keepLines w:val="0"/>
        <w:pageBreakBefore w:val="0"/>
        <w:numPr>
          <w:ilvl w:val="0"/>
          <w:numId w:val="0"/>
        </w:numPr>
        <w:kinsoku/>
        <w:wordWrap w:val="0"/>
        <w:overflowPunct/>
        <w:topLinePunct w:val="0"/>
        <w:autoSpaceDE/>
        <w:autoSpaceDN/>
        <w:bidi w:val="0"/>
        <w:adjustRightInd/>
        <w:snapToGrid/>
        <w:spacing w:line="600" w:lineRule="exact"/>
        <w:ind w:left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（四）拓宽了农民增收致富渠道</w:t>
      </w:r>
    </w:p>
    <w:p w14:paraId="5FF0D261">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高标准农田建设通过合理归并田块、土壤改良、配套设施建设等措施，有效解决土地碎片化、耕地质量下降、设施不配套等问题，促进了农业规模化、标准化、专业化经营，带动了农业机械化提档升级，加快了新型农业经营主体培育，推动了农业经营方式、生产方式、资源利用方式的转变，提高了农业土地产出率、资源利用率和劳动生产率，提升了农业生产综合效益。建成后的高标准农田，耕地流转率平均提高15%-20%，耕作机械化水平平均提高15%-20%。从各县（市、区）实践看,平均每亩节本增效约300元,有效增加了农民生产经营性收入。</w:t>
      </w:r>
      <w:bookmarkStart w:id="130" w:name="_Toc13689"/>
    </w:p>
    <w:p w14:paraId="0763E486">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14:paraId="1F05E5FA">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val="0"/>
          <w:sz w:val="32"/>
          <w:szCs w:val="32"/>
          <w:highlight w:val="none"/>
          <w:lang w:val="en-US" w:eastAsia="zh-CN"/>
        </w:rPr>
      </w:pPr>
      <w:bookmarkStart w:id="131" w:name="_Toc23194"/>
      <w:bookmarkStart w:id="132" w:name="_Toc9195"/>
      <w:bookmarkStart w:id="133" w:name="_Toc28716"/>
      <w:r>
        <w:rPr>
          <w:rFonts w:hint="eastAsia" w:ascii="黑体" w:hAnsi="黑体" w:eastAsia="黑体" w:cs="黑体"/>
          <w:b w:val="0"/>
          <w:bCs w:val="0"/>
          <w:sz w:val="32"/>
          <w:szCs w:val="32"/>
          <w:highlight w:val="none"/>
          <w:lang w:val="en-US" w:eastAsia="zh-CN"/>
        </w:rPr>
        <w:t>四、主要问题</w:t>
      </w:r>
      <w:bookmarkEnd w:id="130"/>
      <w:bookmarkEnd w:id="131"/>
      <w:bookmarkEnd w:id="132"/>
      <w:bookmarkEnd w:id="133"/>
    </w:p>
    <w:p w14:paraId="7A85CE05">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（一）建设任务十分艰巨</w:t>
      </w:r>
    </w:p>
    <w:p w14:paraId="21AA83E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我市已建成高标准农田占耕地面积的比例约76.33%，大部分耕地仍然存在着基础设施薄弱、抗灾能力不强、耕地质量不高、田块细碎化等问题。同时,受到自然灾害破坏等因素影响,部分已建成高标准农田不同程度存在着工程不配套、设施损毁等问题,影响农田使用成效,改造提升任务仍然艰巨。现有高标准农田无论是数量规模还是质量等级,都不适应农业高质量发展的要求。</w:t>
      </w:r>
    </w:p>
    <w:p w14:paraId="0AB0423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（二）建设标准偏低</w:t>
      </w:r>
    </w:p>
    <w:p w14:paraId="666FD777">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过去一个时期,高标准农田建设在资金使用、建设内容、组织实施等方面要求不统一。随着高标准农田建设的深入推进,集中连片、施工条件较好的地块越来越少,建设难度不断增大,建设成本持续攀升,资金需求大、筹措难。受此影响,一些地方高标准农田建设内容不完善、工程措施不配套,难以达到国家标准。</w:t>
      </w:r>
    </w:p>
    <w:p w14:paraId="6842DEF0">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（三）建后管护任务加重</w:t>
      </w:r>
    </w:p>
    <w:p w14:paraId="1F3EB401">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农田建设三分建、七分管。一些地方存在重建设、轻管护的问题,未能有效落实管护责任,管护措施和手段薄弱,后续监测评价和跟踪督导机制不完善,日常管护不到位,设施设备损毁后得不到及时有效修复,常年带病运行,工程使用年限明显缩短。加之，按照坚决遏制耕地“非农化”、严格管控“非粮化”的要求，对我市建成高标准农田管护利用要求更高，面临更多考验。</w:t>
      </w:r>
    </w:p>
    <w:p w14:paraId="65FC210B">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（四）绿色发展需进一步加强</w:t>
      </w:r>
    </w:p>
    <w:p w14:paraId="057B6928">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早期建设的高标准农田侧重产能提升而对改善农田生态环境重视不够,在高标准农田项目设计、施工各环节,未能充分体现绿色发展理念,存在简单硬化沟渠道路等影响生态环境的问题。加之因缺乏与良种良法良机良制等措施的有效融合,一些高标准农田建成后,仍然沿用传统粗放的生产方式,资源消耗强度大,耕地质量提升不明显,支撑现代业绿色发展的作用未能充分发挥。</w:t>
      </w:r>
    </w:p>
    <w:p w14:paraId="336B4C87">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sz w:val="32"/>
          <w:szCs w:val="32"/>
          <w:highlight w:val="none"/>
          <w:lang w:val="en-US" w:eastAsia="zh-CN"/>
        </w:rPr>
      </w:pPr>
      <w:bookmarkStart w:id="134" w:name="_Toc25657"/>
    </w:p>
    <w:p w14:paraId="0F6E1494">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val="0"/>
          <w:sz w:val="32"/>
          <w:szCs w:val="32"/>
          <w:highlight w:val="none"/>
          <w:lang w:val="en-US" w:eastAsia="zh-CN"/>
        </w:rPr>
      </w:pPr>
      <w:bookmarkStart w:id="135" w:name="_Toc5482"/>
      <w:bookmarkStart w:id="136" w:name="_Toc5720"/>
      <w:bookmarkStart w:id="137" w:name="_Toc5245"/>
      <w:r>
        <w:rPr>
          <w:rFonts w:hint="eastAsia" w:ascii="黑体" w:hAnsi="黑体" w:eastAsia="黑体" w:cs="黑体"/>
          <w:b w:val="0"/>
          <w:bCs w:val="0"/>
          <w:sz w:val="32"/>
          <w:szCs w:val="32"/>
          <w:highlight w:val="none"/>
          <w:lang w:val="en-US" w:eastAsia="zh-CN"/>
        </w:rPr>
        <w:t>五、有利条件</w:t>
      </w:r>
      <w:bookmarkEnd w:id="134"/>
      <w:bookmarkEnd w:id="135"/>
      <w:bookmarkEnd w:id="136"/>
      <w:bookmarkEnd w:id="137"/>
    </w:p>
    <w:p w14:paraId="28766C84">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（一）保障国家粮食安全，为高标准农田建设提供了强力政策</w:t>
      </w:r>
    </w:p>
    <w:p w14:paraId="1D07DF7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党中央、国务院高度重视高标准农田建设，习近平总书记多次作出重要指示，强调中国人的饭碗任何时候都要牢牢端在自己手中，饭碗主要装中国粮；要突出抓好耕地保护和地力提升，坚定不移抓好高标准农田建设，提高建设标准和质量。近年来中央1号文件、中央经济工作会议、中央农村工作会议和国家“十四五”规划纲要均对高标准农田建设作出部署。新一轮全国高标准农田建设规划深入贯彻落实党中央、国务院决策部署，提出了“高标准农田建设实行中央统筹、省负总责、市县乡抓落实、群众参与的工作机制。强化政府一把手负总责、分管领导直接负责的责任制”，“在高标准农田建设中增加的耕地作为占补平衡补充耕地指标在省域内调剂，所得收益用于高标准农田建设”，“采取投资补助、以奖代补、财政贴息等多种方式，有序引导金融、社会资本和新型农业经营主体投入高标准农田建设”等重大举措，进一步加大了政策支持力度，高标准农田建设迎来了新一轮重要战略机遇期。</w:t>
      </w:r>
    </w:p>
    <w:p w14:paraId="75FD53B1">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（二）建设高效数字政府，为高标准农田建设夯实了工作基础</w:t>
      </w:r>
    </w:p>
    <w:p w14:paraId="360FA5DF">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市委、市政府高度重视高标准农田建设，市领导多次作出指示批示，坚持高位推动我市高标准农田建设。机构改革以来，广东省农业农村厅立足农田建设管理事权职责统一的新起点，初步构建了农田建设集中统一高效管理制度体系，广东省农田建设管理信息系统于2020年3月9日正式启用上线，在全国率先实现农业农村部门全面承接高标准农田建设上图入库工作。2021年6月，广东省农业农村厅、发展改革委、财政厅、自然资源厅、水利厅、农垦总局联合印发了《广东省农田整治提升行动方案（2021—2025年）》，从加强高标准农田建设、开展撂荒耕地整治和复耕整治、提升耕地地力、确保良田粮用等方面部署了农田整治提升行动，为全市新一轮高标准农田建设提供了坚强有力的支持。</w:t>
      </w:r>
    </w:p>
    <w:p w14:paraId="634B09D7">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（三）坚持最严格耕地保护制度，为高标准农田建设营造了有利环境</w:t>
      </w:r>
    </w:p>
    <w:p w14:paraId="04C4B4CE">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耕地是粮食生产的命根子，是我国最宝贵的资源，关系十几亿人吃饭大事，必须保护好，绝不能有闪失，要像保护大熊猫一样保护耕地，18亿亩耕地必须实至名归，农田就是农田,而且必须是良田。新一轮全国高标准农田建设规划明确提出“已建成的高标准农田，要及时划为永久基本农田，实行特殊保护”。《广东省人民政府印发关于进一步加强和改进耕地保护工作若干措施的通知》（粤府函〔2021〕130号）中明确要求“坚持最严格的耕地保护制度和最严格的节约用地制度，遏制耕地‘非农化’，严格管控‘非粮化’，进一步加强耕地保护监督”，并且将其纳入耕地保护责任目标和粮食安全责任考核内容。落实最严格耕地保护制度，坚持数量和质量并重，严守耕地红线，坚决遏制耕地“非农化”、严格管控“非粮化”，这为全市新一轮高标准农田建设的项目选址、建设管理、建后管护和严格利用等各项工作营造了更加有利的环境。</w:t>
      </w:r>
    </w:p>
    <w:p w14:paraId="5293D630">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（四）推进农业农村现代化，为高标准农田建设拓展了发展空间</w:t>
      </w:r>
    </w:p>
    <w:p w14:paraId="58C75397">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大力推进高标准农田建设，加快补上农业基础设施短板，有利于聚集现代生产要素，促进农业规模化、机械化、标准化、绿色化，打造现代农业生产基地和产业集群，保障粮食及重要农产品安全供应，是实施乡村振兴战略、加快农业农村现代化的重要基础工作。《汕尾市农业农村现代化“十四五”规划》明确要求“坚持藏粮于地、藏粮于技，深化农业结构调整，保数量、保多样、保质量，有力履行国家粮食安全广东责任，分类推进粮食等重要农产品、特色农产品稳产保供”，“实施新一轮高标准农田建设，优先支持粮食生产功能区、粮食生产重点县、现代农业产业园等区域，集中力量建设集中连片、旱涝保收、节水高效、稳产高产、生态友好、宜机作业的高标准农田，高质量完成国家下达的建设任务”。</w:t>
      </w:r>
    </w:p>
    <w:p w14:paraId="135C4E5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14:paraId="1440D05A">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val="0"/>
          <w:sz w:val="32"/>
          <w:szCs w:val="32"/>
          <w:highlight w:val="none"/>
          <w:lang w:val="en-US" w:eastAsia="zh-CN"/>
        </w:rPr>
      </w:pPr>
      <w:bookmarkStart w:id="138" w:name="_Toc1010"/>
      <w:bookmarkStart w:id="139" w:name="_Toc27040"/>
      <w:r>
        <w:rPr>
          <w:rFonts w:hint="eastAsia" w:ascii="黑体" w:hAnsi="黑体" w:eastAsia="黑体" w:cs="黑体"/>
          <w:b w:val="0"/>
          <w:bCs w:val="0"/>
          <w:sz w:val="32"/>
          <w:szCs w:val="32"/>
          <w:highlight w:val="none"/>
          <w:lang w:val="en-US" w:eastAsia="zh-CN"/>
        </w:rPr>
        <w:t>六、规划依据</w:t>
      </w:r>
      <w:bookmarkEnd w:id="138"/>
      <w:bookmarkEnd w:id="139"/>
    </w:p>
    <w:p w14:paraId="14AAA3EF">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default" w:ascii="楷体" w:hAnsi="楷体" w:eastAsia="楷体" w:cs="楷体"/>
          <w:b w:val="0"/>
          <w:bCs w:val="0"/>
          <w:sz w:val="32"/>
          <w:szCs w:val="32"/>
          <w:highlight w:val="none"/>
          <w:lang w:val="en-US" w:eastAsia="zh-CN"/>
        </w:rPr>
      </w:pPr>
      <w:r>
        <w:rPr>
          <w:rFonts w:hint="default" w:ascii="楷体" w:hAnsi="楷体" w:eastAsia="楷体" w:cs="楷体"/>
          <w:b w:val="0"/>
          <w:bCs w:val="0"/>
          <w:sz w:val="32"/>
          <w:szCs w:val="32"/>
          <w:highlight w:val="none"/>
          <w:lang w:val="en-US" w:eastAsia="zh-CN"/>
        </w:rPr>
        <w:t>(一)法律法规</w:t>
      </w:r>
    </w:p>
    <w:p w14:paraId="57D1FD40">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default" w:ascii="仿宋" w:hAnsi="仿宋" w:eastAsia="仿宋" w:cs="仿宋"/>
          <w:sz w:val="32"/>
          <w:szCs w:val="32"/>
          <w:highlight w:val="none"/>
          <w:lang w:val="en-US" w:eastAsia="zh-CN"/>
        </w:rPr>
        <w:t>《中华人民共和国土地管理法》（第十三届全国人民代表大会常务委员会第12次会议于2019年8月26日通过，自2020年1月1日起施行)；</w:t>
      </w:r>
    </w:p>
    <w:p w14:paraId="7A9FD885">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2、《中华人民共和国土地管理法实施条例》(2021年4月21日修订)；</w:t>
      </w:r>
    </w:p>
    <w:p w14:paraId="364A0C1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3、《中华人民共和国基本农田保护条例》(2011年1月8日修订)；</w:t>
      </w:r>
    </w:p>
    <w:p w14:paraId="7F0FFFD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4、《中华人民共和国农业法》(2012年12月28日修订)；</w:t>
      </w:r>
    </w:p>
    <w:p w14:paraId="1C2328E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5、《农田水利条例》（国令第669号）；</w:t>
      </w:r>
    </w:p>
    <w:p w14:paraId="07A5C67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6、《农田建设项目管理办法》（农业农村部令2019年第4号)；</w:t>
      </w:r>
    </w:p>
    <w:p w14:paraId="4A2EB5B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7、《广东省耕地质量管理规定》（广东省人民政府令，2020年)；</w:t>
      </w:r>
    </w:p>
    <w:p w14:paraId="07AC92C0">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8、《中华人民共和国乡村振兴促进法》(2021年4月29日第十三届全国人民代表大会常务委员会第二十八次会议通过)。</w:t>
      </w:r>
    </w:p>
    <w:p w14:paraId="4B8E4040">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p>
    <w:p w14:paraId="6E97CE88">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default" w:ascii="楷体" w:hAnsi="楷体" w:eastAsia="楷体" w:cs="楷体"/>
          <w:b w:val="0"/>
          <w:bCs w:val="0"/>
          <w:sz w:val="32"/>
          <w:szCs w:val="32"/>
          <w:highlight w:val="none"/>
          <w:lang w:val="en-US" w:eastAsia="zh-CN"/>
        </w:rPr>
      </w:pPr>
      <w:r>
        <w:rPr>
          <w:rFonts w:hint="default" w:ascii="楷体" w:hAnsi="楷体" w:eastAsia="楷体" w:cs="楷体"/>
          <w:b w:val="0"/>
          <w:bCs w:val="0"/>
          <w:sz w:val="32"/>
          <w:szCs w:val="32"/>
          <w:highlight w:val="none"/>
          <w:lang w:val="en-US" w:eastAsia="zh-CN"/>
        </w:rPr>
        <w:t>(二)政策文件</w:t>
      </w:r>
    </w:p>
    <w:p w14:paraId="707AF6EF">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1、《中共中央</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国务院关于做好2022年全面推进乡村振兴重点工作的意见》(2022年中央一号文件，2022年2月22日)；</w:t>
      </w:r>
    </w:p>
    <w:p w14:paraId="38970578">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2、《国务院办公厅关于切实加强高标准农田建设提升国家粮食安全保障能力的意见》（国办发〔2019〕50号）；</w:t>
      </w:r>
    </w:p>
    <w:p w14:paraId="4AAEA495">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3、《高标准农田建设评价激励实施办法（试行）》（农建发〔2019〕1号)；</w:t>
      </w:r>
    </w:p>
    <w:p w14:paraId="2706D016">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4、《农业农村部办公厅关于做好全国高标准农田建设规划修编工作的通知》（农办建〔2019〕3号）；</w:t>
      </w:r>
    </w:p>
    <w:p w14:paraId="6E086F8E">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5、《农业农村部关于印发&lt;高标准农田建设质量管理办法（试行)&gt;的通知》（农建发〔2021〕1号）；</w:t>
      </w:r>
    </w:p>
    <w:p w14:paraId="36B16B8D">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6、《农业农村部关于印发&lt;高标准农田建设项目竣工验收办法&gt;的通知》（农建发〔2021〕5号）</w:t>
      </w:r>
    </w:p>
    <w:p w14:paraId="780442C8">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7、《农业农村部办公厅关于加快构建高标准农田建设规划体系的通知》（农办建〔2021〕8号）；</w:t>
      </w:r>
    </w:p>
    <w:p w14:paraId="67036E4E">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8、《广东省人民政府办公厅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关于进一步加强高标准农田建设的通知》（粤办函〔2020〕63号）；</w:t>
      </w:r>
    </w:p>
    <w:p w14:paraId="4A195880">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9、《关于加快建设完善2019年及以后年度高标准农田建设项目库的通知》（粤农农〔2018〕124号）；</w:t>
      </w:r>
    </w:p>
    <w:p w14:paraId="4685647B">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10、《关于印发&lt;广东省高标准农田建设项目工作流程指引&gt;和&lt;广东省高标准农田建设项目工作时段分布指引&gt;的通知》（粤农农函〔2019〕379号)；</w:t>
      </w:r>
    </w:p>
    <w:p w14:paraId="231E9356">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11、《关于印发&lt;广东省农业农村厅农田建设项目管理实施办法&gt;的通知》（粤农农规〔2020〕4号）；</w:t>
      </w:r>
    </w:p>
    <w:p w14:paraId="66804DBA">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12、《广东省农业农村厅关于规范农田建设项目调整和终止有关事项的通知》（粤农农函〔2020〕79号）；</w:t>
      </w:r>
    </w:p>
    <w:p w14:paraId="04077E45">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13、《关于印发高标准农田建设项目耕地质量提升相关指引的通知》（粤农农办〔2020〕194号）；</w:t>
      </w:r>
    </w:p>
    <w:p w14:paraId="18D73136">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14、《广东省农业农村厅关于明确农田建设项目竣工验收工作事项的通知》（粤农农函〔2020〕428号）；</w:t>
      </w:r>
    </w:p>
    <w:p w14:paraId="3213E850">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15、《广东省农业农村厅办公室</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&lt;关于印发广东省高标准农田建设相关技术规程的通知&gt;》（粤农农办〔2021〕100号）；</w:t>
      </w:r>
    </w:p>
    <w:p w14:paraId="12009293">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16、《广东省农业农村厅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广东省发展和改革委员会</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广东省财政厅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广东省自然资源厅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广东省水利厅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广东省农垦总关于印发&lt;广东省农田整治提升行动方案(2021~2025年)&gt;的通知》(粤农农〔2021〕151号)；</w:t>
      </w:r>
    </w:p>
    <w:p w14:paraId="5CAB947B">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17、《广东省农业农村厅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转发农业农村部关于印发&lt;高标准农田建设质量管理办法（试行）&gt;的通知》（粤农农函〔2021〕325号)；</w:t>
      </w:r>
    </w:p>
    <w:p w14:paraId="527C7FF9">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18、《广东省自然资源厅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广东省发展和改革委员会</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广东省农业农村厅</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广东省林业局关于保障农村一二三产业融合发展用地促进乡村振兴的指导意见》（粤自然资规字〔2022〕1号）；</w:t>
      </w:r>
    </w:p>
    <w:p w14:paraId="5F7ADFD2">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eastAsia"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19、《关于进一步规范高标准农田建设项目名称的通知》（粤农农办〔2022〕16号)</w:t>
      </w:r>
      <w:r>
        <w:rPr>
          <w:rFonts w:hint="eastAsia" w:ascii="仿宋" w:hAnsi="仿宋" w:eastAsia="仿宋" w:cs="仿宋"/>
          <w:sz w:val="32"/>
          <w:szCs w:val="32"/>
          <w:highlight w:val="none"/>
          <w:lang w:val="en-US" w:eastAsia="zh-CN"/>
        </w:rPr>
        <w:t>。</w:t>
      </w:r>
    </w:p>
    <w:p w14:paraId="5AB61E48">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p>
    <w:p w14:paraId="0746A1A8">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default" w:ascii="楷体" w:hAnsi="楷体" w:eastAsia="楷体" w:cs="楷体"/>
          <w:b w:val="0"/>
          <w:bCs w:val="0"/>
          <w:sz w:val="32"/>
          <w:szCs w:val="32"/>
          <w:highlight w:val="none"/>
          <w:lang w:val="en-US" w:eastAsia="zh-CN"/>
        </w:rPr>
      </w:pPr>
      <w:r>
        <w:rPr>
          <w:rFonts w:hint="default" w:ascii="楷体" w:hAnsi="楷体" w:eastAsia="楷体" w:cs="楷体"/>
          <w:b w:val="0"/>
          <w:bCs w:val="0"/>
          <w:sz w:val="32"/>
          <w:szCs w:val="32"/>
          <w:highlight w:val="none"/>
          <w:lang w:val="en-US" w:eastAsia="zh-CN"/>
        </w:rPr>
        <w:t>(</w:t>
      </w:r>
      <w:r>
        <w:rPr>
          <w:rFonts w:hint="eastAsia" w:ascii="楷体" w:hAnsi="楷体" w:eastAsia="楷体" w:cs="楷体"/>
          <w:b w:val="0"/>
          <w:bCs w:val="0"/>
          <w:sz w:val="32"/>
          <w:szCs w:val="32"/>
          <w:highlight w:val="none"/>
          <w:lang w:val="en-US" w:eastAsia="zh-CN"/>
        </w:rPr>
        <w:t>三</w:t>
      </w:r>
      <w:r>
        <w:rPr>
          <w:rFonts w:hint="default" w:ascii="楷体" w:hAnsi="楷体" w:eastAsia="楷体" w:cs="楷体"/>
          <w:b w:val="0"/>
          <w:bCs w:val="0"/>
          <w:sz w:val="32"/>
          <w:szCs w:val="32"/>
          <w:highlight w:val="none"/>
          <w:lang w:val="en-US" w:eastAsia="zh-CN"/>
        </w:rPr>
        <w:t>)</w:t>
      </w:r>
      <w:r>
        <w:rPr>
          <w:rFonts w:hint="eastAsia" w:ascii="楷体" w:hAnsi="楷体" w:eastAsia="楷体" w:cs="楷体"/>
          <w:b w:val="0"/>
          <w:bCs w:val="0"/>
          <w:sz w:val="32"/>
          <w:szCs w:val="32"/>
          <w:highlight w:val="none"/>
          <w:lang w:val="en-US" w:eastAsia="zh-CN"/>
        </w:rPr>
        <w:t>标准规范</w:t>
      </w:r>
    </w:p>
    <w:p w14:paraId="0E1C6BF7">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1、《高标准农田建设通则》(GB/T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30600-2022);</w:t>
      </w:r>
    </w:p>
    <w:p w14:paraId="7B9D4C75">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2、《高标准农田建设评价规范》(GB/T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33130-2016);</w:t>
      </w:r>
    </w:p>
    <w:p w14:paraId="354EF55D">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3、《土地利用现状分类》(GB/T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21010-2017);</w:t>
      </w:r>
    </w:p>
    <w:p w14:paraId="1FAE58F4">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4、《土壤环境质量</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农用地土壤污染风险管控标准（试行）》(GB</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15618-2018);</w:t>
      </w:r>
    </w:p>
    <w:p w14:paraId="06240F39">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5、《节水灌溉工程技术标准》(GB/T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50363-2018);</w:t>
      </w:r>
    </w:p>
    <w:p w14:paraId="5CC878A7">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6、《耕地质量等级》(GB/T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33469-2016);</w:t>
      </w:r>
    </w:p>
    <w:p w14:paraId="5DDD5DF3">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7、《农田建设规划编制规程》(NY-T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2247-2012);</w:t>
      </w:r>
    </w:p>
    <w:p w14:paraId="29E1BB6F">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8、《基本农田划定技术规程标准》(TD/T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1032-2011);</w:t>
      </w:r>
    </w:p>
    <w:p w14:paraId="4A60AFDB">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9、《第三次全国国土调查技术规程》(TD/T</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1055-2019);</w:t>
      </w:r>
    </w:p>
    <w:p w14:paraId="1F811834">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10、《广东省高标准农田建设宜机化改造工程技术规范》。</w:t>
      </w:r>
    </w:p>
    <w:p w14:paraId="672FC49A">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firstLineChars="200"/>
        <w:jc w:val="left"/>
        <w:textAlignment w:val="auto"/>
        <w:rPr>
          <w:rFonts w:hint="default" w:ascii="仿宋" w:hAnsi="仿宋" w:eastAsia="仿宋" w:cs="仿宋"/>
          <w:sz w:val="32"/>
          <w:szCs w:val="32"/>
          <w:highlight w:val="none"/>
          <w:lang w:val="en-US" w:eastAsia="zh-CN"/>
        </w:rPr>
      </w:pPr>
    </w:p>
    <w:p w14:paraId="607E73DB">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default" w:ascii="楷体" w:hAnsi="楷体" w:eastAsia="楷体" w:cs="楷体"/>
          <w:b w:val="0"/>
          <w:bCs w:val="0"/>
          <w:sz w:val="32"/>
          <w:szCs w:val="32"/>
          <w:highlight w:val="none"/>
          <w:lang w:val="en-US" w:eastAsia="zh-CN"/>
        </w:rPr>
      </w:pPr>
      <w:r>
        <w:rPr>
          <w:rFonts w:hint="default" w:ascii="楷体" w:hAnsi="楷体" w:eastAsia="楷体" w:cs="楷体"/>
          <w:b w:val="0"/>
          <w:bCs w:val="0"/>
          <w:sz w:val="32"/>
          <w:szCs w:val="32"/>
          <w:highlight w:val="none"/>
          <w:lang w:val="en-US" w:eastAsia="zh-CN"/>
        </w:rPr>
        <w:t>(</w:t>
      </w:r>
      <w:r>
        <w:rPr>
          <w:rFonts w:hint="eastAsia" w:ascii="楷体" w:hAnsi="楷体" w:eastAsia="楷体" w:cs="楷体"/>
          <w:b w:val="0"/>
          <w:bCs w:val="0"/>
          <w:sz w:val="32"/>
          <w:szCs w:val="32"/>
          <w:highlight w:val="none"/>
          <w:lang w:val="en-US" w:eastAsia="zh-CN"/>
        </w:rPr>
        <w:t>四</w:t>
      </w:r>
      <w:r>
        <w:rPr>
          <w:rFonts w:hint="default" w:ascii="楷体" w:hAnsi="楷体" w:eastAsia="楷体" w:cs="楷体"/>
          <w:b w:val="0"/>
          <w:bCs w:val="0"/>
          <w:sz w:val="32"/>
          <w:szCs w:val="32"/>
          <w:highlight w:val="none"/>
          <w:lang w:val="en-US" w:eastAsia="zh-CN"/>
        </w:rPr>
        <w:t>)相关规划文件</w:t>
      </w:r>
    </w:p>
    <w:p w14:paraId="3A199398">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default" w:ascii="仿宋" w:hAnsi="仿宋" w:eastAsia="仿宋" w:cs="仿宋"/>
          <w:sz w:val="32"/>
          <w:szCs w:val="32"/>
          <w:highlight w:val="none"/>
          <w:lang w:val="en-US" w:eastAsia="zh-CN"/>
        </w:rPr>
        <w:t>《全国农业可持续发展规划(2015-2030)》</w:t>
      </w:r>
      <w:r>
        <w:rPr>
          <w:rFonts w:hint="eastAsia" w:ascii="仿宋" w:hAnsi="仿宋" w:eastAsia="仿宋" w:cs="仿宋"/>
          <w:sz w:val="32"/>
          <w:szCs w:val="32"/>
          <w:highlight w:val="none"/>
          <w:lang w:val="en-US" w:eastAsia="zh-CN"/>
        </w:rPr>
        <w:t>；</w:t>
      </w:r>
    </w:p>
    <w:p w14:paraId="3827CB0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lang w:val="en-US" w:eastAsia="zh-CN"/>
        </w:rPr>
        <w:t>《全国高标准农田建设规划(2021-2030年)》</w:t>
      </w:r>
      <w:r>
        <w:rPr>
          <w:rFonts w:hint="eastAsia" w:ascii="仿宋" w:hAnsi="仿宋" w:eastAsia="仿宋" w:cs="仿宋"/>
          <w:sz w:val="32"/>
          <w:szCs w:val="32"/>
          <w:highlight w:val="none"/>
          <w:lang w:val="en-US" w:eastAsia="zh-CN"/>
        </w:rPr>
        <w:t>；</w:t>
      </w:r>
    </w:p>
    <w:p w14:paraId="5CF8D86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广东</w:t>
      </w:r>
      <w:r>
        <w:rPr>
          <w:rFonts w:hint="default" w:ascii="仿宋" w:hAnsi="仿宋" w:eastAsia="仿宋" w:cs="仿宋"/>
          <w:sz w:val="32"/>
          <w:szCs w:val="32"/>
          <w:highlight w:val="none"/>
          <w:lang w:val="en-US" w:eastAsia="zh-CN"/>
        </w:rPr>
        <w:t>省高标准农田建设规划(2021-20</w:t>
      </w:r>
      <w:r>
        <w:rPr>
          <w:rFonts w:hint="eastAsia" w:ascii="仿宋" w:hAnsi="仿宋" w:eastAsia="仿宋" w:cs="仿宋"/>
          <w:sz w:val="32"/>
          <w:szCs w:val="32"/>
          <w:highlight w:val="none"/>
          <w:lang w:val="en-US" w:eastAsia="zh-CN"/>
        </w:rPr>
        <w:t>30年</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w:t>
      </w:r>
    </w:p>
    <w:p w14:paraId="332036DC">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hint="default" w:ascii="仿宋" w:hAnsi="仿宋" w:eastAsia="仿宋" w:cs="仿宋"/>
          <w:sz w:val="32"/>
          <w:szCs w:val="32"/>
          <w:highlight w:val="none"/>
          <w:lang w:val="en-US" w:eastAsia="zh-CN"/>
        </w:rPr>
        <w:t>《广东省国民经济和社会发展第十四个五年规划和2035年远景目标纲要》</w:t>
      </w:r>
      <w:r>
        <w:rPr>
          <w:rFonts w:hint="eastAsia" w:ascii="仿宋" w:hAnsi="仿宋" w:eastAsia="仿宋" w:cs="仿宋"/>
          <w:sz w:val="32"/>
          <w:szCs w:val="32"/>
          <w:highlight w:val="none"/>
          <w:lang w:val="en-US" w:eastAsia="zh-CN"/>
        </w:rPr>
        <w:t>；</w:t>
      </w:r>
    </w:p>
    <w:p w14:paraId="292BFEE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w:t>
      </w:r>
      <w:r>
        <w:rPr>
          <w:rFonts w:hint="default" w:ascii="仿宋" w:hAnsi="仿宋" w:eastAsia="仿宋" w:cs="仿宋"/>
          <w:sz w:val="32"/>
          <w:szCs w:val="32"/>
          <w:highlight w:val="none"/>
          <w:lang w:val="en-US" w:eastAsia="zh-CN"/>
        </w:rPr>
        <w:t>《广东省推进农业农村现代化“十四五”规划》</w:t>
      </w:r>
      <w:r>
        <w:rPr>
          <w:rFonts w:hint="eastAsia" w:ascii="仿宋" w:hAnsi="仿宋" w:eastAsia="仿宋" w:cs="仿宋"/>
          <w:sz w:val="32"/>
          <w:szCs w:val="32"/>
          <w:highlight w:val="none"/>
          <w:lang w:val="en-US" w:eastAsia="zh-CN"/>
        </w:rPr>
        <w:t>；</w:t>
      </w:r>
    </w:p>
    <w:p w14:paraId="1F5A2278">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6、《汕尾市国民经济和社会发展第十四个五年规划和二〇三五年远景目标纲要》；</w:t>
      </w:r>
    </w:p>
    <w:p w14:paraId="1289A82C">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汕尾</w:t>
      </w:r>
      <w:r>
        <w:rPr>
          <w:rFonts w:hint="default" w:ascii="仿宋" w:hAnsi="仿宋" w:eastAsia="仿宋" w:cs="仿宋"/>
          <w:sz w:val="32"/>
          <w:szCs w:val="32"/>
          <w:highlight w:val="none"/>
          <w:lang w:val="en-US" w:eastAsia="zh-CN"/>
        </w:rPr>
        <w:t>市农业农村“十四五”规划(2021-2025年)》</w:t>
      </w:r>
      <w:r>
        <w:rPr>
          <w:rFonts w:hint="eastAsia" w:ascii="仿宋" w:hAnsi="仿宋" w:eastAsia="仿宋" w:cs="仿宋"/>
          <w:sz w:val="32"/>
          <w:szCs w:val="32"/>
          <w:highlight w:val="none"/>
          <w:lang w:val="en-US" w:eastAsia="zh-CN"/>
        </w:rPr>
        <w:t>。</w:t>
      </w:r>
    </w:p>
    <w:p w14:paraId="4CF0720C">
      <w:pPr>
        <w:keepNext w:val="0"/>
        <w:keepLines w:val="0"/>
        <w:pageBreakBefore w:val="0"/>
        <w:kinsoku/>
        <w:wordWrap w:val="0"/>
        <w:overflowPunct/>
        <w:autoSpaceDE/>
        <w:autoSpaceDN/>
        <w:bidi w:val="0"/>
        <w:textAlignment w:val="auto"/>
        <w:rPr>
          <w:rFonts w:hint="eastAsia" w:ascii="仿宋" w:hAnsi="仿宋" w:eastAsia="仿宋" w:cs="仿宋"/>
          <w:kern w:val="2"/>
          <w:sz w:val="32"/>
          <w:szCs w:val="32"/>
          <w:highlight w:val="none"/>
          <w:lang w:val="en-US" w:eastAsia="zh-CN" w:bidi="ar-SA"/>
        </w:rPr>
      </w:pPr>
      <w:bookmarkStart w:id="140" w:name="_Toc19695"/>
      <w:bookmarkStart w:id="141" w:name="_Toc28299"/>
    </w:p>
    <w:p w14:paraId="6409B324">
      <w:pPr>
        <w:keepNext w:val="0"/>
        <w:keepLines w:val="0"/>
        <w:pageBreakBefore w:val="0"/>
        <w:kinsoku/>
        <w:wordWrap w:val="0"/>
        <w:overflowPunct/>
        <w:autoSpaceDE/>
        <w:autoSpaceDN/>
        <w:bidi w:val="0"/>
        <w:textAlignment w:val="auto"/>
        <w:rPr>
          <w:rFonts w:hint="eastAsia"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br w:type="page"/>
      </w:r>
    </w:p>
    <w:p w14:paraId="7AEBE622">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142" w:name="_Toc27654"/>
      <w:bookmarkStart w:id="143" w:name="_Toc16643"/>
      <w:bookmarkStart w:id="144" w:name="_Toc1586"/>
      <w:r>
        <w:rPr>
          <w:rFonts w:hint="eastAsia" w:ascii="黑体" w:hAnsi="黑体" w:eastAsia="黑体" w:cs="黑体"/>
          <w:b w:val="0"/>
          <w:bCs w:val="0"/>
          <w:sz w:val="36"/>
          <w:szCs w:val="36"/>
          <w:highlight w:val="none"/>
          <w:lang w:val="en-US" w:eastAsia="zh-CN"/>
        </w:rPr>
        <w:t>第二章 总体思路</w:t>
      </w:r>
      <w:bookmarkEnd w:id="140"/>
      <w:bookmarkEnd w:id="141"/>
      <w:bookmarkEnd w:id="142"/>
      <w:bookmarkEnd w:id="143"/>
      <w:bookmarkEnd w:id="144"/>
    </w:p>
    <w:p w14:paraId="3421D98C">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6"/>
          <w:szCs w:val="36"/>
          <w:highlight w:val="none"/>
          <w:lang w:val="en-US" w:eastAsia="zh-CN"/>
        </w:rPr>
      </w:pPr>
    </w:p>
    <w:p w14:paraId="12CCA45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val="0"/>
          <w:sz w:val="32"/>
          <w:szCs w:val="32"/>
          <w:highlight w:val="none"/>
          <w:lang w:val="en-US" w:eastAsia="zh-CN"/>
        </w:rPr>
      </w:pPr>
      <w:bookmarkStart w:id="145" w:name="_Toc1705"/>
      <w:bookmarkStart w:id="146" w:name="_Toc28017"/>
      <w:bookmarkStart w:id="147" w:name="_Toc31774"/>
      <w:bookmarkStart w:id="148" w:name="_Toc12139"/>
      <w:bookmarkStart w:id="149" w:name="_Toc27182"/>
      <w:r>
        <w:rPr>
          <w:rFonts w:hint="eastAsia" w:ascii="黑体" w:hAnsi="黑体" w:eastAsia="黑体" w:cs="黑体"/>
          <w:b w:val="0"/>
          <w:bCs w:val="0"/>
          <w:sz w:val="32"/>
          <w:szCs w:val="32"/>
          <w:highlight w:val="none"/>
          <w:lang w:val="en-US" w:eastAsia="zh-CN"/>
        </w:rPr>
        <w:t>一、指导思想</w:t>
      </w:r>
      <w:bookmarkEnd w:id="145"/>
      <w:bookmarkEnd w:id="146"/>
      <w:bookmarkEnd w:id="147"/>
      <w:bookmarkEnd w:id="148"/>
      <w:bookmarkEnd w:id="149"/>
    </w:p>
    <w:p w14:paraId="70C5F6D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以习近平新时代中国特色社会主义思想为指导，立足新发展阶段，贯彻新发展理念，服务融入新发展格局，深刻领会高标准农田建设对保障国家粮食安全、守住耕地红线的极端重要性，紧紧围绕全面推进乡村振兴、加快农业农村现代化，以推动高质量发展为主题，深入实施藏粮于地、藏粮于技战略，以提升粮食产能为首要目标，以永久基本农田、粮食生产功能区、重要农产品生产保护区为重点区域，坚持新增建设和改造提升并重、建设数量和建成质量并重、工程建设和建后管护并重，产能提升和绿色发展相协调，深入贯彻落实党的二十大</w:t>
      </w:r>
      <w:bookmarkStart w:id="620" w:name="_GoBack"/>
      <w:bookmarkEnd w:id="620"/>
      <w:r>
        <w:rPr>
          <w:rFonts w:hint="eastAsia" w:ascii="仿宋" w:hAnsi="仿宋" w:eastAsia="仿宋" w:cs="仿宋"/>
          <w:sz w:val="32"/>
          <w:szCs w:val="32"/>
          <w:highlight w:val="none"/>
          <w:lang w:val="en-US" w:eastAsia="zh-CN"/>
        </w:rPr>
        <w:t>精神，逐步把永久基本农田全部建成高标准农田，把建成的高标准农田划为永久基本农田，实行特殊保护，坚决遏制耕地"非农化"，严格管控"非粮化"，创新实施路径，强化激励约束，完善监督管理，按时保质保量完成省下达的目标任务，实现农田就是农田、而且必须是良田，推动我市高标准农田建设高质量发展走在全省前列，为我市确保推进农业农村现代化工作走在全省前列提供更加有力支撑。</w:t>
      </w:r>
    </w:p>
    <w:p w14:paraId="201FA630">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150" w:name="_Toc18009"/>
      <w:bookmarkStart w:id="151" w:name="_Toc6663"/>
    </w:p>
    <w:p w14:paraId="4F42B5E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b w:val="0"/>
          <w:bCs w:val="0"/>
          <w:sz w:val="32"/>
          <w:szCs w:val="32"/>
          <w:highlight w:val="none"/>
          <w:lang w:val="en-US" w:eastAsia="zh-CN"/>
        </w:rPr>
      </w:pPr>
      <w:bookmarkStart w:id="152" w:name="_Toc12386"/>
      <w:bookmarkStart w:id="153" w:name="_Toc32298"/>
      <w:bookmarkStart w:id="154" w:name="_Toc9768"/>
      <w:r>
        <w:rPr>
          <w:rFonts w:hint="eastAsia" w:ascii="黑体" w:hAnsi="黑体" w:eastAsia="黑体" w:cs="黑体"/>
          <w:b w:val="0"/>
          <w:bCs w:val="0"/>
          <w:sz w:val="32"/>
          <w:szCs w:val="32"/>
          <w:highlight w:val="none"/>
          <w:lang w:val="en-US" w:eastAsia="zh-CN"/>
        </w:rPr>
        <w:t>二、基本原则</w:t>
      </w:r>
      <w:bookmarkEnd w:id="150"/>
      <w:bookmarkEnd w:id="151"/>
      <w:bookmarkEnd w:id="152"/>
      <w:bookmarkEnd w:id="153"/>
      <w:bookmarkEnd w:id="154"/>
    </w:p>
    <w:p w14:paraId="74C6E2B8">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政府主导、多方参与。切实落实地方政府责任，完善公共财政投入保障机制，统筹协调相关部门，加强资金和资源整合。鼓励农民群众、新型农业经营主体和农村集体经济组织自主筹资投劳，参与农田建设和工程管护，引导社会资本积极投入高标准农田建设。</w:t>
      </w:r>
    </w:p>
    <w:p w14:paraId="7A258A8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规划引领、科学布局。注重衔接乡村振兴、国土空间、农业农村、生态环境、水利、电力和交通等相关规划，优化高标准农田建设区域布局，突出粮食和重要农产品优势区，合理配置农田建设任务指标，夯实基础、确保产能，守牢粮食安全底线。</w:t>
      </w:r>
    </w:p>
    <w:p w14:paraId="110B204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因地制宜、良田粮用。综合考量农田基础条件、增产潜力等因素，因地制宜确立重点项目和建设内容。稳定农村土地承包关系，强化用途管控，实行最严格的耕地保护制度，建立健全激励和约束机制，支持高标准农田主要用于粮食生产。</w:t>
      </w:r>
    </w:p>
    <w:p w14:paraId="322EE78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量质并举、示范建设。以国家刚性任务指标为基本遵循，强化数量和质量管理，推动新建与改造提升同步。充分发挥重点工程的引领作用，综合考虑区域自然资源条件，推进田、土、水、路、林、电、技、管等农田工程综合配套，探索推进高标准农田建设整县示范。</w:t>
      </w:r>
    </w:p>
    <w:p w14:paraId="71766C5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绿色高效、共建共富。深入践行绿色发展理念，建立农田绿色农业发展体制机制，切实加强水土资源集约节约利用和农田生态环境保护，全面提升高效生态农业综合效益。建立健全耕地生态产品价值转换机制，探索绿色转化和共建共富的实现路径。</w:t>
      </w:r>
    </w:p>
    <w:p w14:paraId="55A8585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数字赋能、建管并重。以“整体智治”理念统筹推进农田建设、管护和利用监管。建成项目应及时办理资产交付手续，并明确项目管护主体，落实管护责任和管护经费；推进数字化管理，加强对工程管护工作的督查指导和监测评价。</w:t>
      </w:r>
    </w:p>
    <w:p w14:paraId="558894DD">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155" w:name="_Toc18328"/>
      <w:bookmarkStart w:id="156" w:name="_Toc20636"/>
    </w:p>
    <w:p w14:paraId="2D34CCC8">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157" w:name="_Toc2888"/>
      <w:bookmarkStart w:id="158" w:name="_Toc1859"/>
      <w:bookmarkStart w:id="159" w:name="_Toc16576"/>
      <w:r>
        <w:rPr>
          <w:rFonts w:hint="eastAsia" w:ascii="黑体" w:hAnsi="黑体" w:eastAsia="黑体" w:cs="黑体"/>
          <w:sz w:val="32"/>
          <w:szCs w:val="32"/>
          <w:highlight w:val="none"/>
          <w:lang w:val="en-US" w:eastAsia="zh-CN"/>
        </w:rPr>
        <w:t>三、目标任务</w:t>
      </w:r>
      <w:bookmarkEnd w:id="155"/>
      <w:bookmarkEnd w:id="156"/>
      <w:bookmarkEnd w:id="157"/>
      <w:bookmarkEnd w:id="158"/>
      <w:bookmarkEnd w:id="159"/>
    </w:p>
    <w:p w14:paraId="50A6053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围绕提升粮食综合生产能力，坚持新建与改造提升相结合，集中力量打造集中连片、旱涝保收、节水高效、稳产高产、生态友好的高标准农田。自2021年起，全市新建高标准农田面积13.67万亩，改造提升面积29.30万亩。至2030年，全市累计建成高标准农田不低于97.18万亩。同时，推动高效节水灌溉与高标准农田建设统筹规划、同步实施，力争在此期间完成高效节水灌溉5.07万亩建设任务。</w:t>
      </w:r>
    </w:p>
    <w:p w14:paraId="500C78DC">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14:paraId="411DD92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0" w:beforeLines="0" w:afterLines="0" w:line="590" w:lineRule="exact"/>
        <w:ind w:firstLine="0" w:firstLineChars="0"/>
        <w:jc w:val="center"/>
        <w:textAlignment w:val="auto"/>
        <w:outlineLvl w:val="1"/>
        <w:rPr>
          <w:rFonts w:hint="eastAsia" w:ascii="仿宋_GB2312" w:hAnsi="仿宋_GB2312" w:eastAsia="仿宋_GB2312" w:cs="仿宋_GB2312"/>
          <w:b/>
          <w:bCs/>
          <w:snapToGrid w:val="0"/>
          <w:sz w:val="28"/>
          <w:szCs w:val="28"/>
        </w:rPr>
      </w:pPr>
      <w:bookmarkStart w:id="160" w:name="_Toc2967"/>
      <w:bookmarkStart w:id="161" w:name="_Toc9762"/>
      <w:bookmarkStart w:id="162" w:name="_Toc3450"/>
      <w:bookmarkStart w:id="163" w:name="_Toc26259"/>
      <w:bookmarkStart w:id="164" w:name="_Toc23832"/>
      <w:bookmarkStart w:id="165" w:name="_Toc29170"/>
      <w:bookmarkStart w:id="166" w:name="_Toc14313"/>
      <w:r>
        <w:rPr>
          <w:rFonts w:hint="eastAsia" w:ascii="仿宋_GB2312" w:hAnsi="仿宋_GB2312" w:eastAsia="仿宋_GB2312" w:cs="仿宋_GB2312"/>
          <w:b/>
          <w:bCs/>
          <w:snapToGrid w:val="0"/>
          <w:sz w:val="28"/>
          <w:szCs w:val="28"/>
          <w:lang w:val="en-US" w:eastAsia="zh-CN"/>
        </w:rPr>
        <w:t xml:space="preserve">专栏1 </w:t>
      </w:r>
      <w:r>
        <w:rPr>
          <w:rFonts w:hint="eastAsia" w:ascii="仿宋_GB2312" w:hAnsi="仿宋_GB2312" w:eastAsia="仿宋_GB2312" w:cs="仿宋_GB2312"/>
          <w:b/>
          <w:bCs/>
          <w:snapToGrid w:val="0"/>
          <w:sz w:val="28"/>
          <w:szCs w:val="28"/>
        </w:rPr>
        <w:t>全</w:t>
      </w:r>
      <w:r>
        <w:rPr>
          <w:rFonts w:hint="eastAsia" w:ascii="仿宋_GB2312" w:hAnsi="仿宋_GB2312" w:eastAsia="仿宋_GB2312" w:cs="仿宋_GB2312"/>
          <w:b/>
          <w:bCs/>
          <w:snapToGrid w:val="0"/>
          <w:sz w:val="28"/>
          <w:szCs w:val="28"/>
          <w:lang w:val="en-US" w:eastAsia="zh-CN"/>
        </w:rPr>
        <w:t>市</w:t>
      </w:r>
      <w:r>
        <w:rPr>
          <w:rFonts w:hint="eastAsia" w:ascii="仿宋_GB2312" w:hAnsi="仿宋_GB2312" w:eastAsia="仿宋_GB2312" w:cs="仿宋_GB2312"/>
          <w:b/>
          <w:bCs/>
          <w:snapToGrid w:val="0"/>
          <w:sz w:val="28"/>
          <w:szCs w:val="28"/>
        </w:rPr>
        <w:t>高标准农田建设规划主要指标</w:t>
      </w:r>
      <w:bookmarkEnd w:id="160"/>
      <w:bookmarkEnd w:id="161"/>
      <w:bookmarkEnd w:id="162"/>
      <w:bookmarkEnd w:id="163"/>
      <w:bookmarkEnd w:id="164"/>
      <w:bookmarkEnd w:id="165"/>
      <w:bookmarkEnd w:id="166"/>
    </w:p>
    <w:tbl>
      <w:tblPr>
        <w:tblStyle w:val="9"/>
        <w:tblW w:w="9659"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530"/>
        <w:gridCol w:w="1500"/>
        <w:gridCol w:w="6674"/>
        <w:gridCol w:w="955"/>
      </w:tblGrid>
      <w:tr w14:paraId="62C6684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97" w:hRule="atLeast"/>
          <w:tblHeader/>
          <w:jc w:val="center"/>
        </w:trPr>
        <w:tc>
          <w:tcPr>
            <w:tcW w:w="530" w:type="dxa"/>
            <w:vAlign w:val="center"/>
          </w:tcPr>
          <w:p w14:paraId="4539F2FB">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bookmarkStart w:id="167" w:name="_Toc1515"/>
            <w:r>
              <w:rPr>
                <w:rFonts w:ascii="黑体" w:hAnsi="黑体" w:eastAsia="黑体" w:cs="黑体"/>
                <w:b w:val="0"/>
                <w:bCs w:val="0"/>
                <w:snapToGrid w:val="0"/>
                <w:sz w:val="24"/>
                <w:szCs w:val="24"/>
              </w:rPr>
              <w:t>序号</w:t>
            </w:r>
            <w:bookmarkEnd w:id="167"/>
          </w:p>
        </w:tc>
        <w:tc>
          <w:tcPr>
            <w:tcW w:w="1500" w:type="dxa"/>
            <w:vAlign w:val="center"/>
          </w:tcPr>
          <w:p w14:paraId="18FF425B">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bookmarkStart w:id="168" w:name="_Toc2070"/>
            <w:r>
              <w:rPr>
                <w:rFonts w:ascii="黑体" w:hAnsi="黑体" w:eastAsia="黑体" w:cs="黑体"/>
                <w:b w:val="0"/>
                <w:bCs w:val="0"/>
                <w:snapToGrid w:val="0"/>
                <w:sz w:val="24"/>
                <w:szCs w:val="24"/>
              </w:rPr>
              <w:t>指标</w:t>
            </w:r>
            <w:bookmarkEnd w:id="168"/>
          </w:p>
        </w:tc>
        <w:tc>
          <w:tcPr>
            <w:tcW w:w="6674" w:type="dxa"/>
            <w:vAlign w:val="center"/>
          </w:tcPr>
          <w:p w14:paraId="139F66C0">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bookmarkStart w:id="169" w:name="_Toc1021"/>
            <w:r>
              <w:rPr>
                <w:rFonts w:ascii="黑体" w:hAnsi="黑体" w:eastAsia="黑体" w:cs="黑体"/>
                <w:b w:val="0"/>
                <w:bCs w:val="0"/>
                <w:snapToGrid w:val="0"/>
                <w:sz w:val="24"/>
                <w:szCs w:val="24"/>
              </w:rPr>
              <w:t>目标值</w:t>
            </w:r>
            <w:bookmarkEnd w:id="169"/>
          </w:p>
        </w:tc>
        <w:tc>
          <w:tcPr>
            <w:tcW w:w="955" w:type="dxa"/>
            <w:vAlign w:val="center"/>
          </w:tcPr>
          <w:p w14:paraId="215828D5">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bookmarkStart w:id="170" w:name="_Toc18502"/>
            <w:r>
              <w:rPr>
                <w:rFonts w:ascii="黑体" w:hAnsi="黑体" w:eastAsia="黑体" w:cs="黑体"/>
                <w:b w:val="0"/>
                <w:bCs w:val="0"/>
                <w:snapToGrid w:val="0"/>
                <w:sz w:val="24"/>
                <w:szCs w:val="24"/>
              </w:rPr>
              <w:t>属性</w:t>
            </w:r>
            <w:bookmarkEnd w:id="170"/>
          </w:p>
        </w:tc>
      </w:tr>
      <w:tr w14:paraId="278D185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530" w:type="dxa"/>
            <w:vMerge w:val="restart"/>
            <w:vAlign w:val="center"/>
          </w:tcPr>
          <w:p w14:paraId="54AF4707">
            <w:pPr>
              <w:keepNext w:val="0"/>
              <w:keepLines w:val="0"/>
              <w:pageBreakBefore w:val="0"/>
              <w:kinsoku/>
              <w:wordWrap w:val="0"/>
              <w:overflowPunct/>
              <w:autoSpaceDE/>
              <w:autoSpaceDN/>
              <w:bidi w:val="0"/>
              <w:jc w:val="center"/>
              <w:textAlignment w:val="auto"/>
            </w:pPr>
          </w:p>
          <w:p w14:paraId="0DBFD2C9">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1" w:name="_Toc21984"/>
            <w:r>
              <w:rPr>
                <w:rFonts w:ascii="仿宋_GB2312" w:hAnsi="仿宋_GB2312" w:eastAsia="仿宋_GB2312" w:cs="仿宋_GB2312"/>
                <w:snapToGrid w:val="0"/>
                <w:sz w:val="24"/>
                <w:szCs w:val="24"/>
              </w:rPr>
              <w:t>1</w:t>
            </w:r>
            <w:bookmarkEnd w:id="171"/>
          </w:p>
        </w:tc>
        <w:tc>
          <w:tcPr>
            <w:tcW w:w="1500" w:type="dxa"/>
            <w:vMerge w:val="restart"/>
            <w:vAlign w:val="center"/>
          </w:tcPr>
          <w:p w14:paraId="32BBA103">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2" w:name="_Toc22111"/>
            <w:r>
              <w:rPr>
                <w:rFonts w:ascii="仿宋_GB2312" w:hAnsi="仿宋_GB2312" w:eastAsia="仿宋_GB2312" w:cs="仿宋_GB2312"/>
                <w:snapToGrid w:val="0"/>
                <w:sz w:val="24"/>
                <w:szCs w:val="24"/>
              </w:rPr>
              <w:t>高标准农田</w:t>
            </w:r>
            <w:bookmarkEnd w:id="172"/>
          </w:p>
        </w:tc>
        <w:tc>
          <w:tcPr>
            <w:tcW w:w="6674" w:type="dxa"/>
            <w:vAlign w:val="center"/>
          </w:tcPr>
          <w:p w14:paraId="55400920">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3" w:name="_Toc28397"/>
            <w:r>
              <w:rPr>
                <w:rFonts w:ascii="仿宋_GB2312" w:hAnsi="仿宋_GB2312" w:eastAsia="仿宋_GB2312" w:cs="仿宋_GB2312"/>
                <w:snapToGrid w:val="0"/>
                <w:sz w:val="24"/>
                <w:szCs w:val="24"/>
              </w:rPr>
              <w:t>到2025年累计建成高标准农田</w:t>
            </w:r>
            <w:r>
              <w:rPr>
                <w:rFonts w:hint="eastAsia" w:ascii="仿宋_GB2312" w:hAnsi="仿宋_GB2312" w:eastAsia="仿宋_GB2312" w:cs="仿宋_GB2312"/>
                <w:snapToGrid w:val="0"/>
                <w:sz w:val="24"/>
                <w:szCs w:val="24"/>
                <w:lang w:eastAsia="zh-CN"/>
              </w:rPr>
              <w:t>不低于</w:t>
            </w:r>
            <w:r>
              <w:rPr>
                <w:rFonts w:hint="eastAsia" w:ascii="仿宋_GB2312" w:hAnsi="仿宋_GB2312" w:eastAsia="仿宋_GB2312" w:cs="仿宋_GB2312"/>
                <w:snapToGrid w:val="0"/>
                <w:sz w:val="24"/>
                <w:szCs w:val="24"/>
                <w:lang w:val="en-US" w:eastAsia="zh-CN"/>
              </w:rPr>
              <w:t>96.08</w:t>
            </w:r>
            <w:r>
              <w:rPr>
                <w:rFonts w:ascii="仿宋_GB2312" w:hAnsi="仿宋_GB2312" w:eastAsia="仿宋_GB2312" w:cs="仿宋_GB2312"/>
                <w:snapToGrid w:val="0"/>
                <w:sz w:val="24"/>
                <w:szCs w:val="24"/>
              </w:rPr>
              <w:t>万亩</w:t>
            </w:r>
            <w:bookmarkEnd w:id="173"/>
          </w:p>
        </w:tc>
        <w:tc>
          <w:tcPr>
            <w:tcW w:w="955" w:type="dxa"/>
            <w:vMerge w:val="restart"/>
            <w:vAlign w:val="center"/>
          </w:tcPr>
          <w:p w14:paraId="22428989">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4" w:name="_Toc21845"/>
            <w:r>
              <w:rPr>
                <w:rFonts w:ascii="仿宋_GB2312" w:hAnsi="仿宋_GB2312" w:eastAsia="仿宋_GB2312" w:cs="仿宋_GB2312"/>
                <w:snapToGrid w:val="0"/>
                <w:sz w:val="24"/>
                <w:szCs w:val="24"/>
              </w:rPr>
              <w:t>约束性</w:t>
            </w:r>
            <w:bookmarkEnd w:id="174"/>
          </w:p>
        </w:tc>
      </w:tr>
      <w:tr w14:paraId="6F1E158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530" w:type="dxa"/>
            <w:vMerge w:val="continue"/>
            <w:tcBorders>
              <w:top w:val="nil"/>
            </w:tcBorders>
            <w:vAlign w:val="center"/>
          </w:tcPr>
          <w:p w14:paraId="48585573">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c>
          <w:tcPr>
            <w:tcW w:w="1500" w:type="dxa"/>
            <w:vMerge w:val="continue"/>
            <w:tcBorders>
              <w:top w:val="nil"/>
            </w:tcBorders>
            <w:vAlign w:val="center"/>
          </w:tcPr>
          <w:p w14:paraId="2472C069">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c>
          <w:tcPr>
            <w:tcW w:w="6674" w:type="dxa"/>
            <w:vAlign w:val="center"/>
          </w:tcPr>
          <w:p w14:paraId="2EA19BEE">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5" w:name="_Toc22358"/>
            <w:r>
              <w:rPr>
                <w:rFonts w:ascii="仿宋_GB2312" w:hAnsi="仿宋_GB2312" w:eastAsia="仿宋_GB2312" w:cs="仿宋_GB2312"/>
                <w:snapToGrid w:val="0"/>
                <w:sz w:val="24"/>
                <w:szCs w:val="24"/>
              </w:rPr>
              <w:t>到2025年累计改造提升高标准农田</w:t>
            </w:r>
            <w:r>
              <w:rPr>
                <w:rFonts w:hint="eastAsia" w:ascii="仿宋_GB2312" w:hAnsi="仿宋_GB2312" w:eastAsia="仿宋_GB2312" w:cs="仿宋_GB2312"/>
                <w:snapToGrid w:val="0"/>
                <w:sz w:val="24"/>
                <w:szCs w:val="24"/>
                <w:lang w:eastAsia="zh-CN"/>
              </w:rPr>
              <w:t>不低于</w:t>
            </w:r>
            <w:r>
              <w:rPr>
                <w:rFonts w:hint="eastAsia" w:ascii="仿宋_GB2312" w:hAnsi="仿宋_GB2312" w:eastAsia="仿宋_GB2312" w:cs="仿宋_GB2312"/>
                <w:snapToGrid w:val="0"/>
                <w:sz w:val="24"/>
                <w:szCs w:val="24"/>
                <w:lang w:val="en-US" w:eastAsia="zh-CN"/>
              </w:rPr>
              <w:t>9</w:t>
            </w:r>
            <w:r>
              <w:rPr>
                <w:rFonts w:ascii="仿宋_GB2312" w:hAnsi="仿宋_GB2312" w:eastAsia="仿宋_GB2312" w:cs="仿宋_GB2312"/>
                <w:snapToGrid w:val="0"/>
                <w:sz w:val="24"/>
                <w:szCs w:val="24"/>
              </w:rPr>
              <w:t>万亩</w:t>
            </w:r>
            <w:bookmarkEnd w:id="175"/>
          </w:p>
        </w:tc>
        <w:tc>
          <w:tcPr>
            <w:tcW w:w="955" w:type="dxa"/>
            <w:vMerge w:val="continue"/>
            <w:tcBorders>
              <w:top w:val="nil"/>
            </w:tcBorders>
            <w:vAlign w:val="center"/>
          </w:tcPr>
          <w:p w14:paraId="36396FA5">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r>
      <w:tr w14:paraId="2191876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530" w:type="dxa"/>
            <w:vMerge w:val="continue"/>
            <w:tcBorders>
              <w:top w:val="nil"/>
            </w:tcBorders>
            <w:vAlign w:val="center"/>
          </w:tcPr>
          <w:p w14:paraId="0D2F79E4">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c>
          <w:tcPr>
            <w:tcW w:w="1500" w:type="dxa"/>
            <w:vMerge w:val="continue"/>
            <w:tcBorders>
              <w:top w:val="nil"/>
            </w:tcBorders>
            <w:vAlign w:val="center"/>
          </w:tcPr>
          <w:p w14:paraId="70D7181F">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c>
          <w:tcPr>
            <w:tcW w:w="6674" w:type="dxa"/>
            <w:vAlign w:val="center"/>
          </w:tcPr>
          <w:p w14:paraId="2FFDB2D5">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6" w:name="_Toc8538"/>
            <w:r>
              <w:rPr>
                <w:rFonts w:ascii="仿宋_GB2312" w:hAnsi="仿宋_GB2312" w:eastAsia="仿宋_GB2312" w:cs="仿宋_GB2312"/>
                <w:snapToGrid w:val="0"/>
                <w:sz w:val="24"/>
                <w:szCs w:val="24"/>
              </w:rPr>
              <w:t>到2030年累计建成高标准农田</w:t>
            </w:r>
            <w:r>
              <w:rPr>
                <w:rFonts w:hint="eastAsia" w:ascii="仿宋_GB2312" w:hAnsi="仿宋_GB2312" w:eastAsia="仿宋_GB2312" w:cs="仿宋_GB2312"/>
                <w:snapToGrid w:val="0"/>
                <w:sz w:val="24"/>
                <w:szCs w:val="24"/>
                <w:lang w:eastAsia="zh-CN"/>
              </w:rPr>
              <w:t>不低于</w:t>
            </w:r>
            <w:r>
              <w:rPr>
                <w:rFonts w:hint="eastAsia" w:ascii="仿宋_GB2312" w:hAnsi="仿宋_GB2312" w:eastAsia="仿宋_GB2312" w:cs="仿宋_GB2312"/>
                <w:snapToGrid w:val="0"/>
                <w:sz w:val="24"/>
                <w:szCs w:val="24"/>
                <w:lang w:val="en-US" w:eastAsia="zh-CN"/>
              </w:rPr>
              <w:t>97.18</w:t>
            </w:r>
            <w:r>
              <w:rPr>
                <w:rFonts w:ascii="仿宋_GB2312" w:hAnsi="仿宋_GB2312" w:eastAsia="仿宋_GB2312" w:cs="仿宋_GB2312"/>
                <w:snapToGrid w:val="0"/>
                <w:sz w:val="24"/>
                <w:szCs w:val="24"/>
              </w:rPr>
              <w:t>万亩</w:t>
            </w:r>
            <w:bookmarkEnd w:id="176"/>
          </w:p>
        </w:tc>
        <w:tc>
          <w:tcPr>
            <w:tcW w:w="955" w:type="dxa"/>
            <w:vMerge w:val="continue"/>
            <w:tcBorders>
              <w:top w:val="nil"/>
            </w:tcBorders>
            <w:vAlign w:val="center"/>
          </w:tcPr>
          <w:p w14:paraId="279D2DDB">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r>
      <w:tr w14:paraId="5CB0390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530" w:type="dxa"/>
            <w:vMerge w:val="continue"/>
            <w:tcBorders>
              <w:top w:val="nil"/>
            </w:tcBorders>
            <w:vAlign w:val="center"/>
          </w:tcPr>
          <w:p w14:paraId="4029E36B">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c>
          <w:tcPr>
            <w:tcW w:w="1500" w:type="dxa"/>
            <w:vMerge w:val="continue"/>
            <w:tcBorders>
              <w:top w:val="nil"/>
            </w:tcBorders>
            <w:vAlign w:val="center"/>
          </w:tcPr>
          <w:p w14:paraId="47604529">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c>
          <w:tcPr>
            <w:tcW w:w="6674" w:type="dxa"/>
            <w:vAlign w:val="center"/>
          </w:tcPr>
          <w:p w14:paraId="3EE51707">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7" w:name="_Toc17446"/>
            <w:r>
              <w:rPr>
                <w:rFonts w:ascii="仿宋_GB2312" w:hAnsi="仿宋_GB2312" w:eastAsia="仿宋_GB2312" w:cs="仿宋_GB2312"/>
                <w:snapToGrid w:val="0"/>
                <w:sz w:val="24"/>
                <w:szCs w:val="24"/>
              </w:rPr>
              <w:t>到2030年累计改造提升高标准农田</w:t>
            </w:r>
            <w:r>
              <w:rPr>
                <w:rFonts w:hint="eastAsia" w:ascii="仿宋_GB2312" w:hAnsi="仿宋_GB2312" w:eastAsia="仿宋_GB2312" w:cs="仿宋_GB2312"/>
                <w:snapToGrid w:val="0"/>
                <w:sz w:val="24"/>
                <w:szCs w:val="24"/>
                <w:lang w:eastAsia="zh-CN"/>
              </w:rPr>
              <w:t>不低于</w:t>
            </w:r>
            <w:r>
              <w:rPr>
                <w:rFonts w:hint="eastAsia" w:ascii="仿宋_GB2312" w:hAnsi="仿宋_GB2312" w:eastAsia="仿宋_GB2312" w:cs="仿宋_GB2312"/>
                <w:snapToGrid w:val="0"/>
                <w:sz w:val="24"/>
                <w:szCs w:val="24"/>
                <w:lang w:val="en-US" w:eastAsia="zh-CN"/>
              </w:rPr>
              <w:t>26</w:t>
            </w:r>
            <w:r>
              <w:rPr>
                <w:rFonts w:ascii="仿宋_GB2312" w:hAnsi="仿宋_GB2312" w:eastAsia="仿宋_GB2312" w:cs="仿宋_GB2312"/>
                <w:snapToGrid w:val="0"/>
                <w:sz w:val="24"/>
                <w:szCs w:val="24"/>
              </w:rPr>
              <w:t>万亩</w:t>
            </w:r>
            <w:bookmarkEnd w:id="177"/>
          </w:p>
        </w:tc>
        <w:tc>
          <w:tcPr>
            <w:tcW w:w="955" w:type="dxa"/>
            <w:vMerge w:val="continue"/>
            <w:tcBorders>
              <w:top w:val="nil"/>
            </w:tcBorders>
            <w:vAlign w:val="center"/>
          </w:tcPr>
          <w:p w14:paraId="4F5CDC87">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r>
      <w:tr w14:paraId="5DBDD29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530" w:type="dxa"/>
            <w:vAlign w:val="center"/>
          </w:tcPr>
          <w:p w14:paraId="5FD34D7C">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8" w:name="_Toc18021"/>
            <w:r>
              <w:rPr>
                <w:rFonts w:ascii="仿宋_GB2312" w:hAnsi="仿宋_GB2312" w:eastAsia="仿宋_GB2312" w:cs="仿宋_GB2312"/>
                <w:snapToGrid w:val="0"/>
                <w:sz w:val="24"/>
                <w:szCs w:val="24"/>
              </w:rPr>
              <w:t>2</w:t>
            </w:r>
            <w:bookmarkEnd w:id="178"/>
          </w:p>
        </w:tc>
        <w:tc>
          <w:tcPr>
            <w:tcW w:w="1500" w:type="dxa"/>
            <w:vAlign w:val="center"/>
          </w:tcPr>
          <w:p w14:paraId="3273C892">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79" w:name="_Toc30767"/>
            <w:r>
              <w:rPr>
                <w:rFonts w:ascii="仿宋_GB2312" w:hAnsi="仿宋_GB2312" w:eastAsia="仿宋_GB2312" w:cs="仿宋_GB2312"/>
                <w:snapToGrid w:val="0"/>
                <w:sz w:val="24"/>
                <w:szCs w:val="24"/>
              </w:rPr>
              <w:t>高效节水灌溉</w:t>
            </w:r>
            <w:bookmarkEnd w:id="179"/>
          </w:p>
        </w:tc>
        <w:tc>
          <w:tcPr>
            <w:tcW w:w="6674" w:type="dxa"/>
            <w:vAlign w:val="center"/>
          </w:tcPr>
          <w:p w14:paraId="0A1A7BEB">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80" w:name="_Toc4080"/>
            <w:r>
              <w:rPr>
                <w:rFonts w:ascii="仿宋_GB2312" w:hAnsi="仿宋_GB2312" w:eastAsia="仿宋_GB2312" w:cs="仿宋_GB2312"/>
                <w:snapToGrid w:val="0"/>
                <w:sz w:val="24"/>
                <w:szCs w:val="24"/>
              </w:rPr>
              <w:t>2021—2030年新增高效节水灌溉</w:t>
            </w:r>
            <w:r>
              <w:rPr>
                <w:rFonts w:hint="eastAsia" w:ascii="仿宋_GB2312" w:hAnsi="仿宋_GB2312" w:eastAsia="仿宋_GB2312" w:cs="仿宋_GB2312"/>
                <w:snapToGrid w:val="0"/>
                <w:sz w:val="24"/>
                <w:szCs w:val="24"/>
                <w:lang w:eastAsia="zh-CN"/>
              </w:rPr>
              <w:t>不低于</w:t>
            </w:r>
            <w:r>
              <w:rPr>
                <w:rFonts w:hint="eastAsia" w:ascii="仿宋_GB2312" w:hAnsi="仿宋_GB2312" w:eastAsia="仿宋_GB2312" w:cs="仿宋_GB2312"/>
                <w:snapToGrid w:val="0"/>
                <w:sz w:val="24"/>
                <w:szCs w:val="24"/>
                <w:lang w:val="en-US" w:eastAsia="zh-CN"/>
              </w:rPr>
              <w:t>5.07</w:t>
            </w:r>
            <w:r>
              <w:rPr>
                <w:rFonts w:ascii="仿宋_GB2312" w:hAnsi="仿宋_GB2312" w:eastAsia="仿宋_GB2312" w:cs="仿宋_GB2312"/>
                <w:snapToGrid w:val="0"/>
                <w:sz w:val="24"/>
                <w:szCs w:val="24"/>
              </w:rPr>
              <w:t>万亩</w:t>
            </w:r>
            <w:bookmarkEnd w:id="180"/>
          </w:p>
        </w:tc>
        <w:tc>
          <w:tcPr>
            <w:tcW w:w="955" w:type="dxa"/>
            <w:vAlign w:val="center"/>
          </w:tcPr>
          <w:p w14:paraId="756AF532">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81" w:name="_Toc32067"/>
            <w:r>
              <w:rPr>
                <w:rFonts w:ascii="仿宋_GB2312" w:hAnsi="仿宋_GB2312" w:eastAsia="仿宋_GB2312" w:cs="仿宋_GB2312"/>
                <w:snapToGrid w:val="0"/>
                <w:sz w:val="24"/>
                <w:szCs w:val="24"/>
              </w:rPr>
              <w:t>预期性</w:t>
            </w:r>
            <w:bookmarkEnd w:id="181"/>
          </w:p>
        </w:tc>
      </w:tr>
      <w:tr w14:paraId="0B38261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7" w:hRule="atLeast"/>
          <w:jc w:val="center"/>
        </w:trPr>
        <w:tc>
          <w:tcPr>
            <w:tcW w:w="530" w:type="dxa"/>
            <w:vAlign w:val="center"/>
          </w:tcPr>
          <w:p w14:paraId="4B48915A">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bidi="ar-SA"/>
              </w:rPr>
            </w:pPr>
            <w:bookmarkStart w:id="182" w:name="_Toc9145"/>
            <w:r>
              <w:rPr>
                <w:rFonts w:ascii="仿宋_GB2312" w:hAnsi="仿宋_GB2312" w:eastAsia="仿宋_GB2312" w:cs="仿宋_GB2312"/>
                <w:snapToGrid w:val="0"/>
                <w:sz w:val="24"/>
                <w:szCs w:val="24"/>
              </w:rPr>
              <w:t>3</w:t>
            </w:r>
            <w:bookmarkEnd w:id="182"/>
          </w:p>
        </w:tc>
        <w:tc>
          <w:tcPr>
            <w:tcW w:w="1500" w:type="dxa"/>
            <w:vAlign w:val="center"/>
          </w:tcPr>
          <w:p w14:paraId="6FC4A489">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rPr>
            </w:pPr>
            <w:bookmarkStart w:id="183" w:name="_Toc118"/>
            <w:r>
              <w:rPr>
                <w:rFonts w:hint="eastAsia" w:ascii="仿宋_GB2312" w:hAnsi="仿宋_GB2312" w:eastAsia="仿宋_GB2312" w:cs="仿宋_GB2312"/>
                <w:snapToGrid w:val="0"/>
                <w:sz w:val="24"/>
                <w:szCs w:val="24"/>
                <w:lang w:val="en-US" w:eastAsia="zh-CN"/>
              </w:rPr>
              <w:t>耕地质量等级</w:t>
            </w:r>
            <w:bookmarkEnd w:id="183"/>
          </w:p>
        </w:tc>
        <w:tc>
          <w:tcPr>
            <w:tcW w:w="6674" w:type="dxa"/>
            <w:vAlign w:val="center"/>
          </w:tcPr>
          <w:p w14:paraId="274D65CB">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rPr>
            </w:pPr>
            <w:bookmarkStart w:id="184" w:name="_Toc26513"/>
            <w:r>
              <w:rPr>
                <w:rFonts w:hint="eastAsia" w:ascii="仿宋_GB2312" w:hAnsi="仿宋_GB2312" w:eastAsia="仿宋_GB2312" w:cs="仿宋_GB2312"/>
                <w:snapToGrid w:val="0"/>
                <w:sz w:val="24"/>
                <w:szCs w:val="24"/>
                <w:lang w:val="en-US" w:eastAsia="zh-CN"/>
              </w:rPr>
              <w:t>到2030年耕地质量等级宜达到4.1等</w:t>
            </w:r>
            <w:bookmarkEnd w:id="184"/>
          </w:p>
        </w:tc>
        <w:tc>
          <w:tcPr>
            <w:tcW w:w="955" w:type="dxa"/>
            <w:vAlign w:val="center"/>
          </w:tcPr>
          <w:p w14:paraId="50244883">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rPr>
            </w:pPr>
            <w:bookmarkStart w:id="185" w:name="_Toc12606"/>
            <w:r>
              <w:rPr>
                <w:rFonts w:hint="eastAsia" w:ascii="仿宋_GB2312" w:hAnsi="仿宋_GB2312" w:eastAsia="仿宋_GB2312" w:cs="仿宋_GB2312"/>
                <w:snapToGrid w:val="0"/>
                <w:sz w:val="24"/>
                <w:szCs w:val="24"/>
                <w:lang w:val="en-US" w:eastAsia="zh-CN"/>
              </w:rPr>
              <w:t>预期性</w:t>
            </w:r>
            <w:bookmarkEnd w:id="185"/>
          </w:p>
        </w:tc>
      </w:tr>
      <w:tr w14:paraId="4C6830E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07" w:hRule="atLeast"/>
          <w:jc w:val="center"/>
        </w:trPr>
        <w:tc>
          <w:tcPr>
            <w:tcW w:w="530" w:type="dxa"/>
            <w:vMerge w:val="restart"/>
            <w:vAlign w:val="center"/>
          </w:tcPr>
          <w:p w14:paraId="16FD326B">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86" w:name="_Toc12911"/>
            <w:r>
              <w:rPr>
                <w:rFonts w:ascii="仿宋_GB2312" w:hAnsi="仿宋_GB2312" w:eastAsia="仿宋_GB2312" w:cs="仿宋_GB2312"/>
                <w:snapToGrid w:val="0"/>
                <w:sz w:val="24"/>
                <w:szCs w:val="24"/>
              </w:rPr>
              <w:t>4</w:t>
            </w:r>
            <w:bookmarkEnd w:id="186"/>
          </w:p>
        </w:tc>
        <w:tc>
          <w:tcPr>
            <w:tcW w:w="1500" w:type="dxa"/>
            <w:vMerge w:val="restart"/>
            <w:vAlign w:val="center"/>
          </w:tcPr>
          <w:p w14:paraId="09636DCD">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87" w:name="_Toc17056"/>
            <w:r>
              <w:rPr>
                <w:rFonts w:ascii="仿宋_GB2312" w:hAnsi="仿宋_GB2312" w:eastAsia="仿宋_GB2312" w:cs="仿宋_GB2312"/>
                <w:snapToGrid w:val="0"/>
                <w:sz w:val="24"/>
                <w:szCs w:val="24"/>
              </w:rPr>
              <w:t>新增粮食综合生产能力</w:t>
            </w:r>
            <w:bookmarkEnd w:id="187"/>
          </w:p>
        </w:tc>
        <w:tc>
          <w:tcPr>
            <w:tcW w:w="6674" w:type="dxa"/>
            <w:vAlign w:val="center"/>
          </w:tcPr>
          <w:p w14:paraId="517D97A6">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88" w:name="_Toc2925"/>
            <w:r>
              <w:rPr>
                <w:rFonts w:hint="eastAsia" w:ascii="仿宋_GB2312" w:hAnsi="仿宋_GB2312" w:eastAsia="仿宋_GB2312" w:cs="仿宋_GB2312"/>
                <w:snapToGrid w:val="0"/>
                <w:sz w:val="24"/>
                <w:szCs w:val="24"/>
                <w:lang w:val="en-US" w:eastAsia="zh-CN"/>
              </w:rPr>
              <w:t>到2030年</w:t>
            </w:r>
            <w:r>
              <w:rPr>
                <w:rFonts w:ascii="仿宋_GB2312" w:hAnsi="仿宋_GB2312" w:eastAsia="仿宋_GB2312" w:cs="仿宋_GB2312"/>
                <w:snapToGrid w:val="0"/>
                <w:sz w:val="24"/>
                <w:szCs w:val="24"/>
              </w:rPr>
              <w:t>新增建设高标准农田亩均产能提高100公斤左右</w:t>
            </w:r>
            <w:bookmarkEnd w:id="188"/>
          </w:p>
        </w:tc>
        <w:tc>
          <w:tcPr>
            <w:tcW w:w="955" w:type="dxa"/>
            <w:vAlign w:val="center"/>
          </w:tcPr>
          <w:p w14:paraId="1D937B0D">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89" w:name="_Toc26327"/>
            <w:r>
              <w:rPr>
                <w:rFonts w:ascii="仿宋_GB2312" w:hAnsi="仿宋_GB2312" w:eastAsia="仿宋_GB2312" w:cs="仿宋_GB2312"/>
                <w:snapToGrid w:val="0"/>
                <w:sz w:val="24"/>
                <w:szCs w:val="24"/>
              </w:rPr>
              <w:t>预期性</w:t>
            </w:r>
            <w:bookmarkEnd w:id="189"/>
          </w:p>
        </w:tc>
      </w:tr>
      <w:tr w14:paraId="188582D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97" w:hRule="atLeast"/>
          <w:jc w:val="center"/>
        </w:trPr>
        <w:tc>
          <w:tcPr>
            <w:tcW w:w="530" w:type="dxa"/>
            <w:vMerge w:val="continue"/>
            <w:tcBorders>
              <w:top w:val="nil"/>
            </w:tcBorders>
            <w:vAlign w:val="center"/>
          </w:tcPr>
          <w:p w14:paraId="505C9795">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bidi="ar-SA"/>
              </w:rPr>
            </w:pPr>
          </w:p>
        </w:tc>
        <w:tc>
          <w:tcPr>
            <w:tcW w:w="1500" w:type="dxa"/>
            <w:vMerge w:val="continue"/>
            <w:tcBorders>
              <w:top w:val="nil"/>
            </w:tcBorders>
            <w:vAlign w:val="center"/>
          </w:tcPr>
          <w:p w14:paraId="72426FD4">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p>
        </w:tc>
        <w:tc>
          <w:tcPr>
            <w:tcW w:w="6674" w:type="dxa"/>
            <w:vAlign w:val="center"/>
          </w:tcPr>
          <w:p w14:paraId="0B3D9D4E">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90" w:name="_Toc3414"/>
            <w:r>
              <w:rPr>
                <w:rFonts w:ascii="仿宋_GB2312" w:hAnsi="仿宋_GB2312" w:eastAsia="仿宋_GB2312" w:cs="仿宋_GB2312"/>
                <w:snapToGrid w:val="0"/>
                <w:sz w:val="24"/>
                <w:szCs w:val="24"/>
              </w:rPr>
              <w:t>改造提升高标准农田亩均产能不低于当地高标准农田平均水平</w:t>
            </w:r>
            <w:bookmarkEnd w:id="190"/>
          </w:p>
        </w:tc>
        <w:tc>
          <w:tcPr>
            <w:tcW w:w="955" w:type="dxa"/>
            <w:tcBorders>
              <w:top w:val="nil"/>
            </w:tcBorders>
            <w:vAlign w:val="center"/>
          </w:tcPr>
          <w:p w14:paraId="02CC20AF">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约束性</w:t>
            </w:r>
          </w:p>
        </w:tc>
      </w:tr>
      <w:tr w14:paraId="158767B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97" w:hRule="atLeast"/>
          <w:jc w:val="center"/>
        </w:trPr>
        <w:tc>
          <w:tcPr>
            <w:tcW w:w="530" w:type="dxa"/>
            <w:vAlign w:val="center"/>
          </w:tcPr>
          <w:p w14:paraId="66ECC186">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bidi="ar-SA"/>
              </w:rPr>
            </w:pPr>
            <w:bookmarkStart w:id="191" w:name="_Toc8466"/>
            <w:r>
              <w:rPr>
                <w:rFonts w:ascii="仿宋_GB2312" w:hAnsi="仿宋_GB2312" w:eastAsia="仿宋_GB2312" w:cs="仿宋_GB2312"/>
                <w:snapToGrid w:val="0"/>
                <w:sz w:val="24"/>
                <w:szCs w:val="24"/>
              </w:rPr>
              <w:t>5</w:t>
            </w:r>
            <w:bookmarkEnd w:id="191"/>
          </w:p>
        </w:tc>
        <w:tc>
          <w:tcPr>
            <w:tcW w:w="1500" w:type="dxa"/>
            <w:vAlign w:val="center"/>
          </w:tcPr>
          <w:p w14:paraId="122178D5">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92" w:name="_Toc31719"/>
            <w:r>
              <w:rPr>
                <w:rFonts w:ascii="仿宋_GB2312" w:hAnsi="仿宋_GB2312" w:eastAsia="仿宋_GB2312" w:cs="仿宋_GB2312"/>
                <w:snapToGrid w:val="0"/>
                <w:sz w:val="24"/>
                <w:szCs w:val="24"/>
              </w:rPr>
              <w:t>新增建设高标准农田亩均节水率</w:t>
            </w:r>
            <w:bookmarkEnd w:id="192"/>
          </w:p>
        </w:tc>
        <w:tc>
          <w:tcPr>
            <w:tcW w:w="6674" w:type="dxa"/>
            <w:vAlign w:val="center"/>
          </w:tcPr>
          <w:p w14:paraId="50A70A51">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93" w:name="_Toc26170"/>
            <w:r>
              <w:rPr>
                <w:rFonts w:hint="eastAsia" w:ascii="仿宋_GB2312" w:hAnsi="仿宋_GB2312" w:eastAsia="仿宋_GB2312" w:cs="仿宋_GB2312"/>
                <w:snapToGrid w:val="0"/>
                <w:sz w:val="24"/>
                <w:szCs w:val="24"/>
                <w:lang w:val="en-US" w:eastAsia="zh-CN"/>
              </w:rPr>
              <w:t>到2030年达到</w:t>
            </w:r>
            <w:r>
              <w:rPr>
                <w:rFonts w:ascii="仿宋_GB2312" w:hAnsi="仿宋_GB2312" w:eastAsia="仿宋_GB2312" w:cs="仿宋_GB2312"/>
                <w:snapToGrid w:val="0"/>
                <w:sz w:val="24"/>
                <w:szCs w:val="24"/>
              </w:rPr>
              <w:t>10% 以上</w:t>
            </w:r>
            <w:bookmarkEnd w:id="193"/>
          </w:p>
        </w:tc>
        <w:tc>
          <w:tcPr>
            <w:tcW w:w="955" w:type="dxa"/>
            <w:vAlign w:val="center"/>
          </w:tcPr>
          <w:p w14:paraId="69F67A7A">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94" w:name="_Toc16383"/>
            <w:r>
              <w:rPr>
                <w:rFonts w:ascii="仿宋_GB2312" w:hAnsi="仿宋_GB2312" w:eastAsia="仿宋_GB2312" w:cs="仿宋_GB2312"/>
                <w:snapToGrid w:val="0"/>
                <w:sz w:val="24"/>
                <w:szCs w:val="24"/>
              </w:rPr>
              <w:t>预期性</w:t>
            </w:r>
            <w:bookmarkEnd w:id="194"/>
          </w:p>
        </w:tc>
      </w:tr>
      <w:tr w14:paraId="0837C17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97" w:hRule="atLeast"/>
          <w:jc w:val="center"/>
        </w:trPr>
        <w:tc>
          <w:tcPr>
            <w:tcW w:w="530" w:type="dxa"/>
            <w:vAlign w:val="center"/>
          </w:tcPr>
          <w:p w14:paraId="008F0473">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rPr>
            </w:pPr>
            <w:bookmarkStart w:id="195" w:name="_Toc3300"/>
            <w:r>
              <w:rPr>
                <w:rFonts w:hint="eastAsia" w:ascii="仿宋_GB2312" w:hAnsi="仿宋_GB2312" w:eastAsia="仿宋_GB2312" w:cs="仿宋_GB2312"/>
                <w:snapToGrid w:val="0"/>
                <w:sz w:val="24"/>
                <w:szCs w:val="24"/>
                <w:lang w:val="en-US" w:eastAsia="zh-CN"/>
              </w:rPr>
              <w:t>6</w:t>
            </w:r>
            <w:bookmarkEnd w:id="195"/>
          </w:p>
        </w:tc>
        <w:tc>
          <w:tcPr>
            <w:tcW w:w="1500" w:type="dxa"/>
            <w:vAlign w:val="center"/>
          </w:tcPr>
          <w:p w14:paraId="1D094C79">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96" w:name="_Toc27206"/>
            <w:r>
              <w:rPr>
                <w:rFonts w:ascii="仿宋_GB2312" w:hAnsi="仿宋_GB2312" w:eastAsia="仿宋_GB2312" w:cs="仿宋_GB2312"/>
                <w:snapToGrid w:val="0"/>
                <w:sz w:val="24"/>
                <w:szCs w:val="24"/>
              </w:rPr>
              <w:t>建成高标准农田上图入库覆盖率</w:t>
            </w:r>
            <w:bookmarkEnd w:id="196"/>
          </w:p>
        </w:tc>
        <w:tc>
          <w:tcPr>
            <w:tcW w:w="6674" w:type="dxa"/>
            <w:vAlign w:val="center"/>
          </w:tcPr>
          <w:p w14:paraId="4DFDB2DB">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97" w:name="_Toc19932"/>
            <w:r>
              <w:rPr>
                <w:rFonts w:hint="eastAsia" w:ascii="仿宋_GB2312" w:hAnsi="仿宋_GB2312" w:eastAsia="仿宋_GB2312" w:cs="仿宋_GB2312"/>
                <w:snapToGrid w:val="0"/>
                <w:sz w:val="24"/>
                <w:szCs w:val="24"/>
                <w:lang w:val="en-US" w:eastAsia="zh-CN"/>
              </w:rPr>
              <w:t>到2030年达到</w:t>
            </w:r>
            <w:r>
              <w:rPr>
                <w:rFonts w:ascii="仿宋_GB2312" w:hAnsi="仿宋_GB2312" w:eastAsia="仿宋_GB2312" w:cs="仿宋_GB2312"/>
                <w:snapToGrid w:val="0"/>
                <w:sz w:val="24"/>
                <w:szCs w:val="24"/>
              </w:rPr>
              <w:t>100%</w:t>
            </w:r>
            <w:bookmarkEnd w:id="197"/>
          </w:p>
        </w:tc>
        <w:tc>
          <w:tcPr>
            <w:tcW w:w="955" w:type="dxa"/>
            <w:vAlign w:val="center"/>
          </w:tcPr>
          <w:p w14:paraId="3AA3372D">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bookmarkStart w:id="198" w:name="_Toc6167"/>
            <w:r>
              <w:rPr>
                <w:rFonts w:ascii="仿宋_GB2312" w:hAnsi="仿宋_GB2312" w:eastAsia="仿宋_GB2312" w:cs="仿宋_GB2312"/>
                <w:snapToGrid w:val="0"/>
                <w:sz w:val="24"/>
                <w:szCs w:val="24"/>
              </w:rPr>
              <w:t>预期性</w:t>
            </w:r>
            <w:bookmarkEnd w:id="198"/>
          </w:p>
        </w:tc>
      </w:tr>
    </w:tbl>
    <w:p w14:paraId="41C7D41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199" w:name="_Toc29065"/>
      <w:bookmarkStart w:id="200" w:name="_Toc19442"/>
      <w:r>
        <w:rPr>
          <w:rFonts w:hint="eastAsia" w:ascii="仿宋" w:hAnsi="仿宋" w:eastAsia="仿宋" w:cs="仿宋"/>
          <w:kern w:val="0"/>
          <w:sz w:val="32"/>
          <w:szCs w:val="32"/>
          <w:highlight w:val="none"/>
          <w:lang w:val="en-US" w:eastAsia="zh-CN" w:bidi="ar"/>
        </w:rPr>
        <w:t>高标准农田建设主要涉及田、土、水、路、林、电、技、管8个方面目标。</w:t>
      </w:r>
    </w:p>
    <w:p w14:paraId="41AD1C5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201" w:name="_Toc25061"/>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田</w:t>
      </w:r>
      <w:bookmarkEnd w:id="201"/>
      <w:r>
        <w:rPr>
          <w:rFonts w:hint="eastAsia" w:ascii="仿宋" w:hAnsi="仿宋" w:eastAsia="仿宋" w:cs="仿宋"/>
          <w:kern w:val="0"/>
          <w:sz w:val="32"/>
          <w:szCs w:val="32"/>
          <w:highlight w:val="none"/>
          <w:lang w:val="en-US" w:eastAsia="zh-CN" w:bidi="ar"/>
        </w:rPr>
        <w:t>。通过合理归并和平整土地、坡耕地田坎修筑，实现田块规模适度、集中连片、田面平整，耕作层厚度适宜，山地丘陵区梯田化率提高，满足宜机化作业要求。</w:t>
      </w:r>
    </w:p>
    <w:p w14:paraId="087A7C6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202" w:name="_Toc13486"/>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土。</w:t>
      </w:r>
      <w:bookmarkEnd w:id="202"/>
      <w:r>
        <w:rPr>
          <w:rFonts w:hint="eastAsia" w:ascii="仿宋" w:hAnsi="仿宋" w:eastAsia="仿宋" w:cs="仿宋"/>
          <w:kern w:val="0"/>
          <w:sz w:val="32"/>
          <w:szCs w:val="32"/>
          <w:highlight w:val="none"/>
          <w:lang w:val="en-US" w:eastAsia="zh-CN" w:bidi="ar"/>
        </w:rPr>
        <w:t>通过培肥改良，实现土壤通透性能好、保水保肥能力强、酸碱平衡、有机质和营养元素丰富，着力提高耕地内在质量和产出能力。</w:t>
      </w:r>
    </w:p>
    <w:p w14:paraId="672008F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203" w:name="_Toc28326"/>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水。</w:t>
      </w:r>
      <w:bookmarkEnd w:id="203"/>
      <w:r>
        <w:rPr>
          <w:rFonts w:hint="eastAsia" w:ascii="仿宋" w:hAnsi="仿宋" w:eastAsia="仿宋" w:cs="仿宋"/>
          <w:kern w:val="0"/>
          <w:sz w:val="32"/>
          <w:szCs w:val="32"/>
          <w:highlight w:val="none"/>
          <w:lang w:val="en-US" w:eastAsia="zh-CN" w:bidi="ar"/>
        </w:rPr>
        <w:t>通过加强田间灌排设施建设和推进高效节水灌溉等，增加有效灌溉面积，提高灌溉保证率、用水效率和农田抗旱排涝标准，实现旱涝保收。</w:t>
      </w:r>
    </w:p>
    <w:p w14:paraId="0EAA8A9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204" w:name="_Toc8435"/>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路。</w:t>
      </w:r>
      <w:bookmarkEnd w:id="204"/>
      <w:r>
        <w:rPr>
          <w:rFonts w:hint="eastAsia" w:ascii="仿宋" w:hAnsi="仿宋" w:eastAsia="仿宋" w:cs="仿宋"/>
          <w:kern w:val="0"/>
          <w:sz w:val="32"/>
          <w:szCs w:val="32"/>
          <w:highlight w:val="none"/>
          <w:lang w:val="en-US" w:eastAsia="zh-CN" w:bidi="ar"/>
        </w:rPr>
        <w:t>通过田间道路建设、桥涵配套，提高道路通行质量、荷载标准和通达度，合理增加路面宽度，满足农机作业、生产物流要求。</w:t>
      </w:r>
    </w:p>
    <w:p w14:paraId="1B1AE7C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205" w:name="_Toc17375"/>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林。</w:t>
      </w:r>
      <w:bookmarkEnd w:id="205"/>
      <w:r>
        <w:rPr>
          <w:rFonts w:hint="eastAsia" w:ascii="仿宋" w:hAnsi="仿宋" w:eastAsia="仿宋" w:cs="仿宋"/>
          <w:kern w:val="0"/>
          <w:sz w:val="32"/>
          <w:szCs w:val="32"/>
          <w:highlight w:val="none"/>
          <w:lang w:val="en-US" w:eastAsia="zh-CN" w:bidi="ar"/>
        </w:rPr>
        <w:t>通过农田林网、岸坡防护、沟道治理等农田防护和生态环境保护工程建设，改善农田生态环境，提高农田防御风沙灾害和防止水土流失能力。</w:t>
      </w:r>
    </w:p>
    <w:p w14:paraId="560C76D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206" w:name="_Toc24144"/>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电。</w:t>
      </w:r>
      <w:bookmarkEnd w:id="206"/>
      <w:r>
        <w:rPr>
          <w:rFonts w:hint="eastAsia" w:ascii="仿宋" w:hAnsi="仿宋" w:eastAsia="仿宋" w:cs="仿宋"/>
          <w:kern w:val="0"/>
          <w:sz w:val="32"/>
          <w:szCs w:val="32"/>
          <w:highlight w:val="none"/>
          <w:lang w:val="en-US" w:eastAsia="zh-CN" w:bidi="ar"/>
        </w:rPr>
        <w:t>通过完善农田电网、配套相应的输配电设施，满足农田设施用电需求，降低农业生产成本，提高农业生产的效率和效益。</w:t>
      </w:r>
    </w:p>
    <w:p w14:paraId="4B1C08D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firstLine="640"/>
        <w:jc w:val="left"/>
        <w:textAlignment w:val="auto"/>
        <w:rPr>
          <w:rFonts w:hint="eastAsia" w:ascii="仿宋" w:hAnsi="仿宋" w:eastAsia="仿宋" w:cs="仿宋"/>
          <w:kern w:val="0"/>
          <w:sz w:val="32"/>
          <w:szCs w:val="32"/>
          <w:highlight w:val="none"/>
          <w:lang w:val="en-US" w:eastAsia="zh-CN" w:bidi="ar"/>
        </w:rPr>
      </w:pPr>
      <w:bookmarkStart w:id="207" w:name="_Toc13141"/>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技。</w:t>
      </w:r>
      <w:bookmarkEnd w:id="207"/>
      <w:r>
        <w:rPr>
          <w:rFonts w:hint="eastAsia" w:ascii="仿宋" w:hAnsi="仿宋" w:eastAsia="仿宋" w:cs="仿宋"/>
          <w:kern w:val="0"/>
          <w:sz w:val="32"/>
          <w:szCs w:val="32"/>
          <w:highlight w:val="none"/>
          <w:lang w:val="en-US" w:eastAsia="zh-CN" w:bidi="ar"/>
        </w:rPr>
        <w:t>通过工程措施与农机农艺技术相结合，推广数字农业、良种良法、病虫害绿色防控、节水节肥减药等技术，提高农田可持续利用水平和综合生产能力。</w:t>
      </w:r>
    </w:p>
    <w:p w14:paraId="7F36BE99">
      <w:pPr>
        <w:keepNext w:val="0"/>
        <w:keepLines w:val="0"/>
        <w:pageBreakBefore w:val="0"/>
        <w:kinsoku/>
        <w:wordWrap w:val="0"/>
        <w:overflowPunct/>
        <w:autoSpaceDE/>
        <w:autoSpaceDN/>
        <w:bidi w:val="0"/>
        <w:ind w:firstLine="640" w:firstLineChars="200"/>
        <w:jc w:val="left"/>
        <w:textAlignment w:val="auto"/>
        <w:rPr>
          <w:rFonts w:hint="eastAsia" w:ascii="仿宋" w:hAnsi="仿宋" w:eastAsia="仿宋" w:cs="仿宋"/>
          <w:kern w:val="0"/>
          <w:sz w:val="32"/>
          <w:szCs w:val="32"/>
          <w:highlight w:val="none"/>
          <w:lang w:val="en-US" w:eastAsia="zh-CN" w:bidi="ar"/>
        </w:rPr>
      </w:pPr>
      <w:bookmarkStart w:id="208" w:name="_Toc32109"/>
      <w:r>
        <w:rPr>
          <w:rFonts w:hint="default" w:ascii="仿宋" w:hAnsi="仿宋" w:eastAsia="仿宋" w:cs="仿宋"/>
          <w:kern w:val="0"/>
          <w:sz w:val="32"/>
          <w:szCs w:val="32"/>
          <w:highlight w:val="none"/>
          <w:lang w:val="en-US" w:eastAsia="zh-CN" w:bidi="ar"/>
        </w:rPr>
        <w:t>——</w:t>
      </w:r>
      <w:r>
        <w:rPr>
          <w:rFonts w:hint="eastAsia" w:ascii="仿宋" w:hAnsi="仿宋" w:eastAsia="仿宋" w:cs="仿宋"/>
          <w:kern w:val="0"/>
          <w:sz w:val="32"/>
          <w:szCs w:val="32"/>
          <w:highlight w:val="none"/>
          <w:lang w:val="en-US" w:eastAsia="zh-CN" w:bidi="ar"/>
        </w:rPr>
        <w:t>管。</w:t>
      </w:r>
      <w:bookmarkEnd w:id="208"/>
      <w:r>
        <w:rPr>
          <w:rFonts w:hint="eastAsia" w:ascii="仿宋" w:hAnsi="仿宋" w:eastAsia="仿宋" w:cs="仿宋"/>
          <w:kern w:val="0"/>
          <w:sz w:val="32"/>
          <w:szCs w:val="32"/>
          <w:highlight w:val="none"/>
          <w:lang w:val="en-US" w:eastAsia="zh-CN" w:bidi="ar"/>
        </w:rPr>
        <w:t>通过高标准农田规划、立项、实施、验收、管护和利用全过程的管理和监控，确保建成的工程设施在设计使用年限内正常运行、高标准农田用途不改变、质量有提高。</w:t>
      </w:r>
    </w:p>
    <w:p w14:paraId="35E9916B">
      <w:pPr>
        <w:keepNext w:val="0"/>
        <w:keepLines w:val="0"/>
        <w:pageBreakBefore w:val="0"/>
        <w:kinsoku/>
        <w:wordWrap w:val="0"/>
        <w:overflowPunct/>
        <w:autoSpaceDE/>
        <w:autoSpaceDN/>
        <w:bidi w:val="0"/>
        <w:jc w:val="left"/>
        <w:textAlignment w:val="auto"/>
        <w:rPr>
          <w:rFonts w:hint="eastAsia"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br w:type="page"/>
      </w:r>
    </w:p>
    <w:p w14:paraId="7BC1E33F">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209" w:name="_Toc17444"/>
      <w:bookmarkStart w:id="210" w:name="_Toc2603"/>
      <w:bookmarkStart w:id="211" w:name="_Toc27502"/>
      <w:r>
        <w:rPr>
          <w:rFonts w:hint="eastAsia" w:ascii="黑体" w:hAnsi="黑体" w:eastAsia="黑体" w:cs="黑体"/>
          <w:b w:val="0"/>
          <w:bCs w:val="0"/>
          <w:sz w:val="36"/>
          <w:szCs w:val="36"/>
          <w:highlight w:val="none"/>
          <w:lang w:val="en-US" w:eastAsia="zh-CN"/>
        </w:rPr>
        <w:t>第三章 建设布局与建设任务</w:t>
      </w:r>
      <w:bookmarkEnd w:id="199"/>
      <w:bookmarkEnd w:id="200"/>
      <w:bookmarkEnd w:id="209"/>
      <w:bookmarkEnd w:id="210"/>
      <w:bookmarkEnd w:id="211"/>
    </w:p>
    <w:p w14:paraId="6C98D096">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6"/>
          <w:szCs w:val="36"/>
          <w:highlight w:val="none"/>
          <w:lang w:val="en-US" w:eastAsia="zh-CN"/>
        </w:rPr>
      </w:pPr>
    </w:p>
    <w:p w14:paraId="380FA358">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12" w:name="_Toc2782"/>
      <w:bookmarkStart w:id="213" w:name="_Toc22048"/>
      <w:bookmarkStart w:id="214" w:name="_Toc28401"/>
      <w:bookmarkStart w:id="215" w:name="_Toc25185"/>
      <w:r>
        <w:rPr>
          <w:rFonts w:hint="eastAsia" w:ascii="黑体" w:hAnsi="黑体" w:eastAsia="黑体" w:cs="黑体"/>
          <w:sz w:val="32"/>
          <w:szCs w:val="32"/>
          <w:highlight w:val="none"/>
          <w:lang w:val="en-US" w:eastAsia="zh-CN"/>
        </w:rPr>
        <w:t>一、建设布局</w:t>
      </w:r>
      <w:bookmarkEnd w:id="212"/>
      <w:bookmarkEnd w:id="213"/>
      <w:bookmarkEnd w:id="214"/>
      <w:bookmarkEnd w:id="215"/>
    </w:p>
    <w:p w14:paraId="72BA5C1D">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以永久基本农田、粮食生产功能区和重要农产品生产保护区为重点区域，新增建设和改造提升并重，集中力量建设高标准农田，统筹规划、同步实施高效节水灌溉，着力打造我</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粮食和重要农产品稳产保供基地。</w:t>
      </w:r>
    </w:p>
    <w:p w14:paraId="1BB0F3DA">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highlight w:val="yellow"/>
        </w:rPr>
      </w:pPr>
      <w:r>
        <w:rPr>
          <w:rFonts w:hint="eastAsia" w:ascii="仿宋" w:hAnsi="仿宋" w:eastAsia="仿宋" w:cs="仿宋"/>
          <w:sz w:val="32"/>
          <w:szCs w:val="32"/>
          <w:highlight w:val="none"/>
        </w:rPr>
        <w:t>高标准农田建设项目，重点围绕粮食生产功能区、永久基本农田、省级现代农业产业园（粮食类）、</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级现代农业产业园（粮食类）</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种子基地等区域开展建设。要把符合条件的撂荒耕地、新增和恢复耕地地块纳入高标准农田建设范围，优先将大中型灌区有效灌溉面积建成高标准农田，将碎片化农田整合整治作为重要建设内容。原则上，新建高标准农田建设项目建成后要全部用于粮食生产。</w:t>
      </w:r>
    </w:p>
    <w:p w14:paraId="016EACDD">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高标准农田改造提升项目原则上选择已建高标准农田建设项目中稳定种植粮食作物、区位条件好、改造后增产增收效益明显、土地流转率较高、群众积极性高的建设区域;对于已建高标准农田建设项目中水毁等自然损毁较严重的建设区域，可纳入改造提升任务。</w:t>
      </w:r>
    </w:p>
    <w:p w14:paraId="73BD0C0B">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支持在具有灌溉条件的旱作农业区和现代化水平及土地流转率较高的水稻区高标准农田建设项目中同步实施高效节水灌溉项目。</w:t>
      </w:r>
    </w:p>
    <w:p w14:paraId="16043346">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216" w:name="_Toc12351"/>
    </w:p>
    <w:p w14:paraId="453B7ACB">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17" w:name="_Toc10618"/>
      <w:bookmarkStart w:id="218" w:name="_Toc20257"/>
      <w:bookmarkStart w:id="219" w:name="_Toc25423"/>
      <w:r>
        <w:rPr>
          <w:rFonts w:hint="eastAsia" w:ascii="黑体" w:hAnsi="黑体" w:eastAsia="黑体" w:cs="黑体"/>
          <w:sz w:val="32"/>
          <w:szCs w:val="32"/>
          <w:highlight w:val="none"/>
          <w:lang w:val="en-US" w:eastAsia="zh-CN"/>
        </w:rPr>
        <w:t>二、建设任务</w:t>
      </w:r>
      <w:bookmarkEnd w:id="216"/>
      <w:bookmarkEnd w:id="217"/>
      <w:bookmarkEnd w:id="218"/>
      <w:bookmarkEnd w:id="219"/>
    </w:p>
    <w:p w14:paraId="25FFEAAB">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highlight w:val="yellow"/>
        </w:rPr>
      </w:pPr>
      <w:r>
        <w:rPr>
          <w:rFonts w:hint="eastAsia" w:ascii="仿宋" w:hAnsi="仿宋" w:eastAsia="仿宋" w:cs="仿宋"/>
          <w:sz w:val="32"/>
          <w:szCs w:val="32"/>
          <w:highlight w:val="none"/>
        </w:rPr>
        <w:t>我</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土地面积</w:t>
      </w:r>
      <w:r>
        <w:rPr>
          <w:rFonts w:hint="eastAsia" w:ascii="仿宋" w:hAnsi="仿宋" w:eastAsia="仿宋" w:cs="仿宋"/>
          <w:sz w:val="32"/>
          <w:szCs w:val="32"/>
          <w:highlight w:val="none"/>
          <w:lang w:val="en-US" w:eastAsia="zh-CN"/>
        </w:rPr>
        <w:t>4838</w:t>
      </w:r>
      <w:r>
        <w:rPr>
          <w:rFonts w:hint="eastAsia" w:ascii="仿宋" w:hAnsi="仿宋" w:eastAsia="仿宋" w:cs="仿宋"/>
          <w:sz w:val="32"/>
          <w:szCs w:val="32"/>
          <w:highlight w:val="none"/>
        </w:rPr>
        <w:t>平方公里，根据第三次全国土地调查成果，其中耕地面积</w:t>
      </w:r>
      <w:r>
        <w:rPr>
          <w:rFonts w:hint="eastAsia" w:ascii="仿宋" w:hAnsi="仿宋" w:eastAsia="仿宋" w:cs="仿宋"/>
          <w:sz w:val="32"/>
          <w:szCs w:val="32"/>
          <w:highlight w:val="none"/>
          <w:lang w:val="en-US" w:eastAsia="zh-CN"/>
        </w:rPr>
        <w:t>110.94</w:t>
      </w:r>
      <w:r>
        <w:rPr>
          <w:rFonts w:hint="eastAsia" w:ascii="仿宋" w:hAnsi="仿宋" w:eastAsia="仿宋" w:cs="仿宋"/>
          <w:sz w:val="32"/>
          <w:szCs w:val="32"/>
          <w:highlight w:val="none"/>
        </w:rPr>
        <w:t>万亩</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不含深汕合作区面积</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，人均土地面积、耕地面积均低于全国平均水平。</w:t>
      </w:r>
    </w:p>
    <w:p w14:paraId="2E428888">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省</w:t>
      </w:r>
      <w:r>
        <w:rPr>
          <w:rFonts w:hint="eastAsia" w:ascii="仿宋" w:hAnsi="仿宋" w:eastAsia="仿宋" w:cs="仿宋"/>
          <w:sz w:val="32"/>
          <w:szCs w:val="32"/>
          <w:highlight w:val="none"/>
        </w:rPr>
        <w:t>下达我</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的建设任务，衔接国土</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三调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成果，基于各</w:t>
      </w:r>
      <w:r>
        <w:rPr>
          <w:rFonts w:hint="eastAsia" w:ascii="仿宋" w:hAnsi="仿宋" w:eastAsia="仿宋" w:cs="仿宋"/>
          <w:sz w:val="32"/>
          <w:szCs w:val="32"/>
          <w:highlight w:val="none"/>
          <w:lang w:val="en-US" w:eastAsia="zh-CN"/>
        </w:rPr>
        <w:t>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市、区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永久基本农田、粮食生产功能区、重要农产品生产保护区等基础因素，兼顾耕地资源、粮食产量、水利发展等其他因素，提出规划期内我</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各</w:t>
      </w:r>
      <w:r>
        <w:rPr>
          <w:rFonts w:hint="eastAsia" w:ascii="仿宋" w:hAnsi="仿宋" w:eastAsia="仿宋" w:cs="仿宋"/>
          <w:sz w:val="32"/>
          <w:szCs w:val="32"/>
          <w:highlight w:val="none"/>
          <w:lang w:val="en-US" w:eastAsia="zh-CN"/>
        </w:rPr>
        <w:t>县（市、区）</w:t>
      </w:r>
      <w:r>
        <w:rPr>
          <w:rFonts w:hint="eastAsia" w:ascii="仿宋" w:hAnsi="仿宋" w:eastAsia="仿宋" w:cs="仿宋"/>
          <w:sz w:val="32"/>
          <w:szCs w:val="32"/>
          <w:highlight w:val="none"/>
        </w:rPr>
        <w:t>高标准农田建设任务及高效节水灌溉建设任务。规划实施过程中，根据各</w:t>
      </w:r>
      <w:r>
        <w:rPr>
          <w:rFonts w:hint="eastAsia" w:ascii="仿宋" w:hAnsi="仿宋" w:eastAsia="仿宋" w:cs="仿宋"/>
          <w:sz w:val="32"/>
          <w:szCs w:val="32"/>
          <w:highlight w:val="none"/>
          <w:lang w:val="en-US" w:eastAsia="zh-CN"/>
        </w:rPr>
        <w:t>县（市、区）</w:t>
      </w:r>
      <w:r>
        <w:rPr>
          <w:rFonts w:hint="eastAsia" w:ascii="仿宋" w:hAnsi="仿宋" w:eastAsia="仿宋" w:cs="仿宋"/>
          <w:sz w:val="32"/>
          <w:szCs w:val="32"/>
          <w:highlight w:val="none"/>
        </w:rPr>
        <w:t>耕地和永久基本农田保护任务变化等情况，可按照程序对各</w:t>
      </w:r>
      <w:r>
        <w:rPr>
          <w:rFonts w:hint="eastAsia" w:ascii="仿宋" w:hAnsi="仿宋" w:eastAsia="仿宋" w:cs="仿宋"/>
          <w:sz w:val="32"/>
          <w:szCs w:val="32"/>
          <w:highlight w:val="none"/>
          <w:lang w:val="en-US" w:eastAsia="zh-CN"/>
        </w:rPr>
        <w:t>县（市、区）</w:t>
      </w:r>
      <w:r>
        <w:rPr>
          <w:rFonts w:hint="eastAsia" w:ascii="仿宋" w:hAnsi="仿宋" w:eastAsia="仿宋" w:cs="仿宋"/>
          <w:sz w:val="32"/>
          <w:szCs w:val="32"/>
          <w:highlight w:val="none"/>
        </w:rPr>
        <w:t>高标准农田的建设任务实行动态调整。</w:t>
      </w:r>
    </w:p>
    <w:p w14:paraId="5F9264BF">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highlight w:val="none"/>
          <w:lang w:val="en-US" w:eastAsia="zh-CN"/>
        </w:rPr>
      </w:pPr>
    </w:p>
    <w:p w14:paraId="4CD445E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0" w:beforeLines="0" w:afterLines="0" w:line="590" w:lineRule="exact"/>
        <w:ind w:firstLine="0" w:firstLineChars="0"/>
        <w:jc w:val="center"/>
        <w:textAlignment w:val="auto"/>
        <w:rPr>
          <w:rFonts w:hint="eastAsia" w:ascii="仿宋_GB2312" w:hAnsi="仿宋_GB2312" w:eastAsia="仿宋_GB2312" w:cs="仿宋_GB2312"/>
          <w:b/>
          <w:bCs/>
          <w:snapToGrid w:val="0"/>
          <w:kern w:val="0"/>
          <w:sz w:val="28"/>
          <w:szCs w:val="28"/>
        </w:rPr>
      </w:pPr>
      <w:r>
        <w:rPr>
          <w:rFonts w:hint="eastAsia" w:ascii="仿宋_GB2312" w:hAnsi="仿宋_GB2312" w:eastAsia="仿宋_GB2312" w:cs="仿宋_GB2312"/>
          <w:b/>
          <w:bCs/>
          <w:snapToGrid w:val="0"/>
          <w:kern w:val="0"/>
          <w:sz w:val="28"/>
          <w:szCs w:val="28"/>
          <w:lang w:val="en-US" w:eastAsia="zh-CN"/>
        </w:rPr>
        <w:t xml:space="preserve">专栏2 </w:t>
      </w:r>
      <w:r>
        <w:rPr>
          <w:rFonts w:hint="eastAsia" w:ascii="仿宋_GB2312" w:hAnsi="仿宋_GB2312" w:eastAsia="仿宋_GB2312" w:cs="仿宋_GB2312"/>
          <w:b/>
          <w:bCs/>
          <w:snapToGrid w:val="0"/>
          <w:kern w:val="0"/>
          <w:sz w:val="28"/>
          <w:szCs w:val="28"/>
        </w:rPr>
        <w:t>各</w:t>
      </w:r>
      <w:r>
        <w:rPr>
          <w:rFonts w:hint="eastAsia" w:ascii="仿宋_GB2312" w:hAnsi="仿宋_GB2312" w:eastAsia="仿宋_GB2312" w:cs="仿宋_GB2312"/>
          <w:b/>
          <w:bCs/>
          <w:snapToGrid w:val="0"/>
          <w:kern w:val="0"/>
          <w:sz w:val="28"/>
          <w:szCs w:val="28"/>
          <w:lang w:val="en-US" w:eastAsia="zh-CN"/>
        </w:rPr>
        <w:t>县（市、区）</w:t>
      </w:r>
      <w:r>
        <w:rPr>
          <w:rFonts w:hint="eastAsia" w:ascii="仿宋_GB2312" w:hAnsi="仿宋_GB2312" w:eastAsia="仿宋_GB2312" w:cs="仿宋_GB2312"/>
          <w:b/>
          <w:bCs/>
          <w:snapToGrid w:val="0"/>
          <w:kern w:val="0"/>
          <w:sz w:val="28"/>
          <w:szCs w:val="28"/>
        </w:rPr>
        <w:t>高标准农田建设任务</w:t>
      </w:r>
    </w:p>
    <w:p w14:paraId="6BE56C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adjustRightInd/>
        <w:snapToGrid/>
        <w:spacing w:before="0" w:beforeLines="0" w:afterLines="0" w:line="560" w:lineRule="exact"/>
        <w:ind w:firstLine="0" w:firstLineChars="0"/>
        <w:jc w:val="right"/>
        <w:textAlignment w:val="auto"/>
        <w:rPr>
          <w:rFonts w:hint="eastAsia" w:ascii="仿宋" w:hAnsi="仿宋" w:eastAsia="仿宋" w:cs="仿宋"/>
          <w:sz w:val="32"/>
          <w:szCs w:val="32"/>
          <w:highlight w:val="yellow"/>
          <w:lang w:val="en-US" w:eastAsia="zh-CN"/>
        </w:rPr>
      </w:pPr>
      <w:r>
        <w:rPr>
          <w:rFonts w:hint="eastAsia" w:ascii="仿宋_GB2312" w:hAnsi="仿宋_GB2312" w:eastAsia="仿宋_GB2312" w:cs="仿宋_GB2312"/>
          <w:snapToGrid w:val="0"/>
          <w:kern w:val="0"/>
          <w:sz w:val="24"/>
          <w:szCs w:val="24"/>
        </w:rPr>
        <w:t>单位：万亩</w:t>
      </w:r>
    </w:p>
    <w:tbl>
      <w:tblPr>
        <w:tblStyle w:val="9"/>
        <w:tblW w:w="9052"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420"/>
        <w:gridCol w:w="1906"/>
        <w:gridCol w:w="1906"/>
        <w:gridCol w:w="1910"/>
        <w:gridCol w:w="1910"/>
      </w:tblGrid>
      <w:tr w14:paraId="0938012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blHeader/>
          <w:jc w:val="center"/>
        </w:trPr>
        <w:tc>
          <w:tcPr>
            <w:tcW w:w="1420" w:type="dxa"/>
            <w:vAlign w:val="center"/>
          </w:tcPr>
          <w:p w14:paraId="50E83EF9">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lang w:eastAsia="zh-CN"/>
              </w:rPr>
            </w:pPr>
            <w:r>
              <w:rPr>
                <w:rFonts w:hint="eastAsia" w:ascii="黑体" w:hAnsi="黑体" w:eastAsia="黑体" w:cs="黑体"/>
                <w:b w:val="0"/>
                <w:bCs w:val="0"/>
                <w:snapToGrid w:val="0"/>
                <w:sz w:val="24"/>
                <w:szCs w:val="24"/>
                <w:lang w:val="en-US" w:eastAsia="zh-CN"/>
              </w:rPr>
              <w:t>县（市、区）</w:t>
            </w:r>
          </w:p>
        </w:tc>
        <w:tc>
          <w:tcPr>
            <w:tcW w:w="1906" w:type="dxa"/>
            <w:vAlign w:val="center"/>
          </w:tcPr>
          <w:p w14:paraId="61369A0D">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r>
              <w:rPr>
                <w:rFonts w:hint="eastAsia" w:ascii="黑体" w:hAnsi="黑体" w:eastAsia="黑体" w:cs="黑体"/>
                <w:b w:val="0"/>
                <w:bCs w:val="0"/>
                <w:snapToGrid w:val="0"/>
                <w:sz w:val="24"/>
                <w:szCs w:val="24"/>
                <w:lang w:val="en-US" w:eastAsia="zh-CN"/>
              </w:rPr>
              <w:t>2021-2025年新增高标准农田</w:t>
            </w:r>
            <w:r>
              <w:rPr>
                <w:rFonts w:ascii="黑体" w:hAnsi="黑体" w:eastAsia="黑体" w:cs="黑体"/>
                <w:b w:val="0"/>
                <w:bCs w:val="0"/>
                <w:snapToGrid w:val="0"/>
                <w:sz w:val="24"/>
                <w:szCs w:val="24"/>
              </w:rPr>
              <w:t>面积</w:t>
            </w:r>
          </w:p>
        </w:tc>
        <w:tc>
          <w:tcPr>
            <w:tcW w:w="1906" w:type="dxa"/>
            <w:vAlign w:val="center"/>
          </w:tcPr>
          <w:p w14:paraId="543AF6ED">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ascii="黑体" w:hAnsi="黑体" w:eastAsia="黑体" w:cs="黑体"/>
                <w:b w:val="0"/>
                <w:bCs w:val="0"/>
                <w:snapToGrid w:val="0"/>
                <w:sz w:val="24"/>
                <w:szCs w:val="24"/>
              </w:rPr>
            </w:pPr>
            <w:r>
              <w:rPr>
                <w:rFonts w:hint="eastAsia" w:ascii="黑体" w:hAnsi="黑体" w:eastAsia="黑体" w:cs="黑体"/>
                <w:b w:val="0"/>
                <w:bCs w:val="0"/>
                <w:snapToGrid w:val="0"/>
                <w:sz w:val="24"/>
                <w:szCs w:val="24"/>
                <w:lang w:val="en-US" w:eastAsia="zh-CN"/>
              </w:rPr>
              <w:t>2021-2025</w:t>
            </w:r>
            <w:r>
              <w:rPr>
                <w:rFonts w:ascii="黑体" w:hAnsi="黑体" w:eastAsia="黑体" w:cs="黑体"/>
                <w:b w:val="0"/>
                <w:bCs w:val="0"/>
                <w:snapToGrid w:val="0"/>
                <w:sz w:val="24"/>
                <w:szCs w:val="24"/>
              </w:rPr>
              <w:t>年</w:t>
            </w:r>
          </w:p>
          <w:p w14:paraId="2A1D5DA0">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r>
              <w:rPr>
                <w:rFonts w:ascii="黑体" w:hAnsi="黑体" w:eastAsia="黑体" w:cs="黑体"/>
                <w:b w:val="0"/>
                <w:bCs w:val="0"/>
                <w:snapToGrid w:val="0"/>
                <w:sz w:val="24"/>
                <w:szCs w:val="24"/>
              </w:rPr>
              <w:t>改造提升面积</w:t>
            </w:r>
          </w:p>
        </w:tc>
        <w:tc>
          <w:tcPr>
            <w:tcW w:w="1910" w:type="dxa"/>
            <w:vAlign w:val="center"/>
          </w:tcPr>
          <w:p w14:paraId="715649D7">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r>
              <w:rPr>
                <w:rFonts w:hint="eastAsia" w:ascii="黑体" w:hAnsi="黑体" w:eastAsia="黑体" w:cs="黑体"/>
                <w:b w:val="0"/>
                <w:bCs w:val="0"/>
                <w:snapToGrid w:val="0"/>
                <w:sz w:val="24"/>
                <w:szCs w:val="24"/>
                <w:lang w:val="en-US" w:eastAsia="zh-CN"/>
              </w:rPr>
              <w:t>2026-2030年新增高标准农田</w:t>
            </w:r>
            <w:r>
              <w:rPr>
                <w:rFonts w:ascii="黑体" w:hAnsi="黑体" w:eastAsia="黑体" w:cs="黑体"/>
                <w:b w:val="0"/>
                <w:bCs w:val="0"/>
                <w:snapToGrid w:val="0"/>
                <w:sz w:val="24"/>
                <w:szCs w:val="24"/>
              </w:rPr>
              <w:t>面积</w:t>
            </w:r>
          </w:p>
        </w:tc>
        <w:tc>
          <w:tcPr>
            <w:tcW w:w="1910" w:type="dxa"/>
            <w:vAlign w:val="center"/>
          </w:tcPr>
          <w:p w14:paraId="6A020401">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ascii="黑体" w:hAnsi="黑体" w:eastAsia="黑体" w:cs="黑体"/>
                <w:b w:val="0"/>
                <w:bCs w:val="0"/>
                <w:snapToGrid w:val="0"/>
                <w:sz w:val="24"/>
                <w:szCs w:val="24"/>
              </w:rPr>
            </w:pPr>
            <w:r>
              <w:rPr>
                <w:rFonts w:hint="eastAsia" w:ascii="黑体" w:hAnsi="黑体" w:eastAsia="黑体" w:cs="黑体"/>
                <w:b w:val="0"/>
                <w:bCs w:val="0"/>
                <w:snapToGrid w:val="0"/>
                <w:sz w:val="24"/>
                <w:szCs w:val="24"/>
                <w:lang w:val="en-US" w:eastAsia="zh-CN"/>
              </w:rPr>
              <w:t>2026-2030</w:t>
            </w:r>
            <w:r>
              <w:rPr>
                <w:rFonts w:ascii="黑体" w:hAnsi="黑体" w:eastAsia="黑体" w:cs="黑体"/>
                <w:b w:val="0"/>
                <w:bCs w:val="0"/>
                <w:snapToGrid w:val="0"/>
                <w:sz w:val="24"/>
                <w:szCs w:val="24"/>
              </w:rPr>
              <w:t>年</w:t>
            </w:r>
          </w:p>
          <w:p w14:paraId="46214BAB">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ascii="黑体" w:hAnsi="黑体" w:eastAsia="黑体" w:cs="黑体"/>
                <w:b w:val="0"/>
                <w:bCs w:val="0"/>
                <w:snapToGrid w:val="0"/>
                <w:sz w:val="24"/>
                <w:szCs w:val="24"/>
              </w:rPr>
            </w:pPr>
            <w:r>
              <w:rPr>
                <w:rFonts w:ascii="黑体" w:hAnsi="黑体" w:eastAsia="黑体" w:cs="黑体"/>
                <w:b w:val="0"/>
                <w:bCs w:val="0"/>
                <w:snapToGrid w:val="0"/>
                <w:sz w:val="24"/>
                <w:szCs w:val="24"/>
              </w:rPr>
              <w:t>改造提升面积</w:t>
            </w:r>
          </w:p>
        </w:tc>
      </w:tr>
      <w:tr w14:paraId="794171B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jc w:val="center"/>
        </w:trPr>
        <w:tc>
          <w:tcPr>
            <w:tcW w:w="1420" w:type="dxa"/>
            <w:vAlign w:val="center"/>
          </w:tcPr>
          <w:p w14:paraId="18D15532">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b/>
                <w:bCs/>
                <w:snapToGrid w:val="0"/>
                <w:sz w:val="24"/>
                <w:szCs w:val="24"/>
              </w:rPr>
            </w:pPr>
            <w:bookmarkStart w:id="220" w:name="_Toc3550"/>
            <w:r>
              <w:rPr>
                <w:rFonts w:hint="eastAsia" w:ascii="仿宋_GB2312" w:hAnsi="仿宋_GB2312" w:eastAsia="仿宋_GB2312" w:cs="仿宋_GB2312"/>
                <w:b/>
                <w:bCs/>
                <w:snapToGrid w:val="0"/>
                <w:sz w:val="24"/>
                <w:szCs w:val="24"/>
                <w:lang w:val="en-US" w:eastAsia="zh-CN"/>
              </w:rPr>
              <w:t>全市</w:t>
            </w:r>
            <w:r>
              <w:rPr>
                <w:rFonts w:ascii="仿宋_GB2312" w:hAnsi="仿宋_GB2312" w:eastAsia="仿宋_GB2312" w:cs="仿宋_GB2312"/>
                <w:b/>
                <w:bCs/>
                <w:snapToGrid w:val="0"/>
                <w:sz w:val="24"/>
                <w:szCs w:val="24"/>
              </w:rPr>
              <w:t>合计</w:t>
            </w:r>
            <w:bookmarkEnd w:id="220"/>
          </w:p>
        </w:tc>
        <w:tc>
          <w:tcPr>
            <w:tcW w:w="1906" w:type="dxa"/>
            <w:vAlign w:val="center"/>
          </w:tcPr>
          <w:p w14:paraId="2FA63C0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12.47</w:t>
            </w:r>
          </w:p>
        </w:tc>
        <w:tc>
          <w:tcPr>
            <w:tcW w:w="1906" w:type="dxa"/>
            <w:vAlign w:val="center"/>
          </w:tcPr>
          <w:p w14:paraId="4E858114">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11.00</w:t>
            </w:r>
          </w:p>
        </w:tc>
        <w:tc>
          <w:tcPr>
            <w:tcW w:w="1910" w:type="dxa"/>
            <w:vAlign w:val="center"/>
          </w:tcPr>
          <w:p w14:paraId="35CDE44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1.20</w:t>
            </w:r>
          </w:p>
        </w:tc>
        <w:tc>
          <w:tcPr>
            <w:tcW w:w="1910" w:type="dxa"/>
            <w:vAlign w:val="center"/>
          </w:tcPr>
          <w:p w14:paraId="6F428FB5">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18.30</w:t>
            </w:r>
          </w:p>
        </w:tc>
      </w:tr>
      <w:tr w14:paraId="16391F4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jc w:val="center"/>
        </w:trPr>
        <w:tc>
          <w:tcPr>
            <w:tcW w:w="1420" w:type="dxa"/>
            <w:vAlign w:val="center"/>
          </w:tcPr>
          <w:p w14:paraId="0D07984F">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b/>
                <w:bCs/>
                <w:snapToGrid w:val="0"/>
                <w:sz w:val="24"/>
                <w:szCs w:val="24"/>
                <w:lang w:eastAsia="zh-CN"/>
              </w:rPr>
            </w:pPr>
            <w:r>
              <w:rPr>
                <w:rFonts w:hint="eastAsia" w:ascii="仿宋_GB2312" w:hAnsi="仿宋_GB2312" w:eastAsia="仿宋_GB2312" w:cs="仿宋_GB2312"/>
                <w:snapToGrid w:val="0"/>
                <w:sz w:val="24"/>
                <w:szCs w:val="24"/>
                <w:lang w:val="en-US" w:eastAsia="zh-CN"/>
              </w:rPr>
              <w:t>城区</w:t>
            </w:r>
          </w:p>
        </w:tc>
        <w:tc>
          <w:tcPr>
            <w:tcW w:w="1906" w:type="dxa"/>
            <w:vAlign w:val="center"/>
          </w:tcPr>
          <w:p w14:paraId="70119CE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0.22</w:t>
            </w:r>
          </w:p>
        </w:tc>
        <w:tc>
          <w:tcPr>
            <w:tcW w:w="1906" w:type="dxa"/>
            <w:vAlign w:val="center"/>
          </w:tcPr>
          <w:p w14:paraId="1D23C064">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0.10</w:t>
            </w:r>
          </w:p>
        </w:tc>
        <w:tc>
          <w:tcPr>
            <w:tcW w:w="1910" w:type="dxa"/>
            <w:vAlign w:val="center"/>
          </w:tcPr>
          <w:p w14:paraId="7E9764C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snapToGrid w:val="0"/>
                <w:kern w:val="0"/>
                <w:sz w:val="24"/>
                <w:szCs w:val="24"/>
                <w:lang w:val="en-US"/>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1910" w:type="dxa"/>
            <w:vAlign w:val="center"/>
          </w:tcPr>
          <w:p w14:paraId="45577A8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r w14:paraId="57A1C2B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jc w:val="center"/>
        </w:trPr>
        <w:tc>
          <w:tcPr>
            <w:tcW w:w="1420" w:type="dxa"/>
            <w:vAlign w:val="center"/>
          </w:tcPr>
          <w:p w14:paraId="1FDDC12F">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default"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海丰县</w:t>
            </w:r>
          </w:p>
        </w:tc>
        <w:tc>
          <w:tcPr>
            <w:tcW w:w="1906" w:type="dxa"/>
            <w:vAlign w:val="center"/>
          </w:tcPr>
          <w:p w14:paraId="3D6B4635">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2.87</w:t>
            </w:r>
          </w:p>
        </w:tc>
        <w:tc>
          <w:tcPr>
            <w:tcW w:w="1906" w:type="dxa"/>
            <w:vAlign w:val="center"/>
          </w:tcPr>
          <w:p w14:paraId="13DAC7D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4.20</w:t>
            </w:r>
          </w:p>
        </w:tc>
        <w:tc>
          <w:tcPr>
            <w:tcW w:w="1910" w:type="dxa"/>
            <w:vAlign w:val="center"/>
          </w:tcPr>
          <w:p w14:paraId="28A1D478">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snapToGrid w:val="0"/>
                <w:kern w:val="0"/>
                <w:sz w:val="24"/>
                <w:szCs w:val="24"/>
                <w:lang w:val="en-US"/>
              </w:rPr>
            </w:pPr>
            <w:r>
              <w:rPr>
                <w:rFonts w:hint="eastAsia" w:ascii="仿宋_GB2312" w:hAnsi="仿宋_GB2312" w:eastAsia="仿宋_GB2312" w:cs="仿宋_GB2312"/>
                <w:b w:val="0"/>
                <w:bCs/>
                <w:i w:val="0"/>
                <w:snapToGrid w:val="0"/>
                <w:color w:val="000000"/>
                <w:kern w:val="0"/>
                <w:sz w:val="24"/>
                <w:szCs w:val="24"/>
                <w:u w:val="none"/>
                <w:lang w:val="en-US" w:eastAsia="zh-CN"/>
              </w:rPr>
              <w:t>0.30</w:t>
            </w:r>
          </w:p>
        </w:tc>
        <w:tc>
          <w:tcPr>
            <w:tcW w:w="1910" w:type="dxa"/>
            <w:vAlign w:val="center"/>
          </w:tcPr>
          <w:p w14:paraId="6E791A2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tabs>
                <w:tab w:val="left" w:pos="1016"/>
                <w:tab w:val="center" w:pos="1212"/>
              </w:tabs>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7.75</w:t>
            </w:r>
          </w:p>
        </w:tc>
      </w:tr>
      <w:tr w14:paraId="62C04DC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jc w:val="center"/>
        </w:trPr>
        <w:tc>
          <w:tcPr>
            <w:tcW w:w="1420" w:type="dxa"/>
            <w:vAlign w:val="center"/>
          </w:tcPr>
          <w:p w14:paraId="1398F410">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陆丰市</w:t>
            </w:r>
          </w:p>
        </w:tc>
        <w:tc>
          <w:tcPr>
            <w:tcW w:w="1906" w:type="dxa"/>
            <w:vAlign w:val="center"/>
          </w:tcPr>
          <w:p w14:paraId="3211185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7.51</w:t>
            </w:r>
          </w:p>
        </w:tc>
        <w:tc>
          <w:tcPr>
            <w:tcW w:w="1906" w:type="dxa"/>
            <w:vAlign w:val="center"/>
          </w:tcPr>
          <w:p w14:paraId="66B6F62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6.00</w:t>
            </w:r>
          </w:p>
        </w:tc>
        <w:tc>
          <w:tcPr>
            <w:tcW w:w="1910" w:type="dxa"/>
            <w:vAlign w:val="center"/>
          </w:tcPr>
          <w:p w14:paraId="32CE652B">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snapToGrid w:val="0"/>
                <w:kern w:val="0"/>
                <w:sz w:val="24"/>
                <w:szCs w:val="24"/>
                <w:lang w:val="en-US"/>
              </w:rPr>
            </w:pPr>
            <w:r>
              <w:rPr>
                <w:rFonts w:hint="eastAsia" w:ascii="仿宋_GB2312" w:hAnsi="仿宋_GB2312" w:eastAsia="仿宋_GB2312" w:cs="仿宋_GB2312"/>
                <w:b w:val="0"/>
                <w:bCs/>
                <w:i w:val="0"/>
                <w:snapToGrid w:val="0"/>
                <w:color w:val="000000"/>
                <w:kern w:val="0"/>
                <w:sz w:val="24"/>
                <w:szCs w:val="24"/>
                <w:u w:val="none"/>
                <w:lang w:val="en-US" w:eastAsia="zh-CN"/>
              </w:rPr>
              <w:t>0.80</w:t>
            </w:r>
          </w:p>
        </w:tc>
        <w:tc>
          <w:tcPr>
            <w:tcW w:w="1910" w:type="dxa"/>
            <w:vAlign w:val="center"/>
          </w:tcPr>
          <w:p w14:paraId="1FF382C4">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9.00</w:t>
            </w:r>
          </w:p>
        </w:tc>
      </w:tr>
      <w:tr w14:paraId="5D0A595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25" w:hRule="atLeast"/>
          <w:jc w:val="center"/>
        </w:trPr>
        <w:tc>
          <w:tcPr>
            <w:tcW w:w="1420" w:type="dxa"/>
            <w:vAlign w:val="center"/>
          </w:tcPr>
          <w:p w14:paraId="4186221E">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default"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陆河县</w:t>
            </w:r>
          </w:p>
        </w:tc>
        <w:tc>
          <w:tcPr>
            <w:tcW w:w="1906" w:type="dxa"/>
            <w:vAlign w:val="center"/>
          </w:tcPr>
          <w:p w14:paraId="144AD59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1.17</w:t>
            </w:r>
          </w:p>
        </w:tc>
        <w:tc>
          <w:tcPr>
            <w:tcW w:w="1906" w:type="dxa"/>
            <w:vAlign w:val="center"/>
          </w:tcPr>
          <w:p w14:paraId="13633882">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0.70</w:t>
            </w:r>
          </w:p>
        </w:tc>
        <w:tc>
          <w:tcPr>
            <w:tcW w:w="1910" w:type="dxa"/>
            <w:vAlign w:val="center"/>
          </w:tcPr>
          <w:p w14:paraId="7B430E4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1910" w:type="dxa"/>
            <w:vAlign w:val="center"/>
          </w:tcPr>
          <w:p w14:paraId="3FFBDFBA">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1.30</w:t>
            </w:r>
          </w:p>
        </w:tc>
      </w:tr>
      <w:tr w14:paraId="1FE3F76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jc w:val="center"/>
        </w:trPr>
        <w:tc>
          <w:tcPr>
            <w:tcW w:w="1420" w:type="dxa"/>
            <w:vAlign w:val="center"/>
          </w:tcPr>
          <w:p w14:paraId="33CECBE4">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default"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红海湾经济开发区</w:t>
            </w:r>
          </w:p>
        </w:tc>
        <w:tc>
          <w:tcPr>
            <w:tcW w:w="1906" w:type="dxa"/>
            <w:vAlign w:val="center"/>
          </w:tcPr>
          <w:p w14:paraId="14551B8F">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0.60</w:t>
            </w:r>
          </w:p>
        </w:tc>
        <w:tc>
          <w:tcPr>
            <w:tcW w:w="1906" w:type="dxa"/>
            <w:vAlign w:val="center"/>
          </w:tcPr>
          <w:p w14:paraId="1031618E">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1910" w:type="dxa"/>
            <w:vAlign w:val="center"/>
          </w:tcPr>
          <w:p w14:paraId="66CAF951">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1910" w:type="dxa"/>
            <w:vAlign w:val="center"/>
          </w:tcPr>
          <w:p w14:paraId="7C9CEB69">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0.25</w:t>
            </w:r>
          </w:p>
        </w:tc>
      </w:tr>
      <w:tr w14:paraId="2BA277A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jc w:val="center"/>
        </w:trPr>
        <w:tc>
          <w:tcPr>
            <w:tcW w:w="1420" w:type="dxa"/>
            <w:vAlign w:val="center"/>
          </w:tcPr>
          <w:p w14:paraId="6DE7F634">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lang w:val="en-US" w:eastAsia="zh-CN"/>
              </w:rPr>
            </w:pPr>
            <w:r>
              <w:rPr>
                <w:rFonts w:hint="eastAsia" w:ascii="仿宋_GB2312" w:hAnsi="仿宋_GB2312" w:eastAsia="仿宋_GB2312" w:cs="仿宋_GB2312"/>
                <w:snapToGrid w:val="0"/>
                <w:sz w:val="24"/>
                <w:szCs w:val="24"/>
                <w:lang w:val="en-US" w:eastAsia="zh-CN"/>
              </w:rPr>
              <w:t>华侨管理区</w:t>
            </w:r>
          </w:p>
        </w:tc>
        <w:tc>
          <w:tcPr>
            <w:tcW w:w="1906" w:type="dxa"/>
            <w:vAlign w:val="center"/>
          </w:tcPr>
          <w:p w14:paraId="3BB6FC2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0.10</w:t>
            </w:r>
          </w:p>
        </w:tc>
        <w:tc>
          <w:tcPr>
            <w:tcW w:w="1906" w:type="dxa"/>
            <w:vAlign w:val="center"/>
          </w:tcPr>
          <w:p w14:paraId="6594A31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1910" w:type="dxa"/>
            <w:vAlign w:val="center"/>
          </w:tcPr>
          <w:p w14:paraId="316F7613">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0.10</w:t>
            </w:r>
          </w:p>
        </w:tc>
        <w:tc>
          <w:tcPr>
            <w:tcW w:w="1910" w:type="dxa"/>
            <w:vAlign w:val="center"/>
          </w:tcPr>
          <w:p w14:paraId="7B395B5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bl>
    <w:p w14:paraId="33DAAC1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adjustRightInd/>
        <w:snapToGrid/>
        <w:spacing w:beforeLines="0" w:afterLines="0" w:line="240" w:lineRule="auto"/>
        <w:ind w:left="960" w:leftChars="0" w:hanging="960" w:hangingChars="400"/>
        <w:jc w:val="left"/>
        <w:textAlignment w:val="auto"/>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备注：1.各地可根据规划任务量适度提前安排新增和改造提升建设任务，但各阶段不得低于规划期内确定的任务数；</w:t>
      </w:r>
    </w:p>
    <w:p w14:paraId="7E5DA851">
      <w:pPr>
        <w:keepNext w:val="0"/>
        <w:keepLines w:val="0"/>
        <w:pageBreakBefore w:val="0"/>
        <w:widowControl w:val="0"/>
        <w:kinsoku/>
        <w:wordWrap w:val="0"/>
        <w:overflowPunct/>
        <w:topLinePunct w:val="0"/>
        <w:autoSpaceDE/>
        <w:autoSpaceDN/>
        <w:bidi w:val="0"/>
        <w:adjustRightInd/>
        <w:snapToGrid/>
        <w:spacing w:line="240" w:lineRule="auto"/>
        <w:ind w:firstLine="720" w:firstLineChars="300"/>
        <w:jc w:val="left"/>
        <w:textAlignment w:val="auto"/>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2.各地可统筹地方资金在规划期内增加建设任务。</w:t>
      </w:r>
    </w:p>
    <w:p w14:paraId="6D26FFE7">
      <w:pPr>
        <w:keepNext w:val="0"/>
        <w:keepLines w:val="0"/>
        <w:pageBreakBefore w:val="0"/>
        <w:kinsoku/>
        <w:wordWrap w:val="0"/>
        <w:overflowPunct/>
        <w:autoSpaceDE/>
        <w:autoSpaceDN/>
        <w:bidi w:val="0"/>
        <w:ind w:firstLine="720" w:firstLineChars="300"/>
        <w:jc w:val="left"/>
        <w:textAlignment w:val="auto"/>
        <w:rPr>
          <w:rFonts w:hint="eastAsia" w:ascii="仿宋_GB2312" w:hAnsi="仿宋_GB2312" w:eastAsia="仿宋_GB2312" w:cs="仿宋_GB2312"/>
          <w:snapToGrid w:val="0"/>
          <w:kern w:val="0"/>
          <w:sz w:val="24"/>
          <w:szCs w:val="24"/>
          <w:lang w:val="en-US" w:eastAsia="zh-CN"/>
        </w:rPr>
      </w:pPr>
    </w:p>
    <w:p w14:paraId="08F71E30">
      <w:pPr>
        <w:keepNext w:val="0"/>
        <w:keepLines w:val="0"/>
        <w:pageBreakBefore w:val="0"/>
        <w:kinsoku/>
        <w:wordWrap w:val="0"/>
        <w:overflowPunct/>
        <w:autoSpaceDE/>
        <w:autoSpaceDN/>
        <w:bidi w:val="0"/>
        <w:jc w:val="left"/>
        <w:textAlignment w:val="auto"/>
        <w:rPr>
          <w:rFonts w:hint="eastAsia" w:ascii="仿宋_GB2312" w:hAnsi="仿宋_GB2312" w:eastAsia="仿宋_GB2312" w:cs="仿宋_GB2312"/>
          <w:snapToGrid w:val="0"/>
          <w:kern w:val="0"/>
          <w:sz w:val="24"/>
          <w:szCs w:val="24"/>
          <w:lang w:val="en-US" w:eastAsia="zh-CN"/>
        </w:rPr>
      </w:pPr>
    </w:p>
    <w:p w14:paraId="062809B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0" w:beforeLines="0" w:afterLines="0" w:line="590" w:lineRule="exact"/>
        <w:ind w:firstLine="0" w:firstLineChars="0"/>
        <w:jc w:val="center"/>
        <w:textAlignment w:val="auto"/>
        <w:rPr>
          <w:rFonts w:hint="eastAsia" w:ascii="仿宋_GB2312" w:hAnsi="仿宋_GB2312" w:eastAsia="仿宋_GB2312" w:cs="仿宋_GB2312"/>
          <w:b/>
          <w:bCs/>
          <w:snapToGrid w:val="0"/>
          <w:kern w:val="0"/>
          <w:sz w:val="28"/>
          <w:szCs w:val="28"/>
        </w:rPr>
      </w:pPr>
      <w:bookmarkStart w:id="221" w:name="_Toc32288"/>
      <w:bookmarkStart w:id="222" w:name="_Toc15503"/>
      <w:r>
        <w:rPr>
          <w:rFonts w:hint="eastAsia" w:ascii="仿宋_GB2312" w:hAnsi="仿宋_GB2312" w:eastAsia="仿宋_GB2312" w:cs="仿宋_GB2312"/>
          <w:b/>
          <w:bCs/>
          <w:snapToGrid w:val="0"/>
          <w:kern w:val="0"/>
          <w:sz w:val="28"/>
          <w:szCs w:val="28"/>
        </w:rPr>
        <w:t>专栏</w:t>
      </w:r>
      <w:r>
        <w:rPr>
          <w:rFonts w:hint="eastAsia" w:ascii="仿宋_GB2312" w:hAnsi="仿宋_GB2312" w:eastAsia="仿宋_GB2312" w:cs="仿宋_GB2312"/>
          <w:b/>
          <w:bCs/>
          <w:snapToGrid w:val="0"/>
          <w:kern w:val="0"/>
          <w:sz w:val="28"/>
          <w:szCs w:val="28"/>
          <w:lang w:val="en-US" w:eastAsia="zh-CN"/>
        </w:rPr>
        <w:t>3</w:t>
      </w:r>
      <w:r>
        <w:rPr>
          <w:rFonts w:hint="eastAsia" w:ascii="仿宋_GB2312" w:hAnsi="仿宋_GB2312" w:eastAsia="仿宋_GB2312" w:cs="仿宋_GB2312"/>
          <w:b/>
          <w:bCs/>
          <w:snapToGrid w:val="0"/>
          <w:kern w:val="0"/>
          <w:sz w:val="28"/>
          <w:szCs w:val="28"/>
        </w:rPr>
        <w:t xml:space="preserve"> 各</w:t>
      </w:r>
      <w:r>
        <w:rPr>
          <w:rFonts w:hint="eastAsia" w:ascii="仿宋_GB2312" w:hAnsi="仿宋_GB2312" w:eastAsia="仿宋_GB2312" w:cs="仿宋_GB2312"/>
          <w:b/>
          <w:bCs/>
          <w:snapToGrid w:val="0"/>
          <w:kern w:val="0"/>
          <w:sz w:val="28"/>
          <w:szCs w:val="28"/>
          <w:lang w:val="en-US" w:eastAsia="zh-CN"/>
        </w:rPr>
        <w:t>县（市、区）</w:t>
      </w:r>
      <w:r>
        <w:rPr>
          <w:rFonts w:hint="eastAsia" w:ascii="仿宋_GB2312" w:hAnsi="仿宋_GB2312" w:eastAsia="仿宋_GB2312" w:cs="仿宋_GB2312"/>
          <w:b/>
          <w:bCs/>
          <w:snapToGrid w:val="0"/>
          <w:kern w:val="0"/>
          <w:sz w:val="28"/>
          <w:szCs w:val="28"/>
        </w:rPr>
        <w:t>高效节水灌溉建设任务</w:t>
      </w:r>
    </w:p>
    <w:p w14:paraId="2E23A4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adjustRightInd/>
        <w:snapToGrid/>
        <w:spacing w:before="0" w:beforeLines="0" w:afterLines="0" w:line="560" w:lineRule="exact"/>
        <w:ind w:firstLine="0" w:firstLineChars="0"/>
        <w:jc w:val="right"/>
        <w:textAlignment w:val="auto"/>
        <w:rPr>
          <w:rFonts w:hint="eastAsia" w:ascii="仿宋_GB2312" w:hAnsi="仿宋_GB2312" w:eastAsia="仿宋_GB2312" w:cs="仿宋_GB2312"/>
          <w:snapToGrid w:val="0"/>
          <w:kern w:val="0"/>
          <w:sz w:val="24"/>
          <w:szCs w:val="24"/>
        </w:rPr>
      </w:pPr>
      <w:bookmarkStart w:id="223" w:name="_Toc28501"/>
      <w:bookmarkStart w:id="224" w:name="_Toc15805"/>
      <w:bookmarkStart w:id="225" w:name="_Toc14811"/>
      <w:r>
        <w:rPr>
          <w:rFonts w:hint="eastAsia" w:ascii="仿宋_GB2312" w:hAnsi="仿宋_GB2312" w:eastAsia="仿宋_GB2312" w:cs="仿宋_GB2312"/>
          <w:snapToGrid w:val="0"/>
          <w:kern w:val="0"/>
          <w:sz w:val="24"/>
          <w:szCs w:val="24"/>
        </w:rPr>
        <w:t>单位：万亩</w:t>
      </w:r>
    </w:p>
    <w:tbl>
      <w:tblPr>
        <w:tblStyle w:val="9"/>
        <w:tblW w:w="8409"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418"/>
        <w:gridCol w:w="2329"/>
        <w:gridCol w:w="2331"/>
        <w:gridCol w:w="2331"/>
      </w:tblGrid>
      <w:tr w14:paraId="6594EAD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4" w:hRule="atLeast"/>
          <w:tblHeader/>
          <w:jc w:val="center"/>
        </w:trPr>
        <w:tc>
          <w:tcPr>
            <w:tcW w:w="1418" w:type="dxa"/>
            <w:vAlign w:val="center"/>
          </w:tcPr>
          <w:p w14:paraId="187808E4">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黑体" w:hAnsi="黑体" w:eastAsia="黑体" w:cs="黑体"/>
                <w:b w:val="0"/>
                <w:bCs w:val="0"/>
                <w:snapToGrid w:val="0"/>
                <w:sz w:val="24"/>
                <w:szCs w:val="24"/>
              </w:rPr>
            </w:pPr>
            <w:r>
              <w:rPr>
                <w:rFonts w:hint="eastAsia" w:ascii="黑体" w:hAnsi="黑体" w:eastAsia="黑体" w:cs="黑体"/>
                <w:b w:val="0"/>
                <w:bCs w:val="0"/>
                <w:snapToGrid w:val="0"/>
                <w:sz w:val="24"/>
                <w:szCs w:val="24"/>
                <w:lang w:val="en-US" w:eastAsia="zh-CN"/>
              </w:rPr>
              <w:t>县（市、区）</w:t>
            </w:r>
          </w:p>
        </w:tc>
        <w:tc>
          <w:tcPr>
            <w:tcW w:w="2329" w:type="dxa"/>
            <w:vAlign w:val="center"/>
          </w:tcPr>
          <w:p w14:paraId="648CC9E5">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textAlignment w:val="auto"/>
              <w:outlineLvl w:val="9"/>
              <w:rPr>
                <w:rFonts w:ascii="黑体" w:hAnsi="黑体" w:eastAsia="黑体" w:cs="黑体"/>
                <w:b w:val="0"/>
                <w:bCs w:val="0"/>
                <w:snapToGrid w:val="0"/>
                <w:sz w:val="24"/>
                <w:szCs w:val="24"/>
              </w:rPr>
            </w:pPr>
            <w:r>
              <w:rPr>
                <w:rFonts w:ascii="黑体" w:hAnsi="黑体" w:eastAsia="黑体" w:cs="黑体"/>
                <w:b w:val="0"/>
                <w:bCs w:val="0"/>
                <w:snapToGrid w:val="0"/>
                <w:sz w:val="24"/>
                <w:szCs w:val="24"/>
              </w:rPr>
              <w:t>202</w:t>
            </w:r>
            <w:r>
              <w:rPr>
                <w:rFonts w:hint="eastAsia" w:ascii="黑体" w:hAnsi="黑体" w:eastAsia="黑体" w:cs="黑体"/>
                <w:b w:val="0"/>
                <w:bCs w:val="0"/>
                <w:snapToGrid w:val="0"/>
                <w:sz w:val="24"/>
                <w:szCs w:val="24"/>
                <w:lang w:val="en-US" w:eastAsia="zh-CN"/>
              </w:rPr>
              <w:t>1-</w:t>
            </w:r>
            <w:r>
              <w:rPr>
                <w:rFonts w:ascii="黑体" w:hAnsi="黑体" w:eastAsia="黑体" w:cs="黑体"/>
                <w:b w:val="0"/>
                <w:bCs w:val="0"/>
                <w:snapToGrid w:val="0"/>
                <w:sz w:val="24"/>
                <w:szCs w:val="24"/>
              </w:rPr>
              <w:t>2030年新增</w:t>
            </w:r>
          </w:p>
          <w:p w14:paraId="0DE973A8">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textAlignment w:val="auto"/>
              <w:outlineLvl w:val="9"/>
              <w:rPr>
                <w:rFonts w:hint="eastAsia" w:ascii="黑体" w:hAnsi="黑体" w:eastAsia="黑体" w:cs="黑体"/>
                <w:b w:val="0"/>
                <w:bCs w:val="0"/>
                <w:snapToGrid w:val="0"/>
                <w:sz w:val="24"/>
                <w:szCs w:val="24"/>
              </w:rPr>
            </w:pPr>
            <w:r>
              <w:rPr>
                <w:rFonts w:ascii="黑体" w:hAnsi="黑体" w:eastAsia="黑体" w:cs="黑体"/>
                <w:b w:val="0"/>
                <w:bCs w:val="0"/>
                <w:snapToGrid w:val="0"/>
                <w:sz w:val="24"/>
                <w:szCs w:val="24"/>
              </w:rPr>
              <w:t>高效节水灌溉面积</w:t>
            </w:r>
          </w:p>
        </w:tc>
        <w:tc>
          <w:tcPr>
            <w:tcW w:w="2331" w:type="dxa"/>
            <w:vAlign w:val="center"/>
          </w:tcPr>
          <w:p w14:paraId="26CDD676">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textAlignment w:val="auto"/>
              <w:outlineLvl w:val="9"/>
              <w:rPr>
                <w:rFonts w:hint="eastAsia" w:ascii="黑体" w:hAnsi="黑体" w:eastAsia="黑体" w:cs="黑体"/>
                <w:b w:val="0"/>
                <w:bCs w:val="0"/>
                <w:snapToGrid w:val="0"/>
                <w:sz w:val="24"/>
                <w:szCs w:val="24"/>
              </w:rPr>
            </w:pPr>
            <w:r>
              <w:rPr>
                <w:rFonts w:ascii="黑体" w:hAnsi="黑体" w:eastAsia="黑体" w:cs="黑体"/>
                <w:b w:val="0"/>
                <w:bCs w:val="0"/>
                <w:snapToGrid w:val="0"/>
                <w:sz w:val="24"/>
                <w:szCs w:val="24"/>
              </w:rPr>
              <w:t>其中</w:t>
            </w:r>
            <w:r>
              <w:rPr>
                <w:rFonts w:hint="eastAsia" w:ascii="黑体" w:hAnsi="黑体" w:eastAsia="黑体" w:cs="黑体"/>
                <w:b w:val="0"/>
                <w:bCs w:val="0"/>
                <w:snapToGrid w:val="0"/>
                <w:sz w:val="24"/>
                <w:szCs w:val="24"/>
                <w:lang w:eastAsia="zh-CN"/>
              </w:rPr>
              <w:t>，</w:t>
            </w:r>
            <w:r>
              <w:rPr>
                <w:rFonts w:ascii="黑体" w:hAnsi="黑体" w:eastAsia="黑体" w:cs="黑体"/>
                <w:b w:val="0"/>
                <w:bCs w:val="0"/>
                <w:snapToGrid w:val="0"/>
                <w:sz w:val="24"/>
                <w:szCs w:val="24"/>
              </w:rPr>
              <w:t>202</w:t>
            </w:r>
            <w:r>
              <w:rPr>
                <w:rFonts w:hint="eastAsia" w:ascii="黑体" w:hAnsi="黑体" w:eastAsia="黑体" w:cs="黑体"/>
                <w:b w:val="0"/>
                <w:bCs w:val="0"/>
                <w:snapToGrid w:val="0"/>
                <w:sz w:val="24"/>
                <w:szCs w:val="24"/>
                <w:lang w:val="en-US" w:eastAsia="zh-CN"/>
              </w:rPr>
              <w:t>1-</w:t>
            </w:r>
            <w:r>
              <w:rPr>
                <w:rFonts w:ascii="黑体" w:hAnsi="黑体" w:eastAsia="黑体" w:cs="黑体"/>
                <w:b w:val="0"/>
                <w:bCs w:val="0"/>
                <w:snapToGrid w:val="0"/>
                <w:sz w:val="24"/>
                <w:szCs w:val="24"/>
              </w:rPr>
              <w:t>2025年新增高效节水灌溉面积</w:t>
            </w:r>
          </w:p>
        </w:tc>
        <w:tc>
          <w:tcPr>
            <w:tcW w:w="2331" w:type="dxa"/>
            <w:vAlign w:val="center"/>
          </w:tcPr>
          <w:p w14:paraId="0EE9A112">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textAlignment w:val="auto"/>
              <w:outlineLvl w:val="9"/>
              <w:rPr>
                <w:rFonts w:ascii="黑体" w:hAnsi="黑体" w:eastAsia="黑体" w:cs="黑体"/>
                <w:b w:val="0"/>
                <w:bCs w:val="0"/>
                <w:snapToGrid w:val="0"/>
                <w:sz w:val="24"/>
                <w:szCs w:val="24"/>
              </w:rPr>
            </w:pPr>
            <w:r>
              <w:rPr>
                <w:rFonts w:ascii="黑体" w:hAnsi="黑体" w:eastAsia="黑体" w:cs="黑体"/>
                <w:b w:val="0"/>
                <w:bCs w:val="0"/>
                <w:snapToGrid w:val="0"/>
                <w:sz w:val="24"/>
                <w:szCs w:val="24"/>
              </w:rPr>
              <w:t>其中</w:t>
            </w:r>
            <w:r>
              <w:rPr>
                <w:rFonts w:hint="eastAsia" w:ascii="黑体" w:hAnsi="黑体" w:eastAsia="黑体" w:cs="黑体"/>
                <w:b w:val="0"/>
                <w:bCs w:val="0"/>
                <w:snapToGrid w:val="0"/>
                <w:sz w:val="24"/>
                <w:szCs w:val="24"/>
                <w:lang w:eastAsia="zh-CN"/>
              </w:rPr>
              <w:t>，</w:t>
            </w:r>
            <w:r>
              <w:rPr>
                <w:rFonts w:ascii="黑体" w:hAnsi="黑体" w:eastAsia="黑体" w:cs="黑体"/>
                <w:b w:val="0"/>
                <w:bCs w:val="0"/>
                <w:snapToGrid w:val="0"/>
                <w:sz w:val="24"/>
                <w:szCs w:val="24"/>
              </w:rPr>
              <w:t>2026</w:t>
            </w:r>
            <w:r>
              <w:rPr>
                <w:rFonts w:hint="eastAsia" w:ascii="黑体" w:hAnsi="黑体" w:eastAsia="黑体" w:cs="黑体"/>
                <w:b w:val="0"/>
                <w:bCs w:val="0"/>
                <w:snapToGrid w:val="0"/>
                <w:sz w:val="24"/>
                <w:szCs w:val="24"/>
                <w:lang w:val="en-US" w:eastAsia="zh-CN"/>
              </w:rPr>
              <w:t>-</w:t>
            </w:r>
            <w:r>
              <w:rPr>
                <w:rFonts w:ascii="黑体" w:hAnsi="黑体" w:eastAsia="黑体" w:cs="黑体"/>
                <w:b w:val="0"/>
                <w:bCs w:val="0"/>
                <w:snapToGrid w:val="0"/>
                <w:sz w:val="24"/>
                <w:szCs w:val="24"/>
              </w:rPr>
              <w:t>203</w:t>
            </w:r>
            <w:r>
              <w:rPr>
                <w:rFonts w:hint="eastAsia" w:ascii="黑体" w:hAnsi="黑体" w:eastAsia="黑体" w:cs="黑体"/>
                <w:b w:val="0"/>
                <w:bCs w:val="0"/>
                <w:snapToGrid w:val="0"/>
                <w:sz w:val="24"/>
                <w:szCs w:val="24"/>
                <w:lang w:val="en-US" w:eastAsia="zh-CN"/>
              </w:rPr>
              <w:t>0</w:t>
            </w:r>
            <w:r>
              <w:rPr>
                <w:rFonts w:ascii="黑体" w:hAnsi="黑体" w:eastAsia="黑体" w:cs="黑体"/>
                <w:b w:val="0"/>
                <w:bCs w:val="0"/>
                <w:snapToGrid w:val="0"/>
                <w:sz w:val="24"/>
                <w:szCs w:val="24"/>
              </w:rPr>
              <w:t>年新增高效节水灌溉面积</w:t>
            </w:r>
          </w:p>
        </w:tc>
      </w:tr>
      <w:tr w14:paraId="5E5D17E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4" w:hRule="atLeast"/>
          <w:jc w:val="center"/>
        </w:trPr>
        <w:tc>
          <w:tcPr>
            <w:tcW w:w="1418" w:type="dxa"/>
            <w:vAlign w:val="center"/>
          </w:tcPr>
          <w:p w14:paraId="6030ED79">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b/>
                <w:bCs/>
                <w:snapToGrid w:val="0"/>
                <w:sz w:val="24"/>
                <w:szCs w:val="24"/>
              </w:rPr>
            </w:pPr>
            <w:r>
              <w:rPr>
                <w:rFonts w:hint="eastAsia" w:ascii="仿宋_GB2312" w:hAnsi="仿宋_GB2312" w:eastAsia="仿宋_GB2312" w:cs="仿宋_GB2312"/>
                <w:b/>
                <w:bCs/>
                <w:snapToGrid w:val="0"/>
                <w:sz w:val="24"/>
                <w:szCs w:val="24"/>
                <w:lang w:val="en-US" w:eastAsia="zh-CN"/>
              </w:rPr>
              <w:t>全市</w:t>
            </w:r>
            <w:r>
              <w:rPr>
                <w:rFonts w:ascii="仿宋_GB2312" w:hAnsi="仿宋_GB2312" w:eastAsia="仿宋_GB2312" w:cs="仿宋_GB2312"/>
                <w:b/>
                <w:bCs/>
                <w:snapToGrid w:val="0"/>
                <w:sz w:val="24"/>
                <w:szCs w:val="24"/>
              </w:rPr>
              <w:t>合计</w:t>
            </w:r>
          </w:p>
        </w:tc>
        <w:tc>
          <w:tcPr>
            <w:tcW w:w="2329" w:type="dxa"/>
            <w:vAlign w:val="center"/>
          </w:tcPr>
          <w:p w14:paraId="5CDC247F">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5.07</w:t>
            </w:r>
          </w:p>
        </w:tc>
        <w:tc>
          <w:tcPr>
            <w:tcW w:w="2331" w:type="dxa"/>
            <w:vAlign w:val="center"/>
          </w:tcPr>
          <w:p w14:paraId="4DB3482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3.82</w:t>
            </w:r>
          </w:p>
        </w:tc>
        <w:tc>
          <w:tcPr>
            <w:tcW w:w="2331" w:type="dxa"/>
            <w:vAlign w:val="center"/>
          </w:tcPr>
          <w:p w14:paraId="0C5C4805">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1.25</w:t>
            </w:r>
          </w:p>
        </w:tc>
      </w:tr>
      <w:tr w14:paraId="72C5FA4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36" w:hRule="atLeast"/>
          <w:jc w:val="center"/>
        </w:trPr>
        <w:tc>
          <w:tcPr>
            <w:tcW w:w="1418" w:type="dxa"/>
            <w:vAlign w:val="center"/>
          </w:tcPr>
          <w:p w14:paraId="37908896">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b/>
                <w:bCs/>
                <w:snapToGrid w:val="0"/>
                <w:sz w:val="24"/>
                <w:szCs w:val="24"/>
              </w:rPr>
            </w:pPr>
            <w:r>
              <w:rPr>
                <w:rFonts w:hint="eastAsia" w:ascii="仿宋_GB2312" w:hAnsi="仿宋_GB2312" w:eastAsia="仿宋_GB2312" w:cs="仿宋_GB2312"/>
                <w:snapToGrid w:val="0"/>
                <w:sz w:val="24"/>
                <w:szCs w:val="24"/>
                <w:lang w:val="en-US" w:eastAsia="zh-CN"/>
              </w:rPr>
              <w:t>城区</w:t>
            </w:r>
          </w:p>
        </w:tc>
        <w:tc>
          <w:tcPr>
            <w:tcW w:w="2329" w:type="dxa"/>
            <w:vAlign w:val="center"/>
          </w:tcPr>
          <w:p w14:paraId="6318C931">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2331" w:type="dxa"/>
            <w:vAlign w:val="center"/>
          </w:tcPr>
          <w:p w14:paraId="4235D029">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2331" w:type="dxa"/>
            <w:vAlign w:val="center"/>
          </w:tcPr>
          <w:p w14:paraId="37CD78B4">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r w14:paraId="07BCC3F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4" w:hRule="atLeast"/>
          <w:jc w:val="center"/>
        </w:trPr>
        <w:tc>
          <w:tcPr>
            <w:tcW w:w="1418" w:type="dxa"/>
            <w:vAlign w:val="center"/>
          </w:tcPr>
          <w:p w14:paraId="028B1D99">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海丰县</w:t>
            </w:r>
          </w:p>
        </w:tc>
        <w:tc>
          <w:tcPr>
            <w:tcW w:w="2329" w:type="dxa"/>
            <w:vAlign w:val="center"/>
          </w:tcPr>
          <w:p w14:paraId="28F6555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1.50</w:t>
            </w:r>
          </w:p>
        </w:tc>
        <w:tc>
          <w:tcPr>
            <w:tcW w:w="2331" w:type="dxa"/>
            <w:vAlign w:val="center"/>
          </w:tcPr>
          <w:p w14:paraId="1540C05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1.16</w:t>
            </w:r>
          </w:p>
        </w:tc>
        <w:tc>
          <w:tcPr>
            <w:tcW w:w="2331" w:type="dxa"/>
            <w:vAlign w:val="center"/>
          </w:tcPr>
          <w:p w14:paraId="7D04F0F2">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0.34</w:t>
            </w:r>
          </w:p>
        </w:tc>
      </w:tr>
      <w:tr w14:paraId="01848E1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4" w:hRule="atLeast"/>
          <w:jc w:val="center"/>
        </w:trPr>
        <w:tc>
          <w:tcPr>
            <w:tcW w:w="1418" w:type="dxa"/>
            <w:vAlign w:val="center"/>
          </w:tcPr>
          <w:p w14:paraId="413023FB">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陆丰市</w:t>
            </w:r>
          </w:p>
        </w:tc>
        <w:tc>
          <w:tcPr>
            <w:tcW w:w="2329" w:type="dxa"/>
            <w:vAlign w:val="center"/>
          </w:tcPr>
          <w:p w14:paraId="0ADA6C4E">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2.75</w:t>
            </w:r>
          </w:p>
        </w:tc>
        <w:tc>
          <w:tcPr>
            <w:tcW w:w="2331" w:type="dxa"/>
            <w:vAlign w:val="center"/>
          </w:tcPr>
          <w:p w14:paraId="01F5A65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1.94</w:t>
            </w:r>
          </w:p>
        </w:tc>
        <w:tc>
          <w:tcPr>
            <w:tcW w:w="2331" w:type="dxa"/>
            <w:vAlign w:val="center"/>
          </w:tcPr>
          <w:p w14:paraId="70CA6F4B">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0.81</w:t>
            </w:r>
          </w:p>
        </w:tc>
      </w:tr>
      <w:tr w14:paraId="6D6E680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4" w:hRule="atLeast"/>
          <w:jc w:val="center"/>
        </w:trPr>
        <w:tc>
          <w:tcPr>
            <w:tcW w:w="1418" w:type="dxa"/>
            <w:vAlign w:val="center"/>
          </w:tcPr>
          <w:p w14:paraId="0CC93B76">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陆河县</w:t>
            </w:r>
          </w:p>
        </w:tc>
        <w:tc>
          <w:tcPr>
            <w:tcW w:w="2329" w:type="dxa"/>
            <w:vAlign w:val="center"/>
          </w:tcPr>
          <w:p w14:paraId="60D4FD0B">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0.32</w:t>
            </w:r>
          </w:p>
        </w:tc>
        <w:tc>
          <w:tcPr>
            <w:tcW w:w="2331" w:type="dxa"/>
            <w:vAlign w:val="center"/>
          </w:tcPr>
          <w:p w14:paraId="0143876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0.32</w:t>
            </w:r>
          </w:p>
        </w:tc>
        <w:tc>
          <w:tcPr>
            <w:tcW w:w="2331" w:type="dxa"/>
            <w:vAlign w:val="center"/>
          </w:tcPr>
          <w:p w14:paraId="2C3D8D62">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r w14:paraId="50EFD00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4" w:hRule="atLeast"/>
          <w:jc w:val="center"/>
        </w:trPr>
        <w:tc>
          <w:tcPr>
            <w:tcW w:w="1418" w:type="dxa"/>
            <w:vAlign w:val="center"/>
          </w:tcPr>
          <w:p w14:paraId="3323B092">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红海湾经济开发区</w:t>
            </w:r>
          </w:p>
        </w:tc>
        <w:tc>
          <w:tcPr>
            <w:tcW w:w="2329" w:type="dxa"/>
            <w:vAlign w:val="center"/>
          </w:tcPr>
          <w:p w14:paraId="48AAC941">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0.30</w:t>
            </w:r>
          </w:p>
        </w:tc>
        <w:tc>
          <w:tcPr>
            <w:tcW w:w="2331" w:type="dxa"/>
            <w:vAlign w:val="center"/>
          </w:tcPr>
          <w:p w14:paraId="584008B3">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0.30</w:t>
            </w:r>
          </w:p>
        </w:tc>
        <w:tc>
          <w:tcPr>
            <w:tcW w:w="2331" w:type="dxa"/>
            <w:vAlign w:val="center"/>
          </w:tcPr>
          <w:p w14:paraId="65AFCB6B">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r w14:paraId="676C9FE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4" w:hRule="atLeast"/>
          <w:jc w:val="center"/>
        </w:trPr>
        <w:tc>
          <w:tcPr>
            <w:tcW w:w="1418" w:type="dxa"/>
            <w:vAlign w:val="center"/>
          </w:tcPr>
          <w:p w14:paraId="19430EF9">
            <w:pPr>
              <w:pStyle w:val="1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firstLine="0" w:firstLineChars="0"/>
              <w:jc w:val="center"/>
              <w:textAlignment w:val="auto"/>
              <w:outlineLvl w:val="9"/>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val="en-US" w:eastAsia="zh-CN"/>
              </w:rPr>
              <w:t>华侨管理区</w:t>
            </w:r>
          </w:p>
        </w:tc>
        <w:tc>
          <w:tcPr>
            <w:tcW w:w="2329" w:type="dxa"/>
            <w:vAlign w:val="center"/>
          </w:tcPr>
          <w:p w14:paraId="303EC03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0.20</w:t>
            </w:r>
          </w:p>
        </w:tc>
        <w:tc>
          <w:tcPr>
            <w:tcW w:w="2331" w:type="dxa"/>
            <w:vAlign w:val="center"/>
          </w:tcPr>
          <w:p w14:paraId="4D99E46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0.1</w:t>
            </w:r>
          </w:p>
        </w:tc>
        <w:tc>
          <w:tcPr>
            <w:tcW w:w="2331" w:type="dxa"/>
            <w:vAlign w:val="center"/>
          </w:tcPr>
          <w:p w14:paraId="6D87616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240" w:lineRule="auto"/>
              <w:ind w:left="0" w:leftChars="0" w:firstLine="0" w:firstLineChars="0"/>
              <w:jc w:val="center"/>
              <w:textAlignment w:val="auto"/>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0.1</w:t>
            </w:r>
          </w:p>
        </w:tc>
      </w:tr>
      <w:bookmarkEnd w:id="223"/>
      <w:bookmarkEnd w:id="224"/>
      <w:bookmarkEnd w:id="225"/>
    </w:tbl>
    <w:p w14:paraId="3F8DCC10">
      <w:pPr>
        <w:keepNext w:val="0"/>
        <w:keepLines w:val="0"/>
        <w:pageBreakBefore w:val="0"/>
        <w:kinsoku/>
        <w:wordWrap w:val="0"/>
        <w:overflowPunct/>
        <w:autoSpaceDE/>
        <w:autoSpaceDN/>
        <w:bidi w:val="0"/>
        <w:jc w:val="left"/>
        <w:textAlignment w:val="auto"/>
        <w:rPr>
          <w:rFonts w:hint="eastAsia" w:ascii="黑体" w:hAnsi="黑体" w:eastAsia="黑体" w:cs="黑体"/>
          <w:b w:val="0"/>
          <w:bCs w:val="0"/>
          <w:sz w:val="36"/>
          <w:szCs w:val="36"/>
          <w:highlight w:val="none"/>
          <w:lang w:val="en-US" w:eastAsia="zh-CN"/>
        </w:rPr>
      </w:pPr>
    </w:p>
    <w:p w14:paraId="3BB92CFF">
      <w:pPr>
        <w:keepNext w:val="0"/>
        <w:keepLines w:val="0"/>
        <w:pageBreakBefore w:val="0"/>
        <w:kinsoku/>
        <w:wordWrap w:val="0"/>
        <w:overflowPunct/>
        <w:autoSpaceDE/>
        <w:autoSpaceDN/>
        <w:bidi w:val="0"/>
        <w:textAlignment w:val="auto"/>
        <w:rPr>
          <w:rFonts w:hint="eastAsia"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br w:type="page"/>
      </w:r>
    </w:p>
    <w:p w14:paraId="1F63ED06">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226" w:name="_Toc28451"/>
      <w:bookmarkStart w:id="227" w:name="_Toc2286"/>
      <w:bookmarkStart w:id="228" w:name="_Toc13122"/>
      <w:r>
        <w:rPr>
          <w:rFonts w:hint="eastAsia" w:ascii="黑体" w:hAnsi="黑体" w:eastAsia="黑体" w:cs="黑体"/>
          <w:b w:val="0"/>
          <w:bCs w:val="0"/>
          <w:sz w:val="36"/>
          <w:szCs w:val="36"/>
          <w:highlight w:val="none"/>
          <w:lang w:val="en-US" w:eastAsia="zh-CN"/>
        </w:rPr>
        <w:t>第四章 建设内容</w:t>
      </w:r>
      <w:bookmarkEnd w:id="221"/>
      <w:bookmarkEnd w:id="222"/>
      <w:bookmarkEnd w:id="226"/>
      <w:bookmarkEnd w:id="227"/>
      <w:bookmarkEnd w:id="228"/>
    </w:p>
    <w:p w14:paraId="4A0B2819">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6"/>
          <w:szCs w:val="36"/>
          <w:highlight w:val="none"/>
          <w:lang w:val="en-US" w:eastAsia="zh-CN"/>
        </w:rPr>
      </w:pPr>
    </w:p>
    <w:p w14:paraId="29504C24">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新建和改造提升高标准农田须严格执行《高标准农田建设通则》（GB/T 30600）等国家标准、行业标准和地方标准，结合地方实际，统筹抓好农田配套设施建设和地力提升，确保工程质量与耕地质量。鼓励有条件的地区将晒场、烘干、机具库棚、育秧中心、有机肥积造等配套设施同高标准农田建设统筹规划，统一实施。</w:t>
      </w:r>
    </w:p>
    <w:p w14:paraId="3BE8C8FD">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229" w:name="_Toc19273"/>
      <w:bookmarkStart w:id="230" w:name="_Toc27918"/>
    </w:p>
    <w:p w14:paraId="556E4AE8">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31" w:name="_Toc7555"/>
      <w:bookmarkStart w:id="232" w:name="_Toc6133"/>
      <w:bookmarkStart w:id="233" w:name="_Toc62"/>
      <w:r>
        <w:rPr>
          <w:rFonts w:hint="eastAsia" w:ascii="黑体" w:hAnsi="黑体" w:eastAsia="黑体" w:cs="黑体"/>
          <w:sz w:val="32"/>
          <w:szCs w:val="32"/>
          <w:highlight w:val="none"/>
          <w:lang w:val="en-US" w:eastAsia="zh-CN"/>
        </w:rPr>
        <w:t>一、田块整治</w:t>
      </w:r>
      <w:bookmarkEnd w:id="229"/>
      <w:bookmarkEnd w:id="230"/>
      <w:bookmarkEnd w:id="231"/>
      <w:bookmarkEnd w:id="232"/>
      <w:bookmarkEnd w:id="233"/>
    </w:p>
    <w:p w14:paraId="57C5C872">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p>
    <w:p w14:paraId="6550C747">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地形地貌、种植制度、机械作业效率、灌排效率和气候区划、气象风险等因素，开展田块整治建设，加快耕作田块修筑，保持耕作层地力。调整田块大小，选择合适的田块形状，合理确定长度和宽度，控制田面高差，提高田块归并程度，实现耕作田块相对集中；通过机械深耕深松、客土回填调节土壤质地，改善农田耕作层；加快梯田修建，地面坡度为5度～25度的坡耕地，按照有利于水土保持要求，建成高水平梯田（地），采用砖、石、混凝土、土体夯实或植物坎等对田坎进行保护。</w:t>
      </w:r>
    </w:p>
    <w:p w14:paraId="07A6FD57">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（二）建设标准</w:t>
      </w:r>
    </w:p>
    <w:p w14:paraId="439064A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农田土体厚度宜达到50cm以上，水田耕作层厚度宜在20cm以上，水浇地和旱地耕作层厚度宜在25cm以上，土体中无明显粘盘层、砂砾层等障碍因素，田间基础设施占地率不超过8%，稻作淹灌农田地表平整度不高于2.5厘米，丘陵区梯田化率应不低于90%，形成一批万亩以上的区域化、规模化、集中连片的高标准农田。</w:t>
      </w:r>
    </w:p>
    <w:p w14:paraId="56AECD6A">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234" w:name="_Toc11459"/>
      <w:bookmarkStart w:id="235" w:name="_Toc9259"/>
    </w:p>
    <w:p w14:paraId="097139A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36" w:name="_Toc21840"/>
      <w:bookmarkStart w:id="237" w:name="_Toc1288"/>
      <w:bookmarkStart w:id="238" w:name="_Toc22421"/>
      <w:r>
        <w:rPr>
          <w:rFonts w:hint="eastAsia" w:ascii="黑体" w:hAnsi="黑体" w:eastAsia="黑体" w:cs="黑体"/>
          <w:sz w:val="32"/>
          <w:szCs w:val="32"/>
          <w:highlight w:val="none"/>
          <w:lang w:val="en-US" w:eastAsia="zh-CN"/>
        </w:rPr>
        <w:t>二、土壤改良</w:t>
      </w:r>
      <w:bookmarkEnd w:id="234"/>
      <w:bookmarkEnd w:id="235"/>
      <w:bookmarkEnd w:id="236"/>
      <w:bookmarkEnd w:id="237"/>
      <w:bookmarkEnd w:id="238"/>
    </w:p>
    <w:p w14:paraId="0F1F055E">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p>
    <w:p w14:paraId="5CC514F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高标准农田建设区耕地质量状况，针对性开展土壤培肥和改良，采用农艺、生物等各类措施，加快耕地地力提升。建立维持高标准农田地力稳定和提升的长效机制，通过实施增施有机肥、秸秆还田、绿肥种植翻压还田等土壤培肥措施，促进高标准农田地力的提升，使高标准农田地力长期稳定在较高水平；实施测土配方施肥，定期监测土壤氮、磷、钾及中微量元素、有机质含量、土壤酸化等状况，适时开展因缺补缺、酸化治理以及土壤重金属污染治理，改善耕作层土壤理化性状，促进土壤养分平衡。</w:t>
      </w:r>
    </w:p>
    <w:p w14:paraId="27A70A3E">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239" w:name="_Toc16645"/>
      <w:bookmarkStart w:id="240" w:name="_Toc10603"/>
      <w:bookmarkStart w:id="241" w:name="_Toc8620"/>
      <w:bookmarkStart w:id="242" w:name="_Toc18418"/>
      <w:bookmarkStart w:id="243" w:name="_Toc16418"/>
      <w:bookmarkStart w:id="244" w:name="_Toc4812"/>
      <w:bookmarkStart w:id="245" w:name="_Toc17272"/>
      <w:r>
        <w:rPr>
          <w:rFonts w:hint="eastAsia" w:ascii="仿宋" w:hAnsi="仿宋" w:eastAsia="仿宋" w:cs="仿宋"/>
          <w:sz w:val="32"/>
          <w:szCs w:val="32"/>
          <w:highlight w:val="none"/>
          <w:lang w:val="en-US" w:eastAsia="zh-CN"/>
        </w:rPr>
        <w:t>（二）建设标准</w:t>
      </w:r>
      <w:bookmarkEnd w:id="239"/>
    </w:p>
    <w:p w14:paraId="5862D3E8">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246" w:name="_Toc20060"/>
      <w:r>
        <w:rPr>
          <w:rFonts w:hint="eastAsia" w:ascii="仿宋" w:hAnsi="仿宋" w:eastAsia="仿宋" w:cs="仿宋"/>
          <w:sz w:val="32"/>
          <w:szCs w:val="32"/>
          <w:highlight w:val="none"/>
          <w:lang w:val="en-US" w:eastAsia="zh-CN"/>
        </w:rPr>
        <w:t>平原区土壤有机质含量达到20g/kg以上，丘陵区达到15g/kg以上，土壤养分含量相对平衡，土壤pH值保持在5.5～7.5，耕地质量达到当地平均等级以上，耕作层土壤重金属含量指标应符合国家标准GB 15618的规定。</w:t>
      </w:r>
      <w:bookmarkEnd w:id="240"/>
      <w:bookmarkEnd w:id="241"/>
      <w:bookmarkEnd w:id="242"/>
      <w:bookmarkEnd w:id="243"/>
      <w:bookmarkEnd w:id="244"/>
      <w:bookmarkEnd w:id="245"/>
      <w:bookmarkEnd w:id="246"/>
    </w:p>
    <w:p w14:paraId="6BDA842E">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p>
    <w:p w14:paraId="57A5536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47" w:name="_Toc14817"/>
      <w:bookmarkStart w:id="248" w:name="_Toc16797"/>
      <w:bookmarkStart w:id="249" w:name="_Toc6912"/>
      <w:r>
        <w:rPr>
          <w:rFonts w:hint="eastAsia" w:ascii="黑体" w:hAnsi="黑体" w:eastAsia="黑体" w:cs="黑体"/>
          <w:sz w:val="32"/>
          <w:szCs w:val="32"/>
          <w:highlight w:val="none"/>
          <w:lang w:val="en-US" w:eastAsia="zh-CN"/>
        </w:rPr>
        <w:t>三、灌排设施</w:t>
      </w:r>
      <w:bookmarkEnd w:id="247"/>
      <w:bookmarkEnd w:id="248"/>
      <w:bookmarkEnd w:id="249"/>
    </w:p>
    <w:p w14:paraId="22A9B3FC">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p>
    <w:p w14:paraId="5599064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完善农田水利基础设施，根据灌溉规模、地形条件、田间道路、耕作方式等要求，有序实施水源、输水、喷微灌、排水、</w:t>
      </w:r>
      <w:r>
        <w:rPr>
          <w:rFonts w:hint="eastAsia" w:ascii="仿宋" w:hAnsi="仿宋" w:eastAsia="仿宋" w:cs="仿宋"/>
          <w:color w:val="auto"/>
          <w:sz w:val="32"/>
          <w:szCs w:val="32"/>
          <w:highlight w:val="none"/>
          <w:u w:val="none"/>
          <w:lang w:val="en-US" w:eastAsia="zh-CN"/>
        </w:rPr>
        <w:t>量测水</w:t>
      </w:r>
      <w:r>
        <w:rPr>
          <w:rFonts w:hint="eastAsia" w:ascii="仿宋" w:hAnsi="仿宋" w:eastAsia="仿宋" w:cs="仿宋"/>
          <w:sz w:val="32"/>
          <w:szCs w:val="32"/>
          <w:highlight w:val="none"/>
          <w:lang w:val="en-US" w:eastAsia="zh-CN"/>
        </w:rPr>
        <w:t>、渠系建筑物、泵站等设施建设工程。合理配置各级输配水渠道，因地制宜选择渠道防渗、管道输水灌溉、喷微灌等节水灌溉形式，根据实际情况配套实用易行的计量设施，更新改造灌溉排水涵闸、泵站，疏浚改造排水沟系。配合水利部门通过小流域治理及农村河道整治、山塘综合整治、圩区建设等工程与非工程措施，提升高标准农田的防洪排涝能力。</w:t>
      </w:r>
    </w:p>
    <w:p w14:paraId="560E48DA">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（二）建设标准</w:t>
      </w:r>
    </w:p>
    <w:p w14:paraId="1C0F7F79">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农田灌溉设计保证率旱作区灌溉设计保证率旱作区不低于75%，水稻区灌溉设计保证率不低于85%；灌溉水质应符合GB 5084的要求，灌溉水利用效率应不低于GB/T 50363的规定；确保每一块高标准农田都有完善的灌排系统，排渍深度达0.6米以上；防洪标准达到10～20年一遇，排涝标准达到10年一遇，1～3天暴雨3～5天排至农作物耐淹水深。</w:t>
      </w:r>
    </w:p>
    <w:p w14:paraId="77948EC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250" w:name="_Toc27847"/>
      <w:bookmarkStart w:id="251" w:name="_Toc20314"/>
      <w:bookmarkStart w:id="252" w:name="_Toc28159"/>
      <w:bookmarkStart w:id="253" w:name="_Toc9505"/>
      <w:bookmarkStart w:id="254" w:name="_Toc9917"/>
      <w:bookmarkStart w:id="255" w:name="_Toc27492"/>
      <w:bookmarkStart w:id="256" w:name="_Toc14457"/>
      <w:r>
        <w:rPr>
          <w:rFonts w:hint="eastAsia" w:ascii="仿宋" w:hAnsi="仿宋" w:eastAsia="仿宋" w:cs="仿宋"/>
          <w:sz w:val="32"/>
          <w:szCs w:val="32"/>
          <w:highlight w:val="none"/>
          <w:lang w:val="en-US" w:eastAsia="zh-CN"/>
        </w:rPr>
        <w:t>一是增强粮食安全保障能力。高标准农田建成后，及时划为永久基本农田，实行特殊保护，能够有效落实最严格耕地保护制度，遏制耕地“非农化”，严格管控“非粮化”，严守耕地红线，保障粮食安全；预计我市到2030年建成98.35万亩高标准农田，能够稳定保障43.59万吨以上粮食产能，为保障国家粮食安全作出贡献。二是提高农民种粮积极性。高标准农田建成后，能够完善农田基础设施，提升耕地质量，改善农业生产条件，提高农业竞争力，调动农民种粮的积极性。三是推动农业高质量发展。高标准农田建成后，有效促进农业规模化、专业化、标准化生产经营，加快农业新品种、新技术、新装备的推广应用，推动农业经营方式、生产方式、资源利用方式的转型升级，加快质量兴农、绿色兴农、品牌强农，助力全面推进乡村振兴。</w:t>
      </w:r>
      <w:bookmarkEnd w:id="250"/>
      <w:bookmarkEnd w:id="251"/>
      <w:bookmarkEnd w:id="252"/>
      <w:bookmarkEnd w:id="253"/>
      <w:bookmarkEnd w:id="254"/>
      <w:bookmarkEnd w:id="255"/>
      <w:bookmarkEnd w:id="256"/>
    </w:p>
    <w:p w14:paraId="19F1544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sz w:val="32"/>
          <w:szCs w:val="32"/>
          <w:highlight w:val="none"/>
          <w:lang w:val="en-US" w:eastAsia="zh-CN"/>
        </w:rPr>
      </w:pPr>
    </w:p>
    <w:p w14:paraId="5AA2AD7E">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57" w:name="_Toc16853"/>
      <w:bookmarkStart w:id="258" w:name="_Toc15114"/>
      <w:bookmarkStart w:id="259" w:name="_Toc12276"/>
      <w:bookmarkStart w:id="260" w:name="_Toc15034"/>
      <w:bookmarkStart w:id="261" w:name="_Toc9101"/>
      <w:r>
        <w:rPr>
          <w:rFonts w:hint="eastAsia" w:ascii="黑体" w:hAnsi="黑体" w:eastAsia="黑体" w:cs="黑体"/>
          <w:sz w:val="32"/>
          <w:szCs w:val="32"/>
          <w:highlight w:val="none"/>
          <w:lang w:val="en-US" w:eastAsia="zh-CN"/>
        </w:rPr>
        <w:t>四、田间道路</w:t>
      </w:r>
      <w:bookmarkEnd w:id="257"/>
      <w:bookmarkEnd w:id="258"/>
      <w:bookmarkEnd w:id="259"/>
      <w:bookmarkEnd w:id="260"/>
      <w:bookmarkEnd w:id="261"/>
    </w:p>
    <w:p w14:paraId="6D569896">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p>
    <w:p w14:paraId="74C6B395">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满足现代农业生产、农业物资运输、农业机械化和其它农业生产活动需要，在田、水、林、电、村规划基础上，合理确定田间道路密度，整修或新建田间道路，配套建设桥、涵和农机下田坡道，满足农产品运输及农业机械的通行和作业要求。</w:t>
      </w:r>
    </w:p>
    <w:p w14:paraId="67B8C36A">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（二）建设标准</w:t>
      </w:r>
    </w:p>
    <w:p w14:paraId="0E16A04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田间道路布局合理，田间道（机耕路）的路面宽度宜为3～6米，生产路的路面宽度不宜超过3米，在大型机械化作业区，农机交汇点路面宽度可适当放宽。田间道（机耕路）路面宜采用混凝土、沥青、碎石等材质，可因地制宜对部分主干路实施硬化措施，生产路的路面可采用泥结石、混凝土等材质。同时要做好路与田的连接，机坡设置既要便于农机下田，又要节约土地。道路通达度平原区达到100%，其他地区不低于90%。</w:t>
      </w:r>
    </w:p>
    <w:p w14:paraId="53B15A4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14:paraId="613EF54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62" w:name="_Toc13672"/>
      <w:bookmarkStart w:id="263" w:name="_Toc996"/>
      <w:bookmarkStart w:id="264" w:name="_Toc18150"/>
      <w:bookmarkStart w:id="265" w:name="_Toc4242"/>
      <w:bookmarkStart w:id="266" w:name="_Toc30581"/>
      <w:r>
        <w:rPr>
          <w:rFonts w:hint="eastAsia" w:ascii="黑体" w:hAnsi="黑体" w:eastAsia="黑体" w:cs="黑体"/>
          <w:sz w:val="32"/>
          <w:szCs w:val="32"/>
          <w:highlight w:val="none"/>
          <w:lang w:val="en-US" w:eastAsia="zh-CN"/>
        </w:rPr>
        <w:t>五、科技服务</w:t>
      </w:r>
      <w:bookmarkEnd w:id="262"/>
      <w:bookmarkEnd w:id="263"/>
      <w:bookmarkEnd w:id="264"/>
      <w:bookmarkEnd w:id="265"/>
      <w:bookmarkEnd w:id="266"/>
    </w:p>
    <w:p w14:paraId="3102A122">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p>
    <w:p w14:paraId="21F622F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充分利用高标准农田基础条件，合理安排种养结构，推广应用高效节水灌溉技术、水肥一体化灌溉技术、化肥农药定额制施用技术等。深化农机农艺融合，大力推广先进适用机具，提高农业机械化水平。加强农民科技培训，引导和指导农民进行全过程规范化、标准化种植，提高技术到位率。加强优良品种引进推广，组织实施现代种业发展工程，积极开展种质资源保护和开发利用，提高种子种苗商品化率和主导品种覆盖率。健全耕地质量监测体系，持续实施测土配方施肥。提高病虫害监测预警和防治能力，构建较为完善的病虫害监测网络体系，加大高效、低毒、低残留农药和绿色防控技术的推广运用。</w:t>
      </w:r>
    </w:p>
    <w:p w14:paraId="6B48EF6D">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（二）建设标准</w:t>
      </w:r>
    </w:p>
    <w:p w14:paraId="5D01D85C">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高标准农田区域的良种覆盖率达到95%以上，测土配方施肥覆盖率应达到95%以上，水稻病虫害统防统治覆盖率达到45%以上。</w:t>
      </w:r>
    </w:p>
    <w:p w14:paraId="274206E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sz w:val="32"/>
          <w:szCs w:val="32"/>
          <w:highlight w:val="none"/>
          <w:lang w:val="en-US" w:eastAsia="zh-CN"/>
        </w:rPr>
      </w:pPr>
      <w:bookmarkStart w:id="267" w:name="_Toc31275"/>
      <w:bookmarkStart w:id="268" w:name="_Toc13000"/>
    </w:p>
    <w:p w14:paraId="1D18736B">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69" w:name="_Toc23907"/>
      <w:bookmarkStart w:id="270" w:name="_Toc13630"/>
      <w:bookmarkStart w:id="271" w:name="_Toc24377"/>
      <w:r>
        <w:rPr>
          <w:rFonts w:hint="eastAsia" w:ascii="黑体" w:hAnsi="黑体" w:eastAsia="黑体" w:cs="黑体"/>
          <w:sz w:val="32"/>
          <w:szCs w:val="32"/>
          <w:highlight w:val="none"/>
          <w:lang w:val="en-US" w:eastAsia="zh-CN"/>
        </w:rPr>
        <w:t>六、生态防护</w:t>
      </w:r>
      <w:bookmarkEnd w:id="267"/>
      <w:bookmarkEnd w:id="268"/>
      <w:bookmarkEnd w:id="269"/>
      <w:bookmarkEnd w:id="270"/>
      <w:bookmarkEnd w:id="271"/>
    </w:p>
    <w:p w14:paraId="2CA60430">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p>
    <w:p w14:paraId="0DBB497C">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推广生态型治理措施，注重生态沟渠及地表径流集蓄与利用设施建设，统筹整合其他资金，在排渠中因地制宜推广农田氮磷生态拦截沟渠系统建设，减少农田氮磷排放对环境的影响，加强农田防护与生态环境保持。根据防护需要，在主要道路和干渠两侧，适时、适地、适树建设农田防护林。在水土流失易发地区，科学合理修筑岸坡防护、沟道治理、坡面防护等设施。</w:t>
      </w:r>
    </w:p>
    <w:p w14:paraId="5A10A1EC">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（二）建设标准</w:t>
      </w:r>
    </w:p>
    <w:p w14:paraId="2FCE6000">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农田防护与生态环境保持工程应进行全面规划、综合治理，与田块、沟渠道路等工程相结合，与农村居民点景观建设相协调。受防护的农田面积占建设区面积的比例，一般应不低于90%。</w:t>
      </w:r>
    </w:p>
    <w:p w14:paraId="7060DD7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sz w:val="32"/>
          <w:szCs w:val="32"/>
          <w:highlight w:val="none"/>
          <w:lang w:val="en-US" w:eastAsia="zh-CN"/>
        </w:rPr>
      </w:pPr>
      <w:bookmarkStart w:id="272" w:name="_Toc14902"/>
      <w:bookmarkStart w:id="273" w:name="_Toc4541"/>
    </w:p>
    <w:p w14:paraId="30292AF0">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74" w:name="_Toc22077"/>
      <w:bookmarkStart w:id="275" w:name="_Toc1174"/>
      <w:bookmarkStart w:id="276" w:name="_Toc31144"/>
      <w:r>
        <w:rPr>
          <w:rFonts w:hint="eastAsia" w:ascii="黑体" w:hAnsi="黑体" w:eastAsia="黑体" w:cs="黑体"/>
          <w:sz w:val="32"/>
          <w:szCs w:val="32"/>
          <w:highlight w:val="none"/>
          <w:lang w:val="en-US" w:eastAsia="zh-CN"/>
        </w:rPr>
        <w:t>七、农田输配电</w:t>
      </w:r>
      <w:bookmarkEnd w:id="272"/>
      <w:bookmarkEnd w:id="273"/>
      <w:bookmarkEnd w:id="274"/>
      <w:bookmarkEnd w:id="275"/>
      <w:bookmarkEnd w:id="276"/>
    </w:p>
    <w:p w14:paraId="6C7B74C9">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p>
    <w:p w14:paraId="2F3736D5">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结合灌排、道路工程，配套建设农用高低压线路和变配电设施，满足泵站、机井、信息化及田间农业生产等用电需求。</w:t>
      </w:r>
    </w:p>
    <w:p w14:paraId="58670096">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autoSpaceDE/>
        <w:autoSpaceDN/>
        <w:bidi w:val="0"/>
        <w:spacing w:beforeLines="0" w:afterLines="0" w:line="590" w:lineRule="exact"/>
        <w:ind w:leftChars="200" w:firstLine="320" w:firstLineChars="1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（二）建设标准</w:t>
      </w:r>
    </w:p>
    <w:p w14:paraId="16AE1FC1">
      <w:pPr>
        <w:keepNext w:val="0"/>
        <w:keepLines w:val="0"/>
        <w:pageBreakBefore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高标准农田输电线路、变压器及弱电等设施完善，电力系统安装与运行符合相关标准，用电质量和安全水平得到提高。</w:t>
      </w:r>
    </w:p>
    <w:p w14:paraId="11858F42">
      <w:pPr>
        <w:keepNext w:val="0"/>
        <w:keepLines w:val="0"/>
        <w:pageBreakBefore w:val="0"/>
        <w:kinsoku/>
        <w:wordWrap w:val="0"/>
        <w:overflowPunct/>
        <w:topLinePunct w:val="0"/>
        <w:autoSpaceDE/>
        <w:autoSpaceDN/>
        <w:bidi w:val="0"/>
        <w:adjustRightInd/>
        <w:snapToGrid/>
        <w:spacing w:line="600" w:lineRule="exact"/>
        <w:jc w:val="left"/>
        <w:textAlignment w:val="auto"/>
        <w:rPr>
          <w:rFonts w:hint="eastAsia" w:ascii="仿宋" w:hAnsi="仿宋" w:eastAsia="仿宋" w:cs="仿宋"/>
          <w:sz w:val="32"/>
          <w:szCs w:val="32"/>
          <w:highlight w:val="none"/>
          <w:lang w:val="en-US" w:eastAsia="zh-CN"/>
        </w:rPr>
      </w:pPr>
    </w:p>
    <w:p w14:paraId="59B0778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77" w:name="_Toc29289"/>
      <w:bookmarkStart w:id="278" w:name="_Toc16681"/>
      <w:bookmarkStart w:id="279" w:name="_Toc5704"/>
      <w:bookmarkStart w:id="280" w:name="_Toc10710"/>
      <w:bookmarkStart w:id="281" w:name="_Toc19001"/>
      <w:r>
        <w:rPr>
          <w:rFonts w:hint="eastAsia" w:ascii="黑体" w:hAnsi="黑体" w:eastAsia="黑体" w:cs="黑体"/>
          <w:sz w:val="32"/>
          <w:szCs w:val="32"/>
          <w:highlight w:val="none"/>
          <w:lang w:val="en-US" w:eastAsia="zh-CN"/>
        </w:rPr>
        <w:t>八、管护利用</w:t>
      </w:r>
      <w:bookmarkEnd w:id="277"/>
      <w:bookmarkEnd w:id="278"/>
      <w:bookmarkEnd w:id="279"/>
      <w:bookmarkEnd w:id="280"/>
      <w:bookmarkEnd w:id="281"/>
    </w:p>
    <w:p w14:paraId="00F0D9B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（一）建设内容。</w:t>
      </w:r>
      <w:r>
        <w:rPr>
          <w:rFonts w:hint="eastAsia" w:ascii="仿宋" w:hAnsi="仿宋" w:eastAsia="仿宋" w:cs="仿宋"/>
          <w:sz w:val="32"/>
          <w:szCs w:val="32"/>
          <w:highlight w:val="none"/>
          <w:lang w:val="en-US" w:eastAsia="zh-CN"/>
        </w:rPr>
        <w:t>高标准农田建设项目验收通过后，项目法人应及时按有关规定办理资产交付手续。地方农业农村部门应按照“谁受益谁管护，谁使用谁管护”的原则，组织建立高标准农田建设项目建后管护长效运行机制，监督落实管护责任。及时对因自然灾害、使用年限久导致损毁的工程设施开展修复。</w:t>
      </w:r>
    </w:p>
    <w:p w14:paraId="4C3D4590">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楷体" w:hAnsi="楷体" w:eastAsia="楷体" w:cs="楷体"/>
          <w:b w:val="0"/>
          <w:bCs w:val="0"/>
          <w:sz w:val="32"/>
          <w:szCs w:val="32"/>
          <w:highlight w:val="none"/>
          <w:lang w:val="en-US" w:eastAsia="zh-CN"/>
        </w:rPr>
        <w:t>（二）建设标准。</w:t>
      </w:r>
      <w:r>
        <w:rPr>
          <w:rFonts w:hint="eastAsia" w:ascii="仿宋" w:hAnsi="仿宋" w:eastAsia="仿宋" w:cs="仿宋"/>
          <w:sz w:val="32"/>
          <w:szCs w:val="32"/>
          <w:highlight w:val="none"/>
          <w:lang w:val="en-US" w:eastAsia="zh-CN"/>
        </w:rPr>
        <w:t>高标准农田管护主体和责任明确，管护资金到位，农田基础设施实现长久有效运行。</w:t>
      </w:r>
    </w:p>
    <w:p w14:paraId="6B146C30">
      <w:pPr>
        <w:keepNext w:val="0"/>
        <w:keepLines w:val="0"/>
        <w:pageBreakBefore w:val="0"/>
        <w:kinsoku/>
        <w:wordWrap w:val="0"/>
        <w:overflowPunct/>
        <w:autoSpaceDE/>
        <w:autoSpaceDN/>
        <w:bidi w:val="0"/>
        <w:jc w:val="left"/>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yellow"/>
          <w:lang w:val="en-US" w:eastAsia="zh-CN"/>
        </w:rPr>
        <w:br w:type="page"/>
      </w:r>
    </w:p>
    <w:p w14:paraId="3A8F340A">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282" w:name="_Toc11340"/>
      <w:bookmarkStart w:id="283" w:name="_Toc24301"/>
      <w:bookmarkStart w:id="284" w:name="_Toc16615"/>
      <w:bookmarkStart w:id="285" w:name="_Toc26072"/>
      <w:bookmarkStart w:id="286" w:name="_Toc13577"/>
      <w:r>
        <w:rPr>
          <w:rFonts w:hint="eastAsia" w:ascii="黑体" w:hAnsi="黑体" w:eastAsia="黑体" w:cs="黑体"/>
          <w:b w:val="0"/>
          <w:bCs w:val="0"/>
          <w:sz w:val="36"/>
          <w:szCs w:val="36"/>
          <w:highlight w:val="none"/>
          <w:lang w:val="en-US" w:eastAsia="zh-CN"/>
        </w:rPr>
        <w:t>第五章</w:t>
      </w:r>
      <w:bookmarkEnd w:id="282"/>
      <w:r>
        <w:rPr>
          <w:rFonts w:hint="eastAsia" w:ascii="黑体" w:hAnsi="黑体" w:eastAsia="黑体" w:cs="黑体"/>
          <w:b w:val="0"/>
          <w:bCs w:val="0"/>
          <w:sz w:val="36"/>
          <w:szCs w:val="36"/>
          <w:highlight w:val="none"/>
          <w:lang w:val="en-US" w:eastAsia="zh-CN"/>
        </w:rPr>
        <w:t xml:space="preserve"> 建设重点</w:t>
      </w:r>
      <w:bookmarkEnd w:id="283"/>
      <w:bookmarkEnd w:id="284"/>
      <w:bookmarkEnd w:id="285"/>
      <w:bookmarkEnd w:id="286"/>
    </w:p>
    <w:p w14:paraId="654B1764">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287" w:name="_Toc14619"/>
      <w:bookmarkStart w:id="288" w:name="_Toc6629"/>
      <w:bookmarkStart w:id="289" w:name="_Toc28749"/>
    </w:p>
    <w:p w14:paraId="7B45E53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290" w:name="_Toc14425"/>
      <w:r>
        <w:rPr>
          <w:rFonts w:hint="eastAsia" w:ascii="黑体" w:hAnsi="黑体" w:eastAsia="黑体" w:cs="黑体"/>
          <w:sz w:val="32"/>
          <w:szCs w:val="32"/>
          <w:highlight w:val="none"/>
          <w:lang w:val="en-US" w:eastAsia="zh-CN"/>
        </w:rPr>
        <w:t>一、建设情况</w:t>
      </w:r>
      <w:bookmarkEnd w:id="287"/>
      <w:bookmarkEnd w:id="288"/>
      <w:bookmarkEnd w:id="290"/>
    </w:p>
    <w:p w14:paraId="3BD26AAB">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0"/>
        <w:rPr>
          <w:rFonts w:hint="eastAsia" w:ascii="仿宋" w:hAnsi="仿宋" w:eastAsia="仿宋" w:cs="仿宋"/>
          <w:sz w:val="32"/>
          <w:szCs w:val="32"/>
          <w:highlight w:val="none"/>
          <w:lang w:val="en-US" w:eastAsia="zh-CN"/>
        </w:rPr>
      </w:pPr>
      <w:bookmarkStart w:id="291" w:name="_Toc27729"/>
      <w:bookmarkStart w:id="292" w:name="_Toc23188"/>
      <w:bookmarkStart w:id="293" w:name="_Toc14417"/>
      <w:bookmarkStart w:id="294" w:name="_Toc24606"/>
      <w:bookmarkStart w:id="295" w:name="_Toc8842"/>
      <w:bookmarkStart w:id="296" w:name="_Toc16816"/>
      <w:r>
        <w:rPr>
          <w:rFonts w:hint="eastAsia" w:ascii="仿宋" w:hAnsi="仿宋" w:eastAsia="仿宋" w:cs="仿宋"/>
          <w:sz w:val="32"/>
          <w:szCs w:val="32"/>
          <w:highlight w:val="none"/>
          <w:lang w:val="en-US" w:eastAsia="zh-CN"/>
        </w:rPr>
        <w:t>截至2020年底全市已建高标准农田面积84.68万亩，占区域内耕地面积比重达到76.33%，高于全省平均水平，未来高标准农田应统筹推进新增建设和改造提升。针对境内夏涝风灾危害较重，秋冬春旱时有发生，耕层营养不足、土壤退化较为严重，以及山地丘陵区耕地碎片化和水土流失等主要制约因素，以提升粮食产能、耕地质量、绿色低碳发展水平等为主攻方向，立足精细特色农业发展优势明显、农业生产效益相对较高等优势，有效衔接粤东地区水资源优化配置等引调水工程，高水平推动高标准农田建设，集成推广绿色低碳农业措施，推动高标准农田建设向绿色低碳发展转型升级。重点围绕稻谷、薯类、大豆和油料建设高标准农田，亩均粮食产能达到910公斤，耕地质量等级宜达到4.1等以上，打造全市粮食和重要农产品特色基地。</w:t>
      </w:r>
      <w:bookmarkEnd w:id="289"/>
      <w:bookmarkEnd w:id="291"/>
      <w:bookmarkEnd w:id="292"/>
      <w:bookmarkEnd w:id="293"/>
      <w:bookmarkEnd w:id="294"/>
      <w:bookmarkEnd w:id="295"/>
      <w:bookmarkEnd w:id="296"/>
    </w:p>
    <w:p w14:paraId="5745D1B3">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p>
    <w:p w14:paraId="0A3604E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default" w:ascii="黑体" w:hAnsi="黑体" w:eastAsia="黑体" w:cs="黑体"/>
          <w:sz w:val="32"/>
          <w:szCs w:val="32"/>
          <w:highlight w:val="none"/>
          <w:lang w:val="en-US" w:eastAsia="zh-CN"/>
        </w:rPr>
      </w:pPr>
      <w:bookmarkStart w:id="297" w:name="_Toc19869"/>
      <w:bookmarkStart w:id="298" w:name="_Toc19521"/>
      <w:bookmarkStart w:id="299" w:name="_Toc19794"/>
      <w:r>
        <w:rPr>
          <w:rFonts w:hint="eastAsia" w:ascii="黑体" w:hAnsi="黑体" w:eastAsia="黑体" w:cs="黑体"/>
          <w:sz w:val="32"/>
          <w:szCs w:val="32"/>
          <w:highlight w:val="none"/>
          <w:lang w:val="en-US" w:eastAsia="zh-CN"/>
        </w:rPr>
        <w:t>二、建设重点</w:t>
      </w:r>
      <w:bookmarkEnd w:id="297"/>
      <w:bookmarkEnd w:id="298"/>
      <w:bookmarkEnd w:id="299"/>
    </w:p>
    <w:p w14:paraId="0ACDC60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建设加快精细特色农业现代化的高标准农田，突出工程配套、设施完善、绿色低碳，重点提升完善满足精耕细作要求的农田基础设施，积极开展绿色农田等高标准农田建设示范，因地制宜推动水旱轮作、种养循环，促进粮食生产绿色发展、优质高效。</w:t>
      </w:r>
    </w:p>
    <w:p w14:paraId="0B2C52FB">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合理划分和适度归并田块，优化耕作田块布局，提高机械化水平和田面平整度。田块整治应避免打乱表土层与心土层，无法避免时应实施表土剥离回填工程。平原区以整修条田为主。山地丘陵区推行宜机化田块整治，地块小并大、短并长、弯变直、互联互通，因地制宜修筑梯田。</w:t>
      </w:r>
    </w:p>
    <w:p w14:paraId="42D0C84C">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集成推广土壤培肥、退化土壤治理、障碍层改良等土壤改良技术，增施有机肥料，实施秸秆还田，施用土壤调理剂，合理实行水旱轮作，推广测土配方施肥，逐步加厚耕层，改良土壤结构，提高耕地质量。支持有条件的地方，持续开展耕地质量保护与提升行动，促进耕地资源永续利用。</w:t>
      </w:r>
    </w:p>
    <w:p w14:paraId="36970D3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改造提升田间灌排工程，满足旱、涝、酸、渍综合治理要求。水田区加强沟渠配套建设和疏浚整治，增强农田排涝能力，防治土壤潜育化。丘陵山地区因地制宜修建蓄水池和小型泵站等设施，加强雨水和地表水利用。支持推广智能化灌排设施，推行渠道防渗、管道输水灌溉和喷灌、微灌等节水措施，建设生态型灌排系统。</w:t>
      </w:r>
    </w:p>
    <w:p w14:paraId="65151DB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改造提升田间路网，优先利用原有道路，平原区田间道路应短顺平直，山地丘陵区应随坡就势。机耕路路面宜采用沥青、混凝土、碎石等材质，重要路段应采用硬化措施。生产路路面宜采用碎石、素土等材质，暴雨冲刷严重地区可采用硬化措施。配套建设桥、涵和农机下田设施，满足农机作业、农资运输等农业生产要求。鼓励建设轮迹路等生态型田间道路，减少硬化道路对生态的不利影响。</w:t>
      </w:r>
    </w:p>
    <w:p w14:paraId="17C44F0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（六）与田块、沟渠、道路有机衔接，改造提升农田防护林网工程，增强抵御台风灾害的能力。因地制宜改造提升岸坡防护、坡面防护、沟道治理等生态环境保护工程，提高抵御洪涝灾害的能力，减少水土流失。</w:t>
      </w:r>
    </w:p>
    <w:p w14:paraId="7B584B8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（七）改造提升变配电设施，满足农田灌溉排水以及信息化工程电力需求。支持数字农业基础设施等弱电设施建设，满足农田生产管理数字化发展需求。</w:t>
      </w:r>
    </w:p>
    <w:p w14:paraId="15F3F63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color w:val="auto"/>
          <w:sz w:val="32"/>
          <w:szCs w:val="32"/>
          <w:highlight w:val="none"/>
          <w:u w:val="none"/>
          <w:lang w:val="en-US" w:eastAsia="zh-CN"/>
        </w:rPr>
      </w:pPr>
      <w:bookmarkStart w:id="300" w:name="_Toc3946"/>
      <w:r>
        <w:rPr>
          <w:rFonts w:hint="eastAsia" w:ascii="仿宋" w:hAnsi="仿宋" w:eastAsia="仿宋" w:cs="仿宋"/>
          <w:color w:val="auto"/>
          <w:sz w:val="32"/>
          <w:szCs w:val="32"/>
          <w:highlight w:val="none"/>
          <w:u w:val="none"/>
          <w:lang w:val="en-US" w:eastAsia="zh-CN"/>
        </w:rPr>
        <w:t>（八）逐步推进农业水价综合改革，完善高标准农田项目区内农业用水计量设施配套，配合水务部门落实农业灌溉用水总量控制和定额管理，逐步将用水总量细化分解，最大限度发挥水资源价值。</w:t>
      </w:r>
      <w:bookmarkEnd w:id="300"/>
    </w:p>
    <w:p w14:paraId="5AD395F4">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color w:val="auto"/>
          <w:sz w:val="32"/>
          <w:szCs w:val="32"/>
          <w:highlight w:val="none"/>
          <w:u w:val="none"/>
          <w:lang w:val="en-US" w:eastAsia="zh-CN"/>
        </w:rPr>
      </w:pPr>
    </w:p>
    <w:p w14:paraId="1275692E">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default" w:ascii="黑体" w:hAnsi="黑体" w:eastAsia="黑体" w:cs="黑体"/>
          <w:sz w:val="32"/>
          <w:szCs w:val="32"/>
          <w:highlight w:val="none"/>
          <w:lang w:val="en-US" w:eastAsia="zh-CN"/>
        </w:rPr>
      </w:pPr>
      <w:bookmarkStart w:id="301" w:name="_Toc25940"/>
      <w:r>
        <w:rPr>
          <w:rFonts w:hint="eastAsia" w:ascii="黑体" w:hAnsi="黑体" w:eastAsia="黑体" w:cs="黑体"/>
          <w:sz w:val="32"/>
          <w:szCs w:val="32"/>
          <w:highlight w:val="none"/>
          <w:lang w:val="en-US" w:eastAsia="zh-CN"/>
        </w:rPr>
        <w:t>三、建设分区</w:t>
      </w:r>
      <w:bookmarkEnd w:id="301"/>
    </w:p>
    <w:p w14:paraId="451371C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02" w:name="_Toc19133"/>
      <w:bookmarkStart w:id="303" w:name="_Toc16708"/>
      <w:bookmarkStart w:id="304" w:name="_Toc21579"/>
      <w:bookmarkStart w:id="305" w:name="_Toc15258"/>
      <w:bookmarkStart w:id="306" w:name="_Toc7793"/>
      <w:bookmarkStart w:id="307" w:name="_Toc27094"/>
      <w:bookmarkStart w:id="308" w:name="_Toc31749"/>
      <w:bookmarkStart w:id="309" w:name="_Toc11585"/>
      <w:r>
        <w:rPr>
          <w:rFonts w:hint="eastAsia" w:ascii="仿宋" w:hAnsi="仿宋" w:eastAsia="仿宋" w:cs="仿宋"/>
          <w:sz w:val="32"/>
          <w:szCs w:val="32"/>
          <w:highlight w:val="none"/>
          <w:lang w:val="en-US" w:eastAsia="zh-CN"/>
        </w:rPr>
        <w:t>高标准农田建设是一项长期的任务，需要持续推进，更要创新推进。各县（市、区）要统筹高标准农田新增建设和改造提升项目，加强组织管理和规划引领，创新实施路径和发展模式，提高建设标准和资金投入，强化技术支撑和考核监督，着力打造一批整区域推进、宜机化改造、数字农田、绿色农田、土壤改良、高效节水灌溉和都市美丽田园等示范工程，总结提炼一批“可推广、可复制、能落地、接地气”高标准农田建设的典型样板，引领全市高标准农田建设高质量发展。</w:t>
      </w:r>
      <w:bookmarkEnd w:id="302"/>
      <w:bookmarkEnd w:id="303"/>
      <w:bookmarkEnd w:id="304"/>
      <w:bookmarkEnd w:id="305"/>
      <w:bookmarkEnd w:id="306"/>
      <w:bookmarkEnd w:id="307"/>
      <w:bookmarkEnd w:id="308"/>
      <w:bookmarkEnd w:id="309"/>
    </w:p>
    <w:p w14:paraId="234599D0">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10" w:name="_Toc27237"/>
      <w:bookmarkStart w:id="311" w:name="_Toc9488"/>
      <w:r>
        <w:rPr>
          <w:rFonts w:hint="eastAsia" w:ascii="仿宋" w:hAnsi="仿宋" w:eastAsia="仿宋" w:cs="仿宋"/>
          <w:sz w:val="32"/>
          <w:szCs w:val="32"/>
          <w:highlight w:val="none"/>
          <w:lang w:val="en-US" w:eastAsia="zh-CN"/>
        </w:rPr>
        <w:t>以提升粮食产能为首要目标，综合考虑不同建设分区的地形地貌、气候、水土资源、粮食生产等基础条件，以及全面推进乡村振兴、加快农业农村现代化等发展需求，找准不同区域高标准农田建设的短板弱项、主攻方向、产能目标和建设重点，分区分类推进高标准农田建设，切实提升高标准农田建成后的稳产保供能力，现将汕尾市高标准农田建设划分为两个区域，为：现代农业区（市城区、陆丰市、海丰县、红海湾经济开发区），生态农业区（陆河县、华侨管理区）。</w:t>
      </w:r>
      <w:bookmarkEnd w:id="310"/>
      <w:bookmarkEnd w:id="311"/>
    </w:p>
    <w:p w14:paraId="0F59DEF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312" w:name="_Toc5871"/>
      <w:r>
        <w:rPr>
          <w:rFonts w:hint="eastAsia" w:ascii="楷体" w:hAnsi="楷体" w:eastAsia="楷体" w:cs="楷体"/>
          <w:sz w:val="32"/>
          <w:szCs w:val="32"/>
          <w:highlight w:val="none"/>
          <w:lang w:val="en-US" w:eastAsia="zh-CN"/>
        </w:rPr>
        <w:t>（一）现代农业区</w:t>
      </w:r>
      <w:bookmarkEnd w:id="312"/>
    </w:p>
    <w:p w14:paraId="31D5DFA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13" w:name="_Toc15680"/>
      <w:r>
        <w:rPr>
          <w:rFonts w:hint="eastAsia" w:ascii="仿宋" w:hAnsi="仿宋" w:eastAsia="仿宋" w:cs="仿宋"/>
          <w:sz w:val="32"/>
          <w:szCs w:val="32"/>
          <w:highlight w:val="none"/>
          <w:lang w:val="en-US" w:eastAsia="zh-CN"/>
        </w:rPr>
        <w:t>针对区域存在的台风、洪涝、土壤有机质及养分含量不高等问题。以加强农田水利设施建设为主，完善排灌水系统，提升耕地质量等级，加强农田林网的建设和生态环境的改善。</w:t>
      </w:r>
      <w:bookmarkEnd w:id="313"/>
    </w:p>
    <w:p w14:paraId="6E767C3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14" w:name="_Toc6964"/>
      <w:r>
        <w:rPr>
          <w:rFonts w:hint="eastAsia" w:ascii="仿宋" w:hAnsi="仿宋" w:eastAsia="仿宋" w:cs="仿宋"/>
          <w:sz w:val="32"/>
          <w:szCs w:val="32"/>
          <w:highlight w:val="none"/>
          <w:lang w:val="en-US" w:eastAsia="zh-CN"/>
        </w:rPr>
        <w:t>1、完善农田水利设施，打造“旱能灌、涝能排”的农田灌排体系。因地制宜修建小型水源工程，提高水源调蓄能力及灌溉保证率。开展排灌沟渠清淤整治与节水化、生态化改造，增强田间抗旱排涝能力。大力推行管道输水灌溉、喷灌、微灌等高效节水灌溉技术，引进数字化和智能化灌溉设施，推行水稻控制灌溉技术，提高灌溉用水效率。</w:t>
      </w:r>
      <w:bookmarkEnd w:id="314"/>
    </w:p>
    <w:p w14:paraId="2D957C1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15" w:name="_Toc20625"/>
      <w:r>
        <w:rPr>
          <w:rFonts w:hint="eastAsia" w:ascii="仿宋" w:hAnsi="仿宋" w:eastAsia="仿宋" w:cs="仿宋"/>
          <w:sz w:val="32"/>
          <w:szCs w:val="32"/>
          <w:highlight w:val="none"/>
          <w:lang w:val="en-US" w:eastAsia="zh-CN"/>
        </w:rPr>
        <w:t>2、提升耕地质量等级，实施增施有机肥、种植绿肥、秸秆还田、冬耕翻土晒田、施用石灰深耕改土，大力推广应用测土配方施肥、水肥药一体化等环境友好型土壤培肥技术，发挥示范引领作用。支持建成后持续开展地力提升，稳固提升耕地等级。</w:t>
      </w:r>
      <w:bookmarkEnd w:id="315"/>
    </w:p>
    <w:p w14:paraId="20AC0D44">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16" w:name="_Toc15616"/>
      <w:r>
        <w:rPr>
          <w:rFonts w:hint="eastAsia" w:ascii="仿宋" w:hAnsi="仿宋" w:eastAsia="仿宋" w:cs="仿宋"/>
          <w:sz w:val="32"/>
          <w:szCs w:val="32"/>
          <w:highlight w:val="none"/>
          <w:lang w:val="en-US" w:eastAsia="zh-CN"/>
        </w:rPr>
        <w:t>3、全面开展破碎田块整理，实现小并大、短并长、弯变直，对尖角、弯月形等异形地块进行整理，实现小田变成大田、地块互联互通。推动大数据、物联网等数字技术在田块整治中应用，进一步优化耕作田块布局，提升田面平整度，便于机械作业和田间管理。</w:t>
      </w:r>
      <w:bookmarkEnd w:id="316"/>
    </w:p>
    <w:p w14:paraId="1C606C2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17" w:name="_Toc9105"/>
      <w:r>
        <w:rPr>
          <w:rFonts w:hint="eastAsia" w:ascii="仿宋" w:hAnsi="仿宋" w:eastAsia="仿宋" w:cs="仿宋"/>
          <w:sz w:val="32"/>
          <w:szCs w:val="32"/>
          <w:highlight w:val="none"/>
          <w:lang w:val="en-US" w:eastAsia="zh-CN"/>
        </w:rPr>
        <w:t>4、对标土地规模化经营和机械化生产需要，进一步优化农田结构和布局，全面改善田块机械化耕作条件，扩展大中型农业机械化运用空间，为规模化、集约化生产打下坚实基础，完善田间道路与农机下田坡道等设施，提高高标准农田耕作的便捷性与安全性。</w:t>
      </w:r>
      <w:bookmarkEnd w:id="317"/>
    </w:p>
    <w:p w14:paraId="2264191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318" w:name="_Toc14319"/>
      <w:r>
        <w:rPr>
          <w:rFonts w:hint="eastAsia" w:ascii="楷体" w:hAnsi="楷体" w:eastAsia="楷体" w:cs="楷体"/>
          <w:sz w:val="32"/>
          <w:szCs w:val="32"/>
          <w:highlight w:val="none"/>
          <w:lang w:val="en-US" w:eastAsia="zh-CN"/>
        </w:rPr>
        <w:t>（二）生态农业区</w:t>
      </w:r>
      <w:bookmarkEnd w:id="318"/>
    </w:p>
    <w:p w14:paraId="151D121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19" w:name="_Toc32654"/>
      <w:r>
        <w:rPr>
          <w:rFonts w:hint="eastAsia" w:ascii="仿宋" w:hAnsi="仿宋" w:eastAsia="仿宋" w:cs="仿宋"/>
          <w:sz w:val="32"/>
          <w:szCs w:val="32"/>
          <w:highlight w:val="none"/>
          <w:lang w:val="en-US" w:eastAsia="zh-CN"/>
        </w:rPr>
        <w:t>针对区域地形地貌等制约因素，以农田防护和生态环境保持工程为主，土地平整工程为辅，加强水利基础设施建设，提高防洪排涝标准； 加强治坡工程布局和水土保持林的建设，防治水土流失。</w:t>
      </w:r>
      <w:bookmarkEnd w:id="319"/>
    </w:p>
    <w:p w14:paraId="0FADA058">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20" w:name="_Toc17336"/>
      <w:r>
        <w:rPr>
          <w:rFonts w:hint="eastAsia" w:ascii="仿宋" w:hAnsi="仿宋" w:eastAsia="仿宋" w:cs="仿宋"/>
          <w:sz w:val="32"/>
          <w:szCs w:val="32"/>
          <w:highlight w:val="none"/>
          <w:lang w:val="en-US" w:eastAsia="zh-CN"/>
        </w:rPr>
        <w:t>1、因地制宜加强农田防护和生态环境保护，新建、修复农田防护林，建设、完善护坡、截水沟、排洪沟等坡面防护工程，以及谷坊、沟头防护等沟道治理工程，有效控制农田水土流失。</w:t>
      </w:r>
      <w:bookmarkEnd w:id="320"/>
    </w:p>
    <w:p w14:paraId="0FEECD5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21" w:name="_Toc27288"/>
      <w:r>
        <w:rPr>
          <w:rFonts w:hint="eastAsia" w:ascii="仿宋" w:hAnsi="仿宋" w:eastAsia="仿宋" w:cs="仿宋"/>
          <w:sz w:val="32"/>
          <w:szCs w:val="32"/>
          <w:highlight w:val="none"/>
          <w:lang w:val="en-US" w:eastAsia="zh-CN"/>
        </w:rPr>
        <w:t>2、合理规分和适度归并田块，消除农机作业死角，山地丘陵区应随坡就势，坡耕地改造为宜机化梯田，优化地块布局，实现以条带状分布为主，延长机械作业线路。合理规划建设岸坡防护、沟道治理、坡面防护等工程，保护农田生态环境。</w:t>
      </w:r>
      <w:bookmarkEnd w:id="321"/>
    </w:p>
    <w:p w14:paraId="7F0BA73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22" w:name="_Toc3728"/>
      <w:r>
        <w:rPr>
          <w:rFonts w:hint="eastAsia" w:ascii="仿宋" w:hAnsi="仿宋" w:eastAsia="仿宋" w:cs="仿宋"/>
          <w:sz w:val="32"/>
          <w:szCs w:val="32"/>
          <w:highlight w:val="none"/>
          <w:lang w:val="en-US" w:eastAsia="zh-CN"/>
        </w:rPr>
        <w:t>3、保护土壤健康，培肥基础地力，促进养分平衡。实施增施有机肥、种植绿肥、秸秆还田、冬耕翻土晒田、施用石灰深耕改土，大力推广应用测土配方施肥、水肥药一体化等环境友好型土壤培肥技术，发挥示范引领作用。支持建成后持续开展地力提升，稳固提升耕地等级。</w:t>
      </w:r>
      <w:bookmarkEnd w:id="322"/>
    </w:p>
    <w:p w14:paraId="7E1CE39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23" w:name="_Toc16589"/>
      <w:r>
        <w:rPr>
          <w:rFonts w:hint="eastAsia" w:ascii="仿宋" w:hAnsi="仿宋" w:eastAsia="仿宋" w:cs="仿宋"/>
          <w:sz w:val="32"/>
          <w:szCs w:val="32"/>
          <w:highlight w:val="none"/>
          <w:lang w:val="en-US" w:eastAsia="zh-CN"/>
        </w:rPr>
        <w:t>4、打造宜机化路网，满足农机作业、农资运输等农业生产要求。机耕路路面、生产路路面可酌情采用混凝土、沥青、碎石、泥结石等材质，重要路段应采用硬化措施，提倡硬化道路采用轮迹路。配套建设农机下田坡道、桥涵、错车点和末端掉头点等附属设施，提高高标准农田耕作便捷性与安全性。</w:t>
      </w:r>
      <w:bookmarkEnd w:id="323"/>
    </w:p>
    <w:p w14:paraId="6DF047C5">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24" w:name="_Toc22489"/>
      <w:r>
        <w:rPr>
          <w:rFonts w:hint="eastAsia" w:ascii="仿宋" w:hAnsi="仿宋" w:eastAsia="仿宋" w:cs="仿宋"/>
          <w:sz w:val="32"/>
          <w:szCs w:val="32"/>
          <w:highlight w:val="none"/>
          <w:lang w:val="en-US" w:eastAsia="zh-CN"/>
        </w:rPr>
        <w:t>5、合理规划建设田间灌排设施，支持建设规模化集约化高效节水灌溉项目，从取水到田间灌溉整体设计，大力推行管道输水灌溉、喷灌、微灌等高效节水灌溉技术，引进数字化和智能化灌溉设施，推行水稻控制灌溉技术，提高灌溉用水效率。有条件的地区，因地制宜建设小型泵站和蓄水设施，提高雨水和地表水集蓄利用能力。</w:t>
      </w:r>
      <w:bookmarkEnd w:id="324"/>
    </w:p>
    <w:p w14:paraId="39E30CB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p>
    <w:p w14:paraId="3A3EB560">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325" w:name="_Toc12507"/>
      <w:bookmarkStart w:id="326" w:name="_Toc2351"/>
      <w:bookmarkStart w:id="327" w:name="_Toc29601"/>
      <w:r>
        <w:rPr>
          <w:rFonts w:hint="eastAsia" w:ascii="黑体" w:hAnsi="黑体" w:eastAsia="黑体" w:cs="黑体"/>
          <w:sz w:val="32"/>
          <w:szCs w:val="32"/>
          <w:highlight w:val="none"/>
          <w:lang w:val="en-US" w:eastAsia="zh-CN"/>
        </w:rPr>
        <w:t>四、示范工程</w:t>
      </w:r>
      <w:bookmarkEnd w:id="325"/>
      <w:bookmarkEnd w:id="326"/>
      <w:bookmarkEnd w:id="327"/>
    </w:p>
    <w:p w14:paraId="2BFEA72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328" w:name="_Toc11160"/>
      <w:bookmarkStart w:id="329" w:name="_Toc5393"/>
      <w:r>
        <w:rPr>
          <w:rFonts w:hint="eastAsia" w:ascii="仿宋" w:hAnsi="仿宋" w:eastAsia="仿宋" w:cs="仿宋"/>
          <w:sz w:val="32"/>
          <w:szCs w:val="32"/>
          <w:highlight w:val="none"/>
          <w:lang w:val="en-US" w:eastAsia="zh-CN"/>
        </w:rPr>
        <w:t>建议现代农业区以宜机化改造、土壤改良、数字农田、都市美丽田园等示范工程为建设重点；生态农业区以丘陵梯田宜机化改造、绿色农田、高效节水灌溉等示范工程为建设重点。根据实际自然禀赋和制约因素，有建设任务的县（市、区）在规划期内至少应打造1个或以上高标准农田建设示范项目，各类示范工程可叠加建设，以倡导绿色生态理念，突出提升粮食产能、耕地地力为目标，积极开展高标准农田建设示范。</w:t>
      </w:r>
      <w:bookmarkEnd w:id="328"/>
      <w:bookmarkEnd w:id="329"/>
    </w:p>
    <w:p w14:paraId="5EA406C5">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330" w:name="_Toc6203"/>
      <w:bookmarkStart w:id="331" w:name="_Toc19338"/>
      <w:bookmarkStart w:id="332" w:name="_Toc16200"/>
      <w:bookmarkStart w:id="333" w:name="_Toc19038"/>
      <w:bookmarkStart w:id="334" w:name="_Toc20840"/>
      <w:bookmarkStart w:id="335" w:name="_Toc1638"/>
      <w:bookmarkStart w:id="336" w:name="_Toc2841"/>
      <w:bookmarkStart w:id="337" w:name="_Toc21045"/>
      <w:bookmarkStart w:id="338" w:name="_Toc8759"/>
      <w:bookmarkStart w:id="339" w:name="_Toc4764"/>
      <w:r>
        <w:rPr>
          <w:rFonts w:hint="eastAsia" w:ascii="楷体" w:hAnsi="楷体" w:eastAsia="楷体" w:cs="楷体"/>
          <w:sz w:val="32"/>
          <w:szCs w:val="32"/>
          <w:highlight w:val="none"/>
          <w:lang w:val="en-US" w:eastAsia="zh-CN"/>
        </w:rPr>
        <w:t>（一）整区域推进高标准农田示范</w:t>
      </w:r>
      <w:bookmarkEnd w:id="330"/>
      <w:bookmarkEnd w:id="331"/>
      <w:bookmarkEnd w:id="332"/>
      <w:bookmarkEnd w:id="333"/>
      <w:bookmarkEnd w:id="334"/>
      <w:bookmarkEnd w:id="335"/>
      <w:bookmarkEnd w:id="336"/>
    </w:p>
    <w:bookmarkEnd w:id="337"/>
    <w:p w14:paraId="55F4EA10">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40" w:name="_Toc18278"/>
      <w:bookmarkStart w:id="341" w:name="_Toc2826"/>
      <w:bookmarkStart w:id="342" w:name="_Toc13797"/>
      <w:bookmarkStart w:id="343" w:name="_Toc5167"/>
      <w:bookmarkStart w:id="344" w:name="_Toc28652"/>
      <w:bookmarkStart w:id="345" w:name="_Toc16037"/>
      <w:bookmarkStart w:id="346" w:name="_Toc2034"/>
      <w:r>
        <w:rPr>
          <w:rFonts w:hint="eastAsia" w:ascii="仿宋" w:hAnsi="仿宋" w:eastAsia="仿宋" w:cs="仿宋"/>
          <w:sz w:val="32"/>
          <w:szCs w:val="32"/>
          <w:highlight w:val="none"/>
          <w:lang w:val="en-US" w:eastAsia="zh-CN"/>
        </w:rPr>
        <w:t>以提升粮食产能为首要目标，以永久基本农田、粮食生产功能区和重要农产品保护区为重点，在潜力大、基础条件好、积极性高、碎片化改造力度大成效好、流转率高、托管服务好的地区，有效衔接农业农村、国土空间、水利发展、生态环境保护等相关规划，以乡镇、流域和灌区等为单位整区域推进高标准农田建设。通过规划期内的建设示范，基本实现项目区域内划定的可建设的永久基本农田、粮食生产功能区、重要农产品生产保护区全部建成高标准农田，项目区耕地质量等级和粮食产能稳步提升。</w:t>
      </w:r>
      <w:bookmarkEnd w:id="340"/>
      <w:bookmarkEnd w:id="341"/>
      <w:bookmarkEnd w:id="342"/>
      <w:bookmarkEnd w:id="343"/>
      <w:bookmarkEnd w:id="344"/>
      <w:bookmarkEnd w:id="345"/>
      <w:bookmarkEnd w:id="346"/>
    </w:p>
    <w:p w14:paraId="13E0A4DB">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47" w:name="_Toc22393"/>
      <w:bookmarkStart w:id="348" w:name="_Toc21780"/>
      <w:bookmarkStart w:id="349" w:name="_Toc12246"/>
      <w:bookmarkStart w:id="350" w:name="_Toc4774"/>
      <w:bookmarkStart w:id="351" w:name="_Toc3440"/>
      <w:bookmarkStart w:id="352" w:name="_Toc30284"/>
      <w:bookmarkStart w:id="353" w:name="_Toc23883"/>
      <w:r>
        <w:rPr>
          <w:rFonts w:hint="eastAsia" w:ascii="仿宋" w:hAnsi="仿宋" w:eastAsia="仿宋" w:cs="仿宋"/>
          <w:sz w:val="32"/>
          <w:szCs w:val="32"/>
          <w:highlight w:val="none"/>
          <w:lang w:val="en-US" w:eastAsia="zh-CN"/>
        </w:rPr>
        <w:t>聚焦示范目标，按照《高标准农田建设通则》（GB/T 30600）要求，实施田、土、水、路、林、电、技、管等措施，全面完善农田设施配套状况，加快落实高质量发展要求，丰富拓展建设内涵，着力在倡导绿色生态理念、提高建管标准、提升基础地力、探索创新项目（宜机化改造、数字农田、土壤改良、节水灌溉、美丽田园）实施模式、创新管理机制等方面下功夫，因地制宜、分类施策开展建设示范。</w:t>
      </w:r>
      <w:bookmarkEnd w:id="347"/>
      <w:bookmarkEnd w:id="348"/>
      <w:bookmarkEnd w:id="349"/>
      <w:bookmarkEnd w:id="350"/>
      <w:bookmarkEnd w:id="351"/>
      <w:bookmarkEnd w:id="352"/>
      <w:bookmarkEnd w:id="353"/>
    </w:p>
    <w:p w14:paraId="1E6DF63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354" w:name="_Toc23301"/>
      <w:bookmarkStart w:id="355" w:name="_Toc24188"/>
      <w:bookmarkStart w:id="356" w:name="_Toc31649"/>
      <w:bookmarkStart w:id="357" w:name="_Toc16657"/>
      <w:bookmarkStart w:id="358" w:name="_Toc13278"/>
      <w:bookmarkStart w:id="359" w:name="_Toc19284"/>
      <w:bookmarkStart w:id="360" w:name="_Toc2982"/>
      <w:bookmarkStart w:id="361" w:name="_Toc18963"/>
      <w:r>
        <w:rPr>
          <w:rFonts w:hint="eastAsia" w:ascii="楷体" w:hAnsi="楷体" w:eastAsia="楷体" w:cs="楷体"/>
          <w:sz w:val="32"/>
          <w:szCs w:val="32"/>
          <w:highlight w:val="none"/>
          <w:lang w:val="en-US" w:eastAsia="zh-CN"/>
        </w:rPr>
        <w:t>（二）宜机化改造示范</w:t>
      </w:r>
      <w:bookmarkEnd w:id="354"/>
      <w:bookmarkEnd w:id="355"/>
      <w:bookmarkEnd w:id="356"/>
      <w:bookmarkEnd w:id="357"/>
      <w:bookmarkEnd w:id="358"/>
      <w:bookmarkEnd w:id="359"/>
      <w:bookmarkEnd w:id="360"/>
    </w:p>
    <w:bookmarkEnd w:id="361"/>
    <w:p w14:paraId="258FC90B">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62" w:name="_Toc30198"/>
      <w:bookmarkStart w:id="363" w:name="_Toc23247"/>
      <w:bookmarkStart w:id="364" w:name="_Toc27010"/>
      <w:bookmarkStart w:id="365" w:name="_Toc7754"/>
      <w:bookmarkStart w:id="366" w:name="_Toc19234"/>
      <w:bookmarkStart w:id="367" w:name="_Toc21103"/>
      <w:bookmarkStart w:id="368" w:name="_Toc6405"/>
      <w:r>
        <w:rPr>
          <w:rFonts w:hint="eastAsia" w:ascii="仿宋" w:hAnsi="仿宋" w:eastAsia="仿宋" w:cs="仿宋"/>
          <w:sz w:val="32"/>
          <w:szCs w:val="32"/>
          <w:highlight w:val="none"/>
          <w:lang w:val="en-US" w:eastAsia="zh-CN"/>
        </w:rPr>
        <w:t>1.平原区农田宜机化改造</w:t>
      </w:r>
      <w:bookmarkEnd w:id="362"/>
      <w:bookmarkEnd w:id="363"/>
      <w:bookmarkEnd w:id="364"/>
      <w:bookmarkEnd w:id="365"/>
      <w:bookmarkEnd w:id="366"/>
      <w:bookmarkEnd w:id="367"/>
      <w:bookmarkEnd w:id="368"/>
    </w:p>
    <w:p w14:paraId="6159BF3A">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69" w:name="_Toc4537"/>
      <w:bookmarkStart w:id="370" w:name="_Toc12470"/>
      <w:bookmarkStart w:id="371" w:name="_Toc11332"/>
      <w:bookmarkStart w:id="372" w:name="_Toc12923"/>
      <w:bookmarkStart w:id="373" w:name="_Toc22602"/>
      <w:bookmarkStart w:id="374" w:name="_Toc27828"/>
      <w:bookmarkStart w:id="375" w:name="_Toc3986"/>
      <w:r>
        <w:rPr>
          <w:rFonts w:hint="eastAsia" w:ascii="仿宋" w:hAnsi="仿宋" w:eastAsia="仿宋" w:cs="仿宋"/>
          <w:b w:val="0"/>
          <w:bCs w:val="0"/>
          <w:sz w:val="32"/>
          <w:szCs w:val="32"/>
          <w:highlight w:val="none"/>
          <w:lang w:val="en-US" w:eastAsia="zh-CN"/>
        </w:rPr>
        <w:t>为</w:t>
      </w:r>
      <w:r>
        <w:rPr>
          <w:rFonts w:hint="eastAsia" w:ascii="仿宋" w:hAnsi="仿宋" w:eastAsia="仿宋" w:cs="仿宋"/>
          <w:sz w:val="32"/>
          <w:szCs w:val="32"/>
          <w:highlight w:val="none"/>
          <w:lang w:val="en-US" w:eastAsia="zh-CN"/>
        </w:rPr>
        <w:t>推动高标准农田建设与农田宜机化改造相结合，加快提升粮食生产机械化水平。优先选择农民群众积极性较高、土地流转率较高的地区，合理改善农业机械通行条件，有效提高农业机械道路和下田作业通达率。按照农田作业机械化要求，进一步优化田块布局，推动田块小并大、短并长、弯变直；对尖角、弯月形等影响农业机械作业的异形地块，进行开挖回填、截弯取直等整理，消除作业死角；清除田块耕作层内影响农业机械作业的石块及其他障碍物；合理建设机耕路和生产路，完善下田坡道、桥涵、错车点、末端掉头点和安全标识等附属设施，实现道路和田块之间、田块与田块之间衔接顺畅互联互通。因地制宜配套土壤改良、灌溉排水、农田防护、农田输配电等农田基础设施建设。</w:t>
      </w:r>
      <w:bookmarkEnd w:id="369"/>
      <w:bookmarkEnd w:id="370"/>
      <w:bookmarkEnd w:id="371"/>
      <w:bookmarkEnd w:id="372"/>
      <w:bookmarkEnd w:id="373"/>
      <w:bookmarkEnd w:id="374"/>
      <w:bookmarkEnd w:id="375"/>
    </w:p>
    <w:p w14:paraId="569BA6C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76" w:name="_Toc18640"/>
      <w:bookmarkStart w:id="377" w:name="_Toc26963"/>
      <w:bookmarkStart w:id="378" w:name="_Toc12646"/>
      <w:bookmarkStart w:id="379" w:name="_Toc2583"/>
      <w:bookmarkStart w:id="380" w:name="_Toc25324"/>
      <w:bookmarkStart w:id="381" w:name="_Toc14968"/>
      <w:bookmarkStart w:id="382" w:name="_Toc26641"/>
      <w:r>
        <w:rPr>
          <w:rFonts w:hint="eastAsia" w:ascii="仿宋" w:hAnsi="仿宋" w:eastAsia="仿宋" w:cs="仿宋"/>
          <w:sz w:val="32"/>
          <w:szCs w:val="32"/>
          <w:highlight w:val="none"/>
          <w:lang w:val="en-US" w:eastAsia="zh-CN"/>
        </w:rPr>
        <w:t>2.丘陵区梯田宜机化改造</w:t>
      </w:r>
      <w:bookmarkEnd w:id="376"/>
      <w:bookmarkEnd w:id="377"/>
      <w:bookmarkEnd w:id="378"/>
      <w:bookmarkEnd w:id="379"/>
      <w:bookmarkEnd w:id="380"/>
      <w:bookmarkEnd w:id="381"/>
      <w:bookmarkEnd w:id="382"/>
    </w:p>
    <w:p w14:paraId="0D9A2460">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83" w:name="_Toc5026"/>
      <w:bookmarkStart w:id="384" w:name="_Toc12124"/>
      <w:bookmarkStart w:id="385" w:name="_Toc13708"/>
      <w:bookmarkStart w:id="386" w:name="_Toc23236"/>
      <w:bookmarkStart w:id="387" w:name="_Toc15381"/>
      <w:bookmarkStart w:id="388" w:name="_Toc9659"/>
      <w:bookmarkStart w:id="389" w:name="_Toc18223"/>
      <w:r>
        <w:rPr>
          <w:rFonts w:hint="eastAsia" w:ascii="仿宋" w:hAnsi="仿宋" w:eastAsia="仿宋" w:cs="仿宋"/>
          <w:sz w:val="32"/>
          <w:szCs w:val="32"/>
          <w:highlight w:val="none"/>
          <w:lang w:val="en-US" w:eastAsia="zh-CN"/>
        </w:rPr>
        <w:t>推动高标准农田建设与坡耕地治理工作相结合，引领丘陵山地区高标准农田建设高质量发展。选择坡耕地面积较大、水土流失较为严重的地区。以小流域为单元，按照方便机械化作业要求，合理规分和适度归并田块，消除农机作业死角，坡耕地改造为宜机化梯田；优化地块布局，实现以条带状分布为主，延长机械作业线路；通过开挖回填土壤等工作措施，修建田块进出坡道、完善田间道路；合理布局沟渠，沟渠的修建应兼顾农业机械通行需要，深开围沟、背沟；因地制宜配套小型水源工程，加强雨水和地表水收集利用；通过秸秆还田、绿肥种植、粪肥施用等生态培肥方式，结合深耕深翻等农业机械化措施，培肥熟化土壤，提升地力；加强农田防护与生态环境保护工程建设，完善农田防护林体系，合理修筑岸坡防护、沟道治理、坡面防护等设施，提高水土保持和防洪能力；配套建设变配电设施，为泵站、机井以及信息化设备等提供电力保障。</w:t>
      </w:r>
      <w:bookmarkEnd w:id="383"/>
      <w:bookmarkEnd w:id="384"/>
      <w:bookmarkEnd w:id="385"/>
      <w:bookmarkEnd w:id="386"/>
      <w:bookmarkEnd w:id="387"/>
      <w:bookmarkEnd w:id="388"/>
      <w:bookmarkEnd w:id="389"/>
    </w:p>
    <w:p w14:paraId="4D88A0F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390" w:name="_Toc21628"/>
      <w:bookmarkStart w:id="391" w:name="_Toc17025"/>
      <w:bookmarkStart w:id="392" w:name="_Toc8883"/>
      <w:bookmarkStart w:id="393" w:name="_Toc2466"/>
      <w:bookmarkStart w:id="394" w:name="_Toc23421"/>
      <w:bookmarkStart w:id="395" w:name="_Toc130"/>
      <w:bookmarkStart w:id="396" w:name="_Toc16364"/>
      <w:bookmarkStart w:id="397" w:name="_Toc22708"/>
      <w:r>
        <w:rPr>
          <w:rFonts w:hint="eastAsia" w:ascii="楷体" w:hAnsi="楷体" w:eastAsia="楷体" w:cs="楷体"/>
          <w:sz w:val="32"/>
          <w:szCs w:val="32"/>
          <w:highlight w:val="none"/>
          <w:lang w:val="en-US" w:eastAsia="zh-CN"/>
        </w:rPr>
        <w:t>（三）数字农田示范</w:t>
      </w:r>
      <w:bookmarkEnd w:id="390"/>
      <w:bookmarkEnd w:id="391"/>
      <w:bookmarkEnd w:id="392"/>
      <w:bookmarkEnd w:id="393"/>
      <w:bookmarkEnd w:id="394"/>
      <w:bookmarkEnd w:id="395"/>
      <w:bookmarkEnd w:id="396"/>
    </w:p>
    <w:bookmarkEnd w:id="397"/>
    <w:p w14:paraId="6EE0FC3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398" w:name="_Toc10031"/>
      <w:bookmarkStart w:id="399" w:name="_Toc16268"/>
      <w:bookmarkStart w:id="400" w:name="_Toc15129"/>
      <w:bookmarkStart w:id="401" w:name="_Toc22256"/>
      <w:bookmarkStart w:id="402" w:name="_Toc4762"/>
      <w:bookmarkStart w:id="403" w:name="_Toc15877"/>
      <w:bookmarkStart w:id="404" w:name="_Toc10826"/>
      <w:r>
        <w:rPr>
          <w:rFonts w:hint="eastAsia" w:ascii="仿宋" w:hAnsi="仿宋" w:eastAsia="仿宋" w:cs="仿宋"/>
          <w:sz w:val="32"/>
          <w:szCs w:val="32"/>
          <w:highlight w:val="none"/>
          <w:lang w:val="en-US" w:eastAsia="zh-CN"/>
        </w:rPr>
        <w:t>利用数字技术，推动农田建设、生产、管护相融合，提高全要素生产效率。优先选择数字农业基础条件较好、规模化、土地流转率高的地区，立足于高标准农田建设好、耕种好、管护好，重点推进物联网、大数据、移动互联网、人工智能、卫星定位等信息技术在农田建设管理的应用，配套耕地质量综合监测点，形成农田大数据集成，构建天空地一体化的农田建设和管理测控体系。探索建立精准种植、水肥药精准施用、农机智能作业与调度监控等决策系统，实行农田灌溉排水等田间智能作业，对工程建后管护和农田利用状况进行持续监测，提升生产精准化、智慧化水平。</w:t>
      </w:r>
      <w:bookmarkEnd w:id="398"/>
      <w:bookmarkEnd w:id="399"/>
      <w:bookmarkEnd w:id="400"/>
      <w:bookmarkEnd w:id="401"/>
      <w:bookmarkEnd w:id="402"/>
      <w:bookmarkEnd w:id="403"/>
      <w:bookmarkEnd w:id="404"/>
      <w:r>
        <w:rPr>
          <w:rFonts w:hint="eastAsia" w:ascii="仿宋" w:hAnsi="仿宋" w:eastAsia="仿宋" w:cs="仿宋"/>
          <w:sz w:val="32"/>
          <w:szCs w:val="32"/>
          <w:highlight w:val="none"/>
          <w:lang w:val="en-US" w:eastAsia="zh-CN"/>
        </w:rPr>
        <w:t xml:space="preserve"> </w:t>
      </w:r>
    </w:p>
    <w:p w14:paraId="6A5F4A8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05" w:name="_Toc19839"/>
      <w:bookmarkStart w:id="406" w:name="_Toc956"/>
      <w:bookmarkStart w:id="407" w:name="_Toc12902"/>
      <w:bookmarkStart w:id="408" w:name="_Toc28353"/>
      <w:bookmarkStart w:id="409" w:name="_Toc3340"/>
      <w:bookmarkStart w:id="410" w:name="_Toc27367"/>
      <w:bookmarkStart w:id="411" w:name="_Toc10520"/>
      <w:r>
        <w:rPr>
          <w:rFonts w:hint="eastAsia" w:ascii="仿宋" w:hAnsi="仿宋" w:eastAsia="仿宋" w:cs="仿宋"/>
          <w:sz w:val="32"/>
          <w:szCs w:val="32"/>
          <w:highlight w:val="none"/>
          <w:lang w:val="en-US" w:eastAsia="zh-CN"/>
        </w:rPr>
        <w:t>在高标准农田建设全流程管理基础上，集成国土、农业、水利、气象等专题数据，全面监测农田基本情况，辅助农田建设管理决策。利用移动巡查，结合遥感监测，加强高标准农田建设、管护以及撂荒、粮食种植情况监管，支撑提高建设质量和建后利用管护。</w:t>
      </w:r>
      <w:bookmarkEnd w:id="405"/>
      <w:bookmarkEnd w:id="406"/>
      <w:bookmarkEnd w:id="407"/>
      <w:bookmarkEnd w:id="408"/>
      <w:bookmarkEnd w:id="409"/>
      <w:bookmarkEnd w:id="410"/>
      <w:bookmarkEnd w:id="411"/>
    </w:p>
    <w:p w14:paraId="02A9597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12" w:name="_Toc32064"/>
      <w:bookmarkStart w:id="413" w:name="_Toc9417"/>
      <w:bookmarkStart w:id="414" w:name="_Toc27201"/>
      <w:bookmarkStart w:id="415" w:name="_Toc25809"/>
      <w:bookmarkStart w:id="416" w:name="_Toc30003"/>
      <w:bookmarkStart w:id="417" w:name="_Toc24253"/>
      <w:bookmarkStart w:id="418" w:name="_Toc23740"/>
      <w:bookmarkStart w:id="419" w:name="_Toc19536"/>
      <w:r>
        <w:rPr>
          <w:rFonts w:hint="eastAsia" w:ascii="楷体" w:hAnsi="楷体" w:eastAsia="楷体" w:cs="楷体"/>
          <w:sz w:val="32"/>
          <w:szCs w:val="32"/>
          <w:highlight w:val="none"/>
          <w:lang w:val="en-US" w:eastAsia="zh-CN"/>
        </w:rPr>
        <w:t>（四）绿色农田示范</w:t>
      </w:r>
      <w:bookmarkEnd w:id="412"/>
      <w:bookmarkEnd w:id="413"/>
      <w:bookmarkEnd w:id="414"/>
      <w:bookmarkEnd w:id="415"/>
      <w:bookmarkEnd w:id="416"/>
      <w:bookmarkEnd w:id="417"/>
      <w:bookmarkEnd w:id="418"/>
    </w:p>
    <w:bookmarkEnd w:id="419"/>
    <w:p w14:paraId="42D972C8">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20" w:name="_Toc13903"/>
      <w:bookmarkStart w:id="421" w:name="_Toc19690"/>
      <w:bookmarkStart w:id="422" w:name="_Toc28117"/>
      <w:bookmarkStart w:id="423" w:name="_Toc30919"/>
      <w:bookmarkStart w:id="424" w:name="_Toc1701"/>
      <w:bookmarkStart w:id="425" w:name="_Toc21562"/>
      <w:bookmarkStart w:id="426" w:name="_Toc23741"/>
      <w:r>
        <w:rPr>
          <w:rFonts w:hint="eastAsia" w:ascii="仿宋" w:hAnsi="仿宋" w:eastAsia="仿宋" w:cs="仿宋"/>
          <w:sz w:val="32"/>
          <w:szCs w:val="32"/>
          <w:highlight w:val="none"/>
          <w:lang w:val="en-US" w:eastAsia="zh-CN"/>
        </w:rPr>
        <w:t>践行“绿水青山就是金山银山”理念，以高质量发展为主题，将高标准农田建设与构建绿色低碳循环发展的农业产业体系相结合，强化科技集成创新，搭建先行先试平台，实现耕地生态得到恢复，生物多样性得到有效保护，农田生态系统更加稳定，农产品质量安全水平和品牌农产品占比提升，农业生态服务功能明显提高。</w:t>
      </w:r>
      <w:bookmarkEnd w:id="420"/>
      <w:bookmarkEnd w:id="421"/>
      <w:bookmarkEnd w:id="422"/>
      <w:bookmarkEnd w:id="423"/>
      <w:bookmarkEnd w:id="424"/>
      <w:bookmarkEnd w:id="425"/>
      <w:bookmarkEnd w:id="426"/>
    </w:p>
    <w:p w14:paraId="55F1B155">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27" w:name="_Toc19230"/>
      <w:bookmarkStart w:id="428" w:name="_Toc20133"/>
      <w:bookmarkStart w:id="429" w:name="_Toc5862"/>
      <w:bookmarkStart w:id="430" w:name="_Toc2978"/>
      <w:bookmarkStart w:id="431" w:name="_Toc15217"/>
      <w:bookmarkStart w:id="432" w:name="_Toc25725"/>
      <w:bookmarkStart w:id="433" w:name="_Toc23102"/>
      <w:r>
        <w:rPr>
          <w:rFonts w:hint="eastAsia" w:ascii="仿宋" w:hAnsi="仿宋" w:eastAsia="仿宋" w:cs="仿宋"/>
          <w:sz w:val="32"/>
          <w:szCs w:val="32"/>
          <w:highlight w:val="none"/>
          <w:lang w:val="en-US" w:eastAsia="zh-CN"/>
        </w:rPr>
        <w:t>因地制宜，融合绿色生态理念，尊重自然生态环境，优化农田结构和布局；开展种植绿肥、增施有机肥、秸秆还田、冬耕翻土晒田、保护性耕作、测土配方施肥、水肥一体化、水旱轮作等土壤改良与地力提升工程措施；合理建设田间灌排工程和田间道路，选取绿色生态材料，因地制宜建设生态沟渠、生态塘堰、生态道路等绿色路渠工程；开展农田生态保护修复，发挥农田涵养水源、调节气候、保持水土的生态功能，适当兼顾生态景观、山水林田湖生命共同体综合整治等功能，提升农田生态保护能力和耕地自然景观水平；贯彻“预防为主、防治综合”的植保方针，开展病虫害生态防治，集成推广绿色高质高效技术，增加绿色优质农产品有效供给，打造集耕地质量保护提升、生态涵养和田园生态景观改善为一体的高标准农田。</w:t>
      </w:r>
      <w:bookmarkEnd w:id="427"/>
      <w:bookmarkEnd w:id="428"/>
      <w:bookmarkEnd w:id="429"/>
      <w:bookmarkEnd w:id="430"/>
      <w:bookmarkEnd w:id="431"/>
      <w:bookmarkEnd w:id="432"/>
      <w:bookmarkEnd w:id="433"/>
    </w:p>
    <w:p w14:paraId="160B200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434" w:name="_Toc14642"/>
      <w:bookmarkStart w:id="435" w:name="_Toc28507"/>
      <w:bookmarkStart w:id="436" w:name="_Toc11192"/>
      <w:bookmarkStart w:id="437" w:name="_Toc24590"/>
      <w:bookmarkStart w:id="438" w:name="_Toc22591"/>
      <w:bookmarkStart w:id="439" w:name="_Toc25162"/>
      <w:bookmarkStart w:id="440" w:name="_Toc26338"/>
      <w:bookmarkStart w:id="441" w:name="_Toc19566"/>
      <w:r>
        <w:rPr>
          <w:rFonts w:hint="eastAsia" w:ascii="楷体" w:hAnsi="楷体" w:eastAsia="楷体" w:cs="楷体"/>
          <w:sz w:val="32"/>
          <w:szCs w:val="32"/>
          <w:highlight w:val="none"/>
          <w:lang w:val="en-US" w:eastAsia="zh-CN"/>
        </w:rPr>
        <w:t>（五）土壤改良示范</w:t>
      </w:r>
      <w:bookmarkEnd w:id="434"/>
      <w:bookmarkEnd w:id="435"/>
      <w:bookmarkEnd w:id="436"/>
      <w:bookmarkEnd w:id="437"/>
      <w:bookmarkEnd w:id="438"/>
      <w:bookmarkEnd w:id="439"/>
      <w:bookmarkEnd w:id="440"/>
    </w:p>
    <w:bookmarkEnd w:id="441"/>
    <w:p w14:paraId="4678A03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42" w:name="_Toc5096"/>
      <w:bookmarkStart w:id="443" w:name="_Toc4072"/>
      <w:bookmarkStart w:id="444" w:name="_Toc7456"/>
      <w:bookmarkStart w:id="445" w:name="_Toc31814"/>
      <w:bookmarkStart w:id="446" w:name="_Toc11069"/>
      <w:bookmarkStart w:id="447" w:name="_Toc19105"/>
      <w:bookmarkStart w:id="448" w:name="_Toc2825"/>
      <w:r>
        <w:rPr>
          <w:rFonts w:hint="eastAsia" w:ascii="仿宋" w:hAnsi="仿宋" w:eastAsia="仿宋" w:cs="仿宋"/>
          <w:sz w:val="32"/>
          <w:szCs w:val="32"/>
          <w:highlight w:val="none"/>
          <w:lang w:val="en-US" w:eastAsia="zh-CN"/>
        </w:rPr>
        <w:t>推动高标准农田建设和耕地保护与质量提升行动相结合，建成后高标准农田耕地质量等级持续提升。根据耕地质量监测结果，找准土壤主要障碍因素，优先选择土壤酸化、盐渍化等危害严重的区域，突出问题导向，因地制宜、综合施策，强化技术集成创新，工程措施、农艺措施、生物措施相结合，统筹土、肥、水及栽培等要素，兼顾种植制度、灌溉制度和施肥制度等综合治理，提升耕地质量，遏制耕地退化，实现粮食高产稳产和农业绿色发展。</w:t>
      </w:r>
      <w:bookmarkEnd w:id="442"/>
      <w:bookmarkEnd w:id="443"/>
      <w:bookmarkEnd w:id="444"/>
      <w:bookmarkEnd w:id="445"/>
      <w:bookmarkEnd w:id="446"/>
      <w:bookmarkEnd w:id="447"/>
      <w:bookmarkEnd w:id="448"/>
    </w:p>
    <w:p w14:paraId="1D6F8D5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49" w:name="_Toc12336"/>
      <w:bookmarkStart w:id="450" w:name="_Toc5451"/>
      <w:bookmarkStart w:id="451" w:name="_Toc7993"/>
      <w:bookmarkStart w:id="452" w:name="_Toc7267"/>
      <w:bookmarkStart w:id="453" w:name="_Toc24727"/>
      <w:bookmarkStart w:id="454" w:name="_Toc816"/>
      <w:bookmarkStart w:id="455" w:name="_Toc18195"/>
      <w:r>
        <w:rPr>
          <w:rFonts w:hint="eastAsia" w:ascii="仿宋" w:hAnsi="仿宋" w:eastAsia="仿宋" w:cs="仿宋"/>
          <w:sz w:val="32"/>
          <w:szCs w:val="32"/>
          <w:highlight w:val="none"/>
          <w:lang w:val="en-US" w:eastAsia="zh-CN"/>
        </w:rPr>
        <w:t>开展增施有机肥、秸秆还田、绿肥种植、翻压还田等耕地质量提升措施，提高土壤肥力。对于土壤酸化突出区域，因地制宜采取调酸控酸技术模式，通过分类管控、预防和治理相结合的方法进行改良。实施测土配方施肥，保持土壤各种养分含量间的相对平衡。同时优化种植结构，合理轮作，改善土壤理化性状，优化耕地土壤环境，提升耕地地力。</w:t>
      </w:r>
      <w:bookmarkEnd w:id="449"/>
      <w:bookmarkEnd w:id="450"/>
      <w:bookmarkEnd w:id="451"/>
      <w:bookmarkEnd w:id="452"/>
      <w:bookmarkEnd w:id="453"/>
      <w:bookmarkEnd w:id="454"/>
      <w:bookmarkEnd w:id="455"/>
    </w:p>
    <w:p w14:paraId="6D56458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456" w:name="_Toc11281"/>
      <w:bookmarkStart w:id="457" w:name="_Toc6666"/>
      <w:bookmarkStart w:id="458" w:name="_Toc31037"/>
      <w:bookmarkStart w:id="459" w:name="_Toc17129"/>
      <w:bookmarkStart w:id="460" w:name="_Toc22474"/>
      <w:bookmarkStart w:id="461" w:name="_Toc18582"/>
      <w:bookmarkStart w:id="462" w:name="_Toc1492"/>
      <w:bookmarkStart w:id="463" w:name="_Toc20209"/>
      <w:r>
        <w:rPr>
          <w:rFonts w:hint="eastAsia" w:ascii="楷体" w:hAnsi="楷体" w:eastAsia="楷体" w:cs="楷体"/>
          <w:sz w:val="32"/>
          <w:szCs w:val="32"/>
          <w:highlight w:val="none"/>
          <w:lang w:val="en-US" w:eastAsia="zh-CN"/>
        </w:rPr>
        <w:t>（六）高效节水灌溉示范</w:t>
      </w:r>
      <w:bookmarkEnd w:id="456"/>
      <w:bookmarkEnd w:id="457"/>
      <w:bookmarkEnd w:id="458"/>
      <w:bookmarkEnd w:id="459"/>
      <w:bookmarkEnd w:id="460"/>
      <w:bookmarkEnd w:id="461"/>
      <w:bookmarkEnd w:id="462"/>
    </w:p>
    <w:bookmarkEnd w:id="463"/>
    <w:p w14:paraId="649258E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64" w:name="_Toc12730"/>
      <w:bookmarkStart w:id="465" w:name="_Toc2377"/>
      <w:bookmarkStart w:id="466" w:name="_Toc19036"/>
      <w:bookmarkStart w:id="467" w:name="_Toc9280"/>
      <w:bookmarkStart w:id="468" w:name="_Toc6014"/>
      <w:bookmarkStart w:id="469" w:name="_Toc25780"/>
      <w:bookmarkStart w:id="470" w:name="_Toc19116"/>
      <w:r>
        <w:rPr>
          <w:rFonts w:hint="eastAsia" w:ascii="仿宋" w:hAnsi="仿宋" w:eastAsia="仿宋" w:cs="仿宋"/>
          <w:sz w:val="32"/>
          <w:szCs w:val="32"/>
          <w:highlight w:val="none"/>
          <w:lang w:val="en-US" w:eastAsia="zh-CN"/>
        </w:rPr>
        <w:t>支持高效节水灌溉科技研究与推广，大力推广高效节水灌溉技术。以问题和需求为导向，科学确定高效节水灌溉工程发展目标。优先选择具有灌溉条件的旱作农业区，以提灌和井灌为主要灌溉方式、现代化水平和土地流转率较高的水稻区，按照集中连片、规模化发展要求，坚持高起点、高标准、高质量、高效益，积极引进和采用新技术、新材料、新工艺、新设备。</w:t>
      </w:r>
      <w:bookmarkEnd w:id="464"/>
      <w:bookmarkEnd w:id="465"/>
      <w:bookmarkEnd w:id="466"/>
      <w:bookmarkEnd w:id="467"/>
      <w:bookmarkEnd w:id="468"/>
      <w:bookmarkEnd w:id="469"/>
      <w:bookmarkEnd w:id="470"/>
    </w:p>
    <w:p w14:paraId="5A97AFAA">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71" w:name="_Toc5783"/>
      <w:bookmarkStart w:id="472" w:name="_Toc24443"/>
      <w:bookmarkStart w:id="473" w:name="_Toc18655"/>
      <w:bookmarkStart w:id="474" w:name="_Toc6456"/>
      <w:bookmarkStart w:id="475" w:name="_Toc6492"/>
      <w:bookmarkStart w:id="476" w:name="_Toc24617"/>
      <w:bookmarkStart w:id="477" w:name="_Toc8011"/>
      <w:r>
        <w:rPr>
          <w:rFonts w:hint="eastAsia" w:ascii="仿宋" w:hAnsi="仿宋" w:eastAsia="仿宋" w:cs="仿宋"/>
          <w:sz w:val="32"/>
          <w:szCs w:val="32"/>
          <w:highlight w:val="none"/>
          <w:lang w:val="en-US" w:eastAsia="zh-CN"/>
        </w:rPr>
        <w:t>合理开展土地平整，挖高填低；修筑蓄水池、集雨水池、泵站、塘坝、小型水源设施等水源工程；因地制宜推行管道输水灌溉、喷微灌等高效节水灌溉技术，引进数字化和智能化灌溉设施，推行水稻控制灌溉技术，建设必要的灌溉计量设施，切实发挥项目建设成效，有效控制输水量，提高灌溉用水效率，节约集约用地。</w:t>
      </w:r>
      <w:bookmarkEnd w:id="471"/>
      <w:bookmarkEnd w:id="472"/>
      <w:bookmarkEnd w:id="473"/>
      <w:bookmarkEnd w:id="474"/>
      <w:bookmarkEnd w:id="475"/>
      <w:bookmarkEnd w:id="476"/>
      <w:bookmarkEnd w:id="477"/>
    </w:p>
    <w:p w14:paraId="2B5D877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478" w:name="_Toc30"/>
      <w:bookmarkStart w:id="479" w:name="_Toc13848"/>
      <w:bookmarkStart w:id="480" w:name="_Toc26082"/>
      <w:bookmarkStart w:id="481" w:name="_Toc14234"/>
      <w:bookmarkStart w:id="482" w:name="_Toc773"/>
      <w:bookmarkStart w:id="483" w:name="_Toc7474"/>
      <w:bookmarkStart w:id="484" w:name="_Toc32240"/>
      <w:bookmarkStart w:id="485" w:name="_Toc17346"/>
      <w:r>
        <w:rPr>
          <w:rFonts w:hint="eastAsia" w:ascii="楷体" w:hAnsi="楷体" w:eastAsia="楷体" w:cs="楷体"/>
          <w:sz w:val="32"/>
          <w:szCs w:val="32"/>
          <w:highlight w:val="none"/>
          <w:lang w:val="en-US" w:eastAsia="zh-CN"/>
        </w:rPr>
        <w:t>（七）耕地质量长期定位监测</w:t>
      </w:r>
      <w:bookmarkEnd w:id="478"/>
      <w:bookmarkEnd w:id="479"/>
      <w:bookmarkEnd w:id="480"/>
      <w:bookmarkEnd w:id="481"/>
      <w:bookmarkEnd w:id="482"/>
      <w:bookmarkEnd w:id="483"/>
      <w:bookmarkEnd w:id="484"/>
    </w:p>
    <w:bookmarkEnd w:id="485"/>
    <w:p w14:paraId="0B50C334">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486" w:name="_Toc22491"/>
      <w:bookmarkStart w:id="487" w:name="_Toc30148"/>
      <w:bookmarkStart w:id="488" w:name="_Toc6078"/>
      <w:bookmarkStart w:id="489" w:name="_Toc20862"/>
      <w:bookmarkStart w:id="490" w:name="_Toc4687"/>
      <w:bookmarkStart w:id="491" w:name="_Toc6387"/>
      <w:bookmarkStart w:id="492" w:name="_Toc8685"/>
      <w:r>
        <w:rPr>
          <w:rFonts w:hint="eastAsia" w:ascii="仿宋" w:hAnsi="仿宋" w:eastAsia="仿宋" w:cs="仿宋"/>
          <w:sz w:val="32"/>
          <w:szCs w:val="32"/>
          <w:highlight w:val="none"/>
          <w:lang w:val="en-US" w:eastAsia="zh-CN"/>
        </w:rPr>
        <w:t>以持续提升高标准农田建成后的稳产保供能力为目标，针对不同建设分区，依据《耕地质量等级》（GB/T 33469）等标准规范，结合高标准农田建设项目，分区分类建设高标准农田耕地质量长期定位监测示范区，科学布设耕地质量长期定位监测点，合理配套监测设施设备，开展长期定位监测。跟踪监测高标准农田耕地质量变化情况,及时发现耕地生产障碍因素与设施损毁情况,开展有针对性的培肥改良、治理修复、设施维护。对农田生产条件、土壤主要理化性状、农业投入品、作物产量、农田设施维护等情况开展监测，同时开展测土配方施肥、秸秆还田、增施有机肥和酸化改良治理措施对耕地质量影响效果监测，为科学评估高标准农田建设成效提供基础支撑,为有针对性提高高标准农田质量与产能水平提供依据。</w:t>
      </w:r>
      <w:bookmarkEnd w:id="486"/>
      <w:bookmarkEnd w:id="487"/>
      <w:bookmarkEnd w:id="488"/>
      <w:bookmarkEnd w:id="489"/>
      <w:bookmarkEnd w:id="490"/>
      <w:bookmarkEnd w:id="491"/>
      <w:bookmarkEnd w:id="492"/>
    </w:p>
    <w:p w14:paraId="27D29460">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493" w:name="_Toc19819"/>
      <w:bookmarkStart w:id="494" w:name="_Toc6008"/>
      <w:bookmarkStart w:id="495" w:name="_Toc29212"/>
      <w:bookmarkStart w:id="496" w:name="_Toc32412"/>
      <w:bookmarkStart w:id="497" w:name="_Toc21474"/>
      <w:bookmarkStart w:id="498" w:name="_Toc8760"/>
      <w:bookmarkStart w:id="499" w:name="_Toc12255"/>
      <w:bookmarkStart w:id="500" w:name="_Toc8561"/>
      <w:r>
        <w:rPr>
          <w:rFonts w:hint="eastAsia" w:ascii="楷体" w:hAnsi="楷体" w:eastAsia="楷体" w:cs="楷体"/>
          <w:sz w:val="32"/>
          <w:szCs w:val="32"/>
          <w:highlight w:val="none"/>
          <w:lang w:val="en-US" w:eastAsia="zh-CN"/>
        </w:rPr>
        <w:t>（八）都市美丽田园示范</w:t>
      </w:r>
      <w:bookmarkEnd w:id="493"/>
      <w:bookmarkEnd w:id="494"/>
      <w:bookmarkEnd w:id="495"/>
      <w:bookmarkEnd w:id="496"/>
      <w:bookmarkEnd w:id="497"/>
      <w:bookmarkEnd w:id="498"/>
      <w:bookmarkEnd w:id="499"/>
    </w:p>
    <w:bookmarkEnd w:id="500"/>
    <w:p w14:paraId="3F7E6D6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501" w:name="_Toc32559"/>
      <w:bookmarkStart w:id="502" w:name="_Toc10926"/>
      <w:bookmarkStart w:id="503" w:name="_Toc4798"/>
      <w:bookmarkStart w:id="504" w:name="_Toc1936"/>
      <w:bookmarkStart w:id="505" w:name="_Toc5732"/>
      <w:bookmarkStart w:id="506" w:name="_Toc13015"/>
      <w:bookmarkStart w:id="507" w:name="_Toc30607"/>
      <w:r>
        <w:rPr>
          <w:rFonts w:hint="eastAsia" w:ascii="仿宋" w:hAnsi="仿宋" w:eastAsia="仿宋" w:cs="仿宋"/>
          <w:sz w:val="32"/>
          <w:szCs w:val="32"/>
          <w:highlight w:val="none"/>
          <w:lang w:val="en-US" w:eastAsia="zh-CN"/>
        </w:rPr>
        <w:t>将高标准农田建设与休闲农业、乡村旅游等相结合，统筹相关项目和资金，打造集休闲观光、循环农业、智慧农业于一体的可持续发展都市美丽田园综合体，促进农村一二三产业融合，助力乡村产业振兴。</w:t>
      </w:r>
      <w:bookmarkEnd w:id="501"/>
      <w:bookmarkEnd w:id="502"/>
      <w:bookmarkEnd w:id="503"/>
      <w:bookmarkEnd w:id="504"/>
      <w:bookmarkEnd w:id="505"/>
      <w:bookmarkEnd w:id="506"/>
      <w:bookmarkEnd w:id="507"/>
    </w:p>
    <w:p w14:paraId="5D155CB7">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508" w:name="_Toc7823"/>
      <w:bookmarkStart w:id="509" w:name="_Toc14907"/>
      <w:bookmarkStart w:id="510" w:name="_Toc6439"/>
      <w:bookmarkStart w:id="511" w:name="_Toc22156"/>
      <w:bookmarkStart w:id="512" w:name="_Toc3204"/>
      <w:bookmarkStart w:id="513" w:name="_Toc12324"/>
      <w:bookmarkStart w:id="514" w:name="_Toc25784"/>
      <w:r>
        <w:rPr>
          <w:rFonts w:hint="eastAsia" w:ascii="仿宋" w:hAnsi="仿宋" w:eastAsia="仿宋" w:cs="仿宋"/>
          <w:sz w:val="32"/>
          <w:szCs w:val="32"/>
          <w:highlight w:val="none"/>
          <w:lang w:val="en-US" w:eastAsia="zh-CN"/>
        </w:rPr>
        <w:t>优先选取乡村振兴示范带、现代农业产业园、城市周边等土地流转率高集中连片区域，尊重区域自然地理格局和乡村禀赋特色，合理规划田块布局，开展土地平整工程，推动田块小并大、短并长、弯变直，融入景观美学等设计概念，合理布设田间道路和灌排工程，完善农田景观等基础设施；探索特色产业文化，丰富美丽田园文化内涵；开展农田林网建设和景观改造，与周边乡村景观、休闲产业发展相融合，突出农田美丽景观特色。</w:t>
      </w:r>
      <w:bookmarkEnd w:id="508"/>
      <w:bookmarkEnd w:id="509"/>
      <w:bookmarkEnd w:id="510"/>
      <w:bookmarkEnd w:id="511"/>
      <w:bookmarkEnd w:id="512"/>
      <w:bookmarkEnd w:id="513"/>
      <w:bookmarkEnd w:id="514"/>
    </w:p>
    <w:p w14:paraId="02412C5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p>
    <w:p w14:paraId="6E03CEB5">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14:paraId="71C6C08F">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515" w:name="_Toc22943"/>
      <w:bookmarkStart w:id="516" w:name="_Toc29648"/>
      <w:bookmarkStart w:id="517" w:name="_Toc30049"/>
      <w:r>
        <w:rPr>
          <w:rFonts w:hint="eastAsia" w:ascii="黑体" w:hAnsi="黑体" w:eastAsia="黑体" w:cs="黑体"/>
          <w:b w:val="0"/>
          <w:bCs w:val="0"/>
          <w:sz w:val="36"/>
          <w:szCs w:val="36"/>
          <w:highlight w:val="none"/>
          <w:lang w:val="en-US" w:eastAsia="zh-CN"/>
        </w:rPr>
        <w:t>第六章 效益分析</w:t>
      </w:r>
      <w:bookmarkEnd w:id="338"/>
      <w:bookmarkEnd w:id="339"/>
      <w:bookmarkEnd w:id="515"/>
      <w:bookmarkEnd w:id="516"/>
      <w:bookmarkEnd w:id="517"/>
    </w:p>
    <w:p w14:paraId="0FD9411A">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6"/>
          <w:szCs w:val="36"/>
          <w:highlight w:val="none"/>
          <w:lang w:val="en-US" w:eastAsia="zh-CN"/>
        </w:rPr>
      </w:pPr>
    </w:p>
    <w:p w14:paraId="5358D447">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18" w:name="_Toc13"/>
      <w:bookmarkStart w:id="519" w:name="_Toc8742"/>
      <w:bookmarkStart w:id="520" w:name="_Toc9678"/>
      <w:bookmarkStart w:id="521" w:name="_Toc20899"/>
      <w:bookmarkStart w:id="522" w:name="_Toc2242"/>
      <w:r>
        <w:rPr>
          <w:rFonts w:hint="eastAsia" w:ascii="黑体" w:hAnsi="黑体" w:eastAsia="黑体" w:cs="黑体"/>
          <w:sz w:val="32"/>
          <w:szCs w:val="32"/>
          <w:highlight w:val="none"/>
          <w:lang w:val="en-US" w:eastAsia="zh-CN"/>
        </w:rPr>
        <w:t>一、经济效益</w:t>
      </w:r>
      <w:bookmarkEnd w:id="518"/>
      <w:bookmarkEnd w:id="519"/>
      <w:bookmarkEnd w:id="520"/>
      <w:bookmarkEnd w:id="521"/>
      <w:bookmarkEnd w:id="522"/>
    </w:p>
    <w:p w14:paraId="3D6EA12E">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高标准农田建成后，夯实了农田基础设施，改善了农业生产条件，提升了耕地质量，增强了粮食产能，减少了受灾损失，亩均粮食增产10%-20%，加上节水、节能、节肥、节药、节劳等其他效益，亩均每年增收节支约500元，经济效益十分明显。同时，将高标准农田建设与农业观光和乡村旅游相结合，高标准农田建设与粮食产业“产购储加销”一体化发展相结合，既推动农村一二三产业融合发展，又提高粮食产量，拓展农民增收渠道，经济效益得到进一步提升。</w:t>
      </w:r>
    </w:p>
    <w:p w14:paraId="1B05F3BA">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14:paraId="23FE0F1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23" w:name="_Toc14710"/>
      <w:bookmarkStart w:id="524" w:name="_Toc16718"/>
      <w:bookmarkStart w:id="525" w:name="_Toc19513"/>
      <w:bookmarkStart w:id="526" w:name="_Toc2288"/>
      <w:bookmarkStart w:id="527" w:name="_Toc8205"/>
      <w:r>
        <w:rPr>
          <w:rFonts w:hint="eastAsia" w:ascii="黑体" w:hAnsi="黑体" w:eastAsia="黑体" w:cs="黑体"/>
          <w:sz w:val="32"/>
          <w:szCs w:val="32"/>
          <w:highlight w:val="none"/>
          <w:lang w:val="en-US" w:eastAsia="zh-CN"/>
        </w:rPr>
        <w:t>二、社会效益</w:t>
      </w:r>
      <w:bookmarkEnd w:id="523"/>
      <w:bookmarkEnd w:id="524"/>
      <w:bookmarkEnd w:id="525"/>
      <w:bookmarkEnd w:id="526"/>
      <w:bookmarkEnd w:id="527"/>
    </w:p>
    <w:p w14:paraId="636822D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仿宋" w:hAnsi="仿宋" w:eastAsia="仿宋" w:cs="仿宋"/>
          <w:sz w:val="32"/>
          <w:szCs w:val="32"/>
          <w:highlight w:val="none"/>
          <w:lang w:val="en-US" w:eastAsia="zh-CN"/>
        </w:rPr>
      </w:pPr>
      <w:bookmarkStart w:id="528" w:name="_Toc23931"/>
      <w:bookmarkStart w:id="529" w:name="_Toc32763"/>
      <w:bookmarkStart w:id="530" w:name="_Toc27910"/>
      <w:bookmarkStart w:id="531" w:name="_Toc13701"/>
      <w:bookmarkStart w:id="532" w:name="_Toc17895"/>
      <w:bookmarkStart w:id="533" w:name="_Toc15528"/>
      <w:bookmarkStart w:id="534" w:name="_Toc21724"/>
      <w:r>
        <w:rPr>
          <w:rFonts w:hint="eastAsia" w:ascii="仿宋" w:hAnsi="仿宋" w:eastAsia="仿宋" w:cs="仿宋"/>
          <w:sz w:val="32"/>
          <w:szCs w:val="32"/>
          <w:highlight w:val="none"/>
          <w:lang w:val="en-US" w:eastAsia="zh-CN"/>
        </w:rPr>
        <w:t>通过实施规划，一是增强我市粮食安全保障能力。高标准农田建成后，能够加快补齐农田基础设施短板，提高水土资源利用效率，增强粮食生产能力和防灾抗灾减灾能力，成为旱涝保收、稳产高产的粮田。到2030年确保粮食自给率基本稳定，谷物自给率不下降。二是推动农业高质量发展。高标准农田建成后，为有效促进农业规模化、专业化、标准化生产经营提供坚实基础，同步加快推广应用新品种、新技术、新装备，推动农业经营方式、生产方式、资源利用方式的转型升级，加快质量兴农、绿色兴农、品牌强农，助力乡村振兴战略实施。三是保护种粮农民积极性。高标准农田建成后，能够完善农田基础设施，提升耕地质量，改善农业生产条件，提高机械化水平，减轻劳动强度，提高农业竞争力，调动农民种粮的积极性。四是助推乡村振兴战略实施。实施高标准农田建设项目，结合美丽乡村建设的实际需要，加强田间道路建设，改善农村环境，使规划区内的沟河能排、能灌，水质清澈，空气清新，交通状况得到改善，农民生产生活条件明显改变。</w:t>
      </w:r>
      <w:bookmarkEnd w:id="528"/>
      <w:bookmarkEnd w:id="529"/>
      <w:bookmarkEnd w:id="530"/>
      <w:bookmarkEnd w:id="531"/>
      <w:bookmarkEnd w:id="532"/>
      <w:bookmarkEnd w:id="533"/>
      <w:bookmarkEnd w:id="534"/>
    </w:p>
    <w:p w14:paraId="7CD5AC4B">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sz w:val="32"/>
          <w:szCs w:val="32"/>
          <w:highlight w:val="none"/>
          <w:lang w:val="en-US" w:eastAsia="zh-CN"/>
        </w:rPr>
      </w:pPr>
    </w:p>
    <w:p w14:paraId="6C2A82B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35" w:name="_Toc25500"/>
      <w:bookmarkStart w:id="536" w:name="_Toc9340"/>
      <w:bookmarkStart w:id="537" w:name="_Toc29711"/>
      <w:bookmarkStart w:id="538" w:name="_Toc10419"/>
      <w:bookmarkStart w:id="539" w:name="_Toc9943"/>
      <w:r>
        <w:rPr>
          <w:rFonts w:hint="eastAsia" w:ascii="黑体" w:hAnsi="黑体" w:eastAsia="黑体" w:cs="黑体"/>
          <w:sz w:val="32"/>
          <w:szCs w:val="32"/>
          <w:highlight w:val="none"/>
          <w:lang w:val="en-US" w:eastAsia="zh-CN"/>
        </w:rPr>
        <w:t>三、生态效益</w:t>
      </w:r>
      <w:bookmarkEnd w:id="535"/>
      <w:bookmarkEnd w:id="536"/>
      <w:bookmarkEnd w:id="537"/>
      <w:bookmarkEnd w:id="538"/>
      <w:bookmarkEnd w:id="539"/>
    </w:p>
    <w:p w14:paraId="40E4567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规划的实施可在一定程度上缓解我市农业发展和日益稀缺的耕地、水资源之间的矛盾，最终实现农业绿色、高效、低碳、无公害化发展。通过田块整治、土壤培肥改良，可有效提升耕地质量，提高农田综合生产能力；通过科学合理施药施肥，可减少农药和化肥用量，有效控制农业面源污染；通过农作物秸秆还田，可提高秸秆综合利用率，有效杜绝因秸秆焚烧带来的大气污染；通过灌溉沟渠、电力设施及道路建设，可有效提高农业集约用水、用电、用地能力，减少资源能源消耗，促进农业可持续发展；通过农田防护林网与防灾减灾体系的建设，可提高区域森林覆盖率，改善农田小气候，促进水土保持，优化农田生态环境。</w:t>
      </w:r>
    </w:p>
    <w:p w14:paraId="6DBEE4BE">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yellow"/>
          <w:lang w:val="en-US" w:eastAsia="zh-CN"/>
        </w:rPr>
      </w:pPr>
    </w:p>
    <w:p w14:paraId="191F5F59">
      <w:pPr>
        <w:keepNext w:val="0"/>
        <w:keepLines w:val="0"/>
        <w:pageBreakBefore w:val="0"/>
        <w:kinsoku/>
        <w:wordWrap w:val="0"/>
        <w:overflowPunct/>
        <w:autoSpaceDE/>
        <w:autoSpaceDN/>
        <w:bidi w:val="0"/>
        <w:jc w:val="left"/>
        <w:textAlignment w:val="auto"/>
        <w:rPr>
          <w:rFonts w:hint="eastAsia" w:ascii="黑体" w:hAnsi="黑体" w:eastAsia="黑体" w:cs="黑体"/>
          <w:b w:val="0"/>
          <w:bCs w:val="0"/>
          <w:sz w:val="36"/>
          <w:szCs w:val="36"/>
          <w:highlight w:val="none"/>
          <w:lang w:val="en-US" w:eastAsia="zh-CN"/>
        </w:rPr>
      </w:pPr>
      <w:bookmarkStart w:id="540" w:name="_Toc21825"/>
      <w:bookmarkStart w:id="541" w:name="_Toc30570"/>
      <w:r>
        <w:rPr>
          <w:rFonts w:hint="eastAsia" w:ascii="黑体" w:hAnsi="黑体" w:eastAsia="黑体" w:cs="黑体"/>
          <w:b w:val="0"/>
          <w:bCs w:val="0"/>
          <w:sz w:val="36"/>
          <w:szCs w:val="36"/>
          <w:highlight w:val="none"/>
          <w:lang w:val="en-US" w:eastAsia="zh-CN"/>
        </w:rPr>
        <w:br w:type="page"/>
      </w:r>
    </w:p>
    <w:p w14:paraId="21226315">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542" w:name="_Toc21799"/>
      <w:bookmarkStart w:id="543" w:name="_Toc21770"/>
      <w:bookmarkStart w:id="544" w:name="_Toc5268"/>
      <w:r>
        <w:rPr>
          <w:rFonts w:hint="eastAsia" w:ascii="黑体" w:hAnsi="黑体" w:eastAsia="黑体" w:cs="黑体"/>
          <w:b w:val="0"/>
          <w:bCs w:val="0"/>
          <w:sz w:val="36"/>
          <w:szCs w:val="36"/>
          <w:highlight w:val="none"/>
          <w:lang w:val="en-US" w:eastAsia="zh-CN"/>
        </w:rPr>
        <w:t>第七章 建设监管</w:t>
      </w:r>
      <w:bookmarkEnd w:id="540"/>
      <w:r>
        <w:rPr>
          <w:rFonts w:hint="eastAsia" w:ascii="黑体" w:hAnsi="黑体" w:eastAsia="黑体" w:cs="黑体"/>
          <w:b w:val="0"/>
          <w:bCs w:val="0"/>
          <w:sz w:val="36"/>
          <w:szCs w:val="36"/>
          <w:highlight w:val="none"/>
          <w:lang w:val="en-US" w:eastAsia="zh-CN"/>
        </w:rPr>
        <w:t>和建后管护</w:t>
      </w:r>
      <w:bookmarkEnd w:id="541"/>
      <w:bookmarkEnd w:id="542"/>
      <w:bookmarkEnd w:id="543"/>
      <w:bookmarkEnd w:id="544"/>
    </w:p>
    <w:p w14:paraId="4B44E0F3">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default" w:ascii="黑体" w:hAnsi="黑体" w:eastAsia="黑体" w:cs="黑体"/>
          <w:b w:val="0"/>
          <w:bCs w:val="0"/>
          <w:sz w:val="36"/>
          <w:szCs w:val="36"/>
          <w:highlight w:val="none"/>
          <w:lang w:val="en-US" w:eastAsia="zh-CN"/>
        </w:rPr>
      </w:pPr>
    </w:p>
    <w:p w14:paraId="313CA51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45" w:name="_Toc22918"/>
      <w:bookmarkStart w:id="546" w:name="_Toc1847"/>
      <w:bookmarkStart w:id="547" w:name="_Toc22798"/>
      <w:bookmarkStart w:id="548" w:name="_Toc31837"/>
      <w:r>
        <w:rPr>
          <w:rFonts w:hint="eastAsia" w:ascii="黑体" w:hAnsi="黑体" w:eastAsia="黑体" w:cs="黑体"/>
          <w:sz w:val="32"/>
          <w:szCs w:val="32"/>
          <w:highlight w:val="none"/>
          <w:lang w:val="en-US" w:eastAsia="zh-CN"/>
        </w:rPr>
        <w:t>一、强化质量监管</w:t>
      </w:r>
      <w:bookmarkEnd w:id="545"/>
      <w:bookmarkEnd w:id="546"/>
      <w:bookmarkEnd w:id="547"/>
      <w:bookmarkEnd w:id="548"/>
    </w:p>
    <w:p w14:paraId="30B6EB2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49" w:name="_Toc24040"/>
      <w:r>
        <w:rPr>
          <w:rFonts w:hint="eastAsia" w:ascii="楷体" w:hAnsi="楷体" w:eastAsia="楷体" w:cs="楷体"/>
          <w:sz w:val="32"/>
          <w:szCs w:val="32"/>
          <w:highlight w:val="none"/>
          <w:lang w:val="en-US" w:eastAsia="zh-CN"/>
        </w:rPr>
        <w:t>(一)规范质量管理</w:t>
      </w:r>
      <w:bookmarkEnd w:id="549"/>
    </w:p>
    <w:p w14:paraId="76F6982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适应农业高质量发展要求，贯彻落实《高标准农田建设质量管理办法（试行）》，合理规划建设布局，科学设计建设内容，统一组织项目实施。全面推行项目法人制、招标投标制、工程监理制、合同管理制，实现项目精细化管理，严格执行相关建设标准和规范，落实工程质量管理责任，确保建设质量。</w:t>
      </w:r>
    </w:p>
    <w:p w14:paraId="4804BC25">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50" w:name="_Toc20418"/>
      <w:r>
        <w:rPr>
          <w:rFonts w:hint="eastAsia" w:ascii="楷体" w:hAnsi="楷体" w:eastAsia="楷体" w:cs="楷体"/>
          <w:sz w:val="32"/>
          <w:szCs w:val="32"/>
          <w:highlight w:val="none"/>
          <w:lang w:val="en-US" w:eastAsia="zh-CN"/>
        </w:rPr>
        <w:t>(二)加强项目监督</w:t>
      </w:r>
      <w:bookmarkEnd w:id="550"/>
    </w:p>
    <w:p w14:paraId="4B8F9CA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各地应采用巡查、抽查等方式加强高标准农田建设项目质量监督，并利用网络平台、项目公示标牌等信息渠道加大高标准农田建设信息公开力度，接受社会监督。高标准农田建设质量监督结果作为项目绩效评价、项目验收和年度工作激励考核等的重要内容，实行奖优罚劣。</w:t>
      </w:r>
    </w:p>
    <w:p w14:paraId="2595F47A">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51" w:name="_Toc21295"/>
      <w:r>
        <w:rPr>
          <w:rFonts w:hint="eastAsia" w:ascii="楷体" w:hAnsi="楷体" w:eastAsia="楷体" w:cs="楷体"/>
          <w:sz w:val="32"/>
          <w:szCs w:val="32"/>
          <w:highlight w:val="none"/>
          <w:lang w:val="en-US" w:eastAsia="zh-CN"/>
        </w:rPr>
        <w:t>(三)评价耕地质量</w:t>
      </w:r>
      <w:bookmarkEnd w:id="551"/>
    </w:p>
    <w:p w14:paraId="1A84F728">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依托布设的高标准农田耕地质量长期定位监测点，跟踪监测土壤理化性状、区域性特征等指标。按照《耕地质量等级》 (GB/T33469)国家标准，在建设前后分别开展耕地质量等级变更调查，评价高标准农田粮食产能水平，逐步实现“建设一片、调查一片、评价一片”。</w:t>
      </w:r>
    </w:p>
    <w:p w14:paraId="5FDD6AD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14:paraId="46889DC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52" w:name="_Toc26847"/>
      <w:bookmarkStart w:id="553" w:name="_Toc10410"/>
      <w:bookmarkStart w:id="554" w:name="_Toc21926"/>
      <w:bookmarkStart w:id="555" w:name="_Toc21498"/>
      <w:r>
        <w:rPr>
          <w:rFonts w:hint="eastAsia" w:ascii="黑体" w:hAnsi="黑体" w:eastAsia="黑体" w:cs="黑体"/>
          <w:sz w:val="32"/>
          <w:szCs w:val="32"/>
          <w:highlight w:val="none"/>
          <w:lang w:val="en-US" w:eastAsia="zh-CN"/>
        </w:rPr>
        <w:t>二、规范竣工验收</w:t>
      </w:r>
      <w:bookmarkEnd w:id="552"/>
      <w:bookmarkEnd w:id="553"/>
      <w:bookmarkEnd w:id="554"/>
      <w:bookmarkEnd w:id="555"/>
    </w:p>
    <w:p w14:paraId="3A32A144">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56" w:name="_Toc2283"/>
      <w:r>
        <w:rPr>
          <w:rFonts w:hint="eastAsia" w:ascii="楷体" w:hAnsi="楷体" w:eastAsia="楷体" w:cs="楷体"/>
          <w:sz w:val="32"/>
          <w:szCs w:val="32"/>
          <w:highlight w:val="none"/>
          <w:lang w:val="en-US" w:eastAsia="zh-CN"/>
        </w:rPr>
        <w:t>(一)严格验收程序</w:t>
      </w:r>
      <w:bookmarkEnd w:id="556"/>
    </w:p>
    <w:p w14:paraId="4026EEC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严格执行国家和省竣工验收相关文件规定，确保建成高标准农田的数量和质量。市级农业农村主管部门在项目竣工后半年内组织完成竣工验收工作。项目竣工并具备验收条件后，县级农业农村主管部门应及时组织初步验收，出具初验意见，编制初验报告，对经初步验收合格的项目及时提出项目竣工验收申请。市级农业农村主管部门在收到项目竣工验收申请后，及时组织开展验收工作，在验收合格后向县级农业农村主管部门核发农业农村部统一格式的《高标准农田建设项目竣工验收合格证书》。项目竣工验收后，项目法人应及时按有关规定办理资产交付手续。</w:t>
      </w:r>
    </w:p>
    <w:p w14:paraId="5967A47E">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57" w:name="_Toc1601"/>
      <w:r>
        <w:rPr>
          <w:rFonts w:hint="eastAsia" w:ascii="楷体" w:hAnsi="楷体" w:eastAsia="楷体" w:cs="楷体"/>
          <w:sz w:val="32"/>
          <w:szCs w:val="32"/>
          <w:highlight w:val="none"/>
          <w:lang w:val="en-US" w:eastAsia="zh-CN"/>
        </w:rPr>
        <w:t>(二)做好建档立册</w:t>
      </w:r>
      <w:bookmarkEnd w:id="557"/>
    </w:p>
    <w:p w14:paraId="53BF6C3B">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项目通过竣工验收后，县级农业农村部门应对项目建档立册，按照有关规定对项目档案进行整理、组卷、归档。</w:t>
      </w:r>
    </w:p>
    <w:p w14:paraId="705EE455">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58" w:name="_Toc13156"/>
      <w:r>
        <w:rPr>
          <w:rFonts w:hint="eastAsia" w:ascii="楷体" w:hAnsi="楷体" w:eastAsia="楷体" w:cs="楷体"/>
          <w:sz w:val="32"/>
          <w:szCs w:val="32"/>
          <w:highlight w:val="none"/>
          <w:lang w:val="en-US" w:eastAsia="zh-CN"/>
        </w:rPr>
        <w:t>(三)推行信息公开</w:t>
      </w:r>
      <w:bookmarkEnd w:id="558"/>
    </w:p>
    <w:p w14:paraId="3C62634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应在项目区醒目位置设立竣工公示牌，公开项目名称、项目批准单位、主管单位、实施单位、总投资及构成、项目区面积、涉及村、建设时间以及管护主体等信息；同时，应在单项工程醒目位置设置单项工程标识牌，公开项目名称、年度标识、单项工程名称、编号等信息。</w:t>
      </w:r>
    </w:p>
    <w:p w14:paraId="5E2D295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14:paraId="6634FA7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59" w:name="_Toc16255"/>
      <w:bookmarkStart w:id="560" w:name="_Toc30177"/>
      <w:bookmarkStart w:id="561" w:name="_Toc32316"/>
      <w:bookmarkStart w:id="562" w:name="_Toc30861"/>
      <w:r>
        <w:rPr>
          <w:rFonts w:hint="eastAsia" w:ascii="黑体" w:hAnsi="黑体" w:eastAsia="黑体" w:cs="黑体"/>
          <w:sz w:val="32"/>
          <w:szCs w:val="32"/>
          <w:highlight w:val="none"/>
          <w:lang w:val="en-US" w:eastAsia="zh-CN"/>
        </w:rPr>
        <w:t>三、加强建后管护</w:t>
      </w:r>
      <w:bookmarkEnd w:id="559"/>
      <w:bookmarkEnd w:id="560"/>
      <w:bookmarkEnd w:id="561"/>
      <w:bookmarkEnd w:id="562"/>
    </w:p>
    <w:p w14:paraId="3EA3C87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63" w:name="_Toc8670"/>
      <w:r>
        <w:rPr>
          <w:rFonts w:hint="eastAsia" w:ascii="楷体" w:hAnsi="楷体" w:eastAsia="楷体" w:cs="楷体"/>
          <w:sz w:val="32"/>
          <w:szCs w:val="32"/>
          <w:highlight w:val="none"/>
          <w:lang w:val="en-US" w:eastAsia="zh-CN"/>
        </w:rPr>
        <w:t>(一)落实管护主体</w:t>
      </w:r>
      <w:bookmarkEnd w:id="563"/>
    </w:p>
    <w:p w14:paraId="3F25FE1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贯彻执行国家和省建后管护相关文件要求，按照“谁受益、谁管护，谁使用、谁管护”的原则明确工程管护主体，压实管护责任。高标准农田项目竣工验收后，县级农业农村主管部门要在规定时间内落实建后管护主体，并办理工程管护手续。未流转的高标准农田，项目所在乡（镇）人民政府为管护主体，可委托项目所在村委会实施具体管护。同时，各地可结合实际，积极探索委托代管、第三方购买服务等管护新模式。</w:t>
      </w:r>
    </w:p>
    <w:p w14:paraId="4CD41B55">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64" w:name="_Toc31146"/>
      <w:r>
        <w:rPr>
          <w:rFonts w:hint="eastAsia" w:ascii="楷体" w:hAnsi="楷体" w:eastAsia="楷体" w:cs="楷体"/>
          <w:sz w:val="32"/>
          <w:szCs w:val="32"/>
          <w:highlight w:val="none"/>
          <w:lang w:val="en-US" w:eastAsia="zh-CN"/>
        </w:rPr>
        <w:t>(二)健全管护机制</w:t>
      </w:r>
      <w:bookmarkEnd w:id="564"/>
    </w:p>
    <w:p w14:paraId="405AE9E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照权责明晰、运行有效的原则，建立健全日常管护和专项维护相结合的管护机制，制定管护制度，明确管护标准，落实好田间道路、灌溉排水、农田防护、输配电等内外衔接工程的管护责任，确保管护到位。调动村级组织、受益农户、新型农业经营主体和专业管护机构、社会化服务组织等参与管护的积极性，鼓励探索实行“田长制”、“田保姆”、项目建管护一体化等管护新机制。</w:t>
      </w:r>
    </w:p>
    <w:p w14:paraId="575FC050">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65" w:name="_Toc31904"/>
      <w:r>
        <w:rPr>
          <w:rFonts w:hint="eastAsia" w:ascii="楷体" w:hAnsi="楷体" w:eastAsia="楷体" w:cs="楷体"/>
          <w:sz w:val="32"/>
          <w:szCs w:val="32"/>
          <w:highlight w:val="none"/>
          <w:lang w:val="en-US" w:eastAsia="zh-CN"/>
        </w:rPr>
        <w:t>(三)落实管护资金</w:t>
      </w:r>
      <w:bookmarkEnd w:id="565"/>
    </w:p>
    <w:p w14:paraId="5932711B">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省级涉农资金可以按规定用于高标准农田建设项目建后管护。各地应统筹用好省级涉农资金和其他相关资金，多渠道筹集管护经费，确保管护资金安排落实。各地可探索将高标准农田建设工程设施纳入农业保险范围和探索引入商业保险将保险赔付金作为工程管护资金来源，拓宽经费来源渠道。完善鼓励社会资本积极参与高标准农田管护的政策措施，保障管护主体合理收益。</w:t>
      </w:r>
    </w:p>
    <w:p w14:paraId="5E0CB08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14:paraId="52342C0A">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66" w:name="_Toc28984"/>
      <w:bookmarkStart w:id="567" w:name="_Toc7518"/>
      <w:bookmarkStart w:id="568" w:name="_Toc16792"/>
      <w:bookmarkStart w:id="569" w:name="_Toc5894"/>
      <w:r>
        <w:rPr>
          <w:rFonts w:hint="eastAsia" w:ascii="黑体" w:hAnsi="黑体" w:eastAsia="黑体" w:cs="黑体"/>
          <w:sz w:val="32"/>
          <w:szCs w:val="32"/>
          <w:highlight w:val="none"/>
          <w:lang w:val="en-US" w:eastAsia="zh-CN"/>
        </w:rPr>
        <w:t>四、严格保护利用</w:t>
      </w:r>
      <w:bookmarkEnd w:id="566"/>
      <w:bookmarkEnd w:id="567"/>
      <w:bookmarkEnd w:id="568"/>
      <w:bookmarkEnd w:id="569"/>
    </w:p>
    <w:p w14:paraId="00C3717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70" w:name="_Toc9265"/>
      <w:r>
        <w:rPr>
          <w:rFonts w:hint="eastAsia" w:ascii="楷体" w:hAnsi="楷体" w:eastAsia="楷体" w:cs="楷体"/>
          <w:sz w:val="32"/>
          <w:szCs w:val="32"/>
          <w:highlight w:val="none"/>
          <w:lang w:val="en-US" w:eastAsia="zh-CN"/>
        </w:rPr>
        <w:t>(一)强化用途管控</w:t>
      </w:r>
      <w:bookmarkEnd w:id="570"/>
    </w:p>
    <w:p w14:paraId="60F1A4C5">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落实最严格的耕地保护制度，强化耕地保护党政同责，对建成的高标准农田，要划为永久基本农田，实行特殊保护，遏制“非农化”，严格管控“非粮化”，任何单位和个人不得损毁、擅自占用或改变用途。严格控制非农业建设占用高标准农田，经依法批准占用高标准农田的，必须按照“建设面积不减少、建设标准有提高”的原则完成补建。</w:t>
      </w:r>
    </w:p>
    <w:p w14:paraId="25983DF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71" w:name="_Toc25280"/>
      <w:r>
        <w:rPr>
          <w:rFonts w:hint="eastAsia" w:ascii="楷体" w:hAnsi="楷体" w:eastAsia="楷体" w:cs="楷体"/>
          <w:sz w:val="32"/>
          <w:szCs w:val="32"/>
          <w:highlight w:val="none"/>
          <w:lang w:val="en-US" w:eastAsia="zh-CN"/>
        </w:rPr>
        <w:t>(二)加强农田保护</w:t>
      </w:r>
      <w:bookmarkEnd w:id="571"/>
    </w:p>
    <w:p w14:paraId="02FA432E">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实行用地养地相结合，推行合理耕作制度，加强后续地力培肥，持续提升耕地质量，实现高标准农田数量增长与质量提升双轮驱动。对水毁等自然损毁的高标准农田，要及时进行修复或补充。严禁将不达标污水排入农田，严禁将生活垃圾、工矿废弃物等倾倒、排放、存放到农田。</w:t>
      </w:r>
    </w:p>
    <w:p w14:paraId="7087EDAC">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72" w:name="_Toc17263"/>
      <w:r>
        <w:rPr>
          <w:rFonts w:hint="eastAsia" w:ascii="楷体" w:hAnsi="楷体" w:eastAsia="楷体" w:cs="楷体"/>
          <w:sz w:val="32"/>
          <w:szCs w:val="32"/>
          <w:highlight w:val="none"/>
          <w:lang w:val="en-US" w:eastAsia="zh-CN"/>
        </w:rPr>
        <w:t>(三)坚持良田粮用</w:t>
      </w:r>
      <w:bookmarkEnd w:id="572"/>
    </w:p>
    <w:p w14:paraId="70ACDBB4">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健全粮食生产利益补偿机制，完善粮食生产奖补政策和农民种粮激励政策，保障农民种粮合理收益，调动县（市、区）政府重农抓粮积极性和农民种粮积极性，压实粮食稳产保供责任，确保农田必须是良田，新建高标准农田原则上全部用于粮食生产。引导高标准农田集中用于重要农产品特别是粮食生产，引导作物一年两熟以上的粮食生产功能区至少生产一季粮食，种植非粮作物的要在一季后能够恢复粮食生产。</w:t>
      </w:r>
    </w:p>
    <w:p w14:paraId="5DEB566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14:paraId="22F52F8B">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73" w:name="_Toc20673"/>
      <w:bookmarkStart w:id="574" w:name="_Toc19931"/>
      <w:bookmarkStart w:id="575" w:name="_Toc19454"/>
      <w:bookmarkStart w:id="576" w:name="_Toc12404"/>
      <w:r>
        <w:rPr>
          <w:rFonts w:hint="eastAsia" w:ascii="黑体" w:hAnsi="黑体" w:eastAsia="黑体" w:cs="黑体"/>
          <w:sz w:val="32"/>
          <w:szCs w:val="32"/>
          <w:highlight w:val="none"/>
          <w:lang w:val="en-US" w:eastAsia="zh-CN"/>
        </w:rPr>
        <w:t>五、统一上图入库</w:t>
      </w:r>
      <w:bookmarkEnd w:id="573"/>
      <w:bookmarkEnd w:id="574"/>
      <w:bookmarkEnd w:id="575"/>
      <w:bookmarkEnd w:id="576"/>
    </w:p>
    <w:p w14:paraId="462DA63E">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77" w:name="_Toc29549"/>
      <w:r>
        <w:rPr>
          <w:rFonts w:hint="eastAsia" w:ascii="楷体" w:hAnsi="楷体" w:eastAsia="楷体" w:cs="楷体"/>
          <w:sz w:val="32"/>
          <w:szCs w:val="32"/>
          <w:highlight w:val="none"/>
          <w:lang w:val="en-US" w:eastAsia="zh-CN"/>
        </w:rPr>
        <w:t>(一)完善信息平台</w:t>
      </w:r>
      <w:bookmarkEnd w:id="577"/>
    </w:p>
    <w:p w14:paraId="16A8BD28">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展“广东省农田建设管理信息系统”升级改造，结合物联网、卫星遥感等现代信息技术手段，构建天空地一体的数字信息系统，为高标准农田谋划储备项目提供数据信息服务，对高标准农田建设、管护和利用实行全过程实时在线监测监管，全面提升我市高标准农田的项目储备、建设管理、建后管护、生产利用等全过程信息化管理水平，融入数字政府平台，全面实施高标准农田建设“一网统管、一网通办”，实现政府决策更加科学精准。健全网上举报平台，更好地服务群众监督。</w:t>
      </w:r>
    </w:p>
    <w:p w14:paraId="5D236CDA">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78" w:name="_Toc1855"/>
      <w:r>
        <w:rPr>
          <w:rFonts w:hint="eastAsia" w:ascii="楷体" w:hAnsi="楷体" w:eastAsia="楷体" w:cs="楷体"/>
          <w:sz w:val="32"/>
          <w:szCs w:val="32"/>
          <w:highlight w:val="none"/>
          <w:lang w:val="en-US" w:eastAsia="zh-CN"/>
        </w:rPr>
        <w:t>(二)规范信息录入</w:t>
      </w:r>
      <w:bookmarkEnd w:id="578"/>
    </w:p>
    <w:p w14:paraId="4D32E05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利用“广东省农田建设管理信息系统”，规范做好已建、储备、拟建、在建等高标准农田项目上图入库和信息统计工作，县级认真做好信息填报，对项目建设信息的真实性、合法性、合规性负责。市级作为监督责任单位，加强审核严格把关。完善全省农田建设“一张图、一套数、一平台”。</w:t>
      </w:r>
    </w:p>
    <w:p w14:paraId="18A43C90">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79" w:name="_Toc11359"/>
      <w:r>
        <w:rPr>
          <w:rFonts w:hint="eastAsia" w:ascii="楷体" w:hAnsi="楷体" w:eastAsia="楷体" w:cs="楷体"/>
          <w:sz w:val="32"/>
          <w:szCs w:val="32"/>
          <w:highlight w:val="none"/>
          <w:lang w:val="en-US" w:eastAsia="zh-CN"/>
        </w:rPr>
        <w:t>(三)加强信息共享</w:t>
      </w:r>
      <w:bookmarkEnd w:id="579"/>
    </w:p>
    <w:p w14:paraId="773EC937">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完善部门间信息共享机制，实现农田建设、保护、利用信息的互通共享。 加强数据挖掘分析，为农田建设管理和保护利用提供决策支撑。</w:t>
      </w:r>
    </w:p>
    <w:p w14:paraId="516781F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yellow"/>
          <w:lang w:val="en-US" w:eastAsia="zh-CN"/>
        </w:rPr>
      </w:pPr>
    </w:p>
    <w:p w14:paraId="13A23A2C">
      <w:pPr>
        <w:keepNext w:val="0"/>
        <w:keepLines w:val="0"/>
        <w:pageBreakBefore w:val="0"/>
        <w:kinsoku/>
        <w:wordWrap w:val="0"/>
        <w:overflowPunct/>
        <w:autoSpaceDE/>
        <w:autoSpaceDN/>
        <w:bidi w:val="0"/>
        <w:jc w:val="left"/>
        <w:textAlignment w:val="auto"/>
        <w:rPr>
          <w:rFonts w:hint="eastAsia" w:ascii="黑体" w:hAnsi="黑体" w:eastAsia="黑体" w:cs="黑体"/>
          <w:b w:val="0"/>
          <w:bCs w:val="0"/>
          <w:sz w:val="36"/>
          <w:szCs w:val="36"/>
          <w:highlight w:val="none"/>
          <w:lang w:val="en-US" w:eastAsia="zh-CN"/>
        </w:rPr>
      </w:pPr>
      <w:bookmarkStart w:id="580" w:name="_Toc25264"/>
      <w:bookmarkStart w:id="581" w:name="_Toc28172"/>
      <w:r>
        <w:rPr>
          <w:rFonts w:hint="eastAsia" w:ascii="黑体" w:hAnsi="黑体" w:eastAsia="黑体" w:cs="黑体"/>
          <w:b w:val="0"/>
          <w:bCs w:val="0"/>
          <w:sz w:val="36"/>
          <w:szCs w:val="36"/>
          <w:highlight w:val="none"/>
          <w:lang w:val="en-US" w:eastAsia="zh-CN"/>
        </w:rPr>
        <w:br w:type="page"/>
      </w:r>
    </w:p>
    <w:p w14:paraId="118E23D7">
      <w:pPr>
        <w:keepNext w:val="0"/>
        <w:keepLines w:val="0"/>
        <w:pageBreakBefore w:val="0"/>
        <w:kinsoku/>
        <w:wordWrap w:val="0"/>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highlight w:val="none"/>
          <w:lang w:val="en-US" w:eastAsia="zh-CN"/>
        </w:rPr>
      </w:pPr>
      <w:bookmarkStart w:id="582" w:name="_Toc1816"/>
      <w:bookmarkStart w:id="583" w:name="_Toc11025"/>
      <w:bookmarkStart w:id="584" w:name="_Toc20218"/>
      <w:r>
        <w:rPr>
          <w:rFonts w:hint="eastAsia" w:ascii="黑体" w:hAnsi="黑体" w:eastAsia="黑体" w:cs="黑体"/>
          <w:b w:val="0"/>
          <w:bCs w:val="0"/>
          <w:sz w:val="36"/>
          <w:szCs w:val="36"/>
          <w:highlight w:val="none"/>
          <w:lang w:val="en-US" w:eastAsia="zh-CN"/>
        </w:rPr>
        <w:t>第八章 保障措施</w:t>
      </w:r>
      <w:bookmarkEnd w:id="580"/>
      <w:bookmarkEnd w:id="581"/>
      <w:bookmarkEnd w:id="582"/>
      <w:bookmarkEnd w:id="583"/>
      <w:bookmarkEnd w:id="584"/>
    </w:p>
    <w:p w14:paraId="0720C583">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6"/>
          <w:szCs w:val="36"/>
          <w:highlight w:val="none"/>
          <w:lang w:val="en-US" w:eastAsia="zh-CN"/>
        </w:rPr>
      </w:pPr>
    </w:p>
    <w:p w14:paraId="26CA26BE">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抓好高标准农田建设是保障国家粮食安全的一项长期性、战略性举措。各县（市、区）、各部门应紧紧围绕实施乡村振兴战略目标，不折不扣地落实省委、省政府和市委、市政府关于高标准农田建设的决策部署，务实创新，建好、管好、用好高标准农田，为保障国家粮食安全提供坚实支撑。</w:t>
      </w:r>
    </w:p>
    <w:p w14:paraId="329E6EC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85" w:name="_Toc15860"/>
    </w:p>
    <w:p w14:paraId="10A3E26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86" w:name="_Toc13522"/>
      <w:bookmarkStart w:id="587" w:name="_Toc28877"/>
      <w:bookmarkStart w:id="588" w:name="_Toc4715"/>
      <w:r>
        <w:rPr>
          <w:rFonts w:hint="eastAsia" w:ascii="黑体" w:hAnsi="黑体" w:eastAsia="黑体" w:cs="黑体"/>
          <w:sz w:val="32"/>
          <w:szCs w:val="32"/>
          <w:highlight w:val="none"/>
          <w:lang w:val="en-US" w:eastAsia="zh-CN"/>
        </w:rPr>
        <w:t>一、加强组织领导</w:t>
      </w:r>
      <w:bookmarkEnd w:id="585"/>
      <w:bookmarkEnd w:id="586"/>
      <w:bookmarkEnd w:id="587"/>
      <w:bookmarkEnd w:id="588"/>
    </w:p>
    <w:p w14:paraId="39FBEFB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89" w:name="_Toc23911"/>
      <w:r>
        <w:rPr>
          <w:rFonts w:hint="eastAsia" w:ascii="楷体" w:hAnsi="楷体" w:eastAsia="楷体" w:cs="楷体"/>
          <w:sz w:val="32"/>
          <w:szCs w:val="32"/>
          <w:highlight w:val="none"/>
          <w:lang w:val="en-US" w:eastAsia="zh-CN"/>
        </w:rPr>
        <w:t>（一）完善体制机制</w:t>
      </w:r>
      <w:bookmarkEnd w:id="589"/>
    </w:p>
    <w:p w14:paraId="0C725D52">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落实高标准农田建设统一规划布局、统一建设标准、统一组织实施、统一验收考核、统一上图入库要求，构建集中统一高效的管理新体制。在市委市政府的领导下，建立由市政府一把手负总责、分管领导直接负责的责任制，抓好规划实施、任务落实、资金保障、监督评价和运营管护等工作。市政府建立高标准农田建设联席工作会议制度，县（市、区）政府相应建立健全高标准农田建设协调机制，加强信息和资源互联互通。市农业农村局全面履行高标准农田建设集中统一管理职责，市发展改革委、财政厅、自然资源厅、水务局等相关部门按照职责分工，密切配合，做好规划指导、资金投入、新增耕地核定、水资源利用和管理、金融支持等工作，协同推进高标准农田建设。县（市、区）农业农村部门要在本级人民政府的领导下，落实好建设任务和工作责任，各地有关部门要按照职责分工，形成工作合力，确保各项工作任务按期完成。</w:t>
      </w:r>
    </w:p>
    <w:p w14:paraId="167A33B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90" w:name="_Toc19470"/>
      <w:r>
        <w:rPr>
          <w:rFonts w:hint="eastAsia" w:ascii="楷体" w:hAnsi="楷体" w:eastAsia="楷体" w:cs="楷体"/>
          <w:sz w:val="32"/>
          <w:szCs w:val="32"/>
          <w:highlight w:val="none"/>
          <w:lang w:val="en-US" w:eastAsia="zh-CN"/>
        </w:rPr>
        <w:t>（二）加强行业管理</w:t>
      </w:r>
      <w:bookmarkEnd w:id="590"/>
    </w:p>
    <w:p w14:paraId="6A4124A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严格把控高标准农田建设从业机构资质审查关，提高勘察、设计、施工和监理等相关单位技术力量门槛，杜绝无资质或资质不符合要求的从业机构承接相关业务。各市、县要大力推行信用承诺制度，依法依规建立健全高标准农田建设从业机构失信惩戒机制，加强行业自律和动态监管。</w:t>
      </w:r>
    </w:p>
    <w:p w14:paraId="6CD10B6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91" w:name="_Toc3545"/>
      <w:r>
        <w:rPr>
          <w:rFonts w:hint="eastAsia" w:ascii="楷体" w:hAnsi="楷体" w:eastAsia="楷体" w:cs="楷体"/>
          <w:sz w:val="32"/>
          <w:szCs w:val="32"/>
          <w:highlight w:val="none"/>
          <w:lang w:val="en-US" w:eastAsia="zh-CN"/>
        </w:rPr>
        <w:t>（三）强化队伍建设</w:t>
      </w:r>
      <w:bookmarkEnd w:id="591"/>
    </w:p>
    <w:p w14:paraId="10712E8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进一步加强高标准农田建设管理和技术服务体系队伍建设，重点配强县乡两级工作力量，与当地高标准农田建设任务相适应。加大技术业务培训力度，提升从业人员业务能力和综合素质，加快形成层次清晰、上下衔接的专业化人才队伍，为高质量完成高标准农田建设任务提供更加有力支撑。</w:t>
      </w:r>
    </w:p>
    <w:p w14:paraId="4D967EBF">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592" w:name="_Toc11727"/>
    </w:p>
    <w:p w14:paraId="0EEC280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593" w:name="_Toc2662"/>
      <w:bookmarkStart w:id="594" w:name="_Toc8194"/>
      <w:bookmarkStart w:id="595" w:name="_Toc4091"/>
      <w:r>
        <w:rPr>
          <w:rFonts w:hint="eastAsia" w:ascii="黑体" w:hAnsi="黑体" w:eastAsia="黑体" w:cs="黑体"/>
          <w:sz w:val="32"/>
          <w:szCs w:val="32"/>
          <w:highlight w:val="none"/>
          <w:lang w:val="en-US" w:eastAsia="zh-CN"/>
        </w:rPr>
        <w:t>二、强化规划引领</w:t>
      </w:r>
      <w:bookmarkEnd w:id="592"/>
      <w:bookmarkEnd w:id="593"/>
      <w:bookmarkEnd w:id="594"/>
      <w:bookmarkEnd w:id="595"/>
    </w:p>
    <w:p w14:paraId="42BCF56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96" w:name="_Toc19815"/>
      <w:r>
        <w:rPr>
          <w:rFonts w:hint="eastAsia" w:ascii="楷体" w:hAnsi="楷体" w:eastAsia="楷体" w:cs="楷体"/>
          <w:sz w:val="32"/>
          <w:szCs w:val="32"/>
          <w:highlight w:val="none"/>
          <w:lang w:val="en-US" w:eastAsia="zh-CN"/>
        </w:rPr>
        <w:t>（一）建立规划体系</w:t>
      </w:r>
      <w:bookmarkEnd w:id="596"/>
    </w:p>
    <w:p w14:paraId="2971B2B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全面落实省委、省政府和市委、市政府部署，深入调查研究，加强分析论证，创新规划编制手段，加快建立自上而下、衔接协调、责权清晰、科学高效的省、市、县三级建设规划体系。市级建设规划明确区域布局，确定重点项目和资金安排，将建设任务分解落实到县级。县级建设规划重点将建设任务落实到地块，明确时序安排，形成规划项目布局图和项目库，为项目和投资及时落地做好准备、打好基础。</w:t>
      </w:r>
    </w:p>
    <w:p w14:paraId="54A997D5">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97" w:name="_Toc7959"/>
      <w:r>
        <w:rPr>
          <w:rFonts w:hint="eastAsia" w:ascii="楷体" w:hAnsi="楷体" w:eastAsia="楷体" w:cs="楷体"/>
          <w:sz w:val="32"/>
          <w:szCs w:val="32"/>
          <w:highlight w:val="none"/>
          <w:lang w:val="en-US" w:eastAsia="zh-CN"/>
        </w:rPr>
        <w:t>（二）做好规划衔接</w:t>
      </w:r>
      <w:bookmarkEnd w:id="597"/>
    </w:p>
    <w:p w14:paraId="6E5DF7B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坚持“下位规划服从上位规划、下级规划服从上级规划、等位规划相互协调”，县（市、区）级在编制本级高标准农田建设规划时，在建设目标、任务、布局以及重大项目安排上，要结合国土空间规划编制，充分做好与水资源利用等相关规划衔接。综合考虑资源环境承载能力、粮食保障要求等因素，确定高标准农田建设区域，明确建设的重点区域、限制区域和禁止区域。</w:t>
      </w:r>
    </w:p>
    <w:p w14:paraId="32076D00">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598" w:name="_Toc19420"/>
      <w:r>
        <w:rPr>
          <w:rFonts w:hint="eastAsia" w:ascii="楷体" w:hAnsi="楷体" w:eastAsia="楷体" w:cs="楷体"/>
          <w:sz w:val="32"/>
          <w:szCs w:val="32"/>
          <w:highlight w:val="none"/>
          <w:lang w:val="en-US" w:eastAsia="zh-CN"/>
        </w:rPr>
        <w:t>（三）开展规划评估</w:t>
      </w:r>
      <w:bookmarkEnd w:id="598"/>
    </w:p>
    <w:p w14:paraId="0BAE5B81">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经批准发布实施的各级高标准农田建设规划是安排农田建设项目和资金、农田建设评价等工作的重要依据，是今后一个时期系统开展高标准农田建设的行动指南。规划实施的中期，县（市、区）通过自评与第三方评估相结合的方式，对规划目标建设任务、重点工程的执行情况进行评估分析，客观评价规划实施进展，总结提炼经验做法、剖析实施过程中存在的问题及原因，及时调整工作任务和协调解决重大问题，对规划进行合理的动态调整完善，充分发挥好规划的引领作用。</w:t>
      </w:r>
    </w:p>
    <w:p w14:paraId="3867CA23">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599" w:name="_Toc6323"/>
    </w:p>
    <w:p w14:paraId="20FC3E75">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600" w:name="_Toc19007"/>
      <w:bookmarkStart w:id="601" w:name="_Toc4306"/>
      <w:bookmarkStart w:id="602" w:name="_Toc21976"/>
      <w:r>
        <w:rPr>
          <w:rFonts w:hint="eastAsia" w:ascii="黑体" w:hAnsi="黑体" w:eastAsia="黑体" w:cs="黑体"/>
          <w:sz w:val="32"/>
          <w:szCs w:val="32"/>
          <w:highlight w:val="none"/>
          <w:lang w:val="en-US" w:eastAsia="zh-CN"/>
        </w:rPr>
        <w:t>三、加强资金保障</w:t>
      </w:r>
      <w:bookmarkEnd w:id="599"/>
      <w:bookmarkEnd w:id="600"/>
      <w:bookmarkEnd w:id="601"/>
      <w:bookmarkEnd w:id="602"/>
    </w:p>
    <w:p w14:paraId="5F8ECB9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03" w:name="_Toc17009"/>
      <w:r>
        <w:rPr>
          <w:rFonts w:hint="eastAsia" w:ascii="楷体" w:hAnsi="楷体" w:eastAsia="楷体" w:cs="楷体"/>
          <w:sz w:val="32"/>
          <w:szCs w:val="32"/>
          <w:highlight w:val="none"/>
          <w:lang w:val="en-US" w:eastAsia="zh-CN"/>
        </w:rPr>
        <w:t>（一）加强政府投入保障</w:t>
      </w:r>
      <w:bookmarkEnd w:id="603"/>
    </w:p>
    <w:p w14:paraId="3E2AB57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立健全高标准农田建设投入和建后管护资金合理保障机制。各地要优化地方支出结构，将农田建设作为重点事项，根据高标准农田建设任务、标准和成本变化，按规定及时落实各级财政资金，切实保障各项政府投入到位。落实提高土地出让收入用于农业农村比例政策，加大土地出让收入对高标准农田建设的支持力度。地方政府专项债券用于农业农村的投入，要重点支持符合专项债券发行使用条件的高标准农田建设。加强高标项目建后管护资金保障，加大对项目管护的投入力度，确保建管并重。</w:t>
      </w:r>
    </w:p>
    <w:p w14:paraId="73D8277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04" w:name="_Toc15224"/>
      <w:r>
        <w:rPr>
          <w:rFonts w:hint="eastAsia" w:ascii="楷体" w:hAnsi="楷体" w:eastAsia="楷体" w:cs="楷体"/>
          <w:sz w:val="32"/>
          <w:szCs w:val="32"/>
          <w:highlight w:val="none"/>
          <w:lang w:val="en-US" w:eastAsia="zh-CN"/>
        </w:rPr>
        <w:t>（二）拓展多元筹资渠道</w:t>
      </w:r>
      <w:bookmarkEnd w:id="604"/>
    </w:p>
    <w:p w14:paraId="60830DF3">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高标准农田建设中增加的耕地作为补充耕地指标在省域内调剂，所得收益用于高标准农田建设。发挥政府投入引导和撬动作用，完善银企担合作机制，采取投资补助、以奖代补、财政贴息等多种方式，有序引导金融、社会资本和新型农业经营主体投入高标准农田建设和建后管护。积极鼓励农民和农村集体经济组织自主筹资投劳，参与高标准农田建设和运营管理。加强国际合作与交流，探索利用国外贷款开展高标准农田建设。</w:t>
      </w:r>
    </w:p>
    <w:p w14:paraId="229C6A7B">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05" w:name="_Toc14456"/>
      <w:r>
        <w:rPr>
          <w:rFonts w:hint="eastAsia" w:ascii="楷体" w:hAnsi="楷体" w:eastAsia="楷体" w:cs="楷体"/>
          <w:sz w:val="32"/>
          <w:szCs w:val="32"/>
          <w:highlight w:val="none"/>
          <w:lang w:val="en-US" w:eastAsia="zh-CN"/>
        </w:rPr>
        <w:t>（三）统筹整合资金</w:t>
      </w:r>
      <w:bookmarkEnd w:id="605"/>
    </w:p>
    <w:p w14:paraId="184CF50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健全完善涉农资金统筹整合使用机制，按照任务和资金相匹配的原则，以高标准农田建设项目区为平台，打破行业界限、部门分割，统筹安排高标准农田建设与现代农业产业园、农业现代化示范区、“一村一品，一镇一业”等项目建设，提升资金综合效益。制定整合资金使用方案，统筹不同渠道相关资金用于高标准农田建设和管护，有序投入各类相关资金，推进集中连片建设，集中力量办大事，加大高标准农田建设和管护投入，高质量完成高标准农田建设任务。</w:t>
      </w:r>
    </w:p>
    <w:p w14:paraId="0D8008EF">
      <w:pPr>
        <w:keepNext w:val="0"/>
        <w:keepLines w:val="0"/>
        <w:pageBreakBefore w:val="0"/>
        <w:kinsoku/>
        <w:wordWrap w:val="0"/>
        <w:overflowPunct/>
        <w:topLinePunct w:val="0"/>
        <w:autoSpaceDE/>
        <w:autoSpaceDN/>
        <w:bidi w:val="0"/>
        <w:adjustRightInd/>
        <w:snapToGrid/>
        <w:spacing w:line="600" w:lineRule="exact"/>
        <w:jc w:val="left"/>
        <w:textAlignment w:val="auto"/>
        <w:outlineLvl w:val="9"/>
        <w:rPr>
          <w:rFonts w:hint="eastAsia" w:ascii="仿宋" w:hAnsi="仿宋" w:eastAsia="仿宋" w:cs="仿宋"/>
          <w:sz w:val="32"/>
          <w:szCs w:val="32"/>
          <w:highlight w:val="none"/>
          <w:lang w:val="en-US" w:eastAsia="zh-CN"/>
        </w:rPr>
      </w:pPr>
      <w:bookmarkStart w:id="606" w:name="_Toc10841"/>
    </w:p>
    <w:p w14:paraId="5E0C3AE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607" w:name="_Toc28198"/>
      <w:bookmarkStart w:id="608" w:name="_Toc23530"/>
      <w:bookmarkStart w:id="609" w:name="_Toc8812"/>
      <w:r>
        <w:rPr>
          <w:rFonts w:hint="eastAsia" w:ascii="黑体" w:hAnsi="黑体" w:eastAsia="黑体" w:cs="黑体"/>
          <w:sz w:val="32"/>
          <w:szCs w:val="32"/>
          <w:highlight w:val="none"/>
          <w:lang w:val="en-US" w:eastAsia="zh-CN"/>
        </w:rPr>
        <w:t>四、加大科技支撑</w:t>
      </w:r>
      <w:bookmarkEnd w:id="606"/>
      <w:bookmarkEnd w:id="607"/>
      <w:bookmarkEnd w:id="608"/>
      <w:bookmarkEnd w:id="609"/>
    </w:p>
    <w:p w14:paraId="23A2F1A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10" w:name="_Toc13865"/>
      <w:r>
        <w:rPr>
          <w:rFonts w:hint="eastAsia" w:ascii="楷体" w:hAnsi="楷体" w:eastAsia="楷体" w:cs="楷体"/>
          <w:sz w:val="32"/>
          <w:szCs w:val="32"/>
          <w:highlight w:val="none"/>
          <w:lang w:val="en-US" w:eastAsia="zh-CN"/>
        </w:rPr>
        <w:t>（一）加强科技创新</w:t>
      </w:r>
      <w:bookmarkEnd w:id="610"/>
    </w:p>
    <w:p w14:paraId="7536279B">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针对推动高标准农田建设、管理、保护全过程中的“卡脖子”问题，加强科技研发前瞻布局，集成跨学科、跨领域优势力量，加大对农田建设中防洪排涝、土壤酸化、耕地质量提升、数字农田、绿色生态农田、良田良机良艺融合等专题的科学试验和技术攻关，加快科技创新成果转化，为高标准农田建设提供技术支撑。</w:t>
      </w:r>
    </w:p>
    <w:p w14:paraId="3B722F6C">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11" w:name="_Toc26838"/>
      <w:r>
        <w:rPr>
          <w:rFonts w:hint="eastAsia" w:ascii="楷体" w:hAnsi="楷体" w:eastAsia="楷体" w:cs="楷体"/>
          <w:sz w:val="32"/>
          <w:szCs w:val="32"/>
          <w:highlight w:val="none"/>
          <w:lang w:val="en-US" w:eastAsia="zh-CN"/>
        </w:rPr>
        <w:t>（二）强化示范推广</w:t>
      </w:r>
      <w:bookmarkEnd w:id="611"/>
    </w:p>
    <w:p w14:paraId="28EA7887">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相对集中连片的粮食生产功能区，选择空间规划、产业发展和土地流转相对稳定，有一定流转规模的区域，统筹推进高标准农田建设整区域示范。着力开展绿色农田、数字农田、宜机化改造、酸化土壤改良等示范工程建设，引领高标准农田建设更高层次、更有效率、更可持续。大力引进和推广高标准农田建设先进实用工程与装备技术，加强农田建设与农机农艺技术的集成与应用，形成良田良制、良种良法、良机良艺相融合与集成应用的格局。</w:t>
      </w:r>
    </w:p>
    <w:p w14:paraId="1A575A55">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12" w:name="_Toc7951"/>
      <w:r>
        <w:rPr>
          <w:rFonts w:hint="eastAsia" w:ascii="楷体" w:hAnsi="楷体" w:eastAsia="楷体" w:cs="楷体"/>
          <w:sz w:val="32"/>
          <w:szCs w:val="32"/>
          <w:highlight w:val="none"/>
          <w:lang w:val="en-US" w:eastAsia="zh-CN"/>
        </w:rPr>
        <w:t>（三）开展交流培训</w:t>
      </w:r>
      <w:bookmarkEnd w:id="612"/>
    </w:p>
    <w:p w14:paraId="018800C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立健全高标准农田建设工作交流机制，定期召开全市高标准农田建设工作交流会，总结交流经验，开展现场观摩，学习借鉴各地高标准农田建设的成功经验和先进技术。积极开展高标准农田建设专项业务培训，学习跟踪国内外高标准农田建设新技术、新模式、新材料、新装备，不断提升我市高标准农田建设管理和技术人员的综合素质和业务水平。</w:t>
      </w:r>
    </w:p>
    <w:p w14:paraId="2F5804ED">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highlight w:val="none"/>
          <w:lang w:val="en-US" w:eastAsia="zh-CN"/>
        </w:rPr>
      </w:pPr>
    </w:p>
    <w:p w14:paraId="7D1AD18F">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黑体"/>
          <w:sz w:val="32"/>
          <w:szCs w:val="32"/>
          <w:highlight w:val="none"/>
          <w:lang w:val="en-US" w:eastAsia="zh-CN"/>
        </w:rPr>
      </w:pPr>
      <w:bookmarkStart w:id="613" w:name="_Toc15654"/>
      <w:bookmarkStart w:id="614" w:name="_Toc4437"/>
      <w:bookmarkStart w:id="615" w:name="_Toc14690"/>
      <w:bookmarkStart w:id="616" w:name="_Toc2515"/>
      <w:r>
        <w:rPr>
          <w:rFonts w:hint="eastAsia" w:ascii="黑体" w:hAnsi="黑体" w:eastAsia="黑体" w:cs="黑体"/>
          <w:sz w:val="32"/>
          <w:szCs w:val="32"/>
          <w:highlight w:val="none"/>
          <w:lang w:val="en-US" w:eastAsia="zh-CN"/>
        </w:rPr>
        <w:t>五、严格监督考核</w:t>
      </w:r>
      <w:bookmarkEnd w:id="613"/>
      <w:bookmarkEnd w:id="614"/>
      <w:bookmarkEnd w:id="615"/>
      <w:bookmarkEnd w:id="616"/>
    </w:p>
    <w:p w14:paraId="7B21CFD9">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17" w:name="_Toc30890"/>
      <w:r>
        <w:rPr>
          <w:rFonts w:hint="eastAsia" w:ascii="楷体" w:hAnsi="楷体" w:eastAsia="楷体" w:cs="楷体"/>
          <w:sz w:val="32"/>
          <w:szCs w:val="32"/>
          <w:highlight w:val="none"/>
          <w:lang w:val="en-US" w:eastAsia="zh-CN"/>
        </w:rPr>
        <w:t>（一）强化激励考核</w:t>
      </w:r>
      <w:bookmarkEnd w:id="617"/>
    </w:p>
    <w:p w14:paraId="177F4E9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立健全高标准农田建设“定期调度、分析研判、通报约谈、奖优罚劣”任务落实机制，加强项目日常监管和跟踪指导，对完成任务好的予以倾斜支持，对未完成任务的进行约谈处罚，提升质量管理，确保建设成效。对真抓实干成效明显地方设立奖项，对可复制可推广典型案例和有突出贡献个人、集体进行表彰。</w:t>
      </w:r>
    </w:p>
    <w:p w14:paraId="6F2C39E6">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18" w:name="_Toc22639"/>
      <w:r>
        <w:rPr>
          <w:rFonts w:hint="eastAsia" w:ascii="楷体" w:hAnsi="楷体" w:eastAsia="楷体" w:cs="楷体"/>
          <w:sz w:val="32"/>
          <w:szCs w:val="32"/>
          <w:highlight w:val="none"/>
          <w:lang w:val="en-US" w:eastAsia="zh-CN"/>
        </w:rPr>
        <w:t>（二）动员群众参与</w:t>
      </w:r>
      <w:bookmarkEnd w:id="618"/>
    </w:p>
    <w:p w14:paraId="37ABAA5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立高标准农田建设群众监督参与机制、投诉举报机制，畅通投诉渠道，鼓励实名举报，引导理性、准确举报，规范处理程序，维护举报人权益，充分调动农民群众参与监督的积极性。积极引导农村集体经济组织、农民、社会组织等各方面广泛参与高标准农田建设工作，形成共同监督、共同参与的良好氛围。注重发挥农民群众的主体作用，激发农民及新型农业经营主体等生产经营者参与高标准农田项目规划、建设和管护等方面的积极性、主动性和创造性。</w:t>
      </w:r>
    </w:p>
    <w:p w14:paraId="7AD24F27">
      <w:pPr>
        <w:keepNext w:val="0"/>
        <w:keepLines w:val="0"/>
        <w:pageBreakBefore w:val="0"/>
        <w:kinsoku/>
        <w:wordWrap w:val="0"/>
        <w:overflowPunct/>
        <w:topLinePunct w:val="0"/>
        <w:autoSpaceDE/>
        <w:autoSpaceDN/>
        <w:bidi w:val="0"/>
        <w:adjustRightInd/>
        <w:snapToGrid/>
        <w:spacing w:line="600" w:lineRule="exact"/>
        <w:ind w:firstLine="640" w:firstLineChars="200"/>
        <w:jc w:val="left"/>
        <w:textAlignment w:val="auto"/>
        <w:outlineLvl w:val="1"/>
        <w:rPr>
          <w:rFonts w:hint="eastAsia" w:ascii="楷体" w:hAnsi="楷体" w:eastAsia="楷体" w:cs="楷体"/>
          <w:sz w:val="32"/>
          <w:szCs w:val="32"/>
          <w:highlight w:val="none"/>
          <w:lang w:val="en-US" w:eastAsia="zh-CN"/>
        </w:rPr>
      </w:pPr>
      <w:bookmarkStart w:id="619" w:name="_Toc18230"/>
      <w:r>
        <w:rPr>
          <w:rFonts w:hint="eastAsia" w:ascii="楷体" w:hAnsi="楷体" w:eastAsia="楷体" w:cs="楷体"/>
          <w:sz w:val="32"/>
          <w:szCs w:val="32"/>
          <w:highlight w:val="none"/>
          <w:lang w:val="en-US" w:eastAsia="zh-CN"/>
        </w:rPr>
        <w:t>（三）做好风险防控</w:t>
      </w:r>
      <w:bookmarkEnd w:id="619"/>
    </w:p>
    <w:p w14:paraId="12AACA3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lang w:val="en-US" w:eastAsia="zh-CN"/>
        </w:rPr>
        <w:t>树立良好作风，强化廉政建设，严肃工作纪律，推进项目建设公开透明、廉洁高效，切实防范农田建设项目管理风险。加强对建设资金全过程绩效管理，科学设定绩效目标，做好绩效运行监控和评价，强化结果应用。加强工作指导，发挥纪检、监察、审计作用，及时发现问题及时督促整改。严格跟踪问责，对履职不力、监管不严、失职渎职的，依法追究有关人员责任。强化底线思维，统筹好发展和安全，把安全发展贯彻到农田建设发展的各领域和全过程。</w:t>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AC57E5-EC91-4690-8644-2342796FA6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EBC0D7F-86BA-4137-950D-E58C67D952BD}"/>
  </w:font>
  <w:font w:name="方正小标宋简体">
    <w:panose1 w:val="03000509000000000000"/>
    <w:charset w:val="86"/>
    <w:family w:val="auto"/>
    <w:pitch w:val="default"/>
    <w:sig w:usb0="00000001" w:usb1="080E0000" w:usb2="00000000" w:usb3="00000000" w:csb0="00040000" w:csb1="00000000"/>
    <w:embedRegular r:id="rId3" w:fontKey="{1521E62B-98A3-444E-A92A-879A99CE0C66}"/>
  </w:font>
  <w:font w:name="楷体">
    <w:panose1 w:val="02010609060101010101"/>
    <w:charset w:val="86"/>
    <w:family w:val="auto"/>
    <w:pitch w:val="default"/>
    <w:sig w:usb0="800002BF" w:usb1="38CF7CFA" w:usb2="00000016" w:usb3="00000000" w:csb0="00040001" w:csb1="00000000"/>
    <w:embedRegular r:id="rId4" w:fontKey="{D31DF30C-BF92-497A-A6DC-414B197E9750}"/>
  </w:font>
  <w:font w:name="仿宋">
    <w:panose1 w:val="02010609060101010101"/>
    <w:charset w:val="86"/>
    <w:family w:val="auto"/>
    <w:pitch w:val="default"/>
    <w:sig w:usb0="800002BF" w:usb1="38CF7CFA" w:usb2="00000016" w:usb3="00000000" w:csb0="00040001" w:csb1="00000000"/>
    <w:embedRegular r:id="rId5" w:fontKey="{4345338D-4E73-46F5-A2CD-0AC459F294B1}"/>
  </w:font>
  <w:font w:name="仿宋_GB2312">
    <w:panose1 w:val="02010609030101010101"/>
    <w:charset w:val="86"/>
    <w:family w:val="modern"/>
    <w:pitch w:val="default"/>
    <w:sig w:usb0="00000001" w:usb1="080E0000" w:usb2="00000000" w:usb3="00000000" w:csb0="00040000" w:csb1="00000000"/>
    <w:embedRegular r:id="rId6" w:fontKey="{C4F0FAF5-0F48-4CF6-8D1B-6B579E558A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A9EA9">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D6082">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BD6082">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24B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00040">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600040">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3057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DF93D">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DDF93D">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322F2">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30BAF">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530BAF">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GZhNjA1MTljNTBlOTAyNjg3ZDFjZDYxYjUxNTkifQ=="/>
  </w:docVars>
  <w:rsids>
    <w:rsidRoot w:val="74242201"/>
    <w:rsid w:val="005209A1"/>
    <w:rsid w:val="007578DC"/>
    <w:rsid w:val="01116E16"/>
    <w:rsid w:val="01E53FCF"/>
    <w:rsid w:val="025A529E"/>
    <w:rsid w:val="028B36A9"/>
    <w:rsid w:val="02F67679"/>
    <w:rsid w:val="03103BAE"/>
    <w:rsid w:val="037830CE"/>
    <w:rsid w:val="037F4608"/>
    <w:rsid w:val="044D286A"/>
    <w:rsid w:val="05B7314F"/>
    <w:rsid w:val="062320B1"/>
    <w:rsid w:val="0702240D"/>
    <w:rsid w:val="07035CA9"/>
    <w:rsid w:val="074F1149"/>
    <w:rsid w:val="07542B7E"/>
    <w:rsid w:val="07686B69"/>
    <w:rsid w:val="08FD2CE6"/>
    <w:rsid w:val="09054AF4"/>
    <w:rsid w:val="09230E2C"/>
    <w:rsid w:val="09C474A0"/>
    <w:rsid w:val="0A5316F0"/>
    <w:rsid w:val="0ADF0A36"/>
    <w:rsid w:val="0D446F76"/>
    <w:rsid w:val="0D4D4BD8"/>
    <w:rsid w:val="0D8B27AF"/>
    <w:rsid w:val="0E49548C"/>
    <w:rsid w:val="0F030EE5"/>
    <w:rsid w:val="0F45018B"/>
    <w:rsid w:val="111A1FBB"/>
    <w:rsid w:val="11423450"/>
    <w:rsid w:val="11EB30E2"/>
    <w:rsid w:val="12435437"/>
    <w:rsid w:val="128A6237"/>
    <w:rsid w:val="12C86655"/>
    <w:rsid w:val="12ED7A68"/>
    <w:rsid w:val="13817CEF"/>
    <w:rsid w:val="13AD6DF7"/>
    <w:rsid w:val="140C5A5E"/>
    <w:rsid w:val="1495224E"/>
    <w:rsid w:val="14C515F2"/>
    <w:rsid w:val="14D709D0"/>
    <w:rsid w:val="14DB27FF"/>
    <w:rsid w:val="168F749C"/>
    <w:rsid w:val="16D405BA"/>
    <w:rsid w:val="173C02D2"/>
    <w:rsid w:val="17B8202E"/>
    <w:rsid w:val="17CB4451"/>
    <w:rsid w:val="17EE4066"/>
    <w:rsid w:val="18775055"/>
    <w:rsid w:val="194B6985"/>
    <w:rsid w:val="19AC68CF"/>
    <w:rsid w:val="19C141EF"/>
    <w:rsid w:val="1B0A5353"/>
    <w:rsid w:val="1C1643B9"/>
    <w:rsid w:val="1D9D0FE6"/>
    <w:rsid w:val="1E045711"/>
    <w:rsid w:val="1E9E2435"/>
    <w:rsid w:val="1EB805A7"/>
    <w:rsid w:val="1F1410F2"/>
    <w:rsid w:val="1F257474"/>
    <w:rsid w:val="1F7F17CC"/>
    <w:rsid w:val="1FE12710"/>
    <w:rsid w:val="20781A0A"/>
    <w:rsid w:val="21BF0821"/>
    <w:rsid w:val="22183F8F"/>
    <w:rsid w:val="229013C1"/>
    <w:rsid w:val="22C6104B"/>
    <w:rsid w:val="22D84291"/>
    <w:rsid w:val="22E47C5F"/>
    <w:rsid w:val="23072856"/>
    <w:rsid w:val="24190307"/>
    <w:rsid w:val="24613B50"/>
    <w:rsid w:val="24A561DA"/>
    <w:rsid w:val="251D2359"/>
    <w:rsid w:val="25694DFE"/>
    <w:rsid w:val="263B7CD8"/>
    <w:rsid w:val="26955FF5"/>
    <w:rsid w:val="27631AB2"/>
    <w:rsid w:val="28A27227"/>
    <w:rsid w:val="2B0D0850"/>
    <w:rsid w:val="2B220585"/>
    <w:rsid w:val="2C446D2E"/>
    <w:rsid w:val="2C511151"/>
    <w:rsid w:val="2CF021D7"/>
    <w:rsid w:val="2D5B6350"/>
    <w:rsid w:val="2D7D234C"/>
    <w:rsid w:val="2DD138FA"/>
    <w:rsid w:val="2E146A41"/>
    <w:rsid w:val="2E1819E5"/>
    <w:rsid w:val="2E602F08"/>
    <w:rsid w:val="2E7D5C9D"/>
    <w:rsid w:val="2EC43C00"/>
    <w:rsid w:val="2EFA5260"/>
    <w:rsid w:val="2F2F647A"/>
    <w:rsid w:val="33842AB2"/>
    <w:rsid w:val="33A902AB"/>
    <w:rsid w:val="33B51A84"/>
    <w:rsid w:val="33FB6827"/>
    <w:rsid w:val="348012F1"/>
    <w:rsid w:val="35723161"/>
    <w:rsid w:val="357E2F43"/>
    <w:rsid w:val="36BA628E"/>
    <w:rsid w:val="36ED4C9D"/>
    <w:rsid w:val="372F60CB"/>
    <w:rsid w:val="3730035D"/>
    <w:rsid w:val="37D85674"/>
    <w:rsid w:val="38A60245"/>
    <w:rsid w:val="38AD5420"/>
    <w:rsid w:val="38B05728"/>
    <w:rsid w:val="392855FB"/>
    <w:rsid w:val="3A391B75"/>
    <w:rsid w:val="3C3F1BF5"/>
    <w:rsid w:val="3C6D73A0"/>
    <w:rsid w:val="3CC8570E"/>
    <w:rsid w:val="3D9479C3"/>
    <w:rsid w:val="3E447327"/>
    <w:rsid w:val="3E5472CF"/>
    <w:rsid w:val="3EBA1A9D"/>
    <w:rsid w:val="3F3142F6"/>
    <w:rsid w:val="3F9F1F66"/>
    <w:rsid w:val="402D6370"/>
    <w:rsid w:val="40940641"/>
    <w:rsid w:val="416F2A4E"/>
    <w:rsid w:val="41800E5B"/>
    <w:rsid w:val="42B44211"/>
    <w:rsid w:val="42D875E9"/>
    <w:rsid w:val="42EF6735"/>
    <w:rsid w:val="43486471"/>
    <w:rsid w:val="435A267F"/>
    <w:rsid w:val="43874C19"/>
    <w:rsid w:val="43C755E8"/>
    <w:rsid w:val="43F70A98"/>
    <w:rsid w:val="44F24093"/>
    <w:rsid w:val="45DB7536"/>
    <w:rsid w:val="45F952CE"/>
    <w:rsid w:val="46394F03"/>
    <w:rsid w:val="46B96BA9"/>
    <w:rsid w:val="47410A3B"/>
    <w:rsid w:val="47790605"/>
    <w:rsid w:val="47D66741"/>
    <w:rsid w:val="48B9548F"/>
    <w:rsid w:val="490700AF"/>
    <w:rsid w:val="49BE21B0"/>
    <w:rsid w:val="4A1F21A2"/>
    <w:rsid w:val="4A3237E3"/>
    <w:rsid w:val="4A5909EB"/>
    <w:rsid w:val="4A622D5F"/>
    <w:rsid w:val="4A8233E4"/>
    <w:rsid w:val="4ADB540E"/>
    <w:rsid w:val="4B2653A1"/>
    <w:rsid w:val="4B4D48CE"/>
    <w:rsid w:val="4B531E57"/>
    <w:rsid w:val="4C08500C"/>
    <w:rsid w:val="4C405EB8"/>
    <w:rsid w:val="4CDE51FA"/>
    <w:rsid w:val="4CE26AF0"/>
    <w:rsid w:val="4D302DB3"/>
    <w:rsid w:val="4DA41AFF"/>
    <w:rsid w:val="4DFB54FF"/>
    <w:rsid w:val="4F127F55"/>
    <w:rsid w:val="4F616D4D"/>
    <w:rsid w:val="4FC22C39"/>
    <w:rsid w:val="500940AA"/>
    <w:rsid w:val="5038150F"/>
    <w:rsid w:val="5039234D"/>
    <w:rsid w:val="508C6E64"/>
    <w:rsid w:val="51206E5E"/>
    <w:rsid w:val="51576FEC"/>
    <w:rsid w:val="51855B94"/>
    <w:rsid w:val="51AA02F7"/>
    <w:rsid w:val="5257032C"/>
    <w:rsid w:val="52A7132D"/>
    <w:rsid w:val="530A33A5"/>
    <w:rsid w:val="53446786"/>
    <w:rsid w:val="54532F72"/>
    <w:rsid w:val="54770964"/>
    <w:rsid w:val="54932683"/>
    <w:rsid w:val="54C17E31"/>
    <w:rsid w:val="55BC1C7C"/>
    <w:rsid w:val="55BF64C5"/>
    <w:rsid w:val="55EF3F80"/>
    <w:rsid w:val="568F6F41"/>
    <w:rsid w:val="57EF5A50"/>
    <w:rsid w:val="58A83435"/>
    <w:rsid w:val="58F95C9A"/>
    <w:rsid w:val="59083D2D"/>
    <w:rsid w:val="59425F65"/>
    <w:rsid w:val="594B3101"/>
    <w:rsid w:val="5A5D4DE6"/>
    <w:rsid w:val="5B024C47"/>
    <w:rsid w:val="5B2335F4"/>
    <w:rsid w:val="5C0A6562"/>
    <w:rsid w:val="5C2D3FFE"/>
    <w:rsid w:val="5CC65067"/>
    <w:rsid w:val="5D320BE3"/>
    <w:rsid w:val="5D3F1146"/>
    <w:rsid w:val="5DFF100E"/>
    <w:rsid w:val="5E631F59"/>
    <w:rsid w:val="5EC314BB"/>
    <w:rsid w:val="5FAB0540"/>
    <w:rsid w:val="60223ED9"/>
    <w:rsid w:val="609D0A10"/>
    <w:rsid w:val="60BA0556"/>
    <w:rsid w:val="60E850AC"/>
    <w:rsid w:val="610114B8"/>
    <w:rsid w:val="6219021C"/>
    <w:rsid w:val="623323BF"/>
    <w:rsid w:val="6324369E"/>
    <w:rsid w:val="635457CB"/>
    <w:rsid w:val="641168D4"/>
    <w:rsid w:val="64420ABB"/>
    <w:rsid w:val="6449399F"/>
    <w:rsid w:val="64502DAC"/>
    <w:rsid w:val="64DB24E9"/>
    <w:rsid w:val="64FE0A09"/>
    <w:rsid w:val="65F20792"/>
    <w:rsid w:val="67676273"/>
    <w:rsid w:val="67991E9F"/>
    <w:rsid w:val="691C08FE"/>
    <w:rsid w:val="6A6367BA"/>
    <w:rsid w:val="6A75729C"/>
    <w:rsid w:val="6A9E5C1C"/>
    <w:rsid w:val="6B2D39D4"/>
    <w:rsid w:val="6B99520C"/>
    <w:rsid w:val="6BC43266"/>
    <w:rsid w:val="6C68158C"/>
    <w:rsid w:val="6C9A748E"/>
    <w:rsid w:val="6CDC1854"/>
    <w:rsid w:val="6CE520E5"/>
    <w:rsid w:val="6EB866CB"/>
    <w:rsid w:val="6F8814F0"/>
    <w:rsid w:val="6F881820"/>
    <w:rsid w:val="6F8F2934"/>
    <w:rsid w:val="708F0BB5"/>
    <w:rsid w:val="70A301D8"/>
    <w:rsid w:val="70EE75D2"/>
    <w:rsid w:val="70F57389"/>
    <w:rsid w:val="70FF3DAE"/>
    <w:rsid w:val="712957F0"/>
    <w:rsid w:val="712E6FF5"/>
    <w:rsid w:val="72423431"/>
    <w:rsid w:val="73394E35"/>
    <w:rsid w:val="741505A9"/>
    <w:rsid w:val="74242201"/>
    <w:rsid w:val="743D14E7"/>
    <w:rsid w:val="749807B9"/>
    <w:rsid w:val="74996768"/>
    <w:rsid w:val="756C3E87"/>
    <w:rsid w:val="75A81F81"/>
    <w:rsid w:val="75AD54DC"/>
    <w:rsid w:val="75EC78DA"/>
    <w:rsid w:val="760D2380"/>
    <w:rsid w:val="765E6328"/>
    <w:rsid w:val="767B390F"/>
    <w:rsid w:val="767C7179"/>
    <w:rsid w:val="767F746F"/>
    <w:rsid w:val="76B44D25"/>
    <w:rsid w:val="77DF3C2D"/>
    <w:rsid w:val="77EC0944"/>
    <w:rsid w:val="783C589D"/>
    <w:rsid w:val="787A0784"/>
    <w:rsid w:val="789E1E6B"/>
    <w:rsid w:val="78D70574"/>
    <w:rsid w:val="795E4541"/>
    <w:rsid w:val="796678C6"/>
    <w:rsid w:val="79C93AA4"/>
    <w:rsid w:val="79F77CCE"/>
    <w:rsid w:val="7A1D7785"/>
    <w:rsid w:val="7A8552D9"/>
    <w:rsid w:val="7A94360D"/>
    <w:rsid w:val="7A9D3812"/>
    <w:rsid w:val="7AFB40C1"/>
    <w:rsid w:val="7BA577E4"/>
    <w:rsid w:val="7BF00CEF"/>
    <w:rsid w:val="7BF20FE3"/>
    <w:rsid w:val="7C462B98"/>
    <w:rsid w:val="7C707A1B"/>
    <w:rsid w:val="7CDC64E0"/>
    <w:rsid w:val="7D3A404C"/>
    <w:rsid w:val="7D580A83"/>
    <w:rsid w:val="7E1C7D03"/>
    <w:rsid w:val="7EFC59AA"/>
    <w:rsid w:val="7F355675"/>
    <w:rsid w:val="7FB11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5"/>
    <w:qFormat/>
    <w:uiPriority w:val="9"/>
    <w:pPr>
      <w:keepNext/>
      <w:keepLines/>
      <w:outlineLvl w:val="2"/>
    </w:pPr>
    <w:rPr>
      <w:rFonts w:eastAsia="楷体"/>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footnote text"/>
    <w:basedOn w:val="1"/>
    <w:qFormat/>
    <w:uiPriority w:val="0"/>
    <w:pPr>
      <w:snapToGrid w:val="0"/>
      <w:jc w:val="left"/>
    </w:pPr>
    <w:rPr>
      <w:sz w:val="18"/>
    </w:rPr>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footnote reference"/>
    <w:basedOn w:val="10"/>
    <w:qFormat/>
    <w:uiPriority w:val="0"/>
    <w:rPr>
      <w:vertAlign w:val="superscript"/>
    </w:r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 w:type="paragraph" w:customStyle="1" w:styleId="14">
    <w:name w:val="表格"/>
    <w:next w:val="1"/>
    <w:qFormat/>
    <w:uiPriority w:val="0"/>
    <w:pPr>
      <w:widowControl w:val="0"/>
      <w:adjustRightInd w:val="0"/>
      <w:snapToGrid w:val="0"/>
      <w:jc w:val="center"/>
      <w:outlineLvl w:val="4"/>
    </w:pPr>
    <w:rPr>
      <w:rFonts w:hint="eastAsia" w:ascii="Times New Roman" w:hAnsi="Times New Roman" w:eastAsia="宋体" w:cs="Times New Roman"/>
      <w:sz w:val="28"/>
      <w:lang w:val="en-US" w:eastAsia="zh-CN" w:bidi="ar-SA"/>
    </w:rPr>
  </w:style>
  <w:style w:type="character" w:customStyle="1" w:styleId="15">
    <w:name w:val="标题 3 Char"/>
    <w:basedOn w:val="10"/>
    <w:link w:val="2"/>
    <w:qFormat/>
    <w:uiPriority w:val="9"/>
    <w:rPr>
      <w:rFonts w:eastAsia="楷体"/>
      <w:b/>
      <w:bCs/>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7283</Words>
  <Characters>7820</Characters>
  <Lines>0</Lines>
  <Paragraphs>0</Paragraphs>
  <TotalTime>10</TotalTime>
  <ScaleCrop>false</ScaleCrop>
  <LinksUpToDate>false</LinksUpToDate>
  <CharactersWithSpaces>7994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2022-04-21T02:26:00Z</dcterms:created>
  <dc:creator>软耳兔兔</dc:creator>
  <cp:lastModifiedBy>昭</cp:lastModifiedBy>
  <cp:lastPrinted>2022-11-15T03:02:00Z</cp:lastPrinted>
  <dcterms:modified xsi:type="dcterms:W3CDTF">2026-05-22T07:06:13Z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55056336CCCB4FE280D4C119F41D5DBF</vt:lpwstr>
  </property>
  <property fmtid="{D5CDD505-2E9C-101B-9397-08002B2CF9AE}" pid="4" name="commondata">
    <vt:lpwstr>eyJoZGlkIjoiYTdlYTEyZmJkNDEwNTRiYWNmYzlmYjhjNTNjZWZkZTYifQ==</vt:lpwstr>
  </property>
  <property fmtid="{D5CDD505-2E9C-101B-9397-08002B2CF9AE}" pid="5" name="KSOTemplateDocerSaveRecord">
    <vt:lpwstr>eyJoZGlkIjoiM2ZlOTc3MjE0NjM2ODYyN2VmNGIzYzliN2QxYWM2ZDUiLCJ1c2VySWQiOiIxNDk3MTE5NDQ5In0=</vt:lpwstr>
  </property>
</Properties>
</file>