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9CDAF"/>
    <w:p w14:paraId="2C7833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关于《2026年汕尾市汽车以旧换新补贴实施细则》及《2026年汕尾市家电以旧换新、</w:t>
      </w:r>
    </w:p>
    <w:p w14:paraId="73134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数码和智能产品购新补贴实施细则》</w:t>
      </w:r>
    </w:p>
    <w:p w14:paraId="1970B4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的起草说明</w:t>
      </w:r>
    </w:p>
    <w:p w14:paraId="56172BE0">
      <w:pPr>
        <w:rPr>
          <w:rFonts w:hint="default"/>
        </w:rPr>
      </w:pPr>
    </w:p>
    <w:p w14:paraId="6ED65F92">
      <w:pPr>
        <w:ind w:firstLine="640" w:firstLineChars="200"/>
        <w:rPr>
          <w:rFonts w:hint="default"/>
        </w:rPr>
      </w:pPr>
      <w:r>
        <w:rPr>
          <w:rFonts w:hint="default"/>
        </w:rPr>
        <w:t>为贯彻落实国家及广东省关于2026年实施大规模设备更新和消费品以旧换新政策的工作部署，我局牵头制定了《2026年汕尾市汽车以旧换新补贴实施细则》及《2026年汕尾市家电以旧换新、数码和智能产品购新补贴实施细则》（以下合并简称《实施细则》）。现将起草情况汇报如下：</w:t>
      </w:r>
    </w:p>
    <w:p w14:paraId="2D5D4122">
      <w:pPr>
        <w:ind w:firstLine="640" w:firstLineChars="200"/>
        <w:rPr>
          <w:rFonts w:hint="eastAsia" w:ascii="黑体" w:hAnsi="黑体" w:eastAsia="黑体" w:cs="黑体"/>
        </w:rPr>
      </w:pPr>
      <w:r>
        <w:rPr>
          <w:rFonts w:hint="eastAsia" w:ascii="黑体" w:hAnsi="黑体" w:eastAsia="黑体" w:cs="黑体"/>
        </w:rPr>
        <w:t>一、《实施细则》制定的背景和必要性</w:t>
      </w:r>
    </w:p>
    <w:p w14:paraId="3FBC9677">
      <w:pPr>
        <w:ind w:firstLine="640" w:firstLineChars="200"/>
        <w:rPr>
          <w:rFonts w:hint="default"/>
        </w:rPr>
      </w:pPr>
      <w:r>
        <w:rPr>
          <w:rFonts w:hint="default"/>
        </w:rPr>
        <w:t>为深入贯彻落实</w:t>
      </w:r>
      <w:r>
        <w:rPr>
          <w:rFonts w:hint="default"/>
          <w:lang w:eastAsia="zh-CN"/>
        </w:rPr>
        <w:t>《广东省商务厅等8部门关于印发〈2026年广东省汽车以旧换新补贴实施细则〉的通知》《广东省商务厅等6部门关于印发〈2026年广东省家电以旧换新、数码和智能产品购新补贴实施细则〉的通知》</w:t>
      </w:r>
      <w:r>
        <w:rPr>
          <w:rFonts w:hint="default"/>
        </w:rPr>
        <w:t>要求，加力推进汕尾市消费品以旧换新工作，进一步释放汽车、家电及数码产品消费潜力，推动惠民政策精准落地，市商务局结合我市实际，拟定了《2026年汕尾市汽车以旧换新补贴实施细则》和《2026年汕尾市家电以旧换新、数码和智能产品购新补贴实施细则》，旨在通过明确补贴范围、标准、流程及责任分工，规范资金使用管理，确保政策实施高效、透明，切实惠及广大消费者及经营主体。</w:t>
      </w:r>
    </w:p>
    <w:p w14:paraId="798BB106">
      <w:pPr>
        <w:ind w:firstLine="640" w:firstLineChars="200"/>
        <w:rPr>
          <w:rFonts w:hint="default" w:ascii="黑体" w:hAnsi="黑体" w:eastAsia="黑体" w:cs="黑体"/>
        </w:rPr>
      </w:pPr>
      <w:r>
        <w:rPr>
          <w:rFonts w:hint="default" w:ascii="黑体" w:hAnsi="黑体" w:eastAsia="黑体" w:cs="黑体"/>
        </w:rPr>
        <w:t>二、《实施细则》的起草经过</w:t>
      </w:r>
    </w:p>
    <w:p w14:paraId="26EFD5EF">
      <w:pPr>
        <w:ind w:firstLine="640" w:firstLineChars="200"/>
        <w:rPr>
          <w:rFonts w:hint="default"/>
        </w:rPr>
      </w:pPr>
      <w:r>
        <w:rPr>
          <w:rFonts w:hint="default"/>
        </w:rPr>
        <w:t>我局于2026年初启动《实施细则》起草工作。依据国家和省级政策框架，参照《2026年广东省汽车以旧换新补贴实施细则》《2026年广东省家电以旧换新、数码和智能产品购新补贴实施细则》具体规定，结合汕尾实际起草了征求意见稿。</w:t>
      </w:r>
    </w:p>
    <w:p w14:paraId="4464802C">
      <w:pPr>
        <w:ind w:firstLine="640" w:firstLineChars="200"/>
        <w:rPr>
          <w:rFonts w:hint="default"/>
        </w:rPr>
      </w:pPr>
      <w:r>
        <w:rPr>
          <w:rFonts w:hint="default"/>
        </w:rPr>
        <w:t>起草过程中，我局充分考虑了</w:t>
      </w:r>
      <w:r>
        <w:rPr>
          <w:rFonts w:hint="eastAsia"/>
          <w:lang w:val="en-US" w:eastAsia="zh-CN"/>
        </w:rPr>
        <w:t>2024年、</w:t>
      </w:r>
      <w:r>
        <w:rPr>
          <w:rFonts w:hint="default"/>
        </w:rPr>
        <w:t>202</w:t>
      </w:r>
      <w:r>
        <w:rPr>
          <w:rFonts w:hint="eastAsia"/>
          <w:lang w:val="en-US" w:eastAsia="zh-CN"/>
        </w:rPr>
        <w:t>5</w:t>
      </w:r>
      <w:r>
        <w:rPr>
          <w:rFonts w:hint="default"/>
        </w:rPr>
        <w:t>年促进汽车消费补贴措施的实施经验，优化了流程设计及风险防控条款。</w:t>
      </w:r>
    </w:p>
    <w:p w14:paraId="5B86EA74">
      <w:pPr>
        <w:ind w:firstLine="640" w:firstLineChars="200"/>
        <w:rPr>
          <w:rFonts w:hint="default"/>
        </w:rPr>
      </w:pPr>
      <w:r>
        <w:rPr>
          <w:rFonts w:hint="eastAsia"/>
          <w:lang w:val="en-US" w:eastAsia="zh-CN"/>
        </w:rPr>
        <w:t>4</w:t>
      </w:r>
      <w:r>
        <w:rPr>
          <w:rFonts w:hint="default"/>
        </w:rPr>
        <w:t>月</w:t>
      </w:r>
      <w:r>
        <w:rPr>
          <w:rFonts w:hint="eastAsia"/>
          <w:lang w:val="en-US" w:eastAsia="zh-CN"/>
        </w:rPr>
        <w:t>1</w:t>
      </w:r>
      <w:r>
        <w:rPr>
          <w:rFonts w:hint="default"/>
        </w:rPr>
        <w:t>日，我局书面征求了各县（市、区）人民政府及市发展和改革局、市财政局、市公安局、市市场监督管理局、市税务局、市政务服务和数据管理局、市邮政管理局等相关职能部门意见，根据反馈意见进行了修改完善。</w:t>
      </w:r>
    </w:p>
    <w:p w14:paraId="7DF07B63">
      <w:pPr>
        <w:ind w:firstLine="640" w:firstLineChars="200"/>
        <w:rPr>
          <w:rFonts w:hint="default" w:ascii="黑体" w:hAnsi="黑体" w:eastAsia="黑体" w:cs="黑体"/>
        </w:rPr>
      </w:pPr>
      <w:r>
        <w:rPr>
          <w:rFonts w:hint="default" w:ascii="黑体" w:hAnsi="黑体" w:eastAsia="黑体" w:cs="黑体"/>
        </w:rPr>
        <w:t>三、《实施细则》主要内容</w:t>
      </w:r>
    </w:p>
    <w:p w14:paraId="38E5E32B">
      <w:pPr>
        <w:ind w:firstLine="640" w:firstLineChars="200"/>
        <w:rPr>
          <w:rFonts w:hint="default" w:eastAsia="仿宋_GB2312"/>
          <w:lang w:val="en-US" w:eastAsia="zh-CN"/>
        </w:rPr>
      </w:pPr>
      <w:r>
        <w:rPr>
          <w:rFonts w:hint="default"/>
        </w:rPr>
        <w:t>本次起草的两份《实施细则》体例一致，</w:t>
      </w:r>
      <w:r>
        <w:rPr>
          <w:rFonts w:hint="eastAsia"/>
          <w:lang w:val="en-US" w:eastAsia="zh-CN"/>
        </w:rPr>
        <w:t>明确汽车以旧换新及家电以旧换新、数码和智能产品购新补贴活动的</w:t>
      </w:r>
      <w:r>
        <w:rPr>
          <w:rFonts w:hint="default"/>
        </w:rPr>
        <w:t>实施时间、补贴标准与范围、申领操作流程、资金保障、责任分工及工作要求等</w:t>
      </w:r>
      <w:r>
        <w:rPr>
          <w:rFonts w:hint="eastAsia"/>
          <w:lang w:eastAsia="zh-CN"/>
        </w:rPr>
        <w:t>。</w:t>
      </w:r>
    </w:p>
    <w:p w14:paraId="676900D1">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（一）汽车以旧换新补贴实施细则主要内容</w:t>
      </w:r>
    </w:p>
    <w:p w14:paraId="37DD9E0A">
      <w:pPr>
        <w:ind w:firstLine="640" w:firstLineChars="200"/>
      </w:pPr>
      <w:r>
        <w:rPr>
          <w:rFonts w:hint="default"/>
        </w:rPr>
        <w:t>实施时间：明确政策有效期为2026年1月1日至12月31日。</w:t>
      </w:r>
    </w:p>
    <w:p w14:paraId="46F5CFC9">
      <w:pPr>
        <w:ind w:firstLine="640" w:firstLineChars="200"/>
        <w:rPr>
          <w:rFonts w:hint="default"/>
        </w:rPr>
      </w:pPr>
      <w:r>
        <w:rPr>
          <w:rFonts w:hint="default"/>
        </w:rPr>
        <w:t>补贴范围与标准：</w:t>
      </w:r>
    </w:p>
    <w:p w14:paraId="57724AEC">
      <w:pPr>
        <w:ind w:firstLine="640" w:firstLineChars="200"/>
      </w:pPr>
      <w:r>
        <w:rPr>
          <w:rFonts w:hint="default"/>
        </w:rPr>
        <w:t>细分汽车报废更新与置换更新两类。报废更新购买新能源乘用车最高补贴2万元，购买燃油乘用车最高补贴1.5万元；置换更新购买新能源乘用车最高补贴1.5万元，购买燃油乘用车最高补贴1.3万元。</w:t>
      </w:r>
    </w:p>
    <w:p w14:paraId="198724BB">
      <w:pPr>
        <w:ind w:firstLine="640" w:firstLineChars="200"/>
      </w:pPr>
      <w:r>
        <w:rPr>
          <w:rFonts w:hint="default"/>
        </w:rPr>
        <w:t>申领要求：明确个人消费者申报渠道（全国汽车以旧换新平台）、旧车持有时间要求（2025年1月8日前登记在名下）及所需材料清单。</w:t>
      </w:r>
    </w:p>
    <w:p w14:paraId="0497E5CC">
      <w:pPr>
        <w:ind w:firstLine="640" w:firstLineChars="200"/>
      </w:pPr>
      <w:r>
        <w:rPr>
          <w:rFonts w:hint="default"/>
        </w:rPr>
        <w:t>资金管理：资金来源为中央超长期特别国债及省配套资金，实行事后清算。</w:t>
      </w:r>
    </w:p>
    <w:p w14:paraId="118B2C8E">
      <w:pPr>
        <w:ind w:firstLine="640" w:firstLineChars="200"/>
      </w:pPr>
      <w:r>
        <w:rPr>
          <w:rFonts w:hint="default"/>
        </w:rPr>
        <w:t>（二）家电以旧换新、数码和智能产品购新补贴实施细则主要内容</w:t>
      </w:r>
    </w:p>
    <w:p w14:paraId="0F6324DE">
      <w:pPr>
        <w:ind w:firstLine="640" w:firstLineChars="200"/>
      </w:pPr>
      <w:r>
        <w:rPr>
          <w:rFonts w:hint="default"/>
        </w:rPr>
        <w:t>实施时间：全国统一的“6+4”类产品（冰箱、洗衣机、电视、空调、热水器、电脑；手机、平板、智能手表/环、智能眼镜）补贴自2026年1月1日起实施；其他拓展品类另行确定。</w:t>
      </w:r>
    </w:p>
    <w:p w14:paraId="504B9C32">
      <w:pPr>
        <w:ind w:firstLine="640" w:firstLineChars="200"/>
      </w:pPr>
      <w:r>
        <w:rPr>
          <w:rFonts w:hint="default"/>
        </w:rPr>
        <w:t>补贴标准：统一按最终销售价格的15%给予补贴。家电每件不超过1500元，数码及智能产品每件不超过500元。</w:t>
      </w:r>
    </w:p>
    <w:p w14:paraId="535CA6A6">
      <w:pPr>
        <w:ind w:firstLine="640" w:firstLineChars="200"/>
      </w:pPr>
      <w:r>
        <w:rPr>
          <w:rFonts w:hint="default"/>
        </w:rPr>
        <w:t>操作流程：通过公开遴选确定参与企业，消费者在门店购买时直接享受立减补贴，企业先行垫付后向第三方运营平台申报核销。</w:t>
      </w:r>
    </w:p>
    <w:p w14:paraId="32BC6769">
      <w:pPr>
        <w:ind w:firstLine="640" w:firstLineChars="200"/>
      </w:pPr>
      <w:r>
        <w:rPr>
          <w:rFonts w:hint="default"/>
        </w:rPr>
        <w:t>监督管理：重点强化实名制管理、销售价格备案制度、物流配送监控及数字化监测预警，严防骗补套补。</w:t>
      </w:r>
    </w:p>
    <w:p w14:paraId="7A7A6943">
      <w:pPr>
        <w:ind w:firstLine="640" w:firstLineChars="200"/>
        <w:rPr>
          <w:rFonts w:hint="default" w:ascii="黑体" w:hAnsi="黑体" w:eastAsia="黑体" w:cs="黑体"/>
        </w:rPr>
      </w:pPr>
      <w:r>
        <w:rPr>
          <w:rFonts w:hint="default" w:ascii="黑体" w:hAnsi="黑体" w:eastAsia="黑体" w:cs="黑体"/>
        </w:rPr>
        <w:t>四、《实施细则》对我市经济社会的影响</w:t>
      </w:r>
    </w:p>
    <w:p w14:paraId="79D9B903">
      <w:pPr>
        <w:ind w:firstLine="640" w:firstLineChars="200"/>
      </w:pPr>
      <w:r>
        <w:rPr>
          <w:rFonts w:hint="default"/>
        </w:rPr>
        <w:t>两份《实施细则》的出台，将有效</w:t>
      </w:r>
      <w:r>
        <w:rPr>
          <w:rFonts w:hint="eastAsia"/>
          <w:lang w:eastAsia="zh-CN"/>
        </w:rPr>
        <w:t>激发</w:t>
      </w:r>
      <w:r>
        <w:rPr>
          <w:rFonts w:hint="default"/>
        </w:rPr>
        <w:t>汕尾市大宗消费市场活力。</w:t>
      </w:r>
    </w:p>
    <w:p w14:paraId="52FD86E0">
      <w:pPr>
        <w:ind w:firstLine="640" w:firstLineChars="200"/>
      </w:pPr>
      <w:r>
        <w:rPr>
          <w:rFonts w:hint="eastAsia"/>
          <w:lang w:val="en-US" w:eastAsia="zh-CN"/>
        </w:rPr>
        <w:t>1.</w:t>
      </w:r>
      <w:r>
        <w:rPr>
          <w:rFonts w:hint="default"/>
        </w:rPr>
        <w:t>拉动消费增长：通过财政资金撬动，激发居民对汽车、绿色智能家电及数码产品的更新换代需求，直接促进社消零总额提升。</w:t>
      </w:r>
    </w:p>
    <w:p w14:paraId="4C911D6E">
      <w:pPr>
        <w:ind w:firstLine="640" w:firstLineChars="200"/>
      </w:pPr>
      <w:r>
        <w:rPr>
          <w:rFonts w:hint="eastAsia"/>
          <w:lang w:val="en-US" w:eastAsia="zh-CN"/>
        </w:rPr>
        <w:t>2.</w:t>
      </w:r>
      <w:r>
        <w:rPr>
          <w:rFonts w:hint="default"/>
        </w:rPr>
        <w:t>惠及民生：降低消费者购置新产品的成本，推动高质量耐用消费品进入居民生活。</w:t>
      </w:r>
    </w:p>
    <w:p w14:paraId="1AEB3503">
      <w:pPr>
        <w:ind w:firstLine="640" w:firstLineChars="200"/>
      </w:pPr>
      <w:r>
        <w:rPr>
          <w:rFonts w:hint="eastAsia"/>
          <w:lang w:val="en-US" w:eastAsia="zh-CN"/>
        </w:rPr>
        <w:t>3.</w:t>
      </w:r>
      <w:r>
        <w:rPr>
          <w:rFonts w:hint="default"/>
        </w:rPr>
        <w:t>规范市场秩序：通过明确企业遴选标准和价格备案要求，引导企业规范经营，防止“先涨后补”，营造公平有序的消费环境。</w:t>
      </w:r>
    </w:p>
    <w:p w14:paraId="1EFF1C9F">
      <w:pPr>
        <w:ind w:firstLine="640" w:firstLineChars="200"/>
        <w:rPr>
          <w:rFonts w:hint="default" w:ascii="黑体" w:hAnsi="黑体" w:eastAsia="黑体" w:cs="黑体"/>
        </w:rPr>
      </w:pPr>
      <w:r>
        <w:rPr>
          <w:rFonts w:hint="default" w:ascii="黑体" w:hAnsi="黑体" w:eastAsia="黑体" w:cs="黑体"/>
        </w:rPr>
        <w:t>五、《实施细则》的有关事项说明</w:t>
      </w:r>
    </w:p>
    <w:p w14:paraId="020FB370">
      <w:pPr>
        <w:ind w:firstLine="640" w:firstLineChars="200"/>
        <w:rPr>
          <w:rFonts w:hint="default"/>
        </w:rPr>
      </w:pPr>
      <w:r>
        <w:rPr>
          <w:rFonts w:hint="default"/>
        </w:rPr>
        <w:t>两份《实施细则》自发布之日起实施，实施时间为2026年1月1日</w:t>
      </w:r>
      <w:r>
        <w:rPr>
          <w:rFonts w:hint="default"/>
          <w:lang w:eastAsia="zh-CN"/>
        </w:rPr>
        <w:t>（</w:t>
      </w:r>
      <w:r>
        <w:rPr>
          <w:rFonts w:hint="default"/>
        </w:rPr>
        <w:t>含当日，下同</w:t>
      </w:r>
      <w:r>
        <w:rPr>
          <w:rFonts w:hint="default"/>
          <w:lang w:eastAsia="zh-CN"/>
        </w:rPr>
        <w:t>）</w:t>
      </w:r>
      <w:r>
        <w:rPr>
          <w:rFonts w:hint="default"/>
        </w:rPr>
        <w:t>至12月31日。相关未尽事宜，按照国家和省对应上级文件规定执行。</w:t>
      </w:r>
    </w:p>
    <w:p w14:paraId="49FE791D">
      <w:pPr>
        <w:ind w:firstLine="640" w:firstLineChars="200"/>
        <w:rPr>
          <w:rFonts w:hint="default" w:ascii="黑体" w:hAnsi="黑体" w:eastAsia="黑体" w:cs="黑体"/>
        </w:rPr>
      </w:pPr>
      <w:r>
        <w:rPr>
          <w:rFonts w:hint="default" w:ascii="黑体" w:hAnsi="黑体" w:eastAsia="黑体" w:cs="黑体"/>
        </w:rPr>
        <w:t>六、征求意见方面的情况</w:t>
      </w:r>
    </w:p>
    <w:p w14:paraId="0809BCE9">
      <w:pPr>
        <w:ind w:firstLine="640" w:firstLineChars="200"/>
      </w:pPr>
      <w:r>
        <w:rPr>
          <w:rFonts w:hint="default"/>
          <w:lang w:val="en-US" w:eastAsia="zh-CN"/>
        </w:rPr>
        <w:t>此处根据后续实际流程填入具体时间及反馈情况此处根据后续实际流程填入具体时间及反馈情况</w:t>
      </w:r>
    </w:p>
    <w:p w14:paraId="62D4CD5C">
      <w:pPr>
        <w:ind w:firstLine="640" w:firstLineChars="200"/>
      </w:pPr>
      <w:r>
        <w:rPr>
          <w:rFonts w:hint="eastAsia"/>
          <w:lang w:val="en-US" w:eastAsia="zh-CN"/>
        </w:rPr>
        <w:t>4</w:t>
      </w:r>
      <w:r>
        <w:rPr>
          <w:rFonts w:hint="default"/>
        </w:rPr>
        <w:t>月</w:t>
      </w:r>
      <w:r>
        <w:rPr>
          <w:rFonts w:hint="eastAsia"/>
          <w:lang w:val="en-US" w:eastAsia="zh-CN"/>
        </w:rPr>
        <w:t>1</w:t>
      </w:r>
      <w:r>
        <w:rPr>
          <w:rFonts w:hint="default"/>
        </w:rPr>
        <w:t>日，我局征求各县（市、区）人民政府和市直相关单位意见。共收到</w:t>
      </w:r>
      <w:r>
        <w:rPr>
          <w:rFonts w:hint="eastAsia"/>
          <w:lang w:val="en-US" w:eastAsia="zh-CN"/>
        </w:rPr>
        <w:t>市市监局和市政数局的</w:t>
      </w:r>
      <w:r>
        <w:rPr>
          <w:rFonts w:hint="default"/>
        </w:rPr>
        <w:t>反馈意见</w:t>
      </w:r>
      <w:r>
        <w:rPr>
          <w:rFonts w:hint="eastAsia"/>
          <w:lang w:val="en-US" w:eastAsia="zh-CN"/>
        </w:rPr>
        <w:t>共2</w:t>
      </w:r>
      <w:r>
        <w:rPr>
          <w:rFonts w:hint="default"/>
        </w:rPr>
        <w:t>条，</w:t>
      </w:r>
      <w:r>
        <w:rPr>
          <w:rFonts w:hint="eastAsia"/>
          <w:lang w:val="en-US" w:eastAsia="zh-CN"/>
        </w:rPr>
        <w:t>均已采纳</w:t>
      </w:r>
      <w:r>
        <w:rPr>
          <w:rFonts w:hint="default"/>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0013D"/>
    <w:rsid w:val="22AE5538"/>
    <w:rsid w:val="392A3BCE"/>
    <w:rsid w:val="4028272F"/>
    <w:rsid w:val="42BD710E"/>
    <w:rsid w:val="52D0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b/>
      <w:kern w:val="44"/>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paragraph" w:customStyle="1" w:styleId="7">
    <w:name w:val="公文专用"/>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dbdab8f7-3c07-42c9-b463-3b6f163705ed</errorID>
      <errorWord>刺激</errorWord>
      <group>L1_Grammar</group>
      <groupName>语法问题</groupName>
      <ability>L2_Collocation</ability>
      <abilityName>搭配不当</abilityName>
      <candidateList>
        <item>激发</item>
      </candidateList>
      <explain>句子中可能存在主谓、动宾、定语中心语、状语中心语、补语中心语、关联词搭配不当等问题。</explain>
      <paraID>79D9B903</paraID>
      <start>15</start>
      <end>17</end>
      <status>modified</status>
      <modifiedWord>激发</modifiedWord>
      <trackRevisions>false</trackRevisions>
    </reviewItem>
  </reviewItems>
  <config/>
</contractReview>
</file>

<file path=customXml/itemProps1.xml><?xml version="1.0" encoding="utf-8"?>
<ds:datastoreItem xmlns:ds="http://schemas.openxmlformats.org/officeDocument/2006/customXml" ds:itemID="{b21043ae-b0d2-4a03-a09e-e229c7c5dc5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1688</Words>
  <Characters>1766</Characters>
  <Lines>0</Lines>
  <Paragraphs>0</Paragraphs>
  <TotalTime>1</TotalTime>
  <ScaleCrop>false</ScaleCrop>
  <LinksUpToDate>false</LinksUpToDate>
  <CharactersWithSpaces>1766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2026-03-03T03:38:00Z</dcterms:created>
  <dc:creator>Administrator</dc:creator>
  <cp:lastModifiedBy>A-丁</cp:lastModifiedBy>
  <dcterms:modified xsi:type="dcterms:W3CDTF">2026-04-14T08:41:36Z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C3A85A30CD414612BA646DF8F2D57591_13</vt:lpwstr>
  </property>
  <property fmtid="{D5CDD505-2E9C-101B-9397-08002B2CF9AE}" pid="4" name="KSOTemplateDocerSaveRecord">
    <vt:lpwstr>eyJoZGlkIjoiM2Y1ODBmNjliNDhlZmE3OGMzOWZlYjNjODgyOTIyZmQiLCJ1c2VySWQiOiI3NTEzMzg4MDgifQ==</vt:lpwstr>
  </property>
</Properties>
</file>