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700" w:lineRule="exact"/>
        <w:ind w:firstLine="0" w:firstLineChars="0"/>
        <w:jc w:val="center"/>
        <w:rPr>
          <w:rFonts w:eastAsia="楷体" w:cs="Times New Roman"/>
          <w:b/>
          <w:color w:val="000000" w:themeColor="text1"/>
          <w:spacing w:val="-4"/>
          <w:sz w:val="52"/>
          <w:szCs w:val="52"/>
          <w14:textFill>
            <w14:solidFill>
              <w14:schemeClr w14:val="tx1"/>
            </w14:solidFill>
          </w14:textFill>
        </w:rPr>
      </w:pPr>
    </w:p>
    <w:p>
      <w:pPr>
        <w:spacing w:line="700" w:lineRule="exact"/>
        <w:ind w:firstLine="0" w:firstLineChars="0"/>
        <w:jc w:val="center"/>
        <w:rPr>
          <w:rFonts w:eastAsia="楷体" w:cs="Times New Roman"/>
          <w:b/>
          <w:color w:val="000000" w:themeColor="text1"/>
          <w:spacing w:val="-4"/>
          <w:sz w:val="52"/>
          <w:szCs w:val="52"/>
          <w14:textFill>
            <w14:solidFill>
              <w14:schemeClr w14:val="tx1"/>
            </w14:solidFill>
          </w14:textFill>
        </w:rPr>
      </w:pPr>
    </w:p>
    <w:p>
      <w:pPr>
        <w:spacing w:line="700" w:lineRule="exact"/>
        <w:ind w:firstLine="0" w:firstLineChars="0"/>
        <w:jc w:val="center"/>
        <w:rPr>
          <w:rFonts w:eastAsia="楷体" w:cs="Times New Roman"/>
          <w:b/>
          <w:color w:val="000000" w:themeColor="text1"/>
          <w:spacing w:val="-4"/>
          <w:sz w:val="52"/>
          <w:szCs w:val="52"/>
          <w14:textFill>
            <w14:solidFill>
              <w14:schemeClr w14:val="tx1"/>
            </w14:solidFill>
          </w14:textFill>
        </w:rPr>
      </w:pPr>
    </w:p>
    <w:p>
      <w:pPr>
        <w:spacing w:line="700" w:lineRule="exact"/>
        <w:ind w:firstLine="0" w:firstLineChars="0"/>
        <w:jc w:val="center"/>
        <w:rPr>
          <w:rFonts w:eastAsia="楷体" w:cs="Times New Roman"/>
          <w:b/>
          <w:bCs/>
          <w:iCs/>
          <w:color w:val="000000" w:themeColor="text1"/>
          <w:spacing w:val="-4"/>
          <w:sz w:val="96"/>
          <w:szCs w:val="52"/>
          <w14:textFill>
            <w14:solidFill>
              <w14:schemeClr w14:val="tx1"/>
            </w14:solidFill>
          </w14:textFill>
        </w:rPr>
      </w:pPr>
      <w:r>
        <w:rPr>
          <w:rFonts w:hint="eastAsia" w:eastAsia="黑体" w:cs="Times New Roman"/>
          <w:b/>
          <w:color w:val="000000" w:themeColor="text1"/>
          <w:spacing w:val="-4"/>
          <w:sz w:val="56"/>
          <w:szCs w:val="48"/>
          <w14:textFill>
            <w14:solidFill>
              <w14:schemeClr w14:val="tx1"/>
            </w14:solidFill>
          </w14:textFill>
        </w:rPr>
        <w:t>汕尾市共享电动自行车停放点</w:t>
      </w:r>
    </w:p>
    <w:p>
      <w:pPr>
        <w:spacing w:line="1200" w:lineRule="exact"/>
        <w:ind w:firstLine="0" w:firstLineChars="0"/>
        <w:jc w:val="center"/>
        <w:rPr>
          <w:rFonts w:eastAsia="方正小标宋简体" w:cs="Times New Roman"/>
          <w:color w:val="000000" w:themeColor="text1"/>
          <w:spacing w:val="-4"/>
          <w:sz w:val="72"/>
          <w:szCs w:val="84"/>
          <w14:textFill>
            <w14:solidFill>
              <w14:schemeClr w14:val="tx1"/>
            </w14:solidFill>
          </w14:textFill>
        </w:rPr>
      </w:pPr>
      <w:r>
        <w:rPr>
          <w:rFonts w:hint="eastAsia" w:eastAsia="方正小标宋简体" w:cs="Times New Roman"/>
          <w:color w:val="000000" w:themeColor="text1"/>
          <w:spacing w:val="-4"/>
          <w:sz w:val="72"/>
          <w:szCs w:val="84"/>
          <w14:textFill>
            <w14:solidFill>
              <w14:schemeClr w14:val="tx1"/>
            </w14:solidFill>
          </w14:textFill>
        </w:rPr>
        <w:t>布局规划</w:t>
      </w:r>
    </w:p>
    <w:p>
      <w:pPr>
        <w:spacing w:line="240" w:lineRule="auto"/>
        <w:ind w:firstLine="0" w:firstLineChars="0"/>
        <w:jc w:val="center"/>
        <w:rPr>
          <w:rFonts w:eastAsia="楷体" w:cs="Times New Roman"/>
          <w:bCs/>
          <w:color w:val="000000" w:themeColor="text1"/>
          <w:spacing w:val="-4"/>
          <w:sz w:val="44"/>
          <w:szCs w:val="44"/>
          <w14:textFill>
            <w14:solidFill>
              <w14:schemeClr w14:val="tx1"/>
            </w14:solidFill>
          </w14:textFill>
        </w:rPr>
      </w:pPr>
      <w:r>
        <w:rPr>
          <w:rFonts w:hint="eastAsia"/>
          <w:color w:val="000000" w:themeColor="text1"/>
          <w:spacing w:val="-4"/>
          <w:sz w:val="44"/>
          <w:szCs w:val="44"/>
          <w14:textFill>
            <w14:solidFill>
              <w14:schemeClr w14:val="tx1"/>
            </w14:solidFill>
          </w14:textFill>
        </w:rPr>
        <w:t>（</w:t>
      </w:r>
      <w:r>
        <w:rPr>
          <w:color w:val="000000" w:themeColor="text1"/>
          <w:spacing w:val="-4"/>
          <w:sz w:val="44"/>
          <w:szCs w:val="44"/>
          <w14:textFill>
            <w14:solidFill>
              <w14:schemeClr w14:val="tx1"/>
            </w14:solidFill>
          </w14:textFill>
        </w:rPr>
        <w:t>2026-2030</w:t>
      </w:r>
      <w:r>
        <w:rPr>
          <w:rFonts w:hint="eastAsia"/>
          <w:color w:val="000000" w:themeColor="text1"/>
          <w:spacing w:val="-4"/>
          <w:sz w:val="44"/>
          <w:szCs w:val="44"/>
          <w14:textFill>
            <w14:solidFill>
              <w14:schemeClr w14:val="tx1"/>
            </w14:solidFill>
          </w14:textFill>
        </w:rPr>
        <w:t>年）</w:t>
      </w:r>
    </w:p>
    <w:p>
      <w:pPr>
        <w:spacing w:line="500" w:lineRule="exact"/>
        <w:ind w:firstLine="0" w:firstLineChars="0"/>
        <w:jc w:val="center"/>
        <w:rPr>
          <w:rFonts w:eastAsia="楷体" w:cs="Times New Roman"/>
          <w:bCs/>
          <w:color w:val="000000" w:themeColor="text1"/>
          <w:spacing w:val="-4"/>
          <w:sz w:val="44"/>
          <w14:textFill>
            <w14:solidFill>
              <w14:schemeClr w14:val="tx1"/>
            </w14:solidFill>
          </w14:textFill>
        </w:rPr>
      </w:pPr>
    </w:p>
    <w:p>
      <w:pPr>
        <w:spacing w:line="500" w:lineRule="exact"/>
        <w:ind w:firstLine="0" w:firstLineChars="0"/>
        <w:jc w:val="center"/>
        <w:rPr>
          <w:rFonts w:eastAsia="楷体" w:cs="Times New Roman"/>
          <w:bCs/>
          <w:color w:val="000000" w:themeColor="text1"/>
          <w:spacing w:val="-4"/>
          <w:sz w:val="44"/>
          <w14:textFill>
            <w14:solidFill>
              <w14:schemeClr w14:val="tx1"/>
            </w14:solidFill>
          </w14:textFill>
        </w:rPr>
      </w:pPr>
      <w:r>
        <w:rPr>
          <w:rFonts w:hint="eastAsia" w:eastAsia="楷体" w:cs="Times New Roman"/>
          <w:bCs/>
          <w:color w:val="000000" w:themeColor="text1"/>
          <w:spacing w:val="-4"/>
          <w:sz w:val="44"/>
          <w14:textFill>
            <w14:solidFill>
              <w14:schemeClr w14:val="tx1"/>
            </w14:solidFill>
          </w14:textFill>
        </w:rPr>
        <w:t>（</w:t>
      </w:r>
      <w:r>
        <w:rPr>
          <w:rFonts w:hint="eastAsia" w:eastAsia="楷体" w:cs="Times New Roman"/>
          <w:bCs/>
          <w:color w:val="000000" w:themeColor="text1"/>
          <w:spacing w:val="-4"/>
          <w:sz w:val="44"/>
          <w:lang w:val="en-US" w:eastAsia="zh-CN"/>
          <w14:textFill>
            <w14:solidFill>
              <w14:schemeClr w14:val="tx1"/>
            </w14:solidFill>
          </w14:textFill>
        </w:rPr>
        <w:t>征求意见</w:t>
      </w:r>
      <w:r>
        <w:rPr>
          <w:rFonts w:hint="eastAsia" w:eastAsia="楷体" w:cs="Times New Roman"/>
          <w:bCs/>
          <w:color w:val="000000" w:themeColor="text1"/>
          <w:spacing w:val="-4"/>
          <w:sz w:val="44"/>
          <w14:textFill>
            <w14:solidFill>
              <w14:schemeClr w14:val="tx1"/>
            </w14:solidFill>
          </w14:textFill>
        </w:rPr>
        <w:t>稿）</w:t>
      </w: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867"/>
        <w:rPr>
          <w:rFonts w:cs="Times New Roman"/>
          <w:b/>
          <w:bCs/>
          <w:color w:val="000000" w:themeColor="text1"/>
          <w:spacing w:val="-4"/>
          <w:sz w:val="44"/>
          <w14:textFill>
            <w14:solidFill>
              <w14:schemeClr w14:val="tx1"/>
            </w14:solidFill>
          </w14:textFill>
        </w:rPr>
      </w:pPr>
    </w:p>
    <w:p>
      <w:pPr>
        <w:spacing w:line="500" w:lineRule="exact"/>
        <w:ind w:firstLine="0" w:firstLineChars="0"/>
        <w:rPr>
          <w:rFonts w:cs="Times New Roman"/>
          <w:b/>
          <w:bCs/>
          <w:color w:val="000000" w:themeColor="text1"/>
          <w:spacing w:val="-4"/>
          <w:sz w:val="44"/>
          <w14:textFill>
            <w14:solidFill>
              <w14:schemeClr w14:val="tx1"/>
            </w14:solidFill>
          </w14:textFill>
        </w:rPr>
      </w:pPr>
    </w:p>
    <w:p>
      <w:pPr>
        <w:spacing w:line="500" w:lineRule="exact"/>
        <w:ind w:firstLine="0" w:firstLineChars="0"/>
        <w:rPr>
          <w:rFonts w:cs="Times New Roman"/>
          <w:b/>
          <w:bCs/>
          <w:color w:val="000000" w:themeColor="text1"/>
          <w:spacing w:val="-4"/>
          <w:sz w:val="44"/>
          <w14:textFill>
            <w14:solidFill>
              <w14:schemeClr w14:val="tx1"/>
            </w14:solidFill>
          </w14:textFill>
        </w:rPr>
      </w:pPr>
    </w:p>
    <w:p>
      <w:pPr>
        <w:spacing w:line="500" w:lineRule="exact"/>
        <w:ind w:firstLine="0" w:firstLineChars="0"/>
        <w:rPr>
          <w:rFonts w:cs="Times New Roman"/>
          <w:b/>
          <w:bCs/>
          <w:color w:val="000000" w:themeColor="text1"/>
          <w:spacing w:val="-4"/>
          <w:sz w:val="44"/>
          <w14:textFill>
            <w14:solidFill>
              <w14:schemeClr w14:val="tx1"/>
            </w14:solidFill>
          </w14:textFill>
        </w:rPr>
      </w:pPr>
    </w:p>
    <w:p>
      <w:pPr>
        <w:spacing w:line="500" w:lineRule="exact"/>
        <w:ind w:firstLine="1566" w:firstLineChars="500"/>
        <w:jc w:val="both"/>
        <w:rPr>
          <w:rFonts w:cs="Times New Roman"/>
          <w:b/>
          <w:bCs/>
          <w:color w:val="000000" w:themeColor="text1"/>
          <w:spacing w:val="-4"/>
          <w:sz w:val="32"/>
          <w:szCs w:val="32"/>
          <w14:textFill>
            <w14:solidFill>
              <w14:schemeClr w14:val="tx1"/>
            </w14:solidFill>
          </w14:textFill>
        </w:rPr>
      </w:pPr>
      <w:r>
        <w:rPr>
          <w:rFonts w:cs="Times New Roman"/>
          <w:b/>
          <w:bCs/>
          <w:color w:val="000000" w:themeColor="text1"/>
          <w:spacing w:val="-4"/>
          <w:sz w:val="32"/>
          <w:szCs w:val="32"/>
          <w14:textFill>
            <w14:solidFill>
              <w14:schemeClr w14:val="tx1"/>
            </w14:solidFill>
          </w14:textFill>
        </w:rPr>
        <w:t>编制单位：</w:t>
      </w:r>
      <w:r>
        <w:rPr>
          <w:rFonts w:hint="eastAsia" w:cs="Times New Roman"/>
          <w:b/>
          <w:bCs/>
          <w:color w:val="000000" w:themeColor="text1"/>
          <w:spacing w:val="-4"/>
          <w:sz w:val="32"/>
          <w:szCs w:val="32"/>
          <w14:textFill>
            <w14:solidFill>
              <w14:schemeClr w14:val="tx1"/>
            </w14:solidFill>
          </w14:textFill>
        </w:rPr>
        <w:t>汕尾市交通运输局</w:t>
      </w:r>
    </w:p>
    <w:p>
      <w:pPr>
        <w:spacing w:line="500" w:lineRule="exact"/>
        <w:ind w:firstLine="0" w:firstLineChars="0"/>
        <w:jc w:val="center"/>
        <w:rPr>
          <w:rFonts w:cs="Times New Roman"/>
          <w:b/>
          <w:bCs/>
          <w:color w:val="000000" w:themeColor="text1"/>
          <w:spacing w:val="-4"/>
          <w:sz w:val="32"/>
          <w:szCs w:val="32"/>
          <w14:textFill>
            <w14:solidFill>
              <w14:schemeClr w14:val="tx1"/>
            </w14:solidFill>
          </w14:textFill>
        </w:rPr>
      </w:pPr>
      <w:r>
        <w:rPr>
          <w:rFonts w:cs="Times New Roman"/>
          <w:b/>
          <w:bCs/>
          <w:color w:val="000000" w:themeColor="text1"/>
          <w:spacing w:val="-4"/>
          <w:sz w:val="32"/>
          <w:szCs w:val="32"/>
          <w14:textFill>
            <w14:solidFill>
              <w14:schemeClr w14:val="tx1"/>
            </w14:solidFill>
          </w14:textFill>
        </w:rPr>
        <w:t>广东省交通运输规划研究中心</w:t>
      </w:r>
    </w:p>
    <w:p>
      <w:pPr>
        <w:spacing w:line="500" w:lineRule="exact"/>
        <w:ind w:firstLine="3133" w:firstLineChars="1000"/>
        <w:rPr>
          <w:rFonts w:cs="Times New Roman"/>
          <w:b/>
          <w:bCs/>
          <w:color w:val="000000" w:themeColor="text1"/>
          <w:spacing w:val="-4"/>
          <w:sz w:val="32"/>
          <w:szCs w:val="32"/>
          <w14:textFill>
            <w14:solidFill>
              <w14:schemeClr w14:val="tx1"/>
            </w14:solidFill>
          </w14:textFill>
        </w:rPr>
      </w:pPr>
      <w:r>
        <w:rPr>
          <w:rFonts w:hint="eastAsia" w:cs="Times New Roman"/>
          <w:b/>
          <w:bCs/>
          <w:color w:val="000000" w:themeColor="text1"/>
          <w:spacing w:val="-4"/>
          <w:sz w:val="32"/>
          <w:szCs w:val="32"/>
          <w14:textFill>
            <w14:solidFill>
              <w14:schemeClr w14:val="tx1"/>
            </w14:solidFill>
          </w14:textFill>
        </w:rPr>
        <w:t>华南理工大学</w:t>
      </w:r>
    </w:p>
    <w:p>
      <w:pPr>
        <w:spacing w:line="640" w:lineRule="exact"/>
        <w:ind w:firstLine="3133" w:firstLineChars="1000"/>
        <w:jc w:val="both"/>
        <w:rPr>
          <w:rFonts w:cs="Times New Roman"/>
          <w:b/>
          <w:color w:val="000000" w:themeColor="text1"/>
          <w:spacing w:val="-4"/>
          <w:sz w:val="32"/>
          <w:szCs w:val="32"/>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r>
        <w:rPr>
          <w:rFonts w:hint="eastAsia" w:cs="Times New Roman"/>
          <w:b/>
          <w:color w:val="000000" w:themeColor="text1"/>
          <w:spacing w:val="-4"/>
          <w:sz w:val="32"/>
          <w:szCs w:val="32"/>
          <w14:textFill>
            <w14:solidFill>
              <w14:schemeClr w14:val="tx1"/>
            </w14:solidFill>
          </w14:textFill>
        </w:rPr>
        <w:t>2</w:t>
      </w:r>
      <w:r>
        <w:rPr>
          <w:rFonts w:cs="Times New Roman"/>
          <w:b/>
          <w:color w:val="000000" w:themeColor="text1"/>
          <w:spacing w:val="-4"/>
          <w:sz w:val="32"/>
          <w:szCs w:val="32"/>
          <w14:textFill>
            <w14:solidFill>
              <w14:schemeClr w14:val="tx1"/>
            </w14:solidFill>
          </w14:textFill>
        </w:rPr>
        <w:t>025年12月</w:t>
      </w:r>
    </w:p>
    <w:p>
      <w:pPr>
        <w:spacing w:line="640" w:lineRule="exact"/>
        <w:ind w:firstLine="0" w:firstLineChars="0"/>
        <w:jc w:val="center"/>
        <w:rPr>
          <w:rFonts w:cs="Times New Roman"/>
          <w:b/>
          <w:color w:val="000000" w:themeColor="text1"/>
          <w:spacing w:val="-4"/>
          <w:sz w:val="52"/>
          <w:szCs w:val="52"/>
          <w14:textFill>
            <w14:solidFill>
              <w14:schemeClr w14:val="tx1"/>
            </w14:solidFill>
          </w14:textFill>
        </w:rPr>
      </w:pPr>
      <w:r>
        <w:rPr>
          <w:rFonts w:cs="Times New Roman"/>
          <w:b/>
          <w:color w:val="000000" w:themeColor="text1"/>
          <w:spacing w:val="-4"/>
          <w:sz w:val="52"/>
          <w:szCs w:val="52"/>
          <w14:textFill>
            <w14:solidFill>
              <w14:schemeClr w14:val="tx1"/>
            </w14:solidFill>
          </w14:textFill>
        </w:rPr>
        <w:t>目录</w:t>
      </w:r>
    </w:p>
    <w:p>
      <w:pPr>
        <w:pStyle w:val="18"/>
        <w:rPr>
          <w:rFonts w:eastAsiaTheme="minorEastAsia"/>
          <w:b w:val="0"/>
          <w:sz w:val="21"/>
        </w:rPr>
      </w:pPr>
      <w:r>
        <w:rPr>
          <w:rFonts w:cs="Times New Roman"/>
          <w:b w:val="0"/>
          <w:color w:val="000000" w:themeColor="text1"/>
          <w:spacing w:val="-4"/>
          <w:sz w:val="36"/>
          <w:szCs w:val="36"/>
          <w14:textFill>
            <w14:solidFill>
              <w14:schemeClr w14:val="tx1"/>
            </w14:solidFill>
          </w14:textFill>
        </w:rPr>
        <w:fldChar w:fldCharType="begin"/>
      </w:r>
      <w:r>
        <w:rPr>
          <w:rFonts w:cs="Times New Roman"/>
          <w:b w:val="0"/>
          <w:color w:val="000000" w:themeColor="text1"/>
          <w:spacing w:val="-4"/>
          <w:sz w:val="36"/>
          <w:szCs w:val="36"/>
          <w14:textFill>
            <w14:solidFill>
              <w14:schemeClr w14:val="tx1"/>
            </w14:solidFill>
          </w14:textFill>
        </w:rPr>
        <w:instrText xml:space="preserve"> TOC \o "1-3" \h \z \u </w:instrText>
      </w:r>
      <w:r>
        <w:rPr>
          <w:rFonts w:cs="Times New Roman"/>
          <w:b w:val="0"/>
          <w:color w:val="000000" w:themeColor="text1"/>
          <w:spacing w:val="-4"/>
          <w:sz w:val="36"/>
          <w:szCs w:val="36"/>
          <w14:textFill>
            <w14:solidFill>
              <w14:schemeClr w14:val="tx1"/>
            </w14:solidFill>
          </w14:textFill>
        </w:rPr>
        <w:fldChar w:fldCharType="separate"/>
      </w:r>
      <w:r>
        <w:fldChar w:fldCharType="begin"/>
      </w:r>
      <w:r>
        <w:instrText xml:space="preserve"> HYPERLINK \l "_Toc218782085" </w:instrText>
      </w:r>
      <w:r>
        <w:fldChar w:fldCharType="separate"/>
      </w:r>
      <w:r>
        <w:rPr>
          <w:rStyle w:val="27"/>
          <w:spacing w:val="-4"/>
        </w:rPr>
        <w:t>第一章 规划背景依据及范围</w:t>
      </w:r>
      <w:r>
        <w:tab/>
      </w:r>
      <w:r>
        <w:fldChar w:fldCharType="begin"/>
      </w:r>
      <w:r>
        <w:instrText xml:space="preserve"> PAGEREF _Toc218782085 \h </w:instrText>
      </w:r>
      <w:r>
        <w:fldChar w:fldCharType="separate"/>
      </w:r>
      <w:r>
        <w:t>- 1 -</w:t>
      </w:r>
      <w:r>
        <w:fldChar w:fldCharType="end"/>
      </w:r>
      <w:r>
        <w:fldChar w:fldCharType="end"/>
      </w:r>
    </w:p>
    <w:p>
      <w:pPr>
        <w:pStyle w:val="21"/>
        <w:rPr>
          <w:rFonts w:eastAsiaTheme="minorEastAsia"/>
          <w:sz w:val="21"/>
        </w:rPr>
      </w:pPr>
      <w:r>
        <w:fldChar w:fldCharType="begin"/>
      </w:r>
      <w:r>
        <w:instrText xml:space="preserve"> HYPERLINK \l "_Toc218782086" </w:instrText>
      </w:r>
      <w:r>
        <w:fldChar w:fldCharType="separate"/>
      </w:r>
      <w:r>
        <w:rPr>
          <w:rStyle w:val="27"/>
          <w:spacing w:val="-4"/>
        </w:rPr>
        <w:t>一、规划背景</w:t>
      </w:r>
      <w:r>
        <w:tab/>
      </w:r>
      <w:r>
        <w:fldChar w:fldCharType="begin"/>
      </w:r>
      <w:r>
        <w:instrText xml:space="preserve"> PAGEREF _Toc218782086 \h </w:instrText>
      </w:r>
      <w:r>
        <w:fldChar w:fldCharType="separate"/>
      </w:r>
      <w:r>
        <w:t>- 1 -</w:t>
      </w:r>
      <w:r>
        <w:fldChar w:fldCharType="end"/>
      </w:r>
      <w:r>
        <w:fldChar w:fldCharType="end"/>
      </w:r>
    </w:p>
    <w:p>
      <w:pPr>
        <w:pStyle w:val="21"/>
        <w:rPr>
          <w:rFonts w:eastAsiaTheme="minorEastAsia"/>
          <w:sz w:val="21"/>
        </w:rPr>
      </w:pPr>
      <w:r>
        <w:fldChar w:fldCharType="begin"/>
      </w:r>
      <w:r>
        <w:instrText xml:space="preserve"> HYPERLINK \l "_Toc218782087" </w:instrText>
      </w:r>
      <w:r>
        <w:fldChar w:fldCharType="separate"/>
      </w:r>
      <w:r>
        <w:rPr>
          <w:rStyle w:val="27"/>
          <w:spacing w:val="-4"/>
        </w:rPr>
        <w:t>二、规划范围</w:t>
      </w:r>
      <w:r>
        <w:tab/>
      </w:r>
      <w:r>
        <w:fldChar w:fldCharType="begin"/>
      </w:r>
      <w:r>
        <w:instrText xml:space="preserve"> PAGEREF _Toc218782087 \h </w:instrText>
      </w:r>
      <w:r>
        <w:fldChar w:fldCharType="separate"/>
      </w:r>
      <w:r>
        <w:t>- 2 -</w:t>
      </w:r>
      <w:r>
        <w:fldChar w:fldCharType="end"/>
      </w:r>
      <w:r>
        <w:fldChar w:fldCharType="end"/>
      </w:r>
    </w:p>
    <w:p>
      <w:pPr>
        <w:pStyle w:val="21"/>
        <w:rPr>
          <w:rFonts w:eastAsiaTheme="minorEastAsia"/>
          <w:sz w:val="21"/>
        </w:rPr>
      </w:pPr>
      <w:r>
        <w:fldChar w:fldCharType="begin"/>
      </w:r>
      <w:r>
        <w:instrText xml:space="preserve"> HYPERLINK \l "_Toc218782088" </w:instrText>
      </w:r>
      <w:r>
        <w:fldChar w:fldCharType="separate"/>
      </w:r>
      <w:r>
        <w:rPr>
          <w:rStyle w:val="27"/>
          <w:spacing w:val="-4"/>
        </w:rPr>
        <w:t>三、工作内容</w:t>
      </w:r>
      <w:r>
        <w:tab/>
      </w:r>
      <w:r>
        <w:fldChar w:fldCharType="begin"/>
      </w:r>
      <w:r>
        <w:instrText xml:space="preserve"> PAGEREF _Toc218782088 \h </w:instrText>
      </w:r>
      <w:r>
        <w:fldChar w:fldCharType="separate"/>
      </w:r>
      <w:r>
        <w:t>- 2 -</w:t>
      </w:r>
      <w:r>
        <w:fldChar w:fldCharType="end"/>
      </w:r>
      <w:r>
        <w:fldChar w:fldCharType="end"/>
      </w:r>
    </w:p>
    <w:p>
      <w:pPr>
        <w:pStyle w:val="18"/>
        <w:rPr>
          <w:rFonts w:eastAsiaTheme="minorEastAsia"/>
          <w:b w:val="0"/>
          <w:sz w:val="21"/>
        </w:rPr>
      </w:pPr>
      <w:r>
        <w:fldChar w:fldCharType="begin"/>
      </w:r>
      <w:r>
        <w:instrText xml:space="preserve"> HYPERLINK \l "_Toc218782089" </w:instrText>
      </w:r>
      <w:r>
        <w:fldChar w:fldCharType="separate"/>
      </w:r>
      <w:r>
        <w:rPr>
          <w:rStyle w:val="27"/>
          <w:spacing w:val="-4"/>
        </w:rPr>
        <w:t>第二章 发展现状及需求分析</w:t>
      </w:r>
      <w:r>
        <w:tab/>
      </w:r>
      <w:r>
        <w:fldChar w:fldCharType="begin"/>
      </w:r>
      <w:r>
        <w:instrText xml:space="preserve"> PAGEREF _Toc218782089 \h </w:instrText>
      </w:r>
      <w:r>
        <w:fldChar w:fldCharType="separate"/>
      </w:r>
      <w:r>
        <w:t>- 3 -</w:t>
      </w:r>
      <w:r>
        <w:fldChar w:fldCharType="end"/>
      </w:r>
      <w:r>
        <w:fldChar w:fldCharType="end"/>
      </w:r>
    </w:p>
    <w:p>
      <w:pPr>
        <w:pStyle w:val="21"/>
        <w:rPr>
          <w:rFonts w:eastAsiaTheme="minorEastAsia"/>
          <w:sz w:val="21"/>
        </w:rPr>
      </w:pPr>
      <w:r>
        <w:fldChar w:fldCharType="begin"/>
      </w:r>
      <w:r>
        <w:instrText xml:space="preserve"> HYPERLINK \l "_Toc218782090" </w:instrText>
      </w:r>
      <w:r>
        <w:fldChar w:fldCharType="separate"/>
      </w:r>
      <w:r>
        <w:rPr>
          <w:rStyle w:val="27"/>
        </w:rPr>
        <w:t>一、发展现状</w:t>
      </w:r>
      <w:r>
        <w:tab/>
      </w:r>
      <w:r>
        <w:fldChar w:fldCharType="begin"/>
      </w:r>
      <w:r>
        <w:instrText xml:space="preserve"> PAGEREF _Toc218782090 \h </w:instrText>
      </w:r>
      <w:r>
        <w:fldChar w:fldCharType="separate"/>
      </w:r>
      <w:r>
        <w:t>- 3 -</w:t>
      </w:r>
      <w:r>
        <w:fldChar w:fldCharType="end"/>
      </w:r>
      <w:r>
        <w:fldChar w:fldCharType="end"/>
      </w:r>
    </w:p>
    <w:p>
      <w:pPr>
        <w:pStyle w:val="12"/>
        <w:rPr>
          <w:rFonts w:eastAsiaTheme="minorEastAsia"/>
          <w:sz w:val="21"/>
        </w:rPr>
      </w:pPr>
      <w:r>
        <w:fldChar w:fldCharType="begin"/>
      </w:r>
      <w:r>
        <w:instrText xml:space="preserve"> HYPERLINK \l "_Toc218782091" </w:instrText>
      </w:r>
      <w:r>
        <w:fldChar w:fldCharType="separate"/>
      </w:r>
      <w:r>
        <w:rPr>
          <w:rStyle w:val="27"/>
        </w:rPr>
        <w:t>（一）社会经济发展现状</w:t>
      </w:r>
      <w:r>
        <w:tab/>
      </w:r>
      <w:r>
        <w:fldChar w:fldCharType="begin"/>
      </w:r>
      <w:r>
        <w:instrText xml:space="preserve"> PAGEREF _Toc218782091 \h </w:instrText>
      </w:r>
      <w:r>
        <w:fldChar w:fldCharType="separate"/>
      </w:r>
      <w:r>
        <w:t>- 3 -</w:t>
      </w:r>
      <w:r>
        <w:fldChar w:fldCharType="end"/>
      </w:r>
      <w:r>
        <w:fldChar w:fldCharType="end"/>
      </w:r>
    </w:p>
    <w:p>
      <w:pPr>
        <w:pStyle w:val="12"/>
        <w:rPr>
          <w:rFonts w:eastAsiaTheme="minorEastAsia"/>
          <w:sz w:val="21"/>
        </w:rPr>
      </w:pPr>
      <w:r>
        <w:fldChar w:fldCharType="begin"/>
      </w:r>
      <w:r>
        <w:instrText xml:space="preserve"> HYPERLINK \l "_Toc218782092" </w:instrText>
      </w:r>
      <w:r>
        <w:fldChar w:fldCharType="separate"/>
      </w:r>
      <w:r>
        <w:rPr>
          <w:rStyle w:val="27"/>
        </w:rPr>
        <w:t>（二）城市交通发展现状</w:t>
      </w:r>
      <w:r>
        <w:tab/>
      </w:r>
      <w:r>
        <w:fldChar w:fldCharType="begin"/>
      </w:r>
      <w:r>
        <w:instrText xml:space="preserve"> PAGEREF _Toc218782092 \h </w:instrText>
      </w:r>
      <w:r>
        <w:fldChar w:fldCharType="separate"/>
      </w:r>
      <w:r>
        <w:t>- 3 -</w:t>
      </w:r>
      <w:r>
        <w:fldChar w:fldCharType="end"/>
      </w:r>
      <w:r>
        <w:fldChar w:fldCharType="end"/>
      </w:r>
    </w:p>
    <w:p>
      <w:pPr>
        <w:pStyle w:val="12"/>
        <w:rPr>
          <w:rFonts w:eastAsiaTheme="minorEastAsia"/>
          <w:sz w:val="21"/>
        </w:rPr>
      </w:pPr>
      <w:r>
        <w:fldChar w:fldCharType="begin"/>
      </w:r>
      <w:r>
        <w:instrText xml:space="preserve"> HYPERLINK \l "_Toc218782093" </w:instrText>
      </w:r>
      <w:r>
        <w:fldChar w:fldCharType="separate"/>
      </w:r>
      <w:r>
        <w:rPr>
          <w:rStyle w:val="27"/>
        </w:rPr>
        <w:t>（三）存在问题</w:t>
      </w:r>
      <w:r>
        <w:tab/>
      </w:r>
      <w:r>
        <w:fldChar w:fldCharType="begin"/>
      </w:r>
      <w:r>
        <w:instrText xml:space="preserve"> PAGEREF _Toc218782093 \h </w:instrText>
      </w:r>
      <w:r>
        <w:fldChar w:fldCharType="separate"/>
      </w:r>
      <w:r>
        <w:t>- 4 -</w:t>
      </w:r>
      <w:r>
        <w:fldChar w:fldCharType="end"/>
      </w:r>
      <w:r>
        <w:fldChar w:fldCharType="end"/>
      </w:r>
    </w:p>
    <w:p>
      <w:pPr>
        <w:pStyle w:val="21"/>
        <w:rPr>
          <w:rFonts w:eastAsiaTheme="minorEastAsia"/>
          <w:sz w:val="21"/>
        </w:rPr>
      </w:pPr>
      <w:r>
        <w:fldChar w:fldCharType="begin"/>
      </w:r>
      <w:r>
        <w:instrText xml:space="preserve"> HYPERLINK \l "_Toc218782094" </w:instrText>
      </w:r>
      <w:r>
        <w:fldChar w:fldCharType="separate"/>
      </w:r>
      <w:r>
        <w:rPr>
          <w:rStyle w:val="27"/>
          <w:spacing w:val="-4"/>
        </w:rPr>
        <w:t>二、出行需求总量测算</w:t>
      </w:r>
      <w:r>
        <w:tab/>
      </w:r>
      <w:r>
        <w:fldChar w:fldCharType="begin"/>
      </w:r>
      <w:r>
        <w:instrText xml:space="preserve"> PAGEREF _Toc218782094 \h </w:instrText>
      </w:r>
      <w:r>
        <w:fldChar w:fldCharType="separate"/>
      </w:r>
      <w:r>
        <w:t>- 5 -</w:t>
      </w:r>
      <w:r>
        <w:fldChar w:fldCharType="end"/>
      </w:r>
      <w:r>
        <w:fldChar w:fldCharType="end"/>
      </w:r>
    </w:p>
    <w:p>
      <w:pPr>
        <w:pStyle w:val="21"/>
        <w:rPr>
          <w:rFonts w:eastAsiaTheme="minorEastAsia"/>
          <w:sz w:val="21"/>
        </w:rPr>
      </w:pPr>
      <w:r>
        <w:fldChar w:fldCharType="begin"/>
      </w:r>
      <w:r>
        <w:instrText xml:space="preserve"> HYPERLINK \l "_Toc218782095" </w:instrText>
      </w:r>
      <w:r>
        <w:fldChar w:fldCharType="separate"/>
      </w:r>
      <w:r>
        <w:rPr>
          <w:rStyle w:val="27"/>
          <w:spacing w:val="-4"/>
        </w:rPr>
        <w:t>三、重点区域分析</w:t>
      </w:r>
      <w:r>
        <w:tab/>
      </w:r>
      <w:r>
        <w:fldChar w:fldCharType="begin"/>
      </w:r>
      <w:r>
        <w:instrText xml:space="preserve"> PAGEREF _Toc218782095 \h </w:instrText>
      </w:r>
      <w:r>
        <w:fldChar w:fldCharType="separate"/>
      </w:r>
      <w:r>
        <w:t>- 7 -</w:t>
      </w:r>
      <w:r>
        <w:fldChar w:fldCharType="end"/>
      </w:r>
      <w:r>
        <w:fldChar w:fldCharType="end"/>
      </w:r>
    </w:p>
    <w:p>
      <w:pPr>
        <w:pStyle w:val="12"/>
        <w:rPr>
          <w:rFonts w:eastAsiaTheme="minorEastAsia"/>
          <w:sz w:val="21"/>
        </w:rPr>
      </w:pPr>
      <w:r>
        <w:fldChar w:fldCharType="begin"/>
      </w:r>
      <w:r>
        <w:instrText xml:space="preserve"> HYPERLINK \l "_Toc218782096" </w:instrText>
      </w:r>
      <w:r>
        <w:fldChar w:fldCharType="separate"/>
      </w:r>
      <w:r>
        <w:rPr>
          <w:rStyle w:val="27"/>
          <w:spacing w:val="-4"/>
        </w:rPr>
        <w:t>（一）人流热力图分析</w:t>
      </w:r>
      <w:r>
        <w:tab/>
      </w:r>
      <w:r>
        <w:fldChar w:fldCharType="begin"/>
      </w:r>
      <w:r>
        <w:instrText xml:space="preserve"> PAGEREF _Toc218782096 \h </w:instrText>
      </w:r>
      <w:r>
        <w:fldChar w:fldCharType="separate"/>
      </w:r>
      <w:r>
        <w:t>- 7 -</w:t>
      </w:r>
      <w:r>
        <w:fldChar w:fldCharType="end"/>
      </w:r>
      <w:r>
        <w:fldChar w:fldCharType="end"/>
      </w:r>
    </w:p>
    <w:p>
      <w:pPr>
        <w:pStyle w:val="12"/>
        <w:rPr>
          <w:rFonts w:eastAsiaTheme="minorEastAsia"/>
          <w:sz w:val="21"/>
        </w:rPr>
      </w:pPr>
      <w:r>
        <w:fldChar w:fldCharType="begin"/>
      </w:r>
      <w:r>
        <w:instrText xml:space="preserve"> HYPERLINK \l "_Toc218782097" </w:instrText>
      </w:r>
      <w:r>
        <w:fldChar w:fldCharType="separate"/>
      </w:r>
      <w:r>
        <w:rPr>
          <w:rStyle w:val="27"/>
          <w:spacing w:val="-4"/>
        </w:rPr>
        <w:t>（二）公交站衔接需求分析</w:t>
      </w:r>
      <w:r>
        <w:tab/>
      </w:r>
      <w:r>
        <w:fldChar w:fldCharType="begin"/>
      </w:r>
      <w:r>
        <w:instrText xml:space="preserve"> PAGEREF _Toc218782097 \h </w:instrText>
      </w:r>
      <w:r>
        <w:fldChar w:fldCharType="separate"/>
      </w:r>
      <w:r>
        <w:t>- 13 -</w:t>
      </w:r>
      <w:r>
        <w:fldChar w:fldCharType="end"/>
      </w:r>
      <w:r>
        <w:fldChar w:fldCharType="end"/>
      </w:r>
    </w:p>
    <w:p>
      <w:pPr>
        <w:pStyle w:val="12"/>
        <w:rPr>
          <w:rFonts w:eastAsiaTheme="minorEastAsia"/>
          <w:sz w:val="21"/>
        </w:rPr>
      </w:pPr>
      <w:r>
        <w:fldChar w:fldCharType="begin"/>
      </w:r>
      <w:r>
        <w:instrText xml:space="preserve"> HYPERLINK \l "_Toc218782098" </w:instrText>
      </w:r>
      <w:r>
        <w:fldChar w:fldCharType="separate"/>
      </w:r>
      <w:r>
        <w:rPr>
          <w:rStyle w:val="27"/>
          <w:spacing w:val="-4"/>
        </w:rPr>
        <w:t>（三）客流集散点分析</w:t>
      </w:r>
      <w:r>
        <w:tab/>
      </w:r>
      <w:r>
        <w:fldChar w:fldCharType="begin"/>
      </w:r>
      <w:r>
        <w:instrText xml:space="preserve"> PAGEREF _Toc218782098 \h </w:instrText>
      </w:r>
      <w:r>
        <w:fldChar w:fldCharType="separate"/>
      </w:r>
      <w:r>
        <w:t>- 13 -</w:t>
      </w:r>
      <w:r>
        <w:fldChar w:fldCharType="end"/>
      </w:r>
      <w:r>
        <w:fldChar w:fldCharType="end"/>
      </w:r>
    </w:p>
    <w:p>
      <w:pPr>
        <w:pStyle w:val="18"/>
        <w:rPr>
          <w:rFonts w:eastAsiaTheme="minorEastAsia"/>
          <w:b w:val="0"/>
          <w:sz w:val="21"/>
        </w:rPr>
      </w:pPr>
      <w:r>
        <w:fldChar w:fldCharType="begin"/>
      </w:r>
      <w:r>
        <w:instrText xml:space="preserve"> HYPERLINK \l "_Toc218782099" </w:instrText>
      </w:r>
      <w:r>
        <w:fldChar w:fldCharType="separate"/>
      </w:r>
      <w:r>
        <w:rPr>
          <w:rStyle w:val="27"/>
          <w:spacing w:val="-4"/>
        </w:rPr>
        <w:t>第三章 规划思路及目标</w:t>
      </w:r>
      <w:r>
        <w:tab/>
      </w:r>
      <w:r>
        <w:fldChar w:fldCharType="begin"/>
      </w:r>
      <w:r>
        <w:instrText xml:space="preserve"> PAGEREF _Toc218782099 \h </w:instrText>
      </w:r>
      <w:r>
        <w:fldChar w:fldCharType="separate"/>
      </w:r>
      <w:r>
        <w:t>- 14 -</w:t>
      </w:r>
      <w:r>
        <w:fldChar w:fldCharType="end"/>
      </w:r>
      <w:r>
        <w:fldChar w:fldCharType="end"/>
      </w:r>
    </w:p>
    <w:p>
      <w:pPr>
        <w:pStyle w:val="21"/>
        <w:rPr>
          <w:rFonts w:eastAsiaTheme="minorEastAsia"/>
          <w:sz w:val="21"/>
        </w:rPr>
      </w:pPr>
      <w:r>
        <w:fldChar w:fldCharType="begin"/>
      </w:r>
      <w:r>
        <w:instrText xml:space="preserve"> HYPERLINK \l "_Toc218782100" </w:instrText>
      </w:r>
      <w:r>
        <w:fldChar w:fldCharType="separate"/>
      </w:r>
      <w:r>
        <w:rPr>
          <w:rStyle w:val="27"/>
          <w:spacing w:val="-4"/>
        </w:rPr>
        <w:t>一、总体思路</w:t>
      </w:r>
      <w:r>
        <w:tab/>
      </w:r>
      <w:r>
        <w:fldChar w:fldCharType="begin"/>
      </w:r>
      <w:r>
        <w:instrText xml:space="preserve"> PAGEREF _Toc218782100 \h </w:instrText>
      </w:r>
      <w:r>
        <w:fldChar w:fldCharType="separate"/>
      </w:r>
      <w:r>
        <w:t>- 14 -</w:t>
      </w:r>
      <w:r>
        <w:fldChar w:fldCharType="end"/>
      </w:r>
      <w:r>
        <w:fldChar w:fldCharType="end"/>
      </w:r>
    </w:p>
    <w:p>
      <w:pPr>
        <w:pStyle w:val="21"/>
        <w:rPr>
          <w:rFonts w:eastAsiaTheme="minorEastAsia"/>
          <w:sz w:val="21"/>
        </w:rPr>
      </w:pPr>
      <w:r>
        <w:fldChar w:fldCharType="begin"/>
      </w:r>
      <w:r>
        <w:instrText xml:space="preserve"> HYPERLINK \l "_Toc218782101" </w:instrText>
      </w:r>
      <w:r>
        <w:fldChar w:fldCharType="separate"/>
      </w:r>
      <w:r>
        <w:rPr>
          <w:rStyle w:val="27"/>
          <w:spacing w:val="-4"/>
        </w:rPr>
        <w:t>二、规划原则</w:t>
      </w:r>
      <w:r>
        <w:tab/>
      </w:r>
      <w:r>
        <w:fldChar w:fldCharType="begin"/>
      </w:r>
      <w:r>
        <w:instrText xml:space="preserve"> PAGEREF _Toc218782101 \h </w:instrText>
      </w:r>
      <w:r>
        <w:fldChar w:fldCharType="separate"/>
      </w:r>
      <w:r>
        <w:t>- 14 -</w:t>
      </w:r>
      <w:r>
        <w:fldChar w:fldCharType="end"/>
      </w:r>
      <w:r>
        <w:fldChar w:fldCharType="end"/>
      </w:r>
    </w:p>
    <w:p>
      <w:pPr>
        <w:pStyle w:val="21"/>
        <w:rPr>
          <w:rFonts w:eastAsiaTheme="minorEastAsia"/>
          <w:sz w:val="21"/>
        </w:rPr>
      </w:pPr>
      <w:r>
        <w:fldChar w:fldCharType="begin"/>
      </w:r>
      <w:r>
        <w:instrText xml:space="preserve"> HYPERLINK \l "_Toc218782102" </w:instrText>
      </w:r>
      <w:r>
        <w:fldChar w:fldCharType="separate"/>
      </w:r>
      <w:r>
        <w:rPr>
          <w:rStyle w:val="27"/>
          <w:spacing w:val="-4"/>
        </w:rPr>
        <w:t>三、规划目标</w:t>
      </w:r>
      <w:r>
        <w:tab/>
      </w:r>
      <w:r>
        <w:fldChar w:fldCharType="begin"/>
      </w:r>
      <w:r>
        <w:instrText xml:space="preserve"> PAGEREF _Toc218782102 \h </w:instrText>
      </w:r>
      <w:r>
        <w:fldChar w:fldCharType="separate"/>
      </w:r>
      <w:r>
        <w:t>- 15 -</w:t>
      </w:r>
      <w:r>
        <w:fldChar w:fldCharType="end"/>
      </w:r>
      <w:r>
        <w:fldChar w:fldCharType="end"/>
      </w:r>
    </w:p>
    <w:p>
      <w:pPr>
        <w:pStyle w:val="18"/>
        <w:rPr>
          <w:rFonts w:eastAsiaTheme="minorEastAsia"/>
          <w:b w:val="0"/>
          <w:sz w:val="21"/>
        </w:rPr>
      </w:pPr>
      <w:r>
        <w:fldChar w:fldCharType="begin"/>
      </w:r>
      <w:r>
        <w:instrText xml:space="preserve"> HYPERLINK \l "_Toc218782103" </w:instrText>
      </w:r>
      <w:r>
        <w:fldChar w:fldCharType="separate"/>
      </w:r>
      <w:r>
        <w:rPr>
          <w:rStyle w:val="27"/>
          <w:spacing w:val="-4"/>
        </w:rPr>
        <w:t>第四章 布局方案</w:t>
      </w:r>
      <w:r>
        <w:tab/>
      </w:r>
      <w:r>
        <w:fldChar w:fldCharType="begin"/>
      </w:r>
      <w:r>
        <w:instrText xml:space="preserve"> PAGEREF _Toc218782103 \h </w:instrText>
      </w:r>
      <w:r>
        <w:fldChar w:fldCharType="separate"/>
      </w:r>
      <w:r>
        <w:t>- 16 -</w:t>
      </w:r>
      <w:r>
        <w:fldChar w:fldCharType="end"/>
      </w:r>
      <w:r>
        <w:fldChar w:fldCharType="end"/>
      </w:r>
    </w:p>
    <w:p>
      <w:pPr>
        <w:pStyle w:val="21"/>
        <w:rPr>
          <w:rFonts w:eastAsiaTheme="minorEastAsia"/>
          <w:sz w:val="21"/>
        </w:rPr>
      </w:pPr>
      <w:r>
        <w:fldChar w:fldCharType="begin"/>
      </w:r>
      <w:r>
        <w:instrText xml:space="preserve"> HYPERLINK \l "_Toc218782104" </w:instrText>
      </w:r>
      <w:r>
        <w:fldChar w:fldCharType="separate"/>
      </w:r>
      <w:r>
        <w:rPr>
          <w:rStyle w:val="27"/>
          <w:spacing w:val="-4"/>
        </w:rPr>
        <w:t>一、布局策略</w:t>
      </w:r>
      <w:r>
        <w:tab/>
      </w:r>
      <w:r>
        <w:fldChar w:fldCharType="begin"/>
      </w:r>
      <w:r>
        <w:instrText xml:space="preserve"> PAGEREF _Toc218782104 \h </w:instrText>
      </w:r>
      <w:r>
        <w:fldChar w:fldCharType="separate"/>
      </w:r>
      <w:r>
        <w:t>- 16 -</w:t>
      </w:r>
      <w:r>
        <w:fldChar w:fldCharType="end"/>
      </w:r>
      <w:r>
        <w:fldChar w:fldCharType="end"/>
      </w:r>
    </w:p>
    <w:p>
      <w:pPr>
        <w:pStyle w:val="12"/>
        <w:rPr>
          <w:rFonts w:eastAsiaTheme="minorEastAsia"/>
          <w:sz w:val="21"/>
        </w:rPr>
      </w:pPr>
      <w:r>
        <w:fldChar w:fldCharType="begin"/>
      </w:r>
      <w:r>
        <w:instrText xml:space="preserve"> HYPERLINK \l "_Toc218782105" </w:instrText>
      </w:r>
      <w:r>
        <w:fldChar w:fldCharType="separate"/>
      </w:r>
      <w:r>
        <w:rPr>
          <w:rStyle w:val="27"/>
          <w:spacing w:val="-4"/>
        </w:rPr>
        <w:t>（一）停放点分类</w:t>
      </w:r>
      <w:r>
        <w:tab/>
      </w:r>
      <w:r>
        <w:fldChar w:fldCharType="begin"/>
      </w:r>
      <w:r>
        <w:instrText xml:space="preserve"> PAGEREF _Toc218782105 \h </w:instrText>
      </w:r>
      <w:r>
        <w:fldChar w:fldCharType="separate"/>
      </w:r>
      <w:r>
        <w:t>- 16 -</w:t>
      </w:r>
      <w:r>
        <w:fldChar w:fldCharType="end"/>
      </w:r>
      <w:r>
        <w:fldChar w:fldCharType="end"/>
      </w:r>
    </w:p>
    <w:p>
      <w:pPr>
        <w:pStyle w:val="12"/>
        <w:rPr>
          <w:rFonts w:eastAsiaTheme="minorEastAsia"/>
          <w:sz w:val="21"/>
        </w:rPr>
      </w:pPr>
      <w:r>
        <w:fldChar w:fldCharType="begin"/>
      </w:r>
      <w:r>
        <w:instrText xml:space="preserve"> HYPERLINK \l "_Toc218782106" </w:instrText>
      </w:r>
      <w:r>
        <w:fldChar w:fldCharType="separate"/>
      </w:r>
      <w:r>
        <w:rPr>
          <w:rStyle w:val="27"/>
          <w:spacing w:val="-4"/>
        </w:rPr>
        <w:t>（二）选址策略</w:t>
      </w:r>
      <w:r>
        <w:tab/>
      </w:r>
      <w:r>
        <w:fldChar w:fldCharType="begin"/>
      </w:r>
      <w:r>
        <w:instrText xml:space="preserve"> PAGEREF _Toc218782106 \h </w:instrText>
      </w:r>
      <w:r>
        <w:fldChar w:fldCharType="separate"/>
      </w:r>
      <w:r>
        <w:t>- 17 -</w:t>
      </w:r>
      <w:r>
        <w:fldChar w:fldCharType="end"/>
      </w:r>
      <w:r>
        <w:fldChar w:fldCharType="end"/>
      </w:r>
    </w:p>
    <w:p>
      <w:pPr>
        <w:pStyle w:val="21"/>
        <w:rPr>
          <w:rFonts w:eastAsiaTheme="minorEastAsia"/>
          <w:sz w:val="21"/>
        </w:rPr>
      </w:pPr>
      <w:r>
        <w:fldChar w:fldCharType="begin"/>
      </w:r>
      <w:r>
        <w:instrText xml:space="preserve"> HYPERLINK \l "_Toc218782107" </w:instrText>
      </w:r>
      <w:r>
        <w:fldChar w:fldCharType="separate"/>
      </w:r>
      <w:r>
        <w:rPr>
          <w:rStyle w:val="27"/>
          <w:spacing w:val="-4"/>
        </w:rPr>
        <w:t>二、设置要求</w:t>
      </w:r>
      <w:r>
        <w:tab/>
      </w:r>
      <w:r>
        <w:fldChar w:fldCharType="begin"/>
      </w:r>
      <w:r>
        <w:instrText xml:space="preserve"> PAGEREF _Toc218782107 \h </w:instrText>
      </w:r>
      <w:r>
        <w:fldChar w:fldCharType="separate"/>
      </w:r>
      <w:r>
        <w:t>- 17 -</w:t>
      </w:r>
      <w:r>
        <w:fldChar w:fldCharType="end"/>
      </w:r>
      <w:r>
        <w:fldChar w:fldCharType="end"/>
      </w:r>
    </w:p>
    <w:p>
      <w:pPr>
        <w:pStyle w:val="12"/>
        <w:rPr>
          <w:rFonts w:eastAsiaTheme="minorEastAsia"/>
          <w:sz w:val="21"/>
        </w:rPr>
      </w:pPr>
      <w:r>
        <w:fldChar w:fldCharType="begin"/>
      </w:r>
      <w:r>
        <w:instrText xml:space="preserve"> HYPERLINK \l "_Toc218782108" </w:instrText>
      </w:r>
      <w:r>
        <w:fldChar w:fldCharType="separate"/>
      </w:r>
      <w:r>
        <w:rPr>
          <w:rStyle w:val="27"/>
          <w:spacing w:val="-4"/>
        </w:rPr>
        <w:t>（一）布置形式</w:t>
      </w:r>
      <w:r>
        <w:tab/>
      </w:r>
      <w:r>
        <w:fldChar w:fldCharType="begin"/>
      </w:r>
      <w:r>
        <w:instrText xml:space="preserve"> PAGEREF _Toc218782108 \h </w:instrText>
      </w:r>
      <w:r>
        <w:fldChar w:fldCharType="separate"/>
      </w:r>
      <w:r>
        <w:t>- 18 -</w:t>
      </w:r>
      <w:r>
        <w:fldChar w:fldCharType="end"/>
      </w:r>
      <w:r>
        <w:fldChar w:fldCharType="end"/>
      </w:r>
    </w:p>
    <w:p>
      <w:pPr>
        <w:pStyle w:val="12"/>
        <w:rPr>
          <w:rFonts w:eastAsiaTheme="minorEastAsia"/>
          <w:sz w:val="21"/>
        </w:rPr>
      </w:pPr>
      <w:r>
        <w:fldChar w:fldCharType="begin"/>
      </w:r>
      <w:r>
        <w:instrText xml:space="preserve"> HYPERLINK \l "_Toc218782109" </w:instrText>
      </w:r>
      <w:r>
        <w:fldChar w:fldCharType="separate"/>
      </w:r>
      <w:r>
        <w:rPr>
          <w:rStyle w:val="27"/>
          <w:spacing w:val="-4"/>
        </w:rPr>
        <w:t>（二）标志设计</w:t>
      </w:r>
      <w:r>
        <w:tab/>
      </w:r>
      <w:r>
        <w:fldChar w:fldCharType="begin"/>
      </w:r>
      <w:r>
        <w:instrText xml:space="preserve"> PAGEREF _Toc218782109 \h </w:instrText>
      </w:r>
      <w:r>
        <w:fldChar w:fldCharType="separate"/>
      </w:r>
      <w:r>
        <w:t>- 18 -</w:t>
      </w:r>
      <w:r>
        <w:fldChar w:fldCharType="end"/>
      </w:r>
      <w:r>
        <w:fldChar w:fldCharType="end"/>
      </w:r>
    </w:p>
    <w:p>
      <w:pPr>
        <w:pStyle w:val="12"/>
        <w:rPr>
          <w:rFonts w:eastAsiaTheme="minorEastAsia"/>
          <w:sz w:val="21"/>
        </w:rPr>
      </w:pPr>
      <w:r>
        <w:fldChar w:fldCharType="begin"/>
      </w:r>
      <w:r>
        <w:instrText xml:space="preserve"> HYPERLINK \l "_Toc218782110" </w:instrText>
      </w:r>
      <w:r>
        <w:fldChar w:fldCharType="separate"/>
      </w:r>
      <w:r>
        <w:rPr>
          <w:rStyle w:val="27"/>
          <w:spacing w:val="-4"/>
        </w:rPr>
        <w:t>（三）禁限控要求</w:t>
      </w:r>
      <w:r>
        <w:tab/>
      </w:r>
      <w:r>
        <w:fldChar w:fldCharType="begin"/>
      </w:r>
      <w:r>
        <w:instrText xml:space="preserve"> PAGEREF _Toc218782110 \h </w:instrText>
      </w:r>
      <w:r>
        <w:fldChar w:fldCharType="separate"/>
      </w:r>
      <w:r>
        <w:t>- 20 -</w:t>
      </w:r>
      <w:r>
        <w:fldChar w:fldCharType="end"/>
      </w:r>
      <w:r>
        <w:fldChar w:fldCharType="end"/>
      </w:r>
    </w:p>
    <w:p>
      <w:pPr>
        <w:pStyle w:val="12"/>
        <w:rPr>
          <w:rFonts w:eastAsiaTheme="minorEastAsia"/>
          <w:sz w:val="21"/>
        </w:rPr>
      </w:pPr>
      <w:r>
        <w:fldChar w:fldCharType="begin"/>
      </w:r>
      <w:r>
        <w:instrText xml:space="preserve"> HYPERLINK \l "_Toc218782111" </w:instrText>
      </w:r>
      <w:r>
        <w:fldChar w:fldCharType="separate"/>
      </w:r>
      <w:r>
        <w:rPr>
          <w:rStyle w:val="27"/>
          <w:spacing w:val="-4"/>
        </w:rPr>
        <w:t>（四）设置区域要求</w:t>
      </w:r>
      <w:r>
        <w:tab/>
      </w:r>
      <w:r>
        <w:fldChar w:fldCharType="begin"/>
      </w:r>
      <w:r>
        <w:instrText xml:space="preserve"> PAGEREF _Toc218782111 \h </w:instrText>
      </w:r>
      <w:r>
        <w:fldChar w:fldCharType="separate"/>
      </w:r>
      <w:r>
        <w:t>- 20 -</w:t>
      </w:r>
      <w:r>
        <w:fldChar w:fldCharType="end"/>
      </w:r>
      <w:r>
        <w:fldChar w:fldCharType="end"/>
      </w:r>
    </w:p>
    <w:p>
      <w:pPr>
        <w:pStyle w:val="21"/>
        <w:rPr>
          <w:rFonts w:eastAsiaTheme="minorEastAsia"/>
          <w:sz w:val="21"/>
        </w:rPr>
      </w:pPr>
      <w:r>
        <w:fldChar w:fldCharType="begin"/>
      </w:r>
      <w:r>
        <w:instrText xml:space="preserve"> HYPERLINK \l "_Toc218782112" </w:instrText>
      </w:r>
      <w:r>
        <w:fldChar w:fldCharType="separate"/>
      </w:r>
      <w:r>
        <w:rPr>
          <w:rStyle w:val="27"/>
          <w:spacing w:val="-4"/>
        </w:rPr>
        <w:t>三、具体布局方案</w:t>
      </w:r>
      <w:r>
        <w:tab/>
      </w:r>
      <w:r>
        <w:fldChar w:fldCharType="begin"/>
      </w:r>
      <w:r>
        <w:instrText xml:space="preserve"> PAGEREF _Toc218782112 \h </w:instrText>
      </w:r>
      <w:r>
        <w:fldChar w:fldCharType="separate"/>
      </w:r>
      <w:r>
        <w:t>- 21 -</w:t>
      </w:r>
      <w:r>
        <w:fldChar w:fldCharType="end"/>
      </w:r>
      <w:r>
        <w:fldChar w:fldCharType="end"/>
      </w:r>
    </w:p>
    <w:p>
      <w:pPr>
        <w:pStyle w:val="18"/>
        <w:rPr>
          <w:rFonts w:eastAsiaTheme="minorEastAsia"/>
          <w:b w:val="0"/>
          <w:sz w:val="21"/>
        </w:rPr>
      </w:pPr>
      <w:r>
        <w:fldChar w:fldCharType="begin"/>
      </w:r>
      <w:r>
        <w:instrText xml:space="preserve"> HYPERLINK \l "_Toc218782113" </w:instrText>
      </w:r>
      <w:r>
        <w:fldChar w:fldCharType="separate"/>
      </w:r>
      <w:r>
        <w:rPr>
          <w:rStyle w:val="27"/>
          <w:spacing w:val="-4"/>
        </w:rPr>
        <w:t>第五章 运营管理与服务</w:t>
      </w:r>
      <w:r>
        <w:tab/>
      </w:r>
      <w:r>
        <w:fldChar w:fldCharType="begin"/>
      </w:r>
      <w:r>
        <w:instrText xml:space="preserve"> PAGEREF _Toc218782113 \h </w:instrText>
      </w:r>
      <w:r>
        <w:fldChar w:fldCharType="separate"/>
      </w:r>
      <w:r>
        <w:t>- 38 -</w:t>
      </w:r>
      <w:r>
        <w:fldChar w:fldCharType="end"/>
      </w:r>
      <w:r>
        <w:fldChar w:fldCharType="end"/>
      </w:r>
    </w:p>
    <w:p>
      <w:pPr>
        <w:pStyle w:val="21"/>
        <w:rPr>
          <w:rFonts w:eastAsiaTheme="minorEastAsia"/>
          <w:sz w:val="21"/>
        </w:rPr>
      </w:pPr>
      <w:r>
        <w:fldChar w:fldCharType="begin"/>
      </w:r>
      <w:r>
        <w:instrText xml:space="preserve"> HYPERLINK \l "_Toc218782114" </w:instrText>
      </w:r>
      <w:r>
        <w:fldChar w:fldCharType="separate"/>
      </w:r>
      <w:r>
        <w:rPr>
          <w:rStyle w:val="27"/>
          <w:spacing w:val="-4"/>
        </w:rPr>
        <w:t>一、政府部门监管</w:t>
      </w:r>
      <w:r>
        <w:tab/>
      </w:r>
      <w:r>
        <w:fldChar w:fldCharType="begin"/>
      </w:r>
      <w:r>
        <w:instrText xml:space="preserve"> PAGEREF _Toc218782114 \h </w:instrText>
      </w:r>
      <w:r>
        <w:fldChar w:fldCharType="separate"/>
      </w:r>
      <w:r>
        <w:t>- 38 -</w:t>
      </w:r>
      <w:r>
        <w:fldChar w:fldCharType="end"/>
      </w:r>
      <w:r>
        <w:fldChar w:fldCharType="end"/>
      </w:r>
    </w:p>
    <w:p>
      <w:pPr>
        <w:pStyle w:val="21"/>
        <w:rPr>
          <w:rFonts w:eastAsiaTheme="minorEastAsia"/>
          <w:sz w:val="21"/>
        </w:rPr>
      </w:pPr>
      <w:r>
        <w:fldChar w:fldCharType="begin"/>
      </w:r>
      <w:r>
        <w:instrText xml:space="preserve"> HYPERLINK \l "_Toc218782115" </w:instrText>
      </w:r>
      <w:r>
        <w:fldChar w:fldCharType="separate"/>
      </w:r>
      <w:r>
        <w:rPr>
          <w:rStyle w:val="27"/>
          <w:spacing w:val="-4"/>
        </w:rPr>
        <w:t>二、企业运营服务</w:t>
      </w:r>
      <w:r>
        <w:tab/>
      </w:r>
      <w:r>
        <w:fldChar w:fldCharType="begin"/>
      </w:r>
      <w:r>
        <w:instrText xml:space="preserve"> PAGEREF _Toc218782115 \h </w:instrText>
      </w:r>
      <w:r>
        <w:fldChar w:fldCharType="separate"/>
      </w:r>
      <w:r>
        <w:t>- 39 -</w:t>
      </w:r>
      <w:r>
        <w:fldChar w:fldCharType="end"/>
      </w:r>
      <w:r>
        <w:fldChar w:fldCharType="end"/>
      </w:r>
    </w:p>
    <w:p>
      <w:pPr>
        <w:pStyle w:val="12"/>
        <w:ind w:firstLine="723"/>
        <w:rPr>
          <w:rFonts w:cs="Times New Roman"/>
          <w:b/>
          <w:color w:val="000000" w:themeColor="text1"/>
          <w:spacing w:val="-4"/>
          <w:sz w:val="36"/>
          <w:szCs w:val="36"/>
          <w14:textFill>
            <w14:solidFill>
              <w14:schemeClr w14:val="tx1"/>
            </w14:solidFill>
          </w14:textFill>
        </w:rPr>
      </w:pPr>
      <w:r>
        <w:rPr>
          <w:rFonts w:eastAsia="黑体" w:cs="Times New Roman"/>
          <w:b/>
          <w:color w:val="000000" w:themeColor="text1"/>
          <w:spacing w:val="-4"/>
          <w:sz w:val="36"/>
          <w:szCs w:val="36"/>
          <w14:textFill>
            <w14:solidFill>
              <w14:schemeClr w14:val="tx1"/>
            </w14:solidFill>
          </w14:textFill>
        </w:rPr>
        <w:fldChar w:fldCharType="end"/>
      </w:r>
    </w:p>
    <w:p>
      <w:pPr>
        <w:ind w:firstLine="707"/>
        <w:jc w:val="center"/>
        <w:rPr>
          <w:rFonts w:cs="Times New Roman"/>
          <w:b/>
          <w:color w:val="000000" w:themeColor="text1"/>
          <w:spacing w:val="-4"/>
          <w:sz w:val="36"/>
          <w:szCs w:val="36"/>
          <w14:textFill>
            <w14:solidFill>
              <w14:schemeClr w14:val="tx1"/>
            </w14:solidFill>
          </w14:textFill>
        </w:rPr>
        <w:sectPr>
          <w:headerReference r:id="rId11" w:type="default"/>
          <w:footerReference r:id="rId12" w:type="default"/>
          <w:pgSz w:w="11906" w:h="16838"/>
          <w:pgMar w:top="1440" w:right="1800" w:bottom="1440" w:left="1800" w:header="851" w:footer="992" w:gutter="0"/>
          <w:pgNumType w:fmt="lowerRoman" w:start="1"/>
          <w:cols w:space="425" w:num="1"/>
          <w:docGrid w:type="lines" w:linePitch="312" w:charSpace="0"/>
        </w:sectPr>
      </w:pPr>
    </w:p>
    <w:p>
      <w:pPr>
        <w:pStyle w:val="35"/>
        <w:spacing w:before="190" w:after="190"/>
        <w:rPr>
          <w:color w:val="000000" w:themeColor="text1"/>
          <w:spacing w:val="-4"/>
          <w14:textFill>
            <w14:solidFill>
              <w14:schemeClr w14:val="tx1"/>
            </w14:solidFill>
          </w14:textFill>
        </w:rPr>
      </w:pPr>
      <w:bookmarkStart w:id="0" w:name="_Toc218782085"/>
      <w:r>
        <w:rPr>
          <w:color w:val="000000" w:themeColor="text1"/>
          <w:spacing w:val="-4"/>
          <w14:textFill>
            <w14:solidFill>
              <w14:schemeClr w14:val="tx1"/>
            </w14:solidFill>
          </w14:textFill>
        </w:rPr>
        <w:t>第一章</w:t>
      </w:r>
      <w:r>
        <w:rPr>
          <w:rFonts w:hint="eastAsia"/>
          <w:color w:val="000000" w:themeColor="text1"/>
          <w:spacing w:val="-4"/>
          <w14:textFill>
            <w14:solidFill>
              <w14:schemeClr w14:val="tx1"/>
            </w14:solidFill>
          </w14:textFill>
        </w:rPr>
        <w:t xml:space="preserve"> 规划背景依据及范围</w:t>
      </w:r>
      <w:bookmarkEnd w:id="0"/>
    </w:p>
    <w:p>
      <w:pPr>
        <w:pStyle w:val="36"/>
        <w:spacing w:before="156" w:after="156"/>
        <w:ind w:firstLine="584"/>
        <w:rPr>
          <w:spacing w:val="-4"/>
        </w:rPr>
      </w:pPr>
      <w:bookmarkStart w:id="1" w:name="_Toc209199483"/>
      <w:bookmarkStart w:id="2" w:name="_Toc218782086"/>
      <w:r>
        <w:rPr>
          <w:rFonts w:hint="eastAsia"/>
          <w:spacing w:val="-4"/>
        </w:rPr>
        <w:t>一、规划背景</w:t>
      </w:r>
      <w:bookmarkEnd w:id="1"/>
      <w:bookmarkEnd w:id="2"/>
    </w:p>
    <w:p>
      <w:pPr>
        <w:ind w:firstLine="544"/>
        <w:rPr>
          <w:rFonts w:cs="Times New Roman"/>
          <w:spacing w:val="-4"/>
        </w:rPr>
      </w:pPr>
      <w:r>
        <w:rPr>
          <w:rFonts w:hint="eastAsia" w:cs="Times New Roman"/>
          <w:spacing w:val="-4"/>
        </w:rPr>
        <w:t>汕尾市地处广东省东南沿海，位于粤港澳大湾区东缘，南濒南海，是联接粤港澳大湾区与汕潮揭城市群的重要交汇点。作为粤东地区对接珠三角地区的前沿门户，汕尾市凭借得天独厚的区位与海洋资源优势，正积极承接大湾区产业转移和基础设施延伸，已成为区域协同发展中的重要承接地和战略支撑点。近年来，汕尾市已初步构建以公共交通为主体、出租车与共享电动自行车为补充的多层次城市客运交通体系，其中公交实现全域新能源化，巡游出租车与网约车协同发展，共享电动自行车丰富了出行选择，但公交客流与票款收入逐步下降、财政投入偏紧，需优化城市出行服务体系以满足多元需求；近年来共享电动自行车需求递增，其作为绿色便捷的出行方式，共享电动自行车在解决“最后一公里”和缓解交通拥堵等方面发挥积极作用，但也带来无序停放、安全隐患、过度投放、违规骑行及电池管理风险等问题，对城市治理和公共安全构成挑战。</w:t>
      </w:r>
    </w:p>
    <w:p>
      <w:pPr>
        <w:ind w:firstLine="544"/>
        <w:rPr>
          <w:rFonts w:cs="Times New Roman"/>
          <w:spacing w:val="-4"/>
        </w:rPr>
      </w:pPr>
      <w:r>
        <w:rPr>
          <w:rFonts w:hint="eastAsia" w:cs="Times New Roman"/>
          <w:spacing w:val="-4"/>
        </w:rPr>
        <w:t>为贯彻落实国家《关于鼓励和规范互联网租赁自行车发展的指导意见》，汕尾市结合地方实际制定《汕尾市电动自行车管理暂行办法》，并在《汕尾市“十四五”综合交通运输规划》中明确绿色交通系统建设目标，为满足群众多元化出行需求、推动城市交通供给侧改革，亟需编制共享电动自行车停放点布局规划，并深度衔接《汕尾市国土空间总体规划（2021-2035年）》《汕尾市综合立体交通网规划（2021-2035年）》。此举不仅是落实节能减排与生态文明战略、改善居民出行环境、保障出行安全、倡导绿色出行的需要，也是适应人口与城镇化发展下的短途出行需求、补齐公共交通“最后一公里”缺口、匹配产业与通勤需求，以及替代私人交通、协同未来交通规划的重要举措，契合城市公共交通政策与发展目标。</w:t>
      </w:r>
    </w:p>
    <w:p>
      <w:pPr>
        <w:pStyle w:val="36"/>
        <w:ind w:firstLine="584"/>
        <w:rPr>
          <w:color w:val="000000" w:themeColor="text1"/>
          <w:spacing w:val="-4"/>
          <w14:textFill>
            <w14:solidFill>
              <w14:schemeClr w14:val="tx1"/>
            </w14:solidFill>
          </w14:textFill>
        </w:rPr>
      </w:pPr>
      <w:bookmarkStart w:id="3" w:name="_Toc218782087"/>
      <w:r>
        <w:rPr>
          <w:rFonts w:hint="eastAsia"/>
          <w:color w:val="000000" w:themeColor="text1"/>
          <w:spacing w:val="-4"/>
          <w14:textFill>
            <w14:solidFill>
              <w14:schemeClr w14:val="tx1"/>
            </w14:solidFill>
          </w14:textFill>
        </w:rPr>
        <w:t>二、规划范围</w:t>
      </w:r>
      <w:bookmarkEnd w:id="3"/>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空间范围：汕尾市城区、海丰县、陆丰市、陆河县、红海湾经济开发区、华侨管理区。</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时间范围：规划年限为2026-2027年，远景展望至2030年。</w:t>
      </w:r>
    </w:p>
    <w:p>
      <w:pPr>
        <w:pStyle w:val="36"/>
        <w:ind w:firstLine="584"/>
        <w:rPr>
          <w:color w:val="000000" w:themeColor="text1"/>
          <w:spacing w:val="-4"/>
          <w14:textFill>
            <w14:solidFill>
              <w14:schemeClr w14:val="tx1"/>
            </w14:solidFill>
          </w14:textFill>
        </w:rPr>
      </w:pPr>
      <w:bookmarkStart w:id="4" w:name="_Toc218782088"/>
      <w:r>
        <w:rPr>
          <w:rFonts w:hint="eastAsia"/>
          <w:color w:val="000000" w:themeColor="text1"/>
          <w:spacing w:val="-4"/>
          <w14:textFill>
            <w14:solidFill>
              <w14:schemeClr w14:val="tx1"/>
            </w14:solidFill>
          </w14:textFill>
        </w:rPr>
        <w:t>三、工作内容</w:t>
      </w:r>
      <w:bookmarkEnd w:id="4"/>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一是现状摸查。</w:t>
      </w:r>
      <w:r>
        <w:rPr>
          <w:rFonts w:hint="eastAsia"/>
          <w:color w:val="000000" w:themeColor="text1"/>
          <w:spacing w:val="-4"/>
          <w14:textFill>
            <w14:solidFill>
              <w14:schemeClr w14:val="tx1"/>
            </w14:solidFill>
          </w14:textFill>
        </w:rPr>
        <w:t>通过现场走访调研，摸清汕尾市城区及下辖县（市）现状摩托车（自行车）停车位分布情况，以及现状私人电动自行车的停放情况，掌握停车点位的停车位数和实际停放数。</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二是需求预测。</w:t>
      </w:r>
      <w:r>
        <w:rPr>
          <w:rFonts w:hint="eastAsia"/>
          <w:color w:val="000000" w:themeColor="text1"/>
          <w:spacing w:val="-4"/>
          <w14:textFill>
            <w14:solidFill>
              <w14:schemeClr w14:val="tx1"/>
            </w14:solidFill>
          </w14:textFill>
        </w:rPr>
        <w:t>结合街道行政边界、城市主干道、城市地形等要素，划分交通区块，预测各交通区块的共享电动自行车的需求量，同时结合现状调查，分析共享电动自行车的城市停放空间承载量。</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三是方案设计。</w:t>
      </w:r>
      <w:r>
        <w:rPr>
          <w:rFonts w:hint="eastAsia"/>
          <w:color w:val="000000" w:themeColor="text1"/>
          <w:spacing w:val="-4"/>
          <w14:textFill>
            <w14:solidFill>
              <w14:schemeClr w14:val="tx1"/>
            </w14:solidFill>
          </w14:textFill>
        </w:rPr>
        <w:t>综合分析对共享电动自行车使用需求较高的大型商圈、旅游景点、公交站场等城市热点地区分布情况，制定汕尾市城区及下辖县（市）共享电动自行车停放点的规划布局方案，明确停放点的位置和规模等。</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四是措施建议。</w:t>
      </w:r>
      <w:r>
        <w:rPr>
          <w:rFonts w:hint="eastAsia"/>
          <w:color w:val="000000" w:themeColor="text1"/>
          <w:spacing w:val="-4"/>
          <w14:textFill>
            <w14:solidFill>
              <w14:schemeClr w14:val="tx1"/>
            </w14:solidFill>
          </w14:textFill>
        </w:rPr>
        <w:t>为进一步规范和加强汕尾市共享电动自行车停放管理，依据相关法律法规及标准规范，结合已实施共享电动自行车城市的相关经验，根据汕尾市实际情况，提出汕尾市共享电动自行车运营管理与服务的措施建议。</w:t>
      </w:r>
    </w:p>
    <w:p>
      <w:pPr>
        <w:ind w:firstLine="544"/>
        <w:rPr>
          <w:color w:val="000000" w:themeColor="text1"/>
          <w:spacing w:val="-4"/>
          <w14:textFill>
            <w14:solidFill>
              <w14:schemeClr w14:val="tx1"/>
            </w14:solidFill>
          </w14:textFill>
        </w:rPr>
        <w:sectPr>
          <w:headerReference r:id="rId13" w:type="default"/>
          <w:footerReference r:id="rId14" w:type="default"/>
          <w:pgSz w:w="11906" w:h="16838"/>
          <w:pgMar w:top="1440" w:right="1800" w:bottom="1440" w:left="1800" w:header="851" w:footer="992" w:gutter="0"/>
          <w:pgNumType w:fmt="numberInDash" w:start="1"/>
          <w:cols w:space="425" w:num="1"/>
          <w:docGrid w:type="lines" w:linePitch="381" w:charSpace="0"/>
        </w:sectPr>
      </w:pPr>
    </w:p>
    <w:p>
      <w:pPr>
        <w:pStyle w:val="35"/>
        <w:spacing w:before="190" w:after="190"/>
        <w:rPr>
          <w:color w:val="000000" w:themeColor="text1"/>
          <w:spacing w:val="-4"/>
          <w14:textFill>
            <w14:solidFill>
              <w14:schemeClr w14:val="tx1"/>
            </w14:solidFill>
          </w14:textFill>
        </w:rPr>
      </w:pPr>
      <w:bookmarkStart w:id="5" w:name="_Toc218782089"/>
      <w:r>
        <w:rPr>
          <w:color w:val="000000" w:themeColor="text1"/>
          <w:spacing w:val="-4"/>
          <w14:textFill>
            <w14:solidFill>
              <w14:schemeClr w14:val="tx1"/>
            </w14:solidFill>
          </w14:textFill>
        </w:rPr>
        <w:t>第二章</w:t>
      </w:r>
      <w:r>
        <w:rPr>
          <w:rFonts w:hint="eastAsia"/>
          <w:color w:val="000000" w:themeColor="text1"/>
          <w:spacing w:val="-4"/>
          <w14:textFill>
            <w14:solidFill>
              <w14:schemeClr w14:val="tx1"/>
            </w14:solidFill>
          </w14:textFill>
        </w:rPr>
        <w:t xml:space="preserve"> 发展现状及需求分析</w:t>
      </w:r>
      <w:bookmarkEnd w:id="5"/>
    </w:p>
    <w:p>
      <w:pPr>
        <w:pStyle w:val="36"/>
        <w:ind w:firstLine="600"/>
      </w:pPr>
      <w:bookmarkStart w:id="6" w:name="_Toc209199493"/>
      <w:bookmarkStart w:id="7" w:name="_Toc214204820"/>
      <w:bookmarkStart w:id="8" w:name="_Toc218782090"/>
      <w:r>
        <w:rPr>
          <w:rFonts w:hint="eastAsia"/>
        </w:rPr>
        <w:t>一、发展现状</w:t>
      </w:r>
      <w:bookmarkEnd w:id="6"/>
      <w:bookmarkEnd w:id="7"/>
      <w:bookmarkEnd w:id="8"/>
    </w:p>
    <w:p>
      <w:pPr>
        <w:pStyle w:val="39"/>
        <w:ind w:firstLine="562"/>
      </w:pPr>
      <w:bookmarkStart w:id="9" w:name="_Toc209199494"/>
      <w:bookmarkStart w:id="10" w:name="_Toc218782091"/>
      <w:bookmarkStart w:id="11" w:name="_Toc214204821"/>
      <w:r>
        <w:rPr>
          <w:rFonts w:hint="eastAsia"/>
        </w:rPr>
        <w:t>（一）社会经济发展现状</w:t>
      </w:r>
      <w:bookmarkEnd w:id="9"/>
      <w:bookmarkEnd w:id="10"/>
      <w:bookmarkEnd w:id="11"/>
    </w:p>
    <w:p>
      <w:pPr>
        <w:ind w:firstLine="560"/>
        <w:rPr>
          <w:rFonts w:cs="Times New Roman"/>
        </w:rPr>
      </w:pPr>
      <w:r>
        <w:rPr>
          <w:rFonts w:hint="eastAsia" w:cs="Times New Roman"/>
        </w:rPr>
        <w:t>“十四五”以来，汕尾市紧紧围绕高质量发展目标，统筹推进经济社会发展各项工作，总体呈现稳中有进、持续向好的发展态势。在区域发展格局、经济综合实力、产业结构优化、人口集聚、消费扩容提质、文旅融合等方面发展良好，为共享电动自行车规划和实施奠定了坚实基础。一是汕尾经济综合实力持续增强，地区生产总值、人均地区生产总值年均增速均高于全省平均水平，基础设施完善与经济活力提升，为共享电动自行车行业发展提供支撑；二是汕尾产业结构持续优化，农林牧渔业增速高于全省平均水平，工业总产值有波动，多元需求场景为共享电动自行车市场拓展提供有利空间；三是汕尾常住人口稳步增长，居民人均可支配收入增速高于全省平均水平，人口规模与收入增长为共享电动自行车发展提供用户基础与消费能力支撑；四是汕尾消费市场活跃，居民人均消费支出增速高于全省平均水平，消费升级下绿色短途出行需求增加，推动共享电动自行车普及并助力消费活力释放；五是汕尾文旅融合成效初显，旅游收入与接待游客量稳步增长，文旅产业发展拓展共享电动自行车应用场景，助力文旅服务品质提升。</w:t>
      </w:r>
    </w:p>
    <w:p>
      <w:pPr>
        <w:pStyle w:val="39"/>
        <w:ind w:firstLine="562"/>
      </w:pPr>
      <w:bookmarkStart w:id="12" w:name="_Toc209199495"/>
      <w:bookmarkStart w:id="13" w:name="_Toc218782092"/>
      <w:bookmarkStart w:id="14" w:name="_Toc214204822"/>
      <w:r>
        <w:rPr>
          <w:rFonts w:hint="eastAsia"/>
        </w:rPr>
        <w:t>（二）城市交通发展现状</w:t>
      </w:r>
      <w:bookmarkEnd w:id="12"/>
      <w:bookmarkEnd w:id="13"/>
      <w:bookmarkEnd w:id="14"/>
    </w:p>
    <w:p>
      <w:pPr>
        <w:ind w:firstLine="56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城市公共交通</w:t>
      </w:r>
      <w:r>
        <w:rPr>
          <w:rFonts w:hint="eastAsia"/>
          <w:bCs/>
          <w:color w:val="000000" w:themeColor="text1"/>
          <w14:textFill>
            <w14:solidFill>
              <w14:schemeClr w14:val="tx1"/>
            </w14:solidFill>
          </w14:textFill>
        </w:rPr>
        <w:t>。</w:t>
      </w:r>
      <w:r>
        <w:rPr>
          <w:rFonts w:hint="eastAsia"/>
        </w:rPr>
        <w:t>截至2025年7月，汕尾市公共汽电车已全面实现新能源化，开通78条公交线路、配备695辆新能源车辆、在用1176个公交站点，覆盖城区及部分城乡区域，满足市民日常与通勤需求；共享电动自行车方面，核心区域已有美团、哈啰等17家企业自主投放约2万辆，头部品牌在人员密集区投放密度较高，满足市民短途出行需求。</w:t>
      </w:r>
    </w:p>
    <w:p>
      <w:pPr>
        <w:ind w:firstLine="562"/>
        <w:rPr>
          <w:b/>
        </w:rPr>
      </w:pPr>
      <w:r>
        <w:rPr>
          <w:rFonts w:hint="eastAsia"/>
          <w:b/>
        </w:rPr>
        <w:t>城市机动车辆</w:t>
      </w:r>
      <w:r>
        <w:rPr>
          <w:rFonts w:hint="eastAsia"/>
        </w:rPr>
        <w:t>。</w:t>
      </w:r>
      <w:bookmarkStart w:id="15" w:name="_Hlk151971099"/>
      <w:r>
        <w:rPr>
          <w:rFonts w:hint="eastAsia" w:cs="Times New Roman"/>
          <w:color w:val="000000"/>
          <w:szCs w:val="28"/>
        </w:rPr>
        <w:t>汕尾市民用车辆总计达93</w:t>
      </w:r>
      <w:r>
        <w:rPr>
          <w:rFonts w:cs="Times New Roman"/>
          <w:color w:val="000000"/>
          <w:szCs w:val="28"/>
        </w:rPr>
        <w:t>.</w:t>
      </w:r>
      <w:r>
        <w:rPr>
          <w:rFonts w:hint="eastAsia" w:cs="Times New Roman"/>
          <w:color w:val="000000"/>
          <w:szCs w:val="28"/>
        </w:rPr>
        <w:t>9万辆，其中摩托车占比超57.8%、汽车约42.1%，人均汽车及摩托车保有量均低于广东省平均水平，共享电动自行车凭借灵活低碳特点与家庭自有摩托、电动车形成短途出行互补；同时新能源汽车深度融入城市交通体系，在政策驱动下加速布局分时租赁、公交、出租等场景，成为出行服务绿色转型的主要车型。</w:t>
      </w:r>
    </w:p>
    <w:p>
      <w:pPr>
        <w:ind w:firstLine="562"/>
        <w:rPr>
          <w:szCs w:val="28"/>
        </w:rPr>
      </w:pPr>
      <w:r>
        <w:rPr>
          <w:rFonts w:hint="eastAsia"/>
          <w:b/>
        </w:rPr>
        <w:t>静态设施</w:t>
      </w:r>
      <w:r>
        <w:rPr>
          <w:rFonts w:hint="eastAsia"/>
        </w:rPr>
        <w:t>。</w:t>
      </w:r>
      <w:r>
        <w:rPr>
          <w:szCs w:val="28"/>
        </w:rPr>
        <w:t>目前，汕尾市已有部分公共停车场建成并投入使用，具体包括奎山河停车场、街心绿地（留芳亭）停车场等7个停车场，有效缓解了</w:t>
      </w:r>
      <w:r>
        <w:rPr>
          <w:rFonts w:hint="eastAsia"/>
          <w:szCs w:val="28"/>
        </w:rPr>
        <w:t>所在</w:t>
      </w:r>
      <w:r>
        <w:rPr>
          <w:szCs w:val="28"/>
        </w:rPr>
        <w:t>区域停车压力。</w:t>
      </w:r>
      <w:r>
        <w:rPr>
          <w:rFonts w:hint="eastAsia"/>
          <w:szCs w:val="28"/>
        </w:rPr>
        <w:t>截至2024年底，汕尾市充电站建设数量增至314座，较2023年的220座增长42.7%，其中公共充电站占比约60%，专用充电站（如公交、物流）占40%。充电桩建设数量达2164个，其中直流快充桩占比超80%，主要分布在城区、高速公路服务区及镇街核心区域，为市民绿色出行提供了有力保障。</w:t>
      </w:r>
    </w:p>
    <w:p>
      <w:pPr>
        <w:pStyle w:val="39"/>
        <w:ind w:firstLine="562"/>
      </w:pPr>
      <w:bookmarkStart w:id="16" w:name="_Toc218782093"/>
      <w:bookmarkStart w:id="17" w:name="_Toc214204823"/>
      <w:r>
        <w:rPr>
          <w:rFonts w:hint="eastAsia"/>
        </w:rPr>
        <w:t>（三）存在问题</w:t>
      </w:r>
      <w:bookmarkEnd w:id="16"/>
      <w:bookmarkEnd w:id="17"/>
    </w:p>
    <w:bookmarkEnd w:id="15"/>
    <w:p>
      <w:pPr>
        <w:ind w:firstLine="562"/>
      </w:pPr>
      <w:r>
        <w:rPr>
          <w:rFonts w:hint="eastAsia"/>
          <w:b/>
        </w:rPr>
        <w:t>一是市民出行体验与满意度欠佳。</w:t>
      </w:r>
      <w:r>
        <w:rPr>
          <w:rFonts w:hint="eastAsia"/>
        </w:rPr>
        <w:t>汕尾市共享电动自行车由企业自主投放、缺乏行业主管部门统一规划管理，导致市民用车体验差：热点区域高峰时段供需失衡，车辆乱停乱放占用公共空间且存安全隐患，骑行违规现象突出且未成年人用车管理缺位，找车还车不便等问题进一步降低用户满意度。</w:t>
      </w:r>
    </w:p>
    <w:p>
      <w:pPr>
        <w:ind w:firstLine="562"/>
      </w:pPr>
      <w:r>
        <w:rPr>
          <w:rFonts w:hint="eastAsia"/>
          <w:b/>
        </w:rPr>
        <w:t>二是政府监管与协同治理难度高。</w:t>
      </w:r>
      <w:r>
        <w:rPr>
          <w:rFonts w:hint="eastAsia"/>
        </w:rPr>
        <w:t>汕尾市针对共享电动自行车投放运营尚未建立相对完善的的管理机制，存在一定短板：车辆数据监管与调度技术不足，不能有效识别车辆淤积和违规停放现象；缺乏科学的企业考核体系与行业顶层设计，城管、公安、交通等部门间信息共享与联动机制未建立，协同治理效能不足。</w:t>
      </w:r>
    </w:p>
    <w:p>
      <w:pPr>
        <w:ind w:firstLine="562"/>
      </w:pPr>
      <w:r>
        <w:rPr>
          <w:rFonts w:hint="eastAsia"/>
          <w:b/>
        </w:rPr>
        <w:t>三是企业运营与市场竞争压力大。</w:t>
      </w:r>
      <w:r>
        <w:rPr>
          <w:rFonts w:hint="eastAsia"/>
        </w:rPr>
        <w:t>一方面市场竞争无序，企业为抢占份额在热点区域过度投放，造成资源浪费与恶性竞争；另一方面车辆运维成本高，早晚高峰热点区域车辆调度难、易淤积，加之用户不规范停车增加额外调度需求，进一步推高运营成本。</w:t>
      </w:r>
    </w:p>
    <w:p>
      <w:pPr>
        <w:pStyle w:val="36"/>
        <w:ind w:firstLine="584"/>
        <w:rPr>
          <w:color w:val="000000" w:themeColor="text1"/>
          <w:spacing w:val="-4"/>
          <w14:textFill>
            <w14:solidFill>
              <w14:schemeClr w14:val="tx1"/>
            </w14:solidFill>
          </w14:textFill>
        </w:rPr>
      </w:pPr>
      <w:bookmarkStart w:id="18" w:name="_Toc218782094"/>
      <w:r>
        <w:rPr>
          <w:rFonts w:hint="eastAsia"/>
          <w:color w:val="000000" w:themeColor="text1"/>
          <w:spacing w:val="-4"/>
          <w14:textFill>
            <w14:solidFill>
              <w14:schemeClr w14:val="tx1"/>
            </w14:solidFill>
          </w14:textFill>
        </w:rPr>
        <w:t>二、出行需求总量测算</w:t>
      </w:r>
      <w:bookmarkEnd w:id="18"/>
    </w:p>
    <w:p>
      <w:pPr>
        <w:ind w:firstLine="560"/>
      </w:pPr>
      <w:r>
        <w:rPr>
          <w:rFonts w:hint="eastAsia"/>
        </w:rPr>
        <w:t>参考中国道路运输协会互联网租赁自行车工作委员会牵头编制的《互联网租赁自行车城市运力规模测算指南》（T/CRTAS 10-2025）,本规划首先基于规划范围内的人口规模和日人均骑行次数，得到共享电动自行车的居民出行量，再结合车辆的日均周转率（平均每辆车每日被使用的次数）和车辆完好率，求出共享电动自行车的需求量；同时，考虑交通状况、地形地貌、气候条件，以及城市公共交通、旅游发展情况等，加以系数进行修正。</w:t>
      </w:r>
    </w:p>
    <w:p>
      <w:pPr>
        <w:ind w:firstLine="562"/>
      </w:pPr>
      <w:r>
        <w:rPr>
          <w:rFonts w:hint="eastAsia"/>
          <w:b/>
        </w:rPr>
        <w:t>因此，最终投放策略为：至2026年年末前，按保守策略的测算结果，投放共享电动自行车2.71万辆；之后根据运营情况，可依据均衡策略或激进策略，逐步将共享电动自行车规模在2030年年末扩大至3.33万辆或3.72万辆左右</w:t>
      </w:r>
      <w:r>
        <w:rPr>
          <w:rFonts w:hint="eastAsia"/>
        </w:rPr>
        <w:t>。</w:t>
      </w:r>
    </w:p>
    <w:p>
      <w:pPr>
        <w:ind w:firstLine="544"/>
        <w:rPr>
          <w:color w:val="000000" w:themeColor="text1"/>
          <w:spacing w:val="-4"/>
          <w14:textFill>
            <w14:solidFill>
              <w14:schemeClr w14:val="tx1"/>
            </w14:solidFill>
          </w14:textFill>
        </w:rPr>
        <w:sectPr>
          <w:pgSz w:w="11906" w:h="16838"/>
          <w:pgMar w:top="1440" w:right="1800" w:bottom="1440" w:left="1800" w:header="851" w:footer="992" w:gutter="0"/>
          <w:pgNumType w:fmt="numberInDash"/>
          <w:cols w:space="425" w:num="1"/>
          <w:docGrid w:type="lines" w:linePitch="381" w:charSpace="0"/>
        </w:sectPr>
      </w:pP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估算结果如下：</w:t>
      </w:r>
    </w:p>
    <w:p>
      <w:pPr>
        <w:pStyle w:val="9"/>
        <w:ind w:firstLine="0" w:firstLineChars="0"/>
        <w:jc w:val="center"/>
        <w:rPr>
          <w:rFonts w:ascii="Times New Roman" w:hAnsi="Times New Roman"/>
          <w:color w:val="000000" w:themeColor="text1"/>
          <w:spacing w:val="-4"/>
          <w:sz w:val="24"/>
          <w:szCs w:val="24"/>
          <w14:textFill>
            <w14:solidFill>
              <w14:schemeClr w14:val="tx1"/>
            </w14:solidFill>
          </w14:textFill>
        </w:rPr>
      </w:pPr>
      <w:r>
        <w:rPr>
          <w:rFonts w:hint="eastAsia" w:ascii="Times New Roman" w:hAnsi="Times New Roman"/>
          <w:color w:val="000000" w:themeColor="text1"/>
          <w:spacing w:val="-4"/>
          <w:sz w:val="24"/>
          <w:szCs w:val="24"/>
          <w14:textFill>
            <w14:solidFill>
              <w14:schemeClr w14:val="tx1"/>
            </w14:solidFill>
          </w14:textFill>
        </w:rPr>
        <w:t>表</w:t>
      </w:r>
      <w:r>
        <w:rPr>
          <w:rFonts w:ascii="Times New Roman" w:hAnsi="Times New Roman"/>
          <w:color w:val="000000" w:themeColor="text1"/>
          <w:spacing w:val="-4"/>
          <w:sz w:val="24"/>
          <w:szCs w:val="24"/>
          <w14:textFill>
            <w14:solidFill>
              <w14:schemeClr w14:val="tx1"/>
            </w14:solidFill>
          </w14:textFill>
        </w:rPr>
        <w:t xml:space="preserve">2-1 </w:t>
      </w:r>
      <w:r>
        <w:rPr>
          <w:rFonts w:hint="eastAsia" w:ascii="Times New Roman" w:hAnsi="Times New Roman"/>
          <w:color w:val="000000" w:themeColor="text1"/>
          <w:spacing w:val="-4"/>
          <w:sz w:val="24"/>
          <w:szCs w:val="24"/>
          <w14:textFill>
            <w14:solidFill>
              <w14:schemeClr w14:val="tx1"/>
            </w14:solidFill>
          </w14:textFill>
        </w:rPr>
        <w:t>不同策略下各交通区块共享电动自行车投放量估算结果</w:t>
      </w:r>
    </w:p>
    <w:tbl>
      <w:tblPr>
        <w:tblStyle w:val="6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55"/>
        <w:gridCol w:w="2981"/>
        <w:gridCol w:w="1137"/>
        <w:gridCol w:w="997"/>
        <w:gridCol w:w="1137"/>
        <w:gridCol w:w="1134"/>
        <w:gridCol w:w="1137"/>
        <w:gridCol w:w="995"/>
        <w:gridCol w:w="992"/>
        <w:gridCol w:w="995"/>
        <w:gridCol w:w="9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8" w:hRule="atLeast"/>
          <w:jc w:val="center"/>
        </w:trPr>
        <w:tc>
          <w:tcPr>
            <w:tcW w:w="557" w:type="pct"/>
            <w:vMerge w:val="restart"/>
            <w:tcBorders>
              <w:top w:val="single" w:color="000000" w:sz="4" w:space="0"/>
              <w:left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spacing w:val="-3"/>
                <w:kern w:val="0"/>
                <w:sz w:val="24"/>
                <w:lang w:eastAsia="en-US"/>
                <w14:textFill>
                  <w14:solidFill>
                    <w14:schemeClr w14:val="tx1"/>
                  </w14:solidFill>
                </w14:textFill>
              </w:rPr>
            </w:pPr>
            <w:r>
              <w:rPr>
                <w:rFonts w:hint="eastAsia" w:ascii="宋体" w:hAnsi="宋体" w:eastAsia="Times New Roman" w:cs="宋体"/>
                <w:b/>
                <w:color w:val="000000" w:themeColor="text1"/>
                <w:spacing w:val="-5"/>
                <w:kern w:val="0"/>
                <w:sz w:val="24"/>
                <w:lang w:eastAsia="en-US"/>
                <w14:textFill>
                  <w14:solidFill>
                    <w14:schemeClr w14:val="tx1"/>
                  </w14:solidFill>
                </w14:textFill>
              </w:rPr>
              <w:t>辖区</w:t>
            </w:r>
          </w:p>
        </w:tc>
        <w:tc>
          <w:tcPr>
            <w:tcW w:w="1067" w:type="pct"/>
            <w:vMerge w:val="restart"/>
            <w:tcBorders>
              <w:top w:val="single" w:color="000000" w:sz="4" w:space="0"/>
              <w:left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主要考虑因素</w:t>
            </w:r>
          </w:p>
        </w:tc>
        <w:tc>
          <w:tcPr>
            <w:tcW w:w="1171" w:type="pct"/>
            <w:gridSpan w:val="3"/>
            <w:tcBorders>
              <w:top w:val="single" w:color="000000" w:sz="4" w:space="0"/>
              <w:left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保守</w:t>
            </w:r>
          </w:p>
        </w:tc>
        <w:tc>
          <w:tcPr>
            <w:tcW w:w="1169" w:type="pct"/>
            <w:gridSpan w:val="3"/>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均衡</w:t>
            </w:r>
          </w:p>
        </w:tc>
        <w:tc>
          <w:tcPr>
            <w:tcW w:w="1036" w:type="pct"/>
            <w:gridSpan w:val="3"/>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激进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 w:hRule="atLeast"/>
          <w:jc w:val="center"/>
        </w:trPr>
        <w:tc>
          <w:tcPr>
            <w:tcW w:w="557" w:type="pct"/>
            <w:vMerge w:val="continue"/>
            <w:tcBorders>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left"/>
              <w:rPr>
                <w:rFonts w:ascii="Calibri" w:hAnsi="Calibri" w:eastAsia="Times New Roman" w:cs="Times New Roman"/>
                <w:b/>
                <w:color w:val="000000" w:themeColor="text1"/>
                <w:kern w:val="0"/>
                <w:sz w:val="24"/>
                <w:lang w:eastAsia="en-US"/>
                <w14:textFill>
                  <w14:solidFill>
                    <w14:schemeClr w14:val="tx1"/>
                  </w14:solidFill>
                </w14:textFill>
              </w:rPr>
            </w:pPr>
          </w:p>
        </w:tc>
        <w:tc>
          <w:tcPr>
            <w:tcW w:w="1067" w:type="pct"/>
            <w:vMerge w:val="continue"/>
            <w:tcBorders>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p>
        </w:tc>
        <w:tc>
          <w:tcPr>
            <w:tcW w:w="407"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2026</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357"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2027</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407"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2030</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406"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2026</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407"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2027</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356"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2030</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355"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2026</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356"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2027</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c>
          <w:tcPr>
            <w:tcW w:w="325" w:type="pct"/>
            <w:tcBorders>
              <w:top w:val="single" w:color="000000" w:sz="4" w:space="0"/>
              <w:left w:val="single" w:color="000000" w:sz="4" w:space="0"/>
              <w:bottom w:val="single" w:color="000000" w:sz="4" w:space="0"/>
              <w:right w:val="single" w:color="000000" w:sz="4" w:space="0"/>
            </w:tcBorders>
            <w:shd w:val="clear" w:color="auto" w:fill="D8D8D8" w:themeFill="background1" w:themeFillShade="D9"/>
            <w:vAlign w:val="center"/>
          </w:tcPr>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ascii="Calibri" w:hAnsi="Calibri" w:eastAsia="Times New Roman" w:cs="Times New Roman"/>
                <w:b/>
                <w:color w:val="000000" w:themeColor="text1"/>
                <w:kern w:val="0"/>
                <w:sz w:val="24"/>
                <w:lang w:eastAsia="en-US"/>
                <w14:textFill>
                  <w14:solidFill>
                    <w14:schemeClr w14:val="tx1"/>
                  </w14:solidFill>
                </w14:textFill>
              </w:rPr>
              <w:t>2030</w:t>
            </w:r>
            <w:r>
              <w:rPr>
                <w:rFonts w:hint="eastAsia" w:ascii="宋体" w:hAnsi="宋体" w:eastAsia="Times New Roman" w:cs="宋体"/>
                <w:b/>
                <w:color w:val="000000" w:themeColor="text1"/>
                <w:kern w:val="0"/>
                <w:sz w:val="24"/>
                <w:lang w:eastAsia="en-US"/>
                <w14:textFill>
                  <w14:solidFill>
                    <w14:schemeClr w14:val="tx1"/>
                  </w14:solidFill>
                </w14:textFill>
              </w:rPr>
              <w:t>年</w:t>
            </w:r>
          </w:p>
          <w:p>
            <w:pPr>
              <w:autoSpaceDE w:val="0"/>
              <w:autoSpaceDN w:val="0"/>
              <w:spacing w:line="240" w:lineRule="auto"/>
              <w:ind w:firstLine="0" w:firstLineChars="0"/>
              <w:jc w:val="center"/>
              <w:rPr>
                <w:rFonts w:ascii="Calibri" w:hAnsi="Calibri" w:eastAsia="Times New Roman" w:cs="Times New Roman"/>
                <w:b/>
                <w:color w:val="000000" w:themeColor="text1"/>
                <w:kern w:val="0"/>
                <w:sz w:val="24"/>
                <w:lang w:eastAsia="en-US"/>
                <w14:textFill>
                  <w14:solidFill>
                    <w14:schemeClr w14:val="tx1"/>
                  </w14:solidFill>
                </w14:textFill>
              </w:rPr>
            </w:pPr>
            <w:r>
              <w:rPr>
                <w:rFonts w:hint="eastAsia" w:ascii="宋体" w:hAnsi="宋体" w:eastAsia="Times New Roman" w:cs="宋体"/>
                <w:b/>
                <w:color w:val="000000" w:themeColor="text1"/>
                <w:kern w:val="0"/>
                <w:sz w:val="24"/>
                <w:lang w:eastAsia="en-US"/>
                <w14:textFill>
                  <w14:solidFill>
                    <w14:schemeClr w14:val="tx1"/>
                  </w14:solidFill>
                </w14:textFill>
              </w:rPr>
              <w:t>年末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5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
                <w:bCs/>
                <w:color w:val="000000" w:themeColor="text1"/>
                <w:kern w:val="0"/>
                <w:sz w:val="22"/>
                <w:lang w:eastAsia="en-US"/>
                <w14:textFill>
                  <w14:solidFill>
                    <w14:schemeClr w14:val="tx1"/>
                  </w14:solidFill>
                </w14:textFill>
              </w:rPr>
            </w:pPr>
            <w:r>
              <w:rPr>
                <w:rFonts w:hint="eastAsia" w:ascii="宋体" w:hAnsi="宋体" w:eastAsia="Times New Roman" w:cs="宋体"/>
                <w:b/>
                <w:bCs/>
                <w:color w:val="000000" w:themeColor="text1"/>
                <w:kern w:val="0"/>
                <w:sz w:val="22"/>
                <w:lang w:eastAsia="en-US"/>
                <w14:textFill>
                  <w14:solidFill>
                    <w14:schemeClr w14:val="tx1"/>
                  </w14:solidFill>
                </w14:textFill>
              </w:rPr>
              <w:t>城区</w:t>
            </w:r>
          </w:p>
          <w:p>
            <w:pPr>
              <w:autoSpaceDE w:val="0"/>
              <w:autoSpaceDN w:val="0"/>
              <w:spacing w:line="240" w:lineRule="auto"/>
              <w:ind w:firstLine="0" w:firstLineChars="0"/>
              <w:jc w:val="center"/>
              <w:rPr>
                <w:rFonts w:ascii="Calibri" w:hAnsi="Calibri" w:eastAsia="Times New Roman" w:cs="Times New Roman"/>
                <w:b/>
                <w:bCs/>
                <w:color w:val="000000" w:themeColor="text1"/>
                <w:kern w:val="0"/>
                <w:sz w:val="24"/>
                <w:lang w:eastAsia="en-US"/>
                <w14:textFill>
                  <w14:solidFill>
                    <w14:schemeClr w14:val="tx1"/>
                  </w14:solidFill>
                </w14:textFill>
              </w:rPr>
            </w:pPr>
            <w:r>
              <w:rPr>
                <w:rFonts w:hint="eastAsia" w:ascii="宋体" w:hAnsi="宋体" w:eastAsia="Times New Roman" w:cs="宋体"/>
                <w:b/>
                <w:bCs/>
                <w:color w:val="000000" w:themeColor="text1"/>
                <w:kern w:val="0"/>
                <w:sz w:val="22"/>
                <w:lang w:eastAsia="en-US"/>
                <w14:textFill>
                  <w14:solidFill>
                    <w14:schemeClr w14:val="tx1"/>
                  </w14:solidFill>
                </w14:textFill>
              </w:rPr>
              <w:t>（含红海湾）</w:t>
            </w:r>
          </w:p>
        </w:tc>
        <w:tc>
          <w:tcPr>
            <w:tcW w:w="106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left"/>
              <w:rPr>
                <w:rFonts w:ascii="Calibri" w:hAnsi="Calibri" w:eastAsia="Times New Roman" w:cs="Times New Roman"/>
                <w:bCs/>
                <w:color w:val="000000" w:themeColor="text1"/>
                <w:kern w:val="0"/>
                <w:sz w:val="24"/>
                <w:lang w:eastAsia="zh-CN"/>
                <w14:textFill>
                  <w14:solidFill>
                    <w14:schemeClr w14:val="tx1"/>
                  </w14:solidFill>
                </w14:textFill>
              </w:rPr>
            </w:pPr>
            <w:r>
              <w:rPr>
                <w:rFonts w:hint="eastAsia" w:ascii="宋体" w:hAnsi="宋体" w:eastAsia="Times New Roman" w:cs="宋体"/>
                <w:bCs/>
                <w:color w:val="000000" w:themeColor="text1"/>
                <w:kern w:val="0"/>
                <w:sz w:val="24"/>
                <w:lang w:eastAsia="zh-CN"/>
                <w14:textFill>
                  <w14:solidFill>
                    <w14:schemeClr w14:val="tx1"/>
                  </w14:solidFill>
                </w14:textFill>
              </w:rPr>
              <w:t>高城镇化率、政治经济中心、旅游需求旺盛、通勤接驳需求旺盛、路网条件较好</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7800</w:t>
            </w:r>
          </w:p>
        </w:tc>
        <w:tc>
          <w:tcPr>
            <w:tcW w:w="3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8000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8800</w:t>
            </w:r>
          </w:p>
        </w:tc>
        <w:tc>
          <w:tcPr>
            <w:tcW w:w="40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8500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8700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9700</w:t>
            </w:r>
          </w:p>
        </w:tc>
        <w:tc>
          <w:tcPr>
            <w:tcW w:w="35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9400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9700</w:t>
            </w:r>
          </w:p>
        </w:tc>
        <w:tc>
          <w:tcPr>
            <w:tcW w:w="32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10700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5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
                <w:bCs/>
                <w:color w:val="000000" w:themeColor="text1"/>
                <w:kern w:val="0"/>
                <w:sz w:val="24"/>
                <w:lang w:eastAsia="en-US"/>
                <w14:textFill>
                  <w14:solidFill>
                    <w14:schemeClr w14:val="tx1"/>
                  </w14:solidFill>
                </w14:textFill>
              </w:rPr>
            </w:pPr>
            <w:r>
              <w:rPr>
                <w:rFonts w:hint="eastAsia" w:ascii="宋体" w:hAnsi="宋体" w:eastAsia="Times New Roman" w:cs="宋体"/>
                <w:b/>
                <w:bCs/>
                <w:color w:val="000000" w:themeColor="text1"/>
                <w:kern w:val="0"/>
                <w:sz w:val="22"/>
                <w:lang w:eastAsia="en-US"/>
                <w14:textFill>
                  <w14:solidFill>
                    <w14:schemeClr w14:val="tx1"/>
                  </w14:solidFill>
                </w14:textFill>
              </w:rPr>
              <w:t>海丰县</w:t>
            </w:r>
          </w:p>
        </w:tc>
        <w:tc>
          <w:tcPr>
            <w:tcW w:w="106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left"/>
              <w:rPr>
                <w:rFonts w:ascii="Calibri" w:hAnsi="Calibri" w:eastAsia="Times New Roman" w:cs="Times New Roman"/>
                <w:bCs/>
                <w:color w:val="000000" w:themeColor="text1"/>
                <w:kern w:val="0"/>
                <w:sz w:val="24"/>
                <w:lang w:eastAsia="zh-CN"/>
                <w14:textFill>
                  <w14:solidFill>
                    <w14:schemeClr w14:val="tx1"/>
                  </w14:solidFill>
                </w14:textFill>
              </w:rPr>
            </w:pPr>
            <w:r>
              <w:rPr>
                <w:rFonts w:hint="eastAsia" w:ascii="宋体" w:hAnsi="宋体" w:eastAsia="Times New Roman" w:cs="宋体"/>
                <w:bCs/>
                <w:color w:val="000000" w:themeColor="text1"/>
                <w:kern w:val="0"/>
                <w:sz w:val="24"/>
                <w:lang w:eastAsia="zh-CN"/>
                <w14:textFill>
                  <w14:solidFill>
                    <w14:schemeClr w14:val="tx1"/>
                  </w14:solidFill>
                </w14:textFill>
              </w:rPr>
              <w:t>人口大县、经济活跃、出行需求集中</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9000</w:t>
            </w:r>
          </w:p>
        </w:tc>
        <w:tc>
          <w:tcPr>
            <w:tcW w:w="3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9200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10000</w:t>
            </w:r>
          </w:p>
        </w:tc>
        <w:tc>
          <w:tcPr>
            <w:tcW w:w="40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10000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10100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10900</w:t>
            </w:r>
          </w:p>
        </w:tc>
        <w:tc>
          <w:tcPr>
            <w:tcW w:w="35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11000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11200</w:t>
            </w:r>
          </w:p>
        </w:tc>
        <w:tc>
          <w:tcPr>
            <w:tcW w:w="32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12100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5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
                <w:bCs/>
                <w:color w:val="000000" w:themeColor="text1"/>
                <w:kern w:val="0"/>
                <w:sz w:val="22"/>
                <w:lang w:eastAsia="en-US"/>
                <w14:textFill>
                  <w14:solidFill>
                    <w14:schemeClr w14:val="tx1"/>
                  </w14:solidFill>
                </w14:textFill>
              </w:rPr>
            </w:pPr>
            <w:r>
              <w:rPr>
                <w:rFonts w:hint="eastAsia" w:ascii="宋体" w:hAnsi="宋体" w:eastAsia="Times New Roman" w:cs="宋体"/>
                <w:b/>
                <w:bCs/>
                <w:color w:val="000000" w:themeColor="text1"/>
                <w:kern w:val="0"/>
                <w:sz w:val="22"/>
                <w:lang w:eastAsia="en-US"/>
                <w14:textFill>
                  <w14:solidFill>
                    <w14:schemeClr w14:val="tx1"/>
                  </w14:solidFill>
                </w14:textFill>
              </w:rPr>
              <w:t>陆丰市</w:t>
            </w:r>
          </w:p>
          <w:p>
            <w:pPr>
              <w:autoSpaceDE w:val="0"/>
              <w:autoSpaceDN w:val="0"/>
              <w:spacing w:line="240" w:lineRule="auto"/>
              <w:ind w:firstLine="0" w:firstLineChars="0"/>
              <w:jc w:val="center"/>
              <w:rPr>
                <w:rFonts w:ascii="Calibri" w:hAnsi="Calibri" w:eastAsia="Times New Roman" w:cs="Times New Roman"/>
                <w:b/>
                <w:bCs/>
                <w:color w:val="000000" w:themeColor="text1"/>
                <w:kern w:val="0"/>
                <w:sz w:val="24"/>
                <w:lang w:eastAsia="en-US"/>
                <w14:textFill>
                  <w14:solidFill>
                    <w14:schemeClr w14:val="tx1"/>
                  </w14:solidFill>
                </w14:textFill>
              </w:rPr>
            </w:pPr>
            <w:r>
              <w:rPr>
                <w:rFonts w:hint="eastAsia" w:ascii="宋体" w:hAnsi="宋体" w:eastAsia="Times New Roman" w:cs="宋体"/>
                <w:b/>
                <w:bCs/>
                <w:color w:val="000000" w:themeColor="text1"/>
                <w:kern w:val="0"/>
                <w:sz w:val="22"/>
                <w:lang w:eastAsia="en-US"/>
                <w14:textFill>
                  <w14:solidFill>
                    <w14:schemeClr w14:val="tx1"/>
                  </w14:solidFill>
                </w14:textFill>
              </w:rPr>
              <w:t>（含华侨）</w:t>
            </w:r>
          </w:p>
        </w:tc>
        <w:tc>
          <w:tcPr>
            <w:tcW w:w="106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left"/>
              <w:rPr>
                <w:rFonts w:ascii="Calibri" w:hAnsi="Calibri" w:eastAsia="Times New Roman" w:cs="Times New Roman"/>
                <w:bCs/>
                <w:color w:val="000000" w:themeColor="text1"/>
                <w:kern w:val="0"/>
                <w:sz w:val="24"/>
                <w:lang w:eastAsia="zh-CN"/>
                <w14:textFill>
                  <w14:solidFill>
                    <w14:schemeClr w14:val="tx1"/>
                  </w14:solidFill>
                </w14:textFill>
              </w:rPr>
            </w:pPr>
            <w:r>
              <w:rPr>
                <w:rFonts w:hint="eastAsia" w:ascii="宋体" w:hAnsi="宋体" w:eastAsia="Times New Roman" w:cs="宋体"/>
                <w:bCs/>
                <w:color w:val="000000" w:themeColor="text1"/>
                <w:kern w:val="0"/>
                <w:sz w:val="24"/>
                <w:lang w:eastAsia="zh-CN"/>
                <w14:textFill>
                  <w14:solidFill>
                    <w14:schemeClr w14:val="tx1"/>
                  </w14:solidFill>
                </w14:textFill>
              </w:rPr>
              <w:t>人口最多，但城镇比例较低，人口呈三大聚焦多点分布形式，需分散投放</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7400</w:t>
            </w:r>
          </w:p>
        </w:tc>
        <w:tc>
          <w:tcPr>
            <w:tcW w:w="3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7700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8600</w:t>
            </w:r>
          </w:p>
        </w:tc>
        <w:tc>
          <w:tcPr>
            <w:tcW w:w="40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8000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8400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9000</w:t>
            </w:r>
          </w:p>
        </w:tc>
        <w:tc>
          <w:tcPr>
            <w:tcW w:w="35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9000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9300</w:t>
            </w:r>
          </w:p>
        </w:tc>
        <w:tc>
          <w:tcPr>
            <w:tcW w:w="32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10400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5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
                <w:bCs/>
                <w:color w:val="000000" w:themeColor="text1"/>
                <w:kern w:val="0"/>
                <w:sz w:val="24"/>
                <w:lang w:eastAsia="en-US"/>
                <w14:textFill>
                  <w14:solidFill>
                    <w14:schemeClr w14:val="tx1"/>
                  </w14:solidFill>
                </w14:textFill>
              </w:rPr>
            </w:pPr>
            <w:r>
              <w:rPr>
                <w:rFonts w:hint="eastAsia" w:ascii="宋体" w:hAnsi="宋体" w:eastAsia="Times New Roman" w:cs="宋体"/>
                <w:b/>
                <w:bCs/>
                <w:color w:val="000000" w:themeColor="text1"/>
                <w:kern w:val="0"/>
                <w:sz w:val="22"/>
                <w:lang w:eastAsia="en-US"/>
                <w14:textFill>
                  <w14:solidFill>
                    <w14:schemeClr w14:val="tx1"/>
                  </w14:solidFill>
                </w14:textFill>
              </w:rPr>
              <w:t>陆河县</w:t>
            </w:r>
          </w:p>
        </w:tc>
        <w:tc>
          <w:tcPr>
            <w:tcW w:w="106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left"/>
              <w:rPr>
                <w:rFonts w:ascii="Calibri" w:hAnsi="Calibri" w:eastAsia="Times New Roman" w:cs="Times New Roman"/>
                <w:bCs/>
                <w:color w:val="000000" w:themeColor="text1"/>
                <w:kern w:val="0"/>
                <w:sz w:val="24"/>
                <w:lang w:eastAsia="zh-CN"/>
                <w14:textFill>
                  <w14:solidFill>
                    <w14:schemeClr w14:val="tx1"/>
                  </w14:solidFill>
                </w14:textFill>
              </w:rPr>
            </w:pPr>
            <w:r>
              <w:rPr>
                <w:rFonts w:hint="eastAsia" w:ascii="宋体" w:hAnsi="宋体" w:eastAsia="Times New Roman" w:cs="宋体"/>
                <w:bCs/>
                <w:color w:val="000000" w:themeColor="text1"/>
                <w:kern w:val="0"/>
                <w:sz w:val="24"/>
                <w:lang w:eastAsia="zh-CN"/>
                <w14:textFill>
                  <w14:solidFill>
                    <w14:schemeClr w14:val="tx1"/>
                  </w14:solidFill>
                </w14:textFill>
              </w:rPr>
              <w:t>人口最少且高度集中于河田镇，整体需求有限</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2900</w:t>
            </w:r>
          </w:p>
        </w:tc>
        <w:tc>
          <w:tcPr>
            <w:tcW w:w="3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3000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3400</w:t>
            </w:r>
          </w:p>
        </w:tc>
        <w:tc>
          <w:tcPr>
            <w:tcW w:w="40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3200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3300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3700</w:t>
            </w:r>
          </w:p>
        </w:tc>
        <w:tc>
          <w:tcPr>
            <w:tcW w:w="35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3500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3700</w:t>
            </w:r>
          </w:p>
        </w:tc>
        <w:tc>
          <w:tcPr>
            <w:tcW w:w="32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4000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1624" w:type="pct"/>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hint="eastAsia" w:ascii="宋体" w:hAnsi="宋体" w:eastAsia="Times New Roman" w:cs="宋体"/>
                <w:b/>
                <w:bCs/>
                <w:color w:val="000000" w:themeColor="text1"/>
                <w:kern w:val="0"/>
                <w:sz w:val="22"/>
                <w:lang w:eastAsia="en-US"/>
                <w14:textFill>
                  <w14:solidFill>
                    <w14:schemeClr w14:val="tx1"/>
                  </w14:solidFill>
                </w14:textFill>
              </w:rPr>
              <w:t>总计</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 xml:space="preserve">27100 </w:t>
            </w:r>
          </w:p>
        </w:tc>
        <w:tc>
          <w:tcPr>
            <w:tcW w:w="35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 xml:space="preserve">27900 </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30800</w:t>
            </w:r>
          </w:p>
        </w:tc>
        <w:tc>
          <w:tcPr>
            <w:tcW w:w="40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29700</w:t>
            </w:r>
          </w:p>
        </w:tc>
        <w:tc>
          <w:tcPr>
            <w:tcW w:w="407"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30500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33300</w:t>
            </w:r>
          </w:p>
        </w:tc>
        <w:tc>
          <w:tcPr>
            <w:tcW w:w="35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32900</w:t>
            </w:r>
          </w:p>
        </w:tc>
        <w:tc>
          <w:tcPr>
            <w:tcW w:w="356"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33900</w:t>
            </w:r>
          </w:p>
        </w:tc>
        <w:tc>
          <w:tcPr>
            <w:tcW w:w="325" w:type="pct"/>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rPr>
                <w:rFonts w:ascii="Calibri" w:hAnsi="Calibri" w:eastAsia="Times New Roman" w:cs="Times New Roman"/>
                <w:bCs/>
                <w:color w:val="000000" w:themeColor="text1"/>
                <w:kern w:val="0"/>
                <w:sz w:val="24"/>
                <w:lang w:eastAsia="en-US"/>
                <w14:textFill>
                  <w14:solidFill>
                    <w14:schemeClr w14:val="tx1"/>
                  </w14:solidFill>
                </w14:textFill>
              </w:rPr>
            </w:pPr>
            <w:r>
              <w:rPr>
                <w:rFonts w:ascii="Calibri" w:hAnsi="Calibri" w:eastAsia="Times New Roman" w:cs="Times New Roman"/>
                <w:bCs/>
                <w:color w:val="000000" w:themeColor="text1"/>
                <w:kern w:val="0"/>
                <w:sz w:val="24"/>
                <w:lang w:eastAsia="en-US"/>
                <w14:textFill>
                  <w14:solidFill>
                    <w14:schemeClr w14:val="tx1"/>
                  </w14:solidFill>
                </w14:textFill>
              </w:rPr>
              <w:t>37200</w:t>
            </w:r>
          </w:p>
        </w:tc>
      </w:tr>
    </w:tbl>
    <w:p>
      <w:pPr>
        <w:ind w:firstLine="544"/>
        <w:rPr>
          <w:color w:val="000000" w:themeColor="text1"/>
          <w:spacing w:val="-4"/>
          <w14:textFill>
            <w14:solidFill>
              <w14:schemeClr w14:val="tx1"/>
            </w14:solidFill>
          </w14:textFill>
        </w:rPr>
      </w:pPr>
    </w:p>
    <w:p>
      <w:pPr>
        <w:ind w:firstLine="544"/>
        <w:rPr>
          <w:color w:val="000000" w:themeColor="text1"/>
          <w:spacing w:val="-4"/>
          <w14:textFill>
            <w14:solidFill>
              <w14:schemeClr w14:val="tx1"/>
            </w14:solidFill>
          </w14:textFill>
        </w:rPr>
        <w:sectPr>
          <w:pgSz w:w="16838" w:h="11906" w:orient="landscape"/>
          <w:pgMar w:top="1797" w:right="1440" w:bottom="1797" w:left="1440" w:header="851" w:footer="992" w:gutter="0"/>
          <w:pgNumType w:fmt="numberInDash"/>
          <w:cols w:space="425" w:num="1"/>
          <w:docGrid w:type="lines" w:linePitch="381" w:charSpace="0"/>
        </w:sectPr>
      </w:pPr>
    </w:p>
    <w:p>
      <w:pPr>
        <w:pStyle w:val="36"/>
        <w:ind w:firstLine="584"/>
        <w:rPr>
          <w:color w:val="000000" w:themeColor="text1"/>
          <w:spacing w:val="-4"/>
          <w14:textFill>
            <w14:solidFill>
              <w14:schemeClr w14:val="tx1"/>
            </w14:solidFill>
          </w14:textFill>
        </w:rPr>
      </w:pPr>
      <w:bookmarkStart w:id="19" w:name="_Toc218782095"/>
      <w:r>
        <w:rPr>
          <w:rFonts w:hint="eastAsia"/>
          <w:color w:val="000000" w:themeColor="text1"/>
          <w:spacing w:val="-4"/>
          <w14:textFill>
            <w14:solidFill>
              <w14:schemeClr w14:val="tx1"/>
            </w14:solidFill>
          </w14:textFill>
        </w:rPr>
        <w:t>三、重点区域分析</w:t>
      </w:r>
      <w:bookmarkEnd w:id="19"/>
    </w:p>
    <w:p>
      <w:pPr>
        <w:pStyle w:val="39"/>
        <w:ind w:firstLine="546"/>
        <w:rPr>
          <w:color w:val="000000" w:themeColor="text1"/>
          <w:spacing w:val="-4"/>
          <w14:textFill>
            <w14:solidFill>
              <w14:schemeClr w14:val="tx1"/>
            </w14:solidFill>
          </w14:textFill>
        </w:rPr>
      </w:pPr>
      <w:bookmarkStart w:id="20" w:name="_Toc218782096"/>
      <w:r>
        <w:rPr>
          <w:rFonts w:hint="eastAsia"/>
          <w:color w:val="000000" w:themeColor="text1"/>
          <w:spacing w:val="-4"/>
          <w14:textFill>
            <w14:solidFill>
              <w14:schemeClr w14:val="tx1"/>
            </w14:solidFill>
          </w14:textFill>
        </w:rPr>
        <w:t>（一）人流热力图分析</w:t>
      </w:r>
      <w:bookmarkEnd w:id="20"/>
    </w:p>
    <w:p>
      <w:pPr>
        <w:ind w:firstLine="544"/>
        <w:rPr>
          <w:rFonts w:cs="Times New Roman"/>
          <w:color w:val="000000" w:themeColor="text1"/>
          <w:spacing w:val="-4"/>
          <w14:textFill>
            <w14:solidFill>
              <w14:schemeClr w14:val="tx1"/>
            </w14:solidFill>
          </w14:textFill>
        </w:rPr>
      </w:pPr>
      <w:r>
        <w:rPr>
          <w:rFonts w:hint="eastAsia" w:cs="Times New Roman"/>
          <w:color w:val="000000" w:themeColor="text1"/>
          <w:spacing w:val="-4"/>
          <w14:textFill>
            <w14:solidFill>
              <w14:schemeClr w14:val="tx1"/>
            </w14:solidFill>
          </w14:textFill>
        </w:rPr>
        <w:t>从汕尾地区的人流热力图来看，该地区大致有10个人流密集区域：汕尾市城区、红海湾经济开发区、海丰县城区、梅陇镇、公平镇、可塘镇、陆丰市城区、碣石镇、甲子镇、陆河县城区。</w:t>
      </w:r>
    </w:p>
    <w:p>
      <w:pPr>
        <w:ind w:firstLine="0" w:firstLineChars="0"/>
        <w:jc w:val="center"/>
        <w:rPr>
          <w:rFonts w:cs="Times New Roman"/>
          <w:color w:val="000000" w:themeColor="text1"/>
          <w:spacing w:val="-4"/>
          <w:kern w:val="0"/>
          <w:sz w:val="32"/>
          <w:szCs w:val="32"/>
          <w14:textFill>
            <w14:solidFill>
              <w14:schemeClr w14:val="tx1"/>
            </w14:solidFill>
          </w14:textFill>
        </w:rPr>
      </w:pPr>
      <w:r>
        <w:rPr>
          <w:rFonts w:cs="Times New Roman"/>
          <w:color w:val="000000" w:themeColor="text1"/>
          <w:spacing w:val="-4"/>
          <w:kern w:val="0"/>
          <w:sz w:val="32"/>
          <w:szCs w:val="32"/>
          <w14:textFill>
            <w14:solidFill>
              <w14:schemeClr w14:val="tx1"/>
            </w14:solidFill>
          </w14:textFill>
        </w:rPr>
        <w:object>
          <v:shape id="_x0000_i1025" o:spt="75" type="#_x0000_t75" style="height:320.25pt;width:393pt;" o:ole="t" filled="f" o:preferrelative="t" stroked="f" coordsize="21600,21600">
            <v:path/>
            <v:fill on="f" focussize="0,0"/>
            <v:stroke on="f" joinstyle="miter"/>
            <v:imagedata r:id="rId17" o:title=""/>
            <o:lock v:ext="edit" aspectratio="t"/>
            <w10:wrap type="none"/>
            <w10:anchorlock/>
          </v:shape>
          <o:OLEObject Type="Embed" ProgID="Visio.Drawing.15" ShapeID="_x0000_i1025" DrawAspect="Content" ObjectID="_1468075725" r:id="rId16">
            <o:LockedField>false</o:LockedField>
          </o:OLEObject>
        </w:object>
      </w:r>
    </w:p>
    <w:p>
      <w:pPr>
        <w:pStyle w:val="9"/>
        <w:ind w:firstLine="0" w:firstLineChars="0"/>
        <w:jc w:val="center"/>
        <w:rPr>
          <w:rFonts w:ascii="Times New Roman" w:hAnsi="Times New Roman"/>
          <w:color w:val="000000" w:themeColor="text1"/>
          <w:spacing w:val="-4"/>
          <w:sz w:val="24"/>
          <w:szCs w:val="24"/>
          <w14:textFill>
            <w14:solidFill>
              <w14:schemeClr w14:val="tx1"/>
            </w14:solidFill>
          </w14:textFill>
        </w:rPr>
      </w:pPr>
      <w:r>
        <w:rPr>
          <w:rFonts w:hint="eastAsia" w:ascii="Times New Roman" w:hAnsi="Times New Roman"/>
          <w:color w:val="000000" w:themeColor="text1"/>
          <w:spacing w:val="-4"/>
          <w:sz w:val="24"/>
          <w:szCs w:val="24"/>
          <w14:textFill>
            <w14:solidFill>
              <w14:schemeClr w14:val="tx1"/>
            </w14:solidFill>
          </w14:textFill>
        </w:rPr>
        <w:t>图2</w:t>
      </w:r>
      <w:r>
        <w:rPr>
          <w:rFonts w:ascii="Times New Roman" w:hAnsi="Times New Roman"/>
          <w:color w:val="000000" w:themeColor="text1"/>
          <w:spacing w:val="-4"/>
          <w:sz w:val="24"/>
          <w:szCs w:val="24"/>
          <w14:textFill>
            <w14:solidFill>
              <w14:schemeClr w14:val="tx1"/>
            </w14:solidFill>
          </w14:textFill>
        </w:rPr>
        <w:t>-1</w:t>
      </w:r>
      <w:r>
        <w:rPr>
          <w:rFonts w:hint="eastAsia" w:ascii="Times New Roman" w:hAnsi="Times New Roman"/>
          <w:color w:val="000000" w:themeColor="text1"/>
          <w:spacing w:val="-4"/>
          <w:sz w:val="24"/>
          <w:szCs w:val="24"/>
          <w14:textFill>
            <w14:solidFill>
              <w14:schemeClr w14:val="tx1"/>
            </w14:solidFill>
          </w14:textFill>
        </w:rPr>
        <w:t xml:space="preserve"> 汕尾地区人流热力图</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从这十个区域的总常住人口分布情况深入分析，发现存在显著的差异特征。其中，汕尾市城区、海丰县城区、陆丰市城区以及碣石镇这4个区域，常住人口数量均接近或者超过20万，与其余6个区域相比，人口规模优势十分突出。因此，基于人口规模这一关键因素，汕尾市城区、海丰县城区、陆丰市城区、碣石镇这4个区域是汕尾地区应优先考虑进行共享电动自行车投放的区域。此外，陆河县城区虽然常住人口规模相对较小，但它在整个县域中扮演着对外交通联络枢纽的关键角色，承担着重要的交通集散功能。考虑到这一独特的区位优势，陆河县城区同样具备投放共享电动自行车的条件，可纳入投放规划范围。最后，红海湾经济开发区作为国内知名的风景旅游区，每年吸引着大量游客纷至沓来，人流密集程度较高，为满足游客在景区内的便捷出行需求，提升旅游体验，其也应当被纳入共享电动自行车投放的考量区域。综合以上多方面的因素，并依据汕尾地区的人流热力图，最终确定汕尾市城区、海丰县城区、陆丰市城区、碣石镇、陆河县城区和红海湾经济开发区这6个区域需进行共享电动自行车的投放。</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（1）汕尾市城区和红海湾经济开发区分析</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从汕尾市城区和红海湾经济开发区的人流热力图来看，全天人流密集区域主要会形成如下4个组团：信利·城市广场</w:t>
      </w:r>
      <w:r>
        <w:rPr>
          <w:rFonts w:hint="eastAsia"/>
          <w:color w:val="000000" w:themeColor="text1"/>
          <w14:textFill>
            <w14:solidFill>
              <w14:schemeClr w14:val="tx1"/>
            </w14:solidFill>
          </w14:textFill>
        </w:rPr>
        <w:t>（二马路）</w:t>
      </w:r>
      <w:r>
        <w:rPr>
          <w:rFonts w:hint="eastAsia"/>
          <w:color w:val="000000" w:themeColor="text1"/>
          <w:spacing w:val="-4"/>
          <w14:textFill>
            <w14:solidFill>
              <w14:schemeClr w14:val="tx1"/>
            </w14:solidFill>
          </w14:textFill>
        </w:rPr>
        <w:t>-明珠广场-吉祥路组团、汕尾站-中山大学孙逸仙纪念医院深汕中心医院-市民服务广场组团、保利金町湾-华南师范大学（汕尾校区）-金町湾沙滩组团和红海湾-田寮-金屿滩-风车岛组团。</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根据人流热力图，信利·城市广场（二马路）、明珠广场、吉祥路、汕尾站、中山大学孙逸仙纪念医院深汕中心医院、市民服务广场、保利金町湾和遮浪城隍庙为人流热力核心，可重点考虑将一级停放点设置于这些人流热力核心周边不超过300米距离的适当位置。</w:t>
      </w:r>
    </w:p>
    <w:p>
      <w:pPr>
        <w:spacing w:line="240" w:lineRule="auto"/>
        <w:ind w:firstLine="0" w:firstLineChars="0"/>
        <w:jc w:val="center"/>
        <w:rPr>
          <w:rFonts w:cs="Times New Roman"/>
          <w:color w:val="000000" w:themeColor="text1"/>
          <w:spacing w:val="-4"/>
          <w:kern w:val="0"/>
          <w:sz w:val="24"/>
          <w:szCs w:val="24"/>
          <w14:textFill>
            <w14:solidFill>
              <w14:schemeClr w14:val="tx1"/>
            </w14:solidFill>
          </w14:textFill>
        </w:rPr>
      </w:pPr>
      <w:r>
        <w:rPr>
          <w:rFonts w:cs="Times New Roman"/>
          <w:color w:val="000000" w:themeColor="text1"/>
          <w:spacing w:val="-4"/>
          <w:kern w:val="0"/>
          <w:sz w:val="24"/>
          <w:szCs w:val="24"/>
          <w14:textFill>
            <w14:solidFill>
              <w14:schemeClr w14:val="tx1"/>
            </w14:solidFill>
          </w14:textFill>
        </w:rPr>
        <w:object>
          <v:shape id="_x0000_i1026" o:spt="75" type="#_x0000_t75" style="height:429pt;width:347.25pt;" o:ole="t" filled="f" o:preferrelative="t" stroked="f" coordsize="21600,21600">
            <v:path/>
            <v:fill on="f" focussize="0,0"/>
            <v:stroke on="f" joinstyle="miter"/>
            <v:imagedata r:id="rId19" o:title=""/>
            <o:lock v:ext="edit" aspectratio="t"/>
            <w10:wrap type="none"/>
            <w10:anchorlock/>
          </v:shape>
          <o:OLEObject Type="Embed" ProgID="Visio.Drawing.15" ShapeID="_x0000_i1026" DrawAspect="Content" ObjectID="_1468075726" r:id="rId18">
            <o:LockedField>false</o:LockedField>
          </o:OLEObject>
        </w:object>
      </w:r>
    </w:p>
    <w:p>
      <w:pPr>
        <w:pStyle w:val="9"/>
        <w:spacing w:line="240" w:lineRule="auto"/>
        <w:ind w:firstLine="0" w:firstLineChars="0"/>
        <w:jc w:val="center"/>
        <w:rPr>
          <w:rFonts w:ascii="Times New Roman" w:hAnsi="Times New Roman"/>
          <w:color w:val="000000" w:themeColor="text1"/>
          <w:spacing w:val="-4"/>
          <w:sz w:val="24"/>
          <w:szCs w:val="24"/>
          <w14:textFill>
            <w14:solidFill>
              <w14:schemeClr w14:val="tx1"/>
            </w14:solidFill>
          </w14:textFill>
        </w:rPr>
      </w:pPr>
      <w:r>
        <w:rPr>
          <w:rFonts w:hint="eastAsia" w:ascii="Times New Roman" w:hAnsi="Times New Roman"/>
          <w:color w:val="000000" w:themeColor="text1"/>
          <w:spacing w:val="-4"/>
          <w:sz w:val="24"/>
          <w:szCs w:val="24"/>
          <w14:textFill>
            <w14:solidFill>
              <w14:schemeClr w14:val="tx1"/>
            </w14:solidFill>
          </w14:textFill>
        </w:rPr>
        <w:t>图2</w:t>
      </w:r>
      <w:r>
        <w:rPr>
          <w:rFonts w:ascii="Times New Roman" w:hAnsi="Times New Roman"/>
          <w:color w:val="000000" w:themeColor="text1"/>
          <w:spacing w:val="-4"/>
          <w:sz w:val="24"/>
          <w:szCs w:val="24"/>
          <w14:textFill>
            <w14:solidFill>
              <w14:schemeClr w14:val="tx1"/>
            </w14:solidFill>
          </w14:textFill>
        </w:rPr>
        <w:t>-2</w:t>
      </w:r>
      <w:r>
        <w:rPr>
          <w:rFonts w:hint="eastAsia" w:ascii="Times New Roman" w:hAnsi="Times New Roman"/>
          <w:color w:val="000000" w:themeColor="text1"/>
          <w:spacing w:val="-4"/>
          <w:sz w:val="24"/>
          <w:szCs w:val="24"/>
          <w14:textFill>
            <w14:solidFill>
              <w14:schemeClr w14:val="tx1"/>
            </w14:solidFill>
          </w14:textFill>
        </w:rPr>
        <w:t xml:space="preserve"> 汕尾市区人流热力图</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（2）海丰县城区分析</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从海丰县城区的人流热力图来看，全天人流密集区域主要会形成如下4个组团：天虹商场-海丰市民广场-雍悦豪苑组团、龙山公园-怡丰小区-金东方财富花园-海丰城东医院-东盛华庭组团、世纪广场-信利蓝天广场-海丰影剧院组团和海丰公共交通汽车总站-富嘉名城-第一城-澎湃纪念医院新院区组团。</w:t>
      </w:r>
    </w:p>
    <w:p>
      <w:pPr>
        <w:ind w:firstLine="0" w:firstLineChars="0"/>
        <w:rPr>
          <w:rFonts w:cs="Times New Roman"/>
          <w:color w:val="000000" w:themeColor="text1"/>
          <w:spacing w:val="-4"/>
          <w:kern w:val="0"/>
          <w:sz w:val="32"/>
          <w:szCs w:val="32"/>
          <w14:textFill>
            <w14:solidFill>
              <w14:schemeClr w14:val="tx1"/>
            </w14:solidFill>
          </w14:textFill>
        </w:rPr>
      </w:pPr>
      <w:r>
        <w:rPr>
          <w:rFonts w:cs="Times New Roman"/>
          <w:color w:val="000000" w:themeColor="text1"/>
          <w:spacing w:val="-4"/>
          <w:kern w:val="0"/>
          <w:sz w:val="32"/>
          <w:szCs w:val="32"/>
          <w14:textFill>
            <w14:solidFill>
              <w14:schemeClr w14:val="tx1"/>
            </w14:solidFill>
          </w14:textFill>
        </w:rPr>
        <w:object>
          <v:shape id="_x0000_i1027" o:spt="75" type="#_x0000_t75" style="height:345pt;width:413.25pt;" o:ole="t" filled="f" o:preferrelative="t" stroked="f" coordsize="21600,21600">
            <v:path/>
            <v:fill on="f" focussize="0,0"/>
            <v:stroke on="f" joinstyle="miter"/>
            <v:imagedata r:id="rId21" o:title=""/>
            <o:lock v:ext="edit" aspectratio="t"/>
            <w10:wrap type="none"/>
            <w10:anchorlock/>
          </v:shape>
          <o:OLEObject Type="Embed" ProgID="Visio.Drawing.15" ShapeID="_x0000_i1027" DrawAspect="Content" ObjectID="_1468075727" r:id="rId20">
            <o:LockedField>false</o:LockedField>
          </o:OLEObject>
        </w:object>
      </w:r>
    </w:p>
    <w:p>
      <w:pPr>
        <w:pStyle w:val="9"/>
        <w:ind w:firstLine="0" w:firstLineChars="0"/>
        <w:jc w:val="center"/>
        <w:rPr>
          <w:rFonts w:ascii="Times New Roman" w:hAnsi="Times New Roman"/>
          <w:color w:val="000000" w:themeColor="text1"/>
          <w:spacing w:val="-4"/>
          <w:sz w:val="24"/>
          <w:szCs w:val="24"/>
          <w14:textFill>
            <w14:solidFill>
              <w14:schemeClr w14:val="tx1"/>
            </w14:solidFill>
          </w14:textFill>
        </w:rPr>
      </w:pPr>
      <w:r>
        <w:rPr>
          <w:rFonts w:hint="eastAsia" w:ascii="Times New Roman" w:hAnsi="Times New Roman"/>
          <w:color w:val="000000" w:themeColor="text1"/>
          <w:spacing w:val="-4"/>
          <w:sz w:val="24"/>
          <w:szCs w:val="24"/>
          <w14:textFill>
            <w14:solidFill>
              <w14:schemeClr w14:val="tx1"/>
            </w14:solidFill>
          </w14:textFill>
        </w:rPr>
        <w:t>图2</w:t>
      </w:r>
      <w:r>
        <w:rPr>
          <w:rFonts w:ascii="Times New Roman" w:hAnsi="Times New Roman"/>
          <w:color w:val="000000" w:themeColor="text1"/>
          <w:spacing w:val="-4"/>
          <w:sz w:val="24"/>
          <w:szCs w:val="24"/>
          <w14:textFill>
            <w14:solidFill>
              <w14:schemeClr w14:val="tx1"/>
            </w14:solidFill>
          </w14:textFill>
        </w:rPr>
        <w:t>-3</w:t>
      </w:r>
      <w:r>
        <w:rPr>
          <w:rFonts w:hint="eastAsia" w:ascii="Times New Roman" w:hAnsi="Times New Roman"/>
          <w:color w:val="000000" w:themeColor="text1"/>
          <w:spacing w:val="-4"/>
          <w:sz w:val="24"/>
          <w:szCs w:val="24"/>
          <w14:textFill>
            <w14:solidFill>
              <w14:schemeClr w14:val="tx1"/>
            </w14:solidFill>
          </w14:textFill>
        </w:rPr>
        <w:t xml:space="preserve"> 海丰县城区人流热力图</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根据人流热力图，天虹商场、怡丰小区、东方财富家园、金山名城、东盛华庭、世纪广场、信利蓝天广场、皇室一号、东方红城和金华大酒店为人流热力核心，可重点考虑将一级停放点设置于这些人流热力核心的周边不超过300米距离的适当位置。</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（3）陆丰市城区和碣石镇分析</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从陆丰市城区的人流热力图来看，全天人流密集区域主要会形成如下4个组团：岁宝百货-陆丰公共交通汽车总站-华辉新都组团、红星综合市场-金德丰超级商场-陆丰市文化中心-玉照公园组团、陆丰市中医医院-幸福城购物广场-金龙苑-怡景家园-鸿泰华府-御都家园-名晟花园-锦绣花园-嘉和花园-桂雅苑组团、广东省陆丰市人民医院-金龙市场组团。</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从碣石镇的人流热力图来看，全天人流密集区域主要会形成如下2个组团：鸿翔小区-东丰大酒店-玄武山-美食城-玉龙苑组团、浅澳沙滩-海工基地组团。</w:t>
      </w:r>
    </w:p>
    <w:p>
      <w:pPr>
        <w:ind w:firstLine="0" w:firstLineChars="0"/>
        <w:jc w:val="center"/>
        <w:rPr>
          <w:rFonts w:cs="Times New Roman"/>
          <w:color w:val="000000" w:themeColor="text1"/>
          <w:spacing w:val="-4"/>
          <w:kern w:val="0"/>
          <w:sz w:val="32"/>
          <w:szCs w:val="32"/>
          <w14:textFill>
            <w14:solidFill>
              <w14:schemeClr w14:val="tx1"/>
            </w14:solidFill>
          </w14:textFill>
        </w:rPr>
      </w:pPr>
      <w:r>
        <w:rPr>
          <w:rFonts w:cs="Times New Roman"/>
          <w:color w:val="000000" w:themeColor="text1"/>
          <w:spacing w:val="-4"/>
          <w:kern w:val="0"/>
          <w:sz w:val="32"/>
          <w:szCs w:val="32"/>
          <w14:textFill>
            <w14:solidFill>
              <w14:schemeClr w14:val="tx1"/>
            </w14:solidFill>
          </w14:textFill>
        </w:rPr>
        <w:object>
          <v:shape id="_x0000_i1028" o:spt="75" type="#_x0000_t75" style="height:555pt;width:381.75pt;" o:ole="t" filled="f" o:preferrelative="t" stroked="f" coordsize="21600,21600">
            <v:path/>
            <v:fill on="f" focussize="0,0"/>
            <v:stroke on="f" joinstyle="miter"/>
            <v:imagedata r:id="rId23" o:title=""/>
            <o:lock v:ext="edit" aspectratio="t"/>
            <w10:wrap type="none"/>
            <w10:anchorlock/>
          </v:shape>
          <o:OLEObject Type="Embed" ProgID="Visio.Drawing.15" ShapeID="_x0000_i1028" DrawAspect="Content" ObjectID="_1468075728" r:id="rId22">
            <o:LockedField>false</o:LockedField>
          </o:OLEObject>
        </w:object>
      </w:r>
    </w:p>
    <w:p>
      <w:pPr>
        <w:pStyle w:val="9"/>
        <w:ind w:firstLine="0" w:firstLineChars="0"/>
        <w:jc w:val="center"/>
        <w:rPr>
          <w:rFonts w:ascii="Times New Roman" w:hAnsi="Times New Roman"/>
          <w:color w:val="000000" w:themeColor="text1"/>
          <w:spacing w:val="-4"/>
          <w:sz w:val="24"/>
          <w:szCs w:val="21"/>
          <w14:textFill>
            <w14:solidFill>
              <w14:schemeClr w14:val="tx1"/>
            </w14:solidFill>
          </w14:textFill>
        </w:rPr>
      </w:pPr>
      <w:r>
        <w:rPr>
          <w:rFonts w:hint="eastAsia" w:ascii="Times New Roman" w:hAnsi="Times New Roman"/>
          <w:color w:val="000000" w:themeColor="text1"/>
          <w:spacing w:val="-4"/>
          <w:sz w:val="24"/>
          <w:szCs w:val="21"/>
          <w14:textFill>
            <w14:solidFill>
              <w14:schemeClr w14:val="tx1"/>
            </w14:solidFill>
          </w14:textFill>
        </w:rPr>
        <w:t>图2</w:t>
      </w:r>
      <w:r>
        <w:rPr>
          <w:rFonts w:ascii="Times New Roman" w:hAnsi="Times New Roman"/>
          <w:color w:val="000000" w:themeColor="text1"/>
          <w:spacing w:val="-4"/>
          <w:sz w:val="24"/>
          <w:szCs w:val="21"/>
          <w14:textFill>
            <w14:solidFill>
              <w14:schemeClr w14:val="tx1"/>
            </w14:solidFill>
          </w14:textFill>
        </w:rPr>
        <w:t>-4</w:t>
      </w:r>
      <w:r>
        <w:rPr>
          <w:rFonts w:hint="eastAsia" w:ascii="Times New Roman" w:hAnsi="Times New Roman"/>
          <w:color w:val="000000" w:themeColor="text1"/>
          <w:spacing w:val="-4"/>
          <w:sz w:val="24"/>
          <w:szCs w:val="21"/>
          <w14:textFill>
            <w14:solidFill>
              <w14:schemeClr w14:val="tx1"/>
            </w14:solidFill>
          </w14:textFill>
        </w:rPr>
        <w:t xml:space="preserve"> 陆丰市城区人流热力图</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根据人流热力图，岁宝百货、红星综合市场、龙富豪庭、月华园、金钗华府、鸿泰华府、广东省陆丰市人民医院、星湖综合市场、生福百货和西湖村为人流热力核心，可重点考虑将一级停放点设置于这些人流热力核心的周边不超过300米距离的适当位置。</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w:t>
      </w:r>
      <w:r>
        <w:rPr>
          <w:b/>
          <w:color w:val="000000" w:themeColor="text1"/>
          <w:spacing w:val="-4"/>
          <w14:textFill>
            <w14:solidFill>
              <w14:schemeClr w14:val="tx1"/>
            </w14:solidFill>
          </w14:textFill>
        </w:rPr>
        <w:t>4</w:t>
      </w:r>
      <w:r>
        <w:rPr>
          <w:rFonts w:hint="eastAsia"/>
          <w:b/>
          <w:color w:val="000000" w:themeColor="text1"/>
          <w:spacing w:val="-4"/>
          <w14:textFill>
            <w14:solidFill>
              <w14:schemeClr w14:val="tx1"/>
            </w14:solidFill>
          </w14:textFill>
        </w:rPr>
        <w:t>）陆河县城区分析</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从陆河县城区的人流热力图来看，全天人流密集区域主要会形成如下1个组团：岁宝百货-新城市场-陆河县人民医院-陆河县汽车客运站组团。</w:t>
      </w:r>
    </w:p>
    <w:p>
      <w:pPr>
        <w:ind w:firstLine="0" w:firstLineChars="0"/>
        <w:rPr>
          <w:color w:val="000000" w:themeColor="text1"/>
          <w:spacing w:val="-4"/>
          <w14:textFill>
            <w14:solidFill>
              <w14:schemeClr w14:val="tx1"/>
            </w14:solidFill>
          </w14:textFill>
        </w:rPr>
      </w:pPr>
      <w:r>
        <w:rPr>
          <w:rFonts w:cs="Times New Roman"/>
          <w:color w:val="000000" w:themeColor="text1"/>
          <w:spacing w:val="-4"/>
          <w:kern w:val="0"/>
          <w:sz w:val="32"/>
          <w:szCs w:val="32"/>
          <w14:textFill>
            <w14:solidFill>
              <w14:schemeClr w14:val="tx1"/>
            </w14:solidFill>
          </w14:textFill>
        </w:rPr>
        <w:object>
          <v:shape id="_x0000_i1029" o:spt="75" type="#_x0000_t75" style="height:399pt;width:424.5pt;" o:ole="t" filled="f" o:preferrelative="t" stroked="f" coordsize="21600,21600">
            <v:path/>
            <v:fill on="f" focussize="0,0"/>
            <v:stroke on="f" joinstyle="miter"/>
            <v:imagedata r:id="rId25" o:title=""/>
            <o:lock v:ext="edit" aspectratio="t"/>
            <w10:wrap type="none"/>
            <w10:anchorlock/>
          </v:shape>
          <o:OLEObject Type="Embed" ProgID="Visio.Drawing.15" ShapeID="_x0000_i1029" DrawAspect="Content" ObjectID="_1468075729" r:id="rId24">
            <o:LockedField>false</o:LockedField>
          </o:OLEObject>
        </w:object>
      </w:r>
    </w:p>
    <w:p>
      <w:pPr>
        <w:pStyle w:val="9"/>
        <w:ind w:firstLine="0" w:firstLineChars="0"/>
        <w:jc w:val="center"/>
        <w:rPr>
          <w:rFonts w:ascii="Times New Roman" w:hAnsi="Times New Roman"/>
          <w:color w:val="000000" w:themeColor="text1"/>
          <w:spacing w:val="-4"/>
          <w:sz w:val="24"/>
          <w:szCs w:val="21"/>
          <w14:textFill>
            <w14:solidFill>
              <w14:schemeClr w14:val="tx1"/>
            </w14:solidFill>
          </w14:textFill>
        </w:rPr>
      </w:pPr>
      <w:r>
        <w:rPr>
          <w:rFonts w:hint="eastAsia" w:ascii="Times New Roman" w:hAnsi="Times New Roman"/>
          <w:color w:val="000000" w:themeColor="text1"/>
          <w:spacing w:val="-4"/>
          <w:sz w:val="24"/>
          <w:szCs w:val="21"/>
          <w14:textFill>
            <w14:solidFill>
              <w14:schemeClr w14:val="tx1"/>
            </w14:solidFill>
          </w14:textFill>
        </w:rPr>
        <w:t>图2</w:t>
      </w:r>
      <w:r>
        <w:rPr>
          <w:rFonts w:ascii="Times New Roman" w:hAnsi="Times New Roman"/>
          <w:color w:val="000000" w:themeColor="text1"/>
          <w:spacing w:val="-4"/>
          <w:sz w:val="24"/>
          <w:szCs w:val="21"/>
          <w14:textFill>
            <w14:solidFill>
              <w14:schemeClr w14:val="tx1"/>
            </w14:solidFill>
          </w14:textFill>
        </w:rPr>
        <w:t>-5</w:t>
      </w:r>
      <w:r>
        <w:rPr>
          <w:rFonts w:hint="eastAsia" w:ascii="Times New Roman" w:hAnsi="Times New Roman"/>
          <w:color w:val="000000" w:themeColor="text1"/>
          <w:spacing w:val="-4"/>
          <w:sz w:val="24"/>
          <w:szCs w:val="21"/>
          <w14:textFill>
            <w14:solidFill>
              <w14:schemeClr w14:val="tx1"/>
            </w14:solidFill>
          </w14:textFill>
        </w:rPr>
        <w:t xml:space="preserve"> 陆河县城区人流热力图</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根据人流热力图，岁宝百货（陆河店）和漯河1号为人流热力核心，可重点考虑将一级停放点设置于其周边不超过300米距离的适当位置。</w:t>
      </w:r>
    </w:p>
    <w:p>
      <w:pPr>
        <w:pStyle w:val="39"/>
        <w:ind w:firstLine="546"/>
        <w:rPr>
          <w:color w:val="000000" w:themeColor="text1"/>
          <w:spacing w:val="-4"/>
          <w14:textFill>
            <w14:solidFill>
              <w14:schemeClr w14:val="tx1"/>
            </w14:solidFill>
          </w14:textFill>
        </w:rPr>
      </w:pPr>
      <w:bookmarkStart w:id="21" w:name="_Toc218782097"/>
      <w:r>
        <w:rPr>
          <w:rFonts w:hint="eastAsia"/>
          <w:color w:val="000000" w:themeColor="text1"/>
          <w:spacing w:val="-4"/>
          <w14:textFill>
            <w14:solidFill>
              <w14:schemeClr w14:val="tx1"/>
            </w14:solidFill>
          </w14:textFill>
        </w:rPr>
        <w:t>（二）公交站衔接需求分析</w:t>
      </w:r>
      <w:bookmarkEnd w:id="21"/>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当前，汕尾市城区（含红海湾经济开发区）共有运营公共交通线路3</w:t>
      </w:r>
      <w:r>
        <w:rPr>
          <w:color w:val="000000" w:themeColor="text1"/>
          <w:spacing w:val="-4"/>
          <w14:textFill>
            <w14:solidFill>
              <w14:schemeClr w14:val="tx1"/>
            </w14:solidFill>
          </w14:textFill>
        </w:rPr>
        <w:t>1</w:t>
      </w:r>
      <w:r>
        <w:rPr>
          <w:rFonts w:hint="eastAsia"/>
          <w:color w:val="000000" w:themeColor="text1"/>
          <w:spacing w:val="-4"/>
          <w14:textFill>
            <w14:solidFill>
              <w14:schemeClr w14:val="tx1"/>
            </w14:solidFill>
          </w14:textFill>
        </w:rPr>
        <w:t>条（红海湾经济开发区内的车辆视为1条线路），其中乡村线路7条，配车数2</w:t>
      </w:r>
      <w:r>
        <w:rPr>
          <w:color w:val="000000" w:themeColor="text1"/>
          <w:spacing w:val="-4"/>
          <w14:textFill>
            <w14:solidFill>
              <w14:schemeClr w14:val="tx1"/>
            </w14:solidFill>
          </w14:textFill>
        </w:rPr>
        <w:t>15</w:t>
      </w:r>
      <w:r>
        <w:rPr>
          <w:rFonts w:hint="eastAsia"/>
          <w:color w:val="000000" w:themeColor="text1"/>
          <w:spacing w:val="-4"/>
          <w14:textFill>
            <w14:solidFill>
              <w14:schemeClr w14:val="tx1"/>
            </w14:solidFill>
          </w14:textFill>
        </w:rPr>
        <w:t>；海丰县共有运营公共交通线路</w:t>
      </w:r>
      <w:r>
        <w:rPr>
          <w:color w:val="000000" w:themeColor="text1"/>
          <w:spacing w:val="-4"/>
          <w14:textFill>
            <w14:solidFill>
              <w14:schemeClr w14:val="tx1"/>
            </w14:solidFill>
          </w14:textFill>
        </w:rPr>
        <w:t>21</w:t>
      </w:r>
      <w:r>
        <w:rPr>
          <w:rFonts w:hint="eastAsia"/>
          <w:color w:val="000000" w:themeColor="text1"/>
          <w:spacing w:val="-4"/>
          <w14:textFill>
            <w14:solidFill>
              <w14:schemeClr w14:val="tx1"/>
            </w14:solidFill>
          </w14:textFill>
        </w:rPr>
        <w:t>条，配车数2</w:t>
      </w:r>
      <w:r>
        <w:rPr>
          <w:color w:val="000000" w:themeColor="text1"/>
          <w:spacing w:val="-4"/>
          <w14:textFill>
            <w14:solidFill>
              <w14:schemeClr w14:val="tx1"/>
            </w14:solidFill>
          </w14:textFill>
        </w:rPr>
        <w:t>55</w:t>
      </w:r>
      <w:r>
        <w:rPr>
          <w:rFonts w:hint="eastAsia"/>
          <w:color w:val="000000" w:themeColor="text1"/>
          <w:spacing w:val="-4"/>
          <w14:textFill>
            <w14:solidFill>
              <w14:schemeClr w14:val="tx1"/>
            </w14:solidFill>
          </w14:textFill>
        </w:rPr>
        <w:t>；陆丰市共有运营公共交通线路</w:t>
      </w:r>
      <w:r>
        <w:rPr>
          <w:color w:val="000000" w:themeColor="text1"/>
          <w:spacing w:val="-4"/>
          <w14:textFill>
            <w14:solidFill>
              <w14:schemeClr w14:val="tx1"/>
            </w14:solidFill>
          </w14:textFill>
        </w:rPr>
        <w:t>20</w:t>
      </w:r>
      <w:r>
        <w:rPr>
          <w:rFonts w:hint="eastAsia"/>
          <w:color w:val="000000" w:themeColor="text1"/>
          <w:spacing w:val="-4"/>
          <w14:textFill>
            <w14:solidFill>
              <w14:schemeClr w14:val="tx1"/>
            </w14:solidFill>
          </w14:textFill>
        </w:rPr>
        <w:t>条，配车数</w:t>
      </w:r>
      <w:r>
        <w:rPr>
          <w:color w:val="000000" w:themeColor="text1"/>
          <w:spacing w:val="-4"/>
          <w14:textFill>
            <w14:solidFill>
              <w14:schemeClr w14:val="tx1"/>
            </w14:solidFill>
          </w14:textFill>
        </w:rPr>
        <w:t>170</w:t>
      </w:r>
      <w:r>
        <w:rPr>
          <w:rFonts w:hint="eastAsia"/>
          <w:color w:val="000000" w:themeColor="text1"/>
          <w:spacing w:val="-4"/>
          <w14:textFill>
            <w14:solidFill>
              <w14:schemeClr w14:val="tx1"/>
            </w14:solidFill>
          </w14:textFill>
        </w:rPr>
        <w:t>；陆河县共有运营公共交通线路</w:t>
      </w:r>
      <w:r>
        <w:rPr>
          <w:color w:val="000000" w:themeColor="text1"/>
          <w:spacing w:val="-4"/>
          <w14:textFill>
            <w14:solidFill>
              <w14:schemeClr w14:val="tx1"/>
            </w14:solidFill>
          </w14:textFill>
        </w:rPr>
        <w:t>10</w:t>
      </w:r>
      <w:r>
        <w:rPr>
          <w:rFonts w:hint="eastAsia"/>
          <w:color w:val="000000" w:themeColor="text1"/>
          <w:spacing w:val="-4"/>
          <w14:textFill>
            <w14:solidFill>
              <w14:schemeClr w14:val="tx1"/>
            </w14:solidFill>
          </w14:textFill>
        </w:rPr>
        <w:t>条，配车数</w:t>
      </w:r>
      <w:r>
        <w:rPr>
          <w:color w:val="000000" w:themeColor="text1"/>
          <w:spacing w:val="-4"/>
          <w14:textFill>
            <w14:solidFill>
              <w14:schemeClr w14:val="tx1"/>
            </w14:solidFill>
          </w14:textFill>
        </w:rPr>
        <w:t>55</w:t>
      </w:r>
      <w:r>
        <w:rPr>
          <w:rFonts w:hint="eastAsia"/>
          <w:color w:val="000000" w:themeColor="text1"/>
          <w:spacing w:val="-4"/>
          <w14:textFill>
            <w14:solidFill>
              <w14:schemeClr w14:val="tx1"/>
            </w14:solidFill>
          </w14:textFill>
        </w:rPr>
        <w:t>。</w:t>
      </w:r>
    </w:p>
    <w:p>
      <w:pPr>
        <w:ind w:firstLine="544"/>
        <w:rPr>
          <w:rFonts w:cs="Times New Roman" w:eastAsiaTheme="minorEastAsia"/>
          <w:color w:val="000000" w:themeColor="text1"/>
          <w:spacing w:val="-4"/>
          <w:kern w:val="0"/>
          <w:szCs w:val="28"/>
          <w14:textFill>
            <w14:solidFill>
              <w14:schemeClr w14:val="tx1"/>
            </w14:solidFill>
          </w14:textFill>
        </w:rPr>
      </w:pPr>
      <w:r>
        <w:rPr>
          <w:rFonts w:hint="eastAsia"/>
          <w:color w:val="000000" w:themeColor="text1"/>
          <w:spacing w:val="-4"/>
          <w14:textFill>
            <w14:solidFill>
              <w14:schemeClr w14:val="tx1"/>
            </w14:solidFill>
          </w14:textFill>
        </w:rPr>
        <w:t>将以上线路中每条线路刷卡前3且位于规划区域内的站点进行梳理，其中，汕尾市区共计4</w:t>
      </w:r>
      <w:r>
        <w:rPr>
          <w:color w:val="000000" w:themeColor="text1"/>
          <w:spacing w:val="-4"/>
          <w14:textFill>
            <w14:solidFill>
              <w14:schemeClr w14:val="tx1"/>
            </w14:solidFill>
          </w14:textFill>
        </w:rPr>
        <w:t>6</w:t>
      </w:r>
      <w:r>
        <w:rPr>
          <w:rFonts w:hint="eastAsia"/>
          <w:color w:val="000000" w:themeColor="text1"/>
          <w:spacing w:val="-4"/>
          <w14:textFill>
            <w14:solidFill>
              <w14:schemeClr w14:val="tx1"/>
            </w14:solidFill>
          </w14:textFill>
        </w:rPr>
        <w:t>个站点、海丰县共计1</w:t>
      </w:r>
      <w:r>
        <w:rPr>
          <w:color w:val="000000" w:themeColor="text1"/>
          <w:spacing w:val="-4"/>
          <w14:textFill>
            <w14:solidFill>
              <w14:schemeClr w14:val="tx1"/>
            </w14:solidFill>
          </w14:textFill>
        </w:rPr>
        <w:t>6</w:t>
      </w:r>
      <w:r>
        <w:rPr>
          <w:rFonts w:hint="eastAsia"/>
          <w:color w:val="000000" w:themeColor="text1"/>
          <w:spacing w:val="-4"/>
          <w14:textFill>
            <w14:solidFill>
              <w14:schemeClr w14:val="tx1"/>
            </w14:solidFill>
          </w14:textFill>
        </w:rPr>
        <w:t>个站点、陆丰市共计5个站点、陆河县共计4个站点。可考虑在这7</w:t>
      </w:r>
      <w:r>
        <w:rPr>
          <w:color w:val="000000" w:themeColor="text1"/>
          <w:spacing w:val="-4"/>
          <w14:textFill>
            <w14:solidFill>
              <w14:schemeClr w14:val="tx1"/>
            </w14:solidFill>
          </w14:textFill>
        </w:rPr>
        <w:t>1</w:t>
      </w:r>
      <w:r>
        <w:rPr>
          <w:rFonts w:hint="eastAsia"/>
          <w:color w:val="000000" w:themeColor="text1"/>
          <w:spacing w:val="-4"/>
          <w14:textFill>
            <w14:solidFill>
              <w14:schemeClr w14:val="tx1"/>
            </w14:solidFill>
          </w14:textFill>
        </w:rPr>
        <w:t>个站点周围</w:t>
      </w:r>
      <w:r>
        <w:rPr>
          <w:rFonts w:cs="Times New Roman" w:eastAsiaTheme="minorEastAsia"/>
          <w:color w:val="000000" w:themeColor="text1"/>
          <w:spacing w:val="-4"/>
          <w:kern w:val="0"/>
          <w:szCs w:val="28"/>
          <w14:textFill>
            <w14:solidFill>
              <w14:schemeClr w14:val="tx1"/>
            </w14:solidFill>
          </w14:textFill>
        </w:rPr>
        <w:t>（不超过200米）规划二级停放点，其余在规划区域内的公交站点规划三级停放点。</w:t>
      </w:r>
    </w:p>
    <w:p>
      <w:pPr>
        <w:pStyle w:val="39"/>
        <w:ind w:firstLine="546"/>
        <w:rPr>
          <w:color w:val="000000" w:themeColor="text1"/>
          <w:spacing w:val="-4"/>
          <w14:textFill>
            <w14:solidFill>
              <w14:schemeClr w14:val="tx1"/>
            </w14:solidFill>
          </w14:textFill>
        </w:rPr>
      </w:pPr>
      <w:bookmarkStart w:id="22" w:name="_Toc218782098"/>
      <w:r>
        <w:rPr>
          <w:rFonts w:hint="eastAsia"/>
          <w:color w:val="000000" w:themeColor="text1"/>
          <w:spacing w:val="-4"/>
          <w14:textFill>
            <w14:solidFill>
              <w14:schemeClr w14:val="tx1"/>
            </w14:solidFill>
          </w14:textFill>
        </w:rPr>
        <w:t>（三）客流集散点分析</w:t>
      </w:r>
      <w:bookmarkEnd w:id="22"/>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要保证汕尾地区共享电动自行车的投放效率与使用便捷性，系统化摸排客流集散点也是较为有效的技术手段。具体而言，将重点聚焦工业区、居住区、行政中心、商业中心、体育中心、文化中心及交通枢纽等高频出行区域，这些场所因人员流动密集、出行需求旺盛，是共享电动自行车停放点设置的优先考量对象。</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项目组梳理客流集散点客流集散点178个，其中政府机构3处、医院21处、学校8处、体育场所1处、商圈23处、旅游景点27处、居民小区55处、宾馆酒店24处、交通枢纽7处、工业园区9处。</w:t>
      </w:r>
    </w:p>
    <w:p>
      <w:pPr>
        <w:ind w:firstLine="544"/>
        <w:rPr>
          <w:color w:val="000000" w:themeColor="text1"/>
          <w:spacing w:val="-4"/>
          <w14:textFill>
            <w14:solidFill>
              <w14:schemeClr w14:val="tx1"/>
            </w14:solidFill>
          </w14:textFill>
        </w:rPr>
      </w:pPr>
    </w:p>
    <w:p>
      <w:pPr>
        <w:ind w:firstLine="544"/>
        <w:rPr>
          <w:rFonts w:cs="Times New Roman"/>
          <w:color w:val="000000" w:themeColor="text1"/>
          <w:spacing w:val="-4"/>
          <w14:textFill>
            <w14:solidFill>
              <w14:schemeClr w14:val="tx1"/>
            </w14:solidFill>
          </w14:textFill>
        </w:rPr>
        <w:sectPr>
          <w:pgSz w:w="11906" w:h="16838"/>
          <w:pgMar w:top="1440" w:right="1800" w:bottom="1440" w:left="1800" w:header="851" w:footer="992" w:gutter="0"/>
          <w:pgNumType w:fmt="numberInDash"/>
          <w:cols w:space="425" w:num="1"/>
          <w:docGrid w:type="lines" w:linePitch="381" w:charSpace="0"/>
        </w:sectPr>
      </w:pPr>
    </w:p>
    <w:p>
      <w:pPr>
        <w:pStyle w:val="35"/>
        <w:spacing w:before="190" w:after="190"/>
        <w:rPr>
          <w:color w:val="000000" w:themeColor="text1"/>
          <w:spacing w:val="-4"/>
          <w14:textFill>
            <w14:solidFill>
              <w14:schemeClr w14:val="tx1"/>
            </w14:solidFill>
          </w14:textFill>
        </w:rPr>
      </w:pPr>
      <w:bookmarkStart w:id="23" w:name="_Toc218782099"/>
      <w:r>
        <w:rPr>
          <w:color w:val="000000" w:themeColor="text1"/>
          <w:spacing w:val="-4"/>
          <w14:textFill>
            <w14:solidFill>
              <w14:schemeClr w14:val="tx1"/>
            </w14:solidFill>
          </w14:textFill>
        </w:rPr>
        <w:t>第三章</w:t>
      </w:r>
      <w:r>
        <w:rPr>
          <w:rFonts w:hint="eastAsia"/>
          <w:color w:val="000000" w:themeColor="text1"/>
          <w:spacing w:val="-4"/>
          <w14:textFill>
            <w14:solidFill>
              <w14:schemeClr w14:val="tx1"/>
            </w14:solidFill>
          </w14:textFill>
        </w:rPr>
        <w:t xml:space="preserve"> 规划思路及目标</w:t>
      </w:r>
      <w:bookmarkEnd w:id="23"/>
    </w:p>
    <w:p>
      <w:pPr>
        <w:pStyle w:val="36"/>
        <w:ind w:firstLine="584"/>
        <w:rPr>
          <w:color w:val="000000" w:themeColor="text1"/>
          <w:spacing w:val="-4"/>
          <w14:textFill>
            <w14:solidFill>
              <w14:schemeClr w14:val="tx1"/>
            </w14:solidFill>
          </w14:textFill>
        </w:rPr>
      </w:pPr>
      <w:bookmarkStart w:id="24" w:name="_Toc218782100"/>
      <w:r>
        <w:rPr>
          <w:rFonts w:hint="eastAsia"/>
          <w:color w:val="000000" w:themeColor="text1"/>
          <w:spacing w:val="-4"/>
          <w14:textFill>
            <w14:solidFill>
              <w14:schemeClr w14:val="tx1"/>
            </w14:solidFill>
          </w14:textFill>
        </w:rPr>
        <w:t>一、总体思路</w:t>
      </w:r>
      <w:bookmarkEnd w:id="24"/>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统筹城市空间结构与出行需求，构建“分层分级、快慢衔接”的投放网络：以高铁站、旅游景区、客运中心结合人流热力图核心点构建一级枢纽，打造“零换乘”集散核；以行政中心、三甲综合医院、本科大中专院校、大型商圈为二级热点，形成500米服务圈；以街道综合服务中心、社区公园、菜市场为三级日常节点，实现200米可达。沿主干道布设潮汐式廊道，在支路及背街小巷加密补充点，利用电子围栏技术实现精准停放，兼顾旅游岸线、产业园区及夜间经济区的弹性扩容，形成“</w:t>
      </w:r>
      <w:r>
        <w:rPr>
          <w:rFonts w:hint="eastAsia"/>
          <w:b/>
          <w:bCs/>
          <w:color w:val="000000" w:themeColor="text1"/>
          <w:spacing w:val="-4"/>
          <w14:textFill>
            <w14:solidFill>
              <w14:schemeClr w14:val="tx1"/>
            </w14:solidFill>
          </w14:textFill>
        </w:rPr>
        <w:t>中心成网、外围成环、远端成链</w:t>
      </w:r>
      <w:r>
        <w:rPr>
          <w:rFonts w:hint="eastAsia"/>
          <w:color w:val="000000" w:themeColor="text1"/>
          <w:spacing w:val="-4"/>
          <w14:textFill>
            <w14:solidFill>
              <w14:schemeClr w14:val="tx1"/>
            </w14:solidFill>
          </w14:textFill>
        </w:rPr>
        <w:t>”的总体格局。</w:t>
      </w:r>
    </w:p>
    <w:p>
      <w:pPr>
        <w:pStyle w:val="36"/>
        <w:ind w:firstLine="584"/>
        <w:rPr>
          <w:color w:val="000000" w:themeColor="text1"/>
          <w:spacing w:val="-4"/>
          <w14:textFill>
            <w14:solidFill>
              <w14:schemeClr w14:val="tx1"/>
            </w14:solidFill>
          </w14:textFill>
        </w:rPr>
      </w:pPr>
      <w:bookmarkStart w:id="25" w:name="_Toc218782101"/>
      <w:r>
        <w:rPr>
          <w:rFonts w:hint="eastAsia"/>
          <w:color w:val="000000" w:themeColor="text1"/>
          <w:spacing w:val="-4"/>
          <w14:textFill>
            <w14:solidFill>
              <w14:schemeClr w14:val="tx1"/>
            </w14:solidFill>
          </w14:textFill>
        </w:rPr>
        <w:t>二、规划原则</w:t>
      </w:r>
      <w:bookmarkEnd w:id="25"/>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便民利民。</w:t>
      </w:r>
      <w:r>
        <w:rPr>
          <w:rFonts w:hint="eastAsia"/>
          <w:color w:val="000000" w:themeColor="text1"/>
          <w:spacing w:val="-4"/>
          <w14:textFill>
            <w14:solidFill>
              <w14:schemeClr w14:val="tx1"/>
            </w14:solidFill>
          </w14:textFill>
        </w:rPr>
        <w:t>以社区、医院、菜市场、商圈及景区入口为核心，按“步行3分钟、换乘5分钟”标准布点，优先填补公交盲区与夜间出行空白，兼顾外来游客瞬时需求。</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适度超前。</w:t>
      </w:r>
      <w:r>
        <w:rPr>
          <w:rFonts w:hint="eastAsia"/>
          <w:color w:val="000000" w:themeColor="text1"/>
          <w:spacing w:val="-4"/>
          <w14:textFill>
            <w14:solidFill>
              <w14:schemeClr w14:val="tx1"/>
            </w14:solidFill>
          </w14:textFill>
        </w:rPr>
        <w:t>依据常住人口增长和旅游人次年均增幅，按投放车辆数的2倍规模一次性预留停放泊位，同步考虑城市更新片区、新建住宅及滨海旅游带未来三年的需求跃升。</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紧密衔接。</w:t>
      </w:r>
      <w:r>
        <w:rPr>
          <w:rFonts w:hint="eastAsia"/>
          <w:color w:val="000000" w:themeColor="text1"/>
          <w:spacing w:val="-4"/>
          <w14:textFill>
            <w14:solidFill>
              <w14:schemeClr w14:val="tx1"/>
            </w14:solidFill>
          </w14:textFill>
        </w:rPr>
        <w:t>与公交站、客运站、轮渡码头、绿道驿站、公共停车场一体化设计，统一数据接口，实现“公交+共享电动自行车+步行”无缝衔接，打造城市级出行一张网。</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安全有序。</w:t>
      </w:r>
      <w:r>
        <w:rPr>
          <w:rFonts w:hint="eastAsia"/>
          <w:color w:val="000000" w:themeColor="text1"/>
          <w:spacing w:val="-4"/>
          <w14:textFill>
            <w14:solidFill>
              <w14:schemeClr w14:val="tx1"/>
            </w14:solidFill>
          </w14:textFill>
        </w:rPr>
        <w:t>实施总量控制、配额管理、电子围栏、信用积分，建立政府—企业—社区三方共治机制，确保车辆投放、停放、运维全过程规范可控，保障骑行和行人安全。</w:t>
      </w:r>
    </w:p>
    <w:p>
      <w:pPr>
        <w:pStyle w:val="36"/>
        <w:ind w:firstLine="584"/>
        <w:rPr>
          <w:color w:val="000000" w:themeColor="text1"/>
          <w:spacing w:val="-4"/>
          <w14:textFill>
            <w14:solidFill>
              <w14:schemeClr w14:val="tx1"/>
            </w14:solidFill>
          </w14:textFill>
        </w:rPr>
      </w:pPr>
      <w:bookmarkStart w:id="26" w:name="_Toc218782102"/>
      <w:r>
        <w:rPr>
          <w:rFonts w:hint="eastAsia"/>
          <w:color w:val="000000" w:themeColor="text1"/>
          <w:spacing w:val="-4"/>
          <w14:textFill>
            <w14:solidFill>
              <w14:schemeClr w14:val="tx1"/>
            </w14:solidFill>
          </w14:textFill>
        </w:rPr>
        <w:t>三、规划目标</w:t>
      </w:r>
      <w:bookmarkEnd w:id="26"/>
    </w:p>
    <w:p>
      <w:pPr>
        <w:ind w:firstLine="546"/>
        <w:rPr>
          <w:b/>
          <w:spacing w:val="-4"/>
        </w:rPr>
      </w:pPr>
      <w:r>
        <w:rPr>
          <w:rFonts w:hint="eastAsia"/>
          <w:b/>
          <w:spacing w:val="-4"/>
        </w:rPr>
        <w:t>（一）总体目标</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构建布局合理、使用便捷、管理规范、可持续的共享电动自行车系统，成为汕尾“四位一体”（高铁-公交-出租车-共享电动自行车）多层次公共交通体系的重要组成，重点破解公交、客运至社区、景区、校园、商圈的“最后一公里”衔接难题，助力城市交通碳达峰、碳中和，促进“交通+旅游”深度融合，提升市民和游客出行获得感和城市品质。</w:t>
      </w:r>
    </w:p>
    <w:p>
      <w:pPr>
        <w:ind w:firstLine="546"/>
        <w:rPr>
          <w:b/>
          <w:spacing w:val="-4"/>
        </w:rPr>
      </w:pPr>
      <w:r>
        <w:rPr>
          <w:rFonts w:hint="eastAsia"/>
          <w:b/>
          <w:spacing w:val="-4"/>
        </w:rPr>
        <w:t>（二）具体目标</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规模目标：至2030年，全市共享电动自行车总量控制在3.72万辆以内，其中城区1.07万辆、海丰1.21万辆、陆丰1.04万辆、陆河0.40万辆；每辆车日均周转≥4次。</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网络目标：中心城区建成“500米服务圈”，其它城区及镇区建成“800米服务圈”；3A级以上景区、二级以上本科及职业院校、单站日客流≥3000人次的客运站100%覆盖；与公交首末站、旅游集散中心换乘距离≤</w:t>
      </w:r>
      <w:r>
        <w:rPr>
          <w:color w:val="000000" w:themeColor="text1"/>
          <w:spacing w:val="-4"/>
          <w14:textFill>
            <w14:solidFill>
              <w14:schemeClr w14:val="tx1"/>
            </w14:solidFill>
          </w14:textFill>
        </w:rPr>
        <w:t>20</w:t>
      </w:r>
      <w:r>
        <w:rPr>
          <w:rFonts w:hint="eastAsia"/>
          <w:color w:val="000000" w:themeColor="text1"/>
          <w:spacing w:val="-4"/>
          <w14:textFill>
            <w14:solidFill>
              <w14:schemeClr w14:val="tx1"/>
            </w14:solidFill>
          </w14:textFill>
        </w:rPr>
        <w:t>0米。</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出行分担目标：至20</w:t>
      </w:r>
      <w:r>
        <w:rPr>
          <w:color w:val="000000" w:themeColor="text1"/>
          <w:spacing w:val="-4"/>
          <w14:textFill>
            <w14:solidFill>
              <w14:schemeClr w14:val="tx1"/>
            </w14:solidFill>
          </w14:textFill>
        </w:rPr>
        <w:t>30</w:t>
      </w:r>
      <w:r>
        <w:rPr>
          <w:rFonts w:hint="eastAsia"/>
          <w:color w:val="000000" w:themeColor="text1"/>
          <w:spacing w:val="-4"/>
          <w14:textFill>
            <w14:solidFill>
              <w14:schemeClr w14:val="tx1"/>
            </w14:solidFill>
          </w14:textFill>
        </w:rPr>
        <w:t>年共享电动自行车占城市居民电动自行车/摩托车出行比例≥10%，占游客短途出行比例≥20%。</w:t>
      </w:r>
    </w:p>
    <w:p>
      <w:pPr>
        <w:ind w:firstLine="544"/>
        <w:rPr>
          <w:rFonts w:cs="Times New Roman"/>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安全目标：年度万车交通事故率≤0.3，重大安全事故零发生；所有车辆纳入统一保险和头盔配置，头盔完好可用率≥98%。</w:t>
      </w:r>
    </w:p>
    <w:p>
      <w:pPr>
        <w:ind w:firstLine="544"/>
        <w:rPr>
          <w:rFonts w:cs="Times New Roman"/>
          <w:color w:val="000000" w:themeColor="text1"/>
          <w:spacing w:val="-4"/>
          <w14:textFill>
            <w14:solidFill>
              <w14:schemeClr w14:val="tx1"/>
            </w14:solidFill>
          </w14:textFill>
        </w:rPr>
      </w:pPr>
    </w:p>
    <w:p>
      <w:pPr>
        <w:ind w:firstLine="544"/>
        <w:rPr>
          <w:rFonts w:cs="Times New Roman"/>
          <w:color w:val="000000" w:themeColor="text1"/>
          <w:spacing w:val="-4"/>
          <w14:textFill>
            <w14:solidFill>
              <w14:schemeClr w14:val="tx1"/>
            </w14:solidFill>
          </w14:textFill>
        </w:rPr>
        <w:sectPr>
          <w:pgSz w:w="11906" w:h="16838"/>
          <w:pgMar w:top="1440" w:right="1800" w:bottom="1440" w:left="1800" w:header="851" w:footer="992" w:gutter="0"/>
          <w:pgNumType w:fmt="numberInDash"/>
          <w:cols w:space="425" w:num="1"/>
          <w:docGrid w:type="lines" w:linePitch="381" w:charSpace="0"/>
        </w:sectPr>
      </w:pPr>
    </w:p>
    <w:p>
      <w:pPr>
        <w:pStyle w:val="35"/>
        <w:spacing w:before="156" w:after="156"/>
        <w:rPr>
          <w:color w:val="000000" w:themeColor="text1"/>
          <w:spacing w:val="-4"/>
          <w14:textFill>
            <w14:solidFill>
              <w14:schemeClr w14:val="tx1"/>
            </w14:solidFill>
          </w14:textFill>
        </w:rPr>
      </w:pPr>
      <w:bookmarkStart w:id="27" w:name="_Toc218782103"/>
      <w:r>
        <w:rPr>
          <w:color w:val="000000" w:themeColor="text1"/>
          <w:spacing w:val="-4"/>
          <w14:textFill>
            <w14:solidFill>
              <w14:schemeClr w14:val="tx1"/>
            </w14:solidFill>
          </w14:textFill>
        </w:rPr>
        <w:t>第四章</w:t>
      </w:r>
      <w:r>
        <w:rPr>
          <w:rFonts w:hint="eastAsia"/>
          <w:color w:val="000000" w:themeColor="text1"/>
          <w:spacing w:val="-4"/>
          <w14:textFill>
            <w14:solidFill>
              <w14:schemeClr w14:val="tx1"/>
            </w14:solidFill>
          </w14:textFill>
        </w:rPr>
        <w:t xml:space="preserve"> 布局方案</w:t>
      </w:r>
      <w:bookmarkEnd w:id="27"/>
    </w:p>
    <w:p>
      <w:pPr>
        <w:pStyle w:val="36"/>
        <w:ind w:firstLine="584"/>
        <w:rPr>
          <w:color w:val="000000" w:themeColor="text1"/>
          <w:spacing w:val="-4"/>
          <w14:textFill>
            <w14:solidFill>
              <w14:schemeClr w14:val="tx1"/>
            </w14:solidFill>
          </w14:textFill>
        </w:rPr>
      </w:pPr>
      <w:bookmarkStart w:id="28" w:name="_Toc218782104"/>
      <w:r>
        <w:rPr>
          <w:rFonts w:hint="eastAsia"/>
          <w:color w:val="000000" w:themeColor="text1"/>
          <w:spacing w:val="-4"/>
          <w14:textFill>
            <w14:solidFill>
              <w14:schemeClr w14:val="tx1"/>
            </w14:solidFill>
          </w14:textFill>
        </w:rPr>
        <w:t>一、布局策略</w:t>
      </w:r>
      <w:bookmarkEnd w:id="28"/>
    </w:p>
    <w:p>
      <w:pPr>
        <w:pStyle w:val="39"/>
        <w:ind w:firstLine="546"/>
        <w:rPr>
          <w:color w:val="000000" w:themeColor="text1"/>
          <w:spacing w:val="-4"/>
          <w14:textFill>
            <w14:solidFill>
              <w14:schemeClr w14:val="tx1"/>
            </w14:solidFill>
          </w14:textFill>
        </w:rPr>
      </w:pPr>
      <w:bookmarkStart w:id="29" w:name="_Toc218782105"/>
      <w:r>
        <w:rPr>
          <w:rFonts w:hint="eastAsia"/>
          <w:color w:val="000000" w:themeColor="text1"/>
          <w:spacing w:val="-4"/>
          <w14:textFill>
            <w14:solidFill>
              <w14:schemeClr w14:val="tx1"/>
            </w14:solidFill>
          </w14:textFill>
        </w:rPr>
        <w:t>（一）停放点分类</w:t>
      </w:r>
      <w:bookmarkEnd w:id="29"/>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考虑到共享电动自行车的充电安全问题，汕尾共享电动自行车采用“集中充电、分散换电”的形式进行电池管理，此外，由于汕尾整体的区域较大，共享电动自行车建议采用“分区管理，不跨区运行”的使用方式（将汕尾市划分为“市城区和红海湾经济开发区”、“海丰县城区”、“陆丰市城区和碣石镇”以及“陆河县城区”四个运营分区）。本规划将共享电动自行车的停放点分为4类：零级停放点（充电整备点）、一级停放点（周转停放场）、二级停放点（标准停放点）、三级停放点（便民停靠点）。各类停放点的定义及特征如下：</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零级停放点。</w:t>
      </w:r>
      <w:r>
        <w:rPr>
          <w:rFonts w:hint="eastAsia"/>
          <w:bCs/>
          <w:color w:val="000000" w:themeColor="text1"/>
          <w:spacing w:val="-4"/>
          <w14:textFill>
            <w14:solidFill>
              <w14:schemeClr w14:val="tx1"/>
            </w14:solidFill>
          </w14:textFill>
        </w:rPr>
        <w:t>该类点是</w:t>
      </w:r>
      <w:r>
        <w:rPr>
          <w:rFonts w:hint="eastAsia"/>
          <w:color w:val="000000" w:themeColor="text1"/>
          <w:spacing w:val="-4"/>
          <w14:textFill>
            <w14:solidFill>
              <w14:schemeClr w14:val="tx1"/>
            </w14:solidFill>
          </w14:textFill>
        </w:rPr>
        <w:t>共享电动自行车电池集中充电、整备、维修与车辆集中消毒的“能源工厂”。特征是单点或多点（不超过4个）总面积≥500m²，可停放≥200辆共享电动车并设置独立电池仓；配置电池充电柜、消防喷淋、24h值守与视频监控。换电、维修区域实行封闭式管理，不对外开放；停放车位可对外开放。此外，零级停放点要满足消防安全有关要求。</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一级停放点。</w:t>
      </w:r>
      <w:r>
        <w:rPr>
          <w:rFonts w:hint="eastAsia"/>
          <w:color w:val="000000" w:themeColor="text1"/>
          <w:spacing w:val="-4"/>
          <w14:textFill>
            <w14:solidFill>
              <w14:schemeClr w14:val="tx1"/>
            </w14:solidFill>
          </w14:textFill>
        </w:rPr>
        <w:t>该类点承担车辆临时集中停放与向零级停放点转运的前置“缓冲仓”，也用于区域间调度及大规模电池更换。特征是单点或多点（不超过4个）总面积200-400m²，设置泊位80-150个；具备夜间集中收纳、早高峰快速补投功能；无充电设施，场地采用半封闭管理，待向零级停放点转运的问题车辆或待换电池车辆停靠区域外，其余区域对社会开放。</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二级停放点。</w:t>
      </w:r>
      <w:r>
        <w:rPr>
          <w:rFonts w:hint="eastAsia"/>
          <w:color w:val="000000" w:themeColor="text1"/>
          <w:spacing w:val="-4"/>
          <w14:textFill>
            <w14:solidFill>
              <w14:schemeClr w14:val="tx1"/>
            </w14:solidFill>
          </w14:textFill>
        </w:rPr>
        <w:t>该类点是日常运营的核心投放车辆节点。特征是单点或多点（不超过4个）总面积80–130m²，设置泊位30–50个；采用电子围栏+蓝牙道钉精准管理，实现潮汐补位。</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三级停放点。</w:t>
      </w:r>
      <w:r>
        <w:rPr>
          <w:rFonts w:hint="eastAsia"/>
          <w:color w:val="000000" w:themeColor="text1"/>
          <w:spacing w:val="-4"/>
          <w14:textFill>
            <w14:solidFill>
              <w14:schemeClr w14:val="tx1"/>
            </w14:solidFill>
          </w14:textFill>
        </w:rPr>
        <w:t>该类点是小尺度、即停即走的末端泊位，解决居民和游客“最后一公里”需求。特征是单点面积</w:t>
      </w:r>
      <w:r>
        <w:rPr>
          <w:color w:val="000000" w:themeColor="text1"/>
          <w:spacing w:val="-4"/>
          <w14:textFill>
            <w14:solidFill>
              <w14:schemeClr w14:val="tx1"/>
            </w14:solidFill>
          </w14:textFill>
        </w:rPr>
        <w:t>10-</w:t>
      </w:r>
      <w:r>
        <w:rPr>
          <w:rFonts w:hint="eastAsia"/>
          <w:color w:val="000000" w:themeColor="text1"/>
          <w:spacing w:val="-4"/>
          <w14:textFill>
            <w14:solidFill>
              <w14:schemeClr w14:val="tx1"/>
            </w14:solidFill>
          </w14:textFill>
        </w:rPr>
        <w:t>50m²，设置泊位</w:t>
      </w:r>
      <w:r>
        <w:rPr>
          <w:color w:val="000000" w:themeColor="text1"/>
          <w:spacing w:val="-4"/>
          <w14:textFill>
            <w14:solidFill>
              <w14:schemeClr w14:val="tx1"/>
            </w14:solidFill>
          </w14:textFill>
        </w:rPr>
        <w:t>5-</w:t>
      </w:r>
      <w:r>
        <w:rPr>
          <w:rFonts w:hint="eastAsia"/>
          <w:color w:val="000000" w:themeColor="text1"/>
          <w:spacing w:val="-4"/>
          <w14:textFill>
            <w14:solidFill>
              <w14:schemeClr w14:val="tx1"/>
            </w14:solidFill>
          </w14:textFill>
        </w:rPr>
        <w:t>15个；以地面划线或简易电子围栏灵活设置，不占用机动车道与人行主通道。一般仅供车辆停放，不主动投放车辆；部分热门点位可按需投放5-10台车辆。</w:t>
      </w:r>
    </w:p>
    <w:p>
      <w:pPr>
        <w:pStyle w:val="39"/>
        <w:ind w:firstLine="546"/>
        <w:rPr>
          <w:color w:val="000000" w:themeColor="text1"/>
          <w:spacing w:val="-4"/>
          <w14:textFill>
            <w14:solidFill>
              <w14:schemeClr w14:val="tx1"/>
            </w14:solidFill>
          </w14:textFill>
        </w:rPr>
      </w:pPr>
      <w:bookmarkStart w:id="30" w:name="_Toc218782106"/>
      <w:r>
        <w:rPr>
          <w:rFonts w:hint="eastAsia"/>
          <w:color w:val="000000" w:themeColor="text1"/>
          <w:spacing w:val="-4"/>
          <w14:textFill>
            <w14:solidFill>
              <w14:schemeClr w14:val="tx1"/>
            </w14:solidFill>
          </w14:textFill>
        </w:rPr>
        <w:t>（二）选址策略</w:t>
      </w:r>
      <w:bookmarkEnd w:id="30"/>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零级停放点</w:t>
      </w:r>
      <w:r>
        <w:rPr>
          <w:rFonts w:hint="eastAsia"/>
          <w:color w:val="000000" w:themeColor="text1"/>
          <w:spacing w:val="-4"/>
          <w14:textFill>
            <w14:solidFill>
              <w14:schemeClr w14:val="tx1"/>
            </w14:solidFill>
          </w14:textFill>
        </w:rPr>
        <w:t>可考虑选址在城市外围或工业园区边缘，远离密集人流处，但不宜超过中心城区15km以上。可优先考虑公交车站场、物流园区、旧厂房改造地等物流便利、消防等级高的既有场地。</w:t>
      </w:r>
    </w:p>
    <w:p>
      <w:pPr>
        <w:ind w:firstLine="546"/>
        <w:rPr>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一级停放点</w:t>
      </w:r>
      <w:r>
        <w:rPr>
          <w:rFonts w:hint="eastAsia"/>
          <w:color w:val="000000" w:themeColor="text1"/>
          <w:spacing w:val="-4"/>
          <w14:textFill>
            <w14:solidFill>
              <w14:schemeClr w14:val="tx1"/>
            </w14:solidFill>
          </w14:textFill>
        </w:rPr>
        <w:t>一般可设置于城市核心区或交通枢纽或人流热力核心区域。可优先考虑高铁站、长途客运站、旅游集散中心、大型商场等客流极核周边区域或者大型停车场边角区。</w:t>
      </w:r>
    </w:p>
    <w:p>
      <w:pPr>
        <w:ind w:firstLine="546"/>
        <w:rPr>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二级停放点</w:t>
      </w:r>
      <w:r>
        <w:rPr>
          <w:rFonts w:hint="eastAsia"/>
          <w:color w:val="000000" w:themeColor="text1"/>
          <w:spacing w:val="-4"/>
          <w14:textFill>
            <w14:solidFill>
              <w14:schemeClr w14:val="tx1"/>
            </w14:solidFill>
          </w14:textFill>
        </w:rPr>
        <w:t>一般布设于医院、商圈、社区中心、3A级以上景区及主干道交叉口处，建议与公交、慢行系统换乘距离不大于200m。可优先考虑人行道外侧绿化带、建筑退界空间、桥下空间、公共停车场边角。</w:t>
      </w:r>
    </w:p>
    <w:p>
      <w:pPr>
        <w:ind w:firstLine="546"/>
        <w:rPr>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三级停放点</w:t>
      </w:r>
      <w:r>
        <w:rPr>
          <w:rFonts w:hint="eastAsia"/>
          <w:color w:val="000000" w:themeColor="text1"/>
          <w:spacing w:val="-4"/>
          <w14:textFill>
            <w14:solidFill>
              <w14:schemeClr w14:val="tx1"/>
            </w14:solidFill>
          </w14:textFill>
        </w:rPr>
        <w:t>一般设于支路、背街小巷、社区出入口、公园侧门、海滩步道等微枢纽。可优先考虑人行道剩余空间（人行道剩余宽度≥2m）、树池间隙、建筑前区，不遮挡消防通道、盲道之处。</w:t>
      </w:r>
    </w:p>
    <w:p>
      <w:pPr>
        <w:pStyle w:val="36"/>
        <w:ind w:firstLine="584"/>
        <w:rPr>
          <w:color w:val="000000" w:themeColor="text1"/>
          <w:spacing w:val="-4"/>
          <w14:textFill>
            <w14:solidFill>
              <w14:schemeClr w14:val="tx1"/>
            </w14:solidFill>
          </w14:textFill>
        </w:rPr>
      </w:pPr>
      <w:bookmarkStart w:id="31" w:name="_Toc218782107"/>
      <w:r>
        <w:rPr>
          <w:rFonts w:hint="eastAsia"/>
          <w:color w:val="000000" w:themeColor="text1"/>
          <w:spacing w:val="-4"/>
          <w14:textFill>
            <w14:solidFill>
              <w14:schemeClr w14:val="tx1"/>
            </w14:solidFill>
          </w14:textFill>
        </w:rPr>
        <w:t>二、设置要求</w:t>
      </w:r>
      <w:bookmarkEnd w:id="31"/>
    </w:p>
    <w:p>
      <w:pPr>
        <w:pStyle w:val="39"/>
        <w:ind w:firstLine="546"/>
        <w:rPr>
          <w:color w:val="000000" w:themeColor="text1"/>
          <w:spacing w:val="-4"/>
          <w14:textFill>
            <w14:solidFill>
              <w14:schemeClr w14:val="tx1"/>
            </w14:solidFill>
          </w14:textFill>
        </w:rPr>
      </w:pPr>
      <w:bookmarkStart w:id="32" w:name="_Toc218782108"/>
      <w:r>
        <w:rPr>
          <w:rFonts w:hint="eastAsia"/>
          <w:color w:val="000000" w:themeColor="text1"/>
          <w:spacing w:val="-4"/>
          <w14:textFill>
            <w14:solidFill>
              <w14:schemeClr w14:val="tx1"/>
            </w14:solidFill>
          </w14:textFill>
        </w:rPr>
        <w:t>（一）布置形式</w:t>
      </w:r>
      <w:bookmarkEnd w:id="32"/>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零级停放点。</w:t>
      </w:r>
      <w:r>
        <w:rPr>
          <w:rFonts w:hint="eastAsia"/>
          <w:color w:val="000000" w:themeColor="text1"/>
          <w:spacing w:val="-4"/>
          <w14:textFill>
            <w14:solidFill>
              <w14:schemeClr w14:val="tx1"/>
            </w14:solidFill>
          </w14:textFill>
        </w:rPr>
        <w:t>封闭式围墙+道闸，内部设车辆行驶通道、电池仓、消防通道。</w:t>
      </w:r>
    </w:p>
    <w:p>
      <w:pPr>
        <w:ind w:firstLine="546"/>
        <w:rPr>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一级停放点。</w:t>
      </w:r>
      <w:r>
        <w:rPr>
          <w:rFonts w:hint="eastAsia"/>
          <w:color w:val="000000" w:themeColor="text1"/>
          <w:spacing w:val="-4"/>
          <w14:textFill>
            <w14:solidFill>
              <w14:schemeClr w14:val="tx1"/>
            </w14:solidFill>
          </w14:textFill>
        </w:rPr>
        <w:t>半封闭式护栏或绿篱围合，单向出入口，地面划线分区。</w:t>
      </w:r>
    </w:p>
    <w:p>
      <w:pPr>
        <w:ind w:firstLine="546"/>
        <w:rPr>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二级停放点。</w:t>
      </w:r>
      <w:r>
        <w:rPr>
          <w:rFonts w:hint="eastAsia"/>
          <w:color w:val="000000" w:themeColor="text1"/>
          <w:spacing w:val="-4"/>
          <w14:textFill>
            <w14:solidFill>
              <w14:schemeClr w14:val="tx1"/>
            </w14:solidFill>
          </w14:textFill>
        </w:rPr>
        <w:t>地面黄色实线泊位框+电子围栏基站；建议每20辆车设1个监控探头。</w:t>
      </w:r>
    </w:p>
    <w:p>
      <w:pPr>
        <w:ind w:firstLine="546"/>
        <w:rPr>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三级停放点。</w:t>
      </w:r>
      <w:r>
        <w:rPr>
          <w:rFonts w:hint="eastAsia"/>
          <w:color w:val="000000" w:themeColor="text1"/>
          <w:spacing w:val="-4"/>
          <w14:textFill>
            <w14:solidFill>
              <w14:schemeClr w14:val="tx1"/>
            </w14:solidFill>
          </w14:textFill>
        </w:rPr>
        <w:t>地面白色实线框；无隔离或可移动花箱或U形护栏柔性隔离。</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以上停放点若设置于城市道路周边，其停车位的详细布置形式可参考以下两条标准：</w:t>
      </w:r>
    </w:p>
    <w:p>
      <w:pPr>
        <w:ind w:firstLine="544"/>
        <w:rPr>
          <w:color w:val="000000" w:themeColor="text1"/>
          <w:spacing w:val="-4"/>
          <w:sz w:val="24"/>
          <w:szCs w:val="24"/>
          <w14:textFill>
            <w14:solidFill>
              <w14:schemeClr w14:val="tx1"/>
            </w14:solidFill>
          </w14:textFill>
        </w:rPr>
      </w:pPr>
      <w:r>
        <w:rPr>
          <w:rFonts w:hint="eastAsia"/>
          <w:color w:val="000000" w:themeColor="text1"/>
          <w:spacing w:val="-4"/>
          <w14:textFill>
            <w14:solidFill>
              <w14:schemeClr w14:val="tx1"/>
            </w14:solidFill>
          </w14:textFill>
        </w:rPr>
        <w:t>一是城市道路共享电动自行车停放点的设置形式采用平面式设置，平面式布局分为直排式、斜排式两种基本形式，为了方便车辆存取及管理，通常情况下一般采用直排式设置，特殊情况下可适当采用斜排式</w:t>
      </w:r>
      <w:r>
        <w:rPr>
          <w:rFonts w:hint="eastAsia" w:cs="Times New Roman"/>
          <w:color w:val="000000" w:themeColor="text1"/>
          <w:spacing w:val="-4"/>
          <w:szCs w:val="32"/>
          <w14:textFill>
            <w14:solidFill>
              <w14:schemeClr w14:val="tx1"/>
            </w14:solidFill>
          </w14:textFill>
        </w:rPr>
        <w:t>。</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二是共享电动自行车停放点箭头方向应指向机动车道，即车头统一朝向机动车道；停放点紧贴建筑物立面的，车头统一朝向建筑立面。</w:t>
      </w:r>
    </w:p>
    <w:p>
      <w:pPr>
        <w:pStyle w:val="39"/>
        <w:ind w:firstLine="546"/>
        <w:rPr>
          <w:color w:val="000000" w:themeColor="text1"/>
          <w:spacing w:val="-4"/>
          <w14:textFill>
            <w14:solidFill>
              <w14:schemeClr w14:val="tx1"/>
            </w14:solidFill>
          </w14:textFill>
        </w:rPr>
      </w:pPr>
      <w:bookmarkStart w:id="33" w:name="_Toc218782109"/>
      <w:r>
        <w:rPr>
          <w:rFonts w:hint="eastAsia"/>
          <w:color w:val="000000" w:themeColor="text1"/>
          <w:spacing w:val="-4"/>
          <w14:textFill>
            <w14:solidFill>
              <w14:schemeClr w14:val="tx1"/>
            </w14:solidFill>
          </w14:textFill>
        </w:rPr>
        <w:t>（二）标志设计</w:t>
      </w:r>
      <w:bookmarkEnd w:id="33"/>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在零级、一级及二级停放点设置“汕尾共享电动自行车”标识（立式标识牌或立式导视柱。</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48"/>
        <w:gridCol w:w="41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48" w:type="dxa"/>
          </w:tcPr>
          <w:p>
            <w:pPr>
              <w:ind w:firstLine="0" w:firstLineChars="0"/>
              <w:jc w:val="center"/>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drawing>
                <wp:inline distT="0" distB="0" distL="0" distR="0">
                  <wp:extent cx="1930400" cy="34194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935713" cy="3427866"/>
                          </a:xfrm>
                          <a:prstGeom prst="rect">
                            <a:avLst/>
                          </a:prstGeom>
                        </pic:spPr>
                      </pic:pic>
                    </a:graphicData>
                  </a:graphic>
                </wp:inline>
              </w:drawing>
            </w:r>
          </w:p>
        </w:tc>
        <w:tc>
          <w:tcPr>
            <w:tcW w:w="4148" w:type="dxa"/>
          </w:tcPr>
          <w:p>
            <w:pPr>
              <w:ind w:firstLine="0" w:firstLineChars="0"/>
              <w:jc w:val="center"/>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drawing>
                <wp:inline distT="0" distB="0" distL="0" distR="0">
                  <wp:extent cx="1506855" cy="34004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521368" cy="3432365"/>
                          </a:xfrm>
                          <a:prstGeom prst="rect">
                            <a:avLst/>
                          </a:prstGeom>
                        </pic:spPr>
                      </pic:pic>
                    </a:graphicData>
                  </a:graphic>
                </wp:inline>
              </w:drawing>
            </w:r>
          </w:p>
        </w:tc>
      </w:tr>
    </w:tbl>
    <w:p>
      <w:pPr>
        <w:pStyle w:val="9"/>
        <w:ind w:firstLine="0" w:firstLineChars="0"/>
        <w:jc w:val="center"/>
        <w:rPr>
          <w:rFonts w:ascii="Times New Roman" w:hAnsi="Times New Roman"/>
          <w:color w:val="000000" w:themeColor="text1"/>
          <w:spacing w:val="-4"/>
          <w:sz w:val="24"/>
          <w:szCs w:val="21"/>
          <w14:textFill>
            <w14:solidFill>
              <w14:schemeClr w14:val="tx1"/>
            </w14:solidFill>
          </w14:textFill>
        </w:rPr>
      </w:pPr>
      <w:r>
        <w:rPr>
          <w:rFonts w:hint="eastAsia" w:ascii="Times New Roman" w:hAnsi="Times New Roman"/>
          <w:color w:val="000000" w:themeColor="text1"/>
          <w:spacing w:val="-4"/>
          <w:sz w:val="24"/>
          <w:szCs w:val="21"/>
          <w14:textFill>
            <w14:solidFill>
              <w14:schemeClr w14:val="tx1"/>
            </w14:solidFill>
          </w14:textFill>
        </w:rPr>
        <w:t>图</w:t>
      </w:r>
      <w:r>
        <w:rPr>
          <w:rFonts w:ascii="Times New Roman" w:hAnsi="Times New Roman"/>
          <w:color w:val="000000" w:themeColor="text1"/>
          <w:spacing w:val="-4"/>
          <w:sz w:val="24"/>
          <w:szCs w:val="21"/>
          <w14:textFill>
            <w14:solidFill>
              <w14:schemeClr w14:val="tx1"/>
            </w14:solidFill>
          </w14:textFill>
        </w:rPr>
        <w:t>4-1</w:t>
      </w:r>
      <w:r>
        <w:rPr>
          <w:rFonts w:hint="eastAsia" w:ascii="Times New Roman" w:hAnsi="Times New Roman"/>
          <w:color w:val="000000" w:themeColor="text1"/>
          <w:spacing w:val="-4"/>
          <w:sz w:val="24"/>
          <w:szCs w:val="21"/>
          <w14:textFill>
            <w14:solidFill>
              <w14:schemeClr w14:val="tx1"/>
            </w14:solidFill>
          </w14:textFill>
        </w:rPr>
        <w:t xml:space="preserve">  立式标识牌和立式导视柱示意</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考虑到汕尾地区沿湖沿海景观较多，建议优先采用不影响观景视线的立式导视柱、隐形设计或将其设计为景观形式）</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48"/>
        <w:gridCol w:w="41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148" w:type="dxa"/>
          </w:tcPr>
          <w:p>
            <w:pPr>
              <w:ind w:firstLine="0" w:firstLineChars="0"/>
              <w:jc w:val="center"/>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drawing>
                <wp:inline distT="0" distB="0" distL="0" distR="0">
                  <wp:extent cx="2006600" cy="306133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7621" cy="3078258"/>
                          </a:xfrm>
                          <a:prstGeom prst="rect">
                            <a:avLst/>
                          </a:prstGeom>
                        </pic:spPr>
                      </pic:pic>
                    </a:graphicData>
                  </a:graphic>
                </wp:inline>
              </w:drawing>
            </w:r>
          </w:p>
        </w:tc>
        <w:tc>
          <w:tcPr>
            <w:tcW w:w="4148" w:type="dxa"/>
          </w:tcPr>
          <w:p>
            <w:pPr>
              <w:ind w:firstLine="0" w:firstLineChars="0"/>
              <w:jc w:val="center"/>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drawing>
                <wp:inline distT="0" distB="0" distL="0" distR="0">
                  <wp:extent cx="1840865" cy="3009900"/>
                  <wp:effectExtent l="0" t="0" r="698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44386" cy="3015655"/>
                          </a:xfrm>
                          <a:prstGeom prst="rect">
                            <a:avLst/>
                          </a:prstGeom>
                        </pic:spPr>
                      </pic:pic>
                    </a:graphicData>
                  </a:graphic>
                </wp:inline>
              </w:drawing>
            </w:r>
          </w:p>
        </w:tc>
      </w:tr>
    </w:tbl>
    <w:p>
      <w:pPr>
        <w:pStyle w:val="9"/>
        <w:ind w:firstLine="0" w:firstLineChars="0"/>
        <w:jc w:val="center"/>
        <w:rPr>
          <w:rFonts w:ascii="Times New Roman" w:hAnsi="Times New Roman"/>
          <w:color w:val="000000" w:themeColor="text1"/>
          <w:spacing w:val="-4"/>
          <w:sz w:val="24"/>
          <w:szCs w:val="21"/>
          <w14:textFill>
            <w14:solidFill>
              <w14:schemeClr w14:val="tx1"/>
            </w14:solidFill>
          </w14:textFill>
        </w:rPr>
      </w:pPr>
      <w:r>
        <w:rPr>
          <w:rFonts w:hint="eastAsia" w:ascii="Times New Roman" w:hAnsi="Times New Roman"/>
          <w:color w:val="000000" w:themeColor="text1"/>
          <w:spacing w:val="-4"/>
          <w:sz w:val="24"/>
          <w:szCs w:val="21"/>
          <w14:textFill>
            <w14:solidFill>
              <w14:schemeClr w14:val="tx1"/>
            </w14:solidFill>
          </w14:textFill>
        </w:rPr>
        <w:t>图</w:t>
      </w:r>
      <w:r>
        <w:rPr>
          <w:rFonts w:ascii="Times New Roman" w:hAnsi="Times New Roman"/>
          <w:color w:val="000000" w:themeColor="text1"/>
          <w:spacing w:val="-4"/>
          <w:sz w:val="24"/>
          <w:szCs w:val="21"/>
          <w14:textFill>
            <w14:solidFill>
              <w14:schemeClr w14:val="tx1"/>
            </w14:solidFill>
          </w14:textFill>
        </w:rPr>
        <w:t>4-2</w:t>
      </w:r>
      <w:r>
        <w:rPr>
          <w:rFonts w:hint="eastAsia" w:ascii="Times New Roman" w:hAnsi="Times New Roman"/>
          <w:color w:val="000000" w:themeColor="text1"/>
          <w:spacing w:val="-4"/>
          <w:sz w:val="24"/>
          <w:szCs w:val="21"/>
          <w14:textFill>
            <w14:solidFill>
              <w14:schemeClr w14:val="tx1"/>
            </w14:solidFill>
          </w14:textFill>
        </w:rPr>
        <w:t xml:space="preserve">  标识牌/导视柱景观设计示意</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标识应附共享电动自行车租借APP下载二维码；在三级停放点地面车位内喷涂LOGO，一处停放点喷涂一个LOGO，面积不超过0.4m×0.4m。</w:t>
      </w:r>
    </w:p>
    <w:p>
      <w:pPr>
        <w:pStyle w:val="39"/>
        <w:ind w:firstLine="546"/>
        <w:rPr>
          <w:color w:val="000000" w:themeColor="text1"/>
          <w:spacing w:val="-4"/>
          <w14:textFill>
            <w14:solidFill>
              <w14:schemeClr w14:val="tx1"/>
            </w14:solidFill>
          </w14:textFill>
        </w:rPr>
      </w:pPr>
      <w:bookmarkStart w:id="34" w:name="_Toc218782110"/>
      <w:r>
        <w:rPr>
          <w:rFonts w:hint="eastAsia"/>
          <w:color w:val="000000" w:themeColor="text1"/>
          <w:spacing w:val="-4"/>
          <w14:textFill>
            <w14:solidFill>
              <w14:schemeClr w14:val="tx1"/>
            </w14:solidFill>
          </w14:textFill>
        </w:rPr>
        <w:t>（三）禁限控要求</w:t>
      </w:r>
      <w:bookmarkEnd w:id="34"/>
    </w:p>
    <w:p>
      <w:pPr>
        <w:autoSpaceDE w:val="0"/>
        <w:autoSpaceDN w:val="0"/>
        <w:adjustRightInd w:val="0"/>
        <w:spacing w:line="600" w:lineRule="exact"/>
        <w:ind w:firstLine="546"/>
        <w:jc w:val="left"/>
        <w:rPr>
          <w:color w:val="000000" w:themeColor="text1"/>
          <w:spacing w:val="-4"/>
          <w14:textFill>
            <w14:solidFill>
              <w14:schemeClr w14:val="tx1"/>
            </w14:solidFill>
          </w14:textFill>
        </w:rPr>
      </w:pPr>
      <w:r>
        <w:rPr>
          <w:rFonts w:hint="eastAsia" w:cs="仿宋_GB2312" w:eastAsiaTheme="minorEastAsia"/>
          <w:b/>
          <w:bCs/>
          <w:color w:val="000000" w:themeColor="text1"/>
          <w:spacing w:val="-4"/>
          <w:kern w:val="0"/>
          <w:szCs w:val="28"/>
          <w14:textFill>
            <w14:solidFill>
              <w14:schemeClr w14:val="tx1"/>
            </w14:solidFill>
          </w14:textFill>
        </w:rPr>
        <w:t>禁止设置区域。</w:t>
      </w:r>
      <w:r>
        <w:rPr>
          <w:rFonts w:hint="eastAsia"/>
          <w:color w:val="000000" w:themeColor="text1"/>
          <w:spacing w:val="-4"/>
          <w14:textFill>
            <w14:solidFill>
              <w14:schemeClr w14:val="tx1"/>
            </w14:solidFill>
          </w14:textFill>
        </w:rPr>
        <w:t>人行道宽度</w:t>
      </w:r>
      <w:r>
        <w:rPr>
          <w:color w:val="000000" w:themeColor="text1"/>
          <w:spacing w:val="-4"/>
          <w14:textFill>
            <w14:solidFill>
              <w14:schemeClr w14:val="tx1"/>
            </w14:solidFill>
          </w14:textFill>
        </w:rPr>
        <w:t>3.0</w:t>
      </w:r>
      <w:r>
        <w:rPr>
          <w:rFonts w:hint="eastAsia"/>
          <w:color w:val="000000" w:themeColor="text1"/>
          <w:spacing w:val="-4"/>
          <w14:textFill>
            <w14:solidFill>
              <w14:schemeClr w14:val="tx1"/>
            </w14:solidFill>
          </w14:textFill>
        </w:rPr>
        <w:t>米以下的市政道路（含主干道、次干道、支路）；禁止非机动车通行的道路、桥梁、隧道以及其他相关部门划定禁止自行车停放的路段；城市道路的机动车道、非机动车道上，含与人行道共板块设置的非机动车道；消防车道及其出入口、消防车登高操作场地、无障碍设施、盲道、城市绿地及道路分车道绿化带上；影响沿街商铺正常经营或影响沿线地块人员、车辆进出的区域；影响人行道机动车停车场（位）车辆进出的区域；影响城市彩绘主题墙（牌）、城市宣传墙（牌）</w:t>
      </w:r>
      <w:r>
        <w:rPr>
          <w:rFonts w:hint="eastAsia"/>
          <w:color w:val="000000" w:themeColor="text1"/>
          <w14:textFill>
            <w14:solidFill>
              <w14:schemeClr w14:val="tx1"/>
            </w14:solidFill>
          </w14:textFill>
        </w:rPr>
        <w:t>、沿湖沿海景观</w:t>
      </w:r>
      <w:r>
        <w:rPr>
          <w:rFonts w:hint="eastAsia"/>
          <w:color w:val="000000" w:themeColor="text1"/>
          <w:spacing w:val="-4"/>
          <w14:textFill>
            <w14:solidFill>
              <w14:schemeClr w14:val="tx1"/>
            </w14:solidFill>
          </w14:textFill>
        </w:rPr>
        <w:t>等城市风景物</w:t>
      </w:r>
      <w:r>
        <w:rPr>
          <w:rFonts w:hint="eastAsia" w:cs="Times New Roman"/>
          <w:color w:val="000000" w:themeColor="text1"/>
          <w:spacing w:val="-4"/>
          <w:szCs w:val="32"/>
          <w14:textFill>
            <w14:solidFill>
              <w14:schemeClr w14:val="tx1"/>
            </w14:solidFill>
          </w14:textFill>
        </w:rPr>
        <w:t>观看视线的区域；</w:t>
      </w:r>
      <w:r>
        <w:rPr>
          <w:rFonts w:hint="eastAsia"/>
          <w:color w:val="000000" w:themeColor="text1"/>
          <w:spacing w:val="-4"/>
          <w14:textFill>
            <w14:solidFill>
              <w14:schemeClr w14:val="tx1"/>
            </w14:solidFill>
          </w14:textFill>
        </w:rPr>
        <w:t>场地邻近危险边坡或场地坡度大于</w:t>
      </w:r>
      <w:r>
        <w:rPr>
          <w:color w:val="000000" w:themeColor="text1"/>
          <w:spacing w:val="-4"/>
          <w14:textFill>
            <w14:solidFill>
              <w14:schemeClr w14:val="tx1"/>
            </w14:solidFill>
          </w14:textFill>
        </w:rPr>
        <w:t>4.0%</w:t>
      </w:r>
      <w:r>
        <w:rPr>
          <w:rFonts w:hint="eastAsia"/>
          <w:color w:val="000000" w:themeColor="text1"/>
          <w:spacing w:val="-4"/>
          <w14:textFill>
            <w14:solidFill>
              <w14:schemeClr w14:val="tx1"/>
            </w14:solidFill>
          </w14:textFill>
        </w:rPr>
        <w:t>的区域；道路交叉口转弯部位及其两侧</w:t>
      </w:r>
      <w:r>
        <w:rPr>
          <w:color w:val="000000" w:themeColor="text1"/>
          <w:spacing w:val="-4"/>
          <w14:textFill>
            <w14:solidFill>
              <w14:schemeClr w14:val="tx1"/>
            </w14:solidFill>
          </w14:textFill>
        </w:rPr>
        <w:t>10</w:t>
      </w:r>
      <w:r>
        <w:rPr>
          <w:rFonts w:hint="eastAsia"/>
          <w:color w:val="000000" w:themeColor="text1"/>
          <w:spacing w:val="-4"/>
          <w14:textFill>
            <w14:solidFill>
              <w14:schemeClr w14:val="tx1"/>
            </w14:solidFill>
          </w14:textFill>
        </w:rPr>
        <w:t>米范围内区域；私人车辆停放需求量大或时常停放饱和的既有停车位内。</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限停时段。</w:t>
      </w:r>
      <w:r>
        <w:rPr>
          <w:rFonts w:hint="eastAsia"/>
          <w:color w:val="000000" w:themeColor="text1"/>
          <w:spacing w:val="-4"/>
          <w14:textFill>
            <w14:solidFill>
              <w14:schemeClr w14:val="tx1"/>
            </w14:solidFill>
          </w14:textFill>
        </w:rPr>
        <w:t>学校门口三级停放点上学高峰（7:00-8:30）禁止新增停靠车辆。</w:t>
      </w:r>
    </w:p>
    <w:p>
      <w:pPr>
        <w:ind w:firstLine="546"/>
        <w:rPr>
          <w:color w:val="000000" w:themeColor="text1"/>
          <w:spacing w:val="-4"/>
          <w14:textFill>
            <w14:solidFill>
              <w14:schemeClr w14:val="tx1"/>
            </w14:solidFill>
          </w14:textFill>
        </w:rPr>
      </w:pPr>
      <w:r>
        <w:rPr>
          <w:rFonts w:hint="eastAsia"/>
          <w:b/>
          <w:bCs/>
          <w:color w:val="000000" w:themeColor="text1"/>
          <w:spacing w:val="-4"/>
          <w14:textFill>
            <w14:solidFill>
              <w14:schemeClr w14:val="tx1"/>
            </w14:solidFill>
          </w14:textFill>
        </w:rPr>
        <w:t>控制容量。</w:t>
      </w:r>
      <w:r>
        <w:rPr>
          <w:rFonts w:hint="eastAsia"/>
          <w:color w:val="000000" w:themeColor="text1"/>
          <w:spacing w:val="-4"/>
          <w14:textFill>
            <w14:solidFill>
              <w14:schemeClr w14:val="tx1"/>
            </w14:solidFill>
          </w14:textFill>
        </w:rPr>
        <w:t>零级停放点超出核定容量100辆、</w:t>
      </w:r>
      <w:bookmarkStart w:id="35" w:name="_Hlk207550914"/>
      <w:r>
        <w:rPr>
          <w:rFonts w:hint="eastAsia"/>
          <w:color w:val="000000" w:themeColor="text1"/>
          <w:spacing w:val="-4"/>
          <w14:textFill>
            <w14:solidFill>
              <w14:schemeClr w14:val="tx1"/>
            </w14:solidFill>
          </w14:textFill>
        </w:rPr>
        <w:t>一级停放点</w:t>
      </w:r>
      <w:bookmarkEnd w:id="35"/>
      <w:r>
        <w:rPr>
          <w:rFonts w:hint="eastAsia"/>
          <w:color w:val="000000" w:themeColor="text1"/>
          <w:spacing w:val="-4"/>
          <w14:textFill>
            <w14:solidFill>
              <w14:schemeClr w14:val="tx1"/>
            </w14:solidFill>
          </w14:textFill>
        </w:rPr>
        <w:t>超出核定容量50辆、二级停放点超出核定容量20辆、三级停放点超出核定容量10辆，平台自动预警并进行调度。</w:t>
      </w:r>
    </w:p>
    <w:p>
      <w:pPr>
        <w:pStyle w:val="39"/>
        <w:ind w:firstLine="546"/>
        <w:rPr>
          <w:color w:val="000000" w:themeColor="text1"/>
          <w:spacing w:val="-4"/>
          <w14:textFill>
            <w14:solidFill>
              <w14:schemeClr w14:val="tx1"/>
            </w14:solidFill>
          </w14:textFill>
        </w:rPr>
      </w:pPr>
      <w:bookmarkStart w:id="36" w:name="_Toc218782111"/>
      <w:r>
        <w:rPr>
          <w:rFonts w:hint="eastAsia"/>
          <w:color w:val="000000" w:themeColor="text1"/>
          <w:spacing w:val="-4"/>
          <w14:textFill>
            <w14:solidFill>
              <w14:schemeClr w14:val="tx1"/>
            </w14:solidFill>
          </w14:textFill>
        </w:rPr>
        <w:t>（四）设置区域要求</w:t>
      </w:r>
      <w:bookmarkEnd w:id="36"/>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汕尾市共享电动自行车停放点的设置，应综合考虑道路实际条件和城市景观要求，可以合理选择结合人行道设施带、人行道通行带设置共享电动自行车停放点。条件允许时，可利用道路红线范围外的城市空地或其它空间设置共享电动自行车停放点。</w:t>
      </w:r>
    </w:p>
    <w:p>
      <w:pPr>
        <w:ind w:firstLine="560"/>
        <w:rPr>
          <w:color w:val="000000" w:themeColor="text1"/>
          <w:spacing w:val="-4"/>
          <w14:textFill>
            <w14:solidFill>
              <w14:schemeClr w14:val="tx1"/>
            </w14:solidFill>
          </w14:textFill>
        </w:rPr>
      </w:pPr>
      <w:r>
        <w:rPr>
          <w:color w:val="000000" w:themeColor="text1"/>
          <w:spacing w:val="-4"/>
          <w14:textFill>
            <w14:solidFill>
              <w14:schemeClr w14:val="tx1"/>
            </w14:solidFill>
          </w14:textFill>
        </w:rPr>
        <w:fldChar w:fldCharType="begin"/>
      </w:r>
      <w:r>
        <w:rPr>
          <w:color w:val="000000" w:themeColor="text1"/>
          <w:spacing w:val="-4"/>
          <w14:textFill>
            <w14:solidFill>
              <w14:schemeClr w14:val="tx1"/>
            </w14:solidFill>
          </w14:textFill>
        </w:rPr>
        <w:instrText xml:space="preserve"> </w:instrText>
      </w:r>
      <w:r>
        <w:rPr>
          <w:rFonts w:hint="eastAsia"/>
          <w:color w:val="000000" w:themeColor="text1"/>
          <w:spacing w:val="-4"/>
          <w14:textFill>
            <w14:solidFill>
              <w14:schemeClr w14:val="tx1"/>
            </w14:solidFill>
          </w14:textFill>
        </w:rPr>
        <w:instrText xml:space="preserve">= 1 \* GB3</w:instrText>
      </w:r>
      <w:r>
        <w:rPr>
          <w:color w:val="000000" w:themeColor="text1"/>
          <w:spacing w:val="-4"/>
          <w14:textFill>
            <w14:solidFill>
              <w14:schemeClr w14:val="tx1"/>
            </w14:solidFill>
          </w14:textFill>
        </w:rPr>
        <w:instrText xml:space="preserve"> </w:instrText>
      </w:r>
      <w:r>
        <w:rPr>
          <w:color w:val="000000" w:themeColor="text1"/>
          <w:spacing w:val="-4"/>
          <w14:textFill>
            <w14:solidFill>
              <w14:schemeClr w14:val="tx1"/>
            </w14:solidFill>
          </w14:textFill>
        </w:rPr>
        <w:fldChar w:fldCharType="separate"/>
      </w:r>
      <w:r>
        <w:rPr>
          <w:rFonts w:hint="eastAsia"/>
          <w:color w:val="000000" w:themeColor="text1"/>
          <w:spacing w:val="-4"/>
          <w14:textFill>
            <w14:solidFill>
              <w14:schemeClr w14:val="tx1"/>
            </w14:solidFill>
          </w14:textFill>
        </w:rPr>
        <w:t>①</w:t>
      </w:r>
      <w:r>
        <w:rPr>
          <w:color w:val="000000" w:themeColor="text1"/>
          <w:spacing w:val="-4"/>
          <w14:textFill>
            <w14:solidFill>
              <w14:schemeClr w14:val="tx1"/>
            </w14:solidFill>
          </w14:textFill>
        </w:rPr>
        <w:fldChar w:fldCharType="end"/>
      </w:r>
      <w:r>
        <w:rPr>
          <w:rFonts w:hint="eastAsia"/>
          <w:color w:val="000000" w:themeColor="text1"/>
          <w:spacing w:val="-4"/>
          <w14:textFill>
            <w14:solidFill>
              <w14:schemeClr w14:val="tx1"/>
            </w14:solidFill>
          </w14:textFill>
        </w:rPr>
        <w:t>优先利用人行道设施带（如行道树之间）的空间设置共享电动自行车停放点，充分利用道路空间，减少停放点对行人交通的影响。</w:t>
      </w:r>
    </w:p>
    <w:p>
      <w:pPr>
        <w:ind w:firstLine="560"/>
        <w:rPr>
          <w:color w:val="000000" w:themeColor="text1"/>
          <w:spacing w:val="-4"/>
          <w14:textFill>
            <w14:solidFill>
              <w14:schemeClr w14:val="tx1"/>
            </w14:solidFill>
          </w14:textFill>
        </w:rPr>
      </w:pPr>
      <w:r>
        <w:rPr>
          <w:color w:val="000000" w:themeColor="text1"/>
          <w:spacing w:val="-4"/>
          <w14:textFill>
            <w14:solidFill>
              <w14:schemeClr w14:val="tx1"/>
            </w14:solidFill>
          </w14:textFill>
        </w:rPr>
        <w:fldChar w:fldCharType="begin"/>
      </w:r>
      <w:r>
        <w:rPr>
          <w:color w:val="000000" w:themeColor="text1"/>
          <w:spacing w:val="-4"/>
          <w14:textFill>
            <w14:solidFill>
              <w14:schemeClr w14:val="tx1"/>
            </w14:solidFill>
          </w14:textFill>
        </w:rPr>
        <w:instrText xml:space="preserve"> </w:instrText>
      </w:r>
      <w:r>
        <w:rPr>
          <w:rFonts w:hint="eastAsia"/>
          <w:color w:val="000000" w:themeColor="text1"/>
          <w:spacing w:val="-4"/>
          <w14:textFill>
            <w14:solidFill>
              <w14:schemeClr w14:val="tx1"/>
            </w14:solidFill>
          </w14:textFill>
        </w:rPr>
        <w:instrText xml:space="preserve">= 2 \* GB3</w:instrText>
      </w:r>
      <w:r>
        <w:rPr>
          <w:color w:val="000000" w:themeColor="text1"/>
          <w:spacing w:val="-4"/>
          <w14:textFill>
            <w14:solidFill>
              <w14:schemeClr w14:val="tx1"/>
            </w14:solidFill>
          </w14:textFill>
        </w:rPr>
        <w:instrText xml:space="preserve"> </w:instrText>
      </w:r>
      <w:r>
        <w:rPr>
          <w:color w:val="000000" w:themeColor="text1"/>
          <w:spacing w:val="-4"/>
          <w14:textFill>
            <w14:solidFill>
              <w14:schemeClr w14:val="tx1"/>
            </w14:solidFill>
          </w14:textFill>
        </w:rPr>
        <w:fldChar w:fldCharType="separate"/>
      </w:r>
      <w:r>
        <w:rPr>
          <w:rFonts w:hint="eastAsia"/>
          <w:color w:val="000000" w:themeColor="text1"/>
          <w:spacing w:val="-4"/>
          <w14:textFill>
            <w14:solidFill>
              <w14:schemeClr w14:val="tx1"/>
            </w14:solidFill>
          </w14:textFill>
        </w:rPr>
        <w:t>②</w:t>
      </w:r>
      <w:r>
        <w:rPr>
          <w:color w:val="000000" w:themeColor="text1"/>
          <w:spacing w:val="-4"/>
          <w14:textFill>
            <w14:solidFill>
              <w14:schemeClr w14:val="tx1"/>
            </w14:solidFill>
          </w14:textFill>
        </w:rPr>
        <w:fldChar w:fldCharType="end"/>
      </w:r>
      <w:r>
        <w:rPr>
          <w:rFonts w:hint="eastAsia"/>
          <w:color w:val="000000" w:themeColor="text1"/>
          <w:spacing w:val="-4"/>
          <w14:textFill>
            <w14:solidFill>
              <w14:schemeClr w14:val="tx1"/>
            </w14:solidFill>
          </w14:textFill>
        </w:rPr>
        <w:t>人行道设施带空间不可利用时，结合人行道通行带设置共享电动自行车停放点，设置后需保证充足的人行道通行空间（设置后，重要商业街人行道通行空间不得小于3米，主干道、次干道、支路人行道通行空间不得小于2米）。</w:t>
      </w:r>
    </w:p>
    <w:p>
      <w:pPr>
        <w:ind w:firstLine="560"/>
        <w:rPr>
          <w:color w:val="000000" w:themeColor="text1"/>
          <w:spacing w:val="-4"/>
          <w14:textFill>
            <w14:solidFill>
              <w14:schemeClr w14:val="tx1"/>
            </w14:solidFill>
          </w14:textFill>
        </w:rPr>
      </w:pPr>
      <w:r>
        <w:rPr>
          <w:color w:val="000000" w:themeColor="text1"/>
          <w:spacing w:val="-4"/>
          <w14:textFill>
            <w14:solidFill>
              <w14:schemeClr w14:val="tx1"/>
            </w14:solidFill>
          </w14:textFill>
        </w:rPr>
        <w:fldChar w:fldCharType="begin"/>
      </w:r>
      <w:r>
        <w:rPr>
          <w:color w:val="000000" w:themeColor="text1"/>
          <w:spacing w:val="-4"/>
          <w14:textFill>
            <w14:solidFill>
              <w14:schemeClr w14:val="tx1"/>
            </w14:solidFill>
          </w14:textFill>
        </w:rPr>
        <w:instrText xml:space="preserve"> </w:instrText>
      </w:r>
      <w:r>
        <w:rPr>
          <w:rFonts w:hint="eastAsia"/>
          <w:color w:val="000000" w:themeColor="text1"/>
          <w:spacing w:val="-4"/>
          <w14:textFill>
            <w14:solidFill>
              <w14:schemeClr w14:val="tx1"/>
            </w14:solidFill>
          </w14:textFill>
        </w:rPr>
        <w:instrText xml:space="preserve">= 3 \* GB3</w:instrText>
      </w:r>
      <w:r>
        <w:rPr>
          <w:color w:val="000000" w:themeColor="text1"/>
          <w:spacing w:val="-4"/>
          <w14:textFill>
            <w14:solidFill>
              <w14:schemeClr w14:val="tx1"/>
            </w14:solidFill>
          </w14:textFill>
        </w:rPr>
        <w:instrText xml:space="preserve"> </w:instrText>
      </w:r>
      <w:r>
        <w:rPr>
          <w:color w:val="000000" w:themeColor="text1"/>
          <w:spacing w:val="-4"/>
          <w14:textFill>
            <w14:solidFill>
              <w14:schemeClr w14:val="tx1"/>
            </w14:solidFill>
          </w14:textFill>
        </w:rPr>
        <w:fldChar w:fldCharType="separate"/>
      </w:r>
      <w:r>
        <w:rPr>
          <w:rFonts w:hint="eastAsia"/>
          <w:color w:val="000000" w:themeColor="text1"/>
          <w:spacing w:val="-4"/>
          <w14:textFill>
            <w14:solidFill>
              <w14:schemeClr w14:val="tx1"/>
            </w14:solidFill>
          </w14:textFill>
        </w:rPr>
        <w:t>③</w:t>
      </w:r>
      <w:r>
        <w:rPr>
          <w:color w:val="000000" w:themeColor="text1"/>
          <w:spacing w:val="-4"/>
          <w14:textFill>
            <w14:solidFill>
              <w14:schemeClr w14:val="tx1"/>
            </w14:solidFill>
          </w14:textFill>
        </w:rPr>
        <w:fldChar w:fldCharType="end"/>
      </w:r>
      <w:r>
        <w:rPr>
          <w:rFonts w:hint="eastAsia"/>
          <w:color w:val="000000" w:themeColor="text1"/>
          <w:spacing w:val="-4"/>
          <w14:textFill>
            <w14:solidFill>
              <w14:schemeClr w14:val="tx1"/>
            </w14:solidFill>
          </w14:textFill>
        </w:rPr>
        <w:t>对于停车需求较大的区域，可考虑设置在城市空地、城市广场等，宜设置独立的较大型的共享电动自行车停放点。</w:t>
      </w:r>
    </w:p>
    <w:p>
      <w:pPr>
        <w:ind w:firstLine="560"/>
        <w:rPr>
          <w:color w:val="000000" w:themeColor="text1"/>
          <w:spacing w:val="-4"/>
          <w14:textFill>
            <w14:solidFill>
              <w14:schemeClr w14:val="tx1"/>
            </w14:solidFill>
          </w14:textFill>
        </w:rPr>
      </w:pPr>
      <w:r>
        <w:rPr>
          <w:color w:val="000000" w:themeColor="text1"/>
          <w:spacing w:val="-4"/>
          <w14:textFill>
            <w14:solidFill>
              <w14:schemeClr w14:val="tx1"/>
            </w14:solidFill>
          </w14:textFill>
        </w:rPr>
        <w:fldChar w:fldCharType="begin"/>
      </w:r>
      <w:r>
        <w:rPr>
          <w:color w:val="000000" w:themeColor="text1"/>
          <w:spacing w:val="-4"/>
          <w14:textFill>
            <w14:solidFill>
              <w14:schemeClr w14:val="tx1"/>
            </w14:solidFill>
          </w14:textFill>
        </w:rPr>
        <w:instrText xml:space="preserve"> </w:instrText>
      </w:r>
      <w:r>
        <w:rPr>
          <w:rFonts w:hint="eastAsia"/>
          <w:color w:val="000000" w:themeColor="text1"/>
          <w:spacing w:val="-4"/>
          <w14:textFill>
            <w14:solidFill>
              <w14:schemeClr w14:val="tx1"/>
            </w14:solidFill>
          </w14:textFill>
        </w:rPr>
        <w:instrText xml:space="preserve">= 4 \* GB3</w:instrText>
      </w:r>
      <w:r>
        <w:rPr>
          <w:color w:val="000000" w:themeColor="text1"/>
          <w:spacing w:val="-4"/>
          <w14:textFill>
            <w14:solidFill>
              <w14:schemeClr w14:val="tx1"/>
            </w14:solidFill>
          </w14:textFill>
        </w:rPr>
        <w:instrText xml:space="preserve"> </w:instrText>
      </w:r>
      <w:r>
        <w:rPr>
          <w:color w:val="000000" w:themeColor="text1"/>
          <w:spacing w:val="-4"/>
          <w14:textFill>
            <w14:solidFill>
              <w14:schemeClr w14:val="tx1"/>
            </w14:solidFill>
          </w14:textFill>
        </w:rPr>
        <w:fldChar w:fldCharType="separate"/>
      </w:r>
      <w:r>
        <w:rPr>
          <w:rFonts w:hint="eastAsia"/>
          <w:color w:val="000000" w:themeColor="text1"/>
          <w:spacing w:val="-4"/>
          <w14:textFill>
            <w14:solidFill>
              <w14:schemeClr w14:val="tx1"/>
            </w14:solidFill>
          </w14:textFill>
        </w:rPr>
        <w:t>④</w:t>
      </w:r>
      <w:r>
        <w:rPr>
          <w:color w:val="000000" w:themeColor="text1"/>
          <w:spacing w:val="-4"/>
          <w14:textFill>
            <w14:solidFill>
              <w14:schemeClr w14:val="tx1"/>
            </w14:solidFill>
          </w14:textFill>
        </w:rPr>
        <w:fldChar w:fldCharType="end"/>
      </w:r>
      <w:r>
        <w:rPr>
          <w:rFonts w:hint="eastAsia"/>
          <w:color w:val="000000" w:themeColor="text1"/>
          <w:spacing w:val="-4"/>
          <w14:textFill>
            <w14:solidFill>
              <w14:schemeClr w14:val="tx1"/>
            </w14:solidFill>
          </w14:textFill>
        </w:rPr>
        <w:t>利用城市高架桥底、人行天桥引桥底、建筑退让等设置共享电动自行车停放点的，应充分节约城市用地。其中，在市政人行天桥、高架桥、立交桥下设置的，应当不影响市容市貌、景观风貌的相关要求，并征询市政桥梁权属及管理单位意见。</w:t>
      </w:r>
    </w:p>
    <w:p>
      <w:pPr>
        <w:pStyle w:val="36"/>
        <w:ind w:firstLine="584"/>
        <w:rPr>
          <w:color w:val="000000" w:themeColor="text1"/>
          <w:spacing w:val="-4"/>
          <w14:textFill>
            <w14:solidFill>
              <w14:schemeClr w14:val="tx1"/>
            </w14:solidFill>
          </w14:textFill>
        </w:rPr>
      </w:pPr>
      <w:bookmarkStart w:id="37" w:name="_Toc218782112"/>
      <w:r>
        <w:rPr>
          <w:rFonts w:hint="eastAsia"/>
          <w:color w:val="000000" w:themeColor="text1"/>
          <w:spacing w:val="-4"/>
          <w14:textFill>
            <w14:solidFill>
              <w14:schemeClr w14:val="tx1"/>
            </w14:solidFill>
          </w14:textFill>
        </w:rPr>
        <w:t>三、具体布局方案</w:t>
      </w:r>
      <w:bookmarkEnd w:id="37"/>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根据第二章的分析，2027年，汕尾地区共需投入2.79万辆共享电动自行车，这意味着相应的电池整备设施需占用较大面积的土地资源。从资源整合、交通便利性以及服务覆盖范围等多维度考量，零级停放点可优先规划设置在各个区域的公交站场。一级节点和二级节点则可参考人流热力图与典型的客流聚集中心进行设置，并在初期保证各节点的投放数量，三级节点初始不进行车辆投放，在运营一段时间后根据需求进行调度投放，停放点车位总数和投放量保持在2:1的比例。具体总体布局如下表所示：</w:t>
      </w:r>
    </w:p>
    <w:p>
      <w:pPr>
        <w:ind w:firstLine="544"/>
        <w:rPr>
          <w:color w:val="000000" w:themeColor="text1"/>
          <w:spacing w:val="-4"/>
          <w14:textFill>
            <w14:solidFill>
              <w14:schemeClr w14:val="tx1"/>
            </w14:solidFill>
          </w14:textFill>
        </w:rPr>
      </w:pPr>
    </w:p>
    <w:p>
      <w:pPr>
        <w:pStyle w:val="9"/>
        <w:ind w:firstLine="0" w:firstLineChars="0"/>
        <w:jc w:val="center"/>
        <w:rPr>
          <w:rFonts w:ascii="Times New Roman" w:hAnsi="Times New Roman"/>
          <w:color w:val="000000" w:themeColor="text1"/>
          <w:spacing w:val="-4"/>
          <w:sz w:val="24"/>
          <w:szCs w:val="24"/>
          <w14:textFill>
            <w14:solidFill>
              <w14:schemeClr w14:val="tx1"/>
            </w14:solidFill>
          </w14:textFill>
        </w:rPr>
      </w:pPr>
      <w:r>
        <w:rPr>
          <w:rFonts w:hint="eastAsia" w:ascii="Times New Roman" w:hAnsi="Times New Roman"/>
          <w:color w:val="000000" w:themeColor="text1"/>
          <w:spacing w:val="-4"/>
          <w:sz w:val="24"/>
          <w:szCs w:val="24"/>
          <w14:textFill>
            <w14:solidFill>
              <w14:schemeClr w14:val="tx1"/>
            </w14:solidFill>
          </w14:textFill>
        </w:rPr>
        <w:t>表4</w:t>
      </w:r>
      <w:r>
        <w:rPr>
          <w:rFonts w:ascii="Times New Roman" w:hAnsi="Times New Roman"/>
          <w:color w:val="000000" w:themeColor="text1"/>
          <w:spacing w:val="-4"/>
          <w:sz w:val="24"/>
          <w:szCs w:val="24"/>
          <w14:textFill>
            <w14:solidFill>
              <w14:schemeClr w14:val="tx1"/>
            </w14:solidFill>
          </w14:textFill>
        </w:rPr>
        <w:t xml:space="preserve">-1 </w:t>
      </w:r>
      <w:r>
        <w:rPr>
          <w:rFonts w:hint="eastAsia" w:ascii="Times New Roman" w:hAnsi="Times New Roman"/>
          <w:color w:val="000000" w:themeColor="text1"/>
          <w:spacing w:val="-4"/>
          <w:sz w:val="24"/>
          <w:szCs w:val="24"/>
          <w14:textFill>
            <w14:solidFill>
              <w14:schemeClr w14:val="tx1"/>
            </w14:solidFill>
          </w14:textFill>
        </w:rPr>
        <w:t>总体布局</w:t>
      </w:r>
    </w:p>
    <w:tbl>
      <w:tblPr>
        <w:tblStyle w:val="75"/>
        <w:tblW w:w="90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1"/>
        <w:gridCol w:w="786"/>
        <w:gridCol w:w="785"/>
        <w:gridCol w:w="786"/>
        <w:gridCol w:w="785"/>
        <w:gridCol w:w="771"/>
        <w:gridCol w:w="855"/>
        <w:gridCol w:w="853"/>
        <w:gridCol w:w="855"/>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540" w:type="dxa"/>
            <w:vMerge w:val="restart"/>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区域</w:t>
            </w:r>
          </w:p>
        </w:tc>
        <w:tc>
          <w:tcPr>
            <w:tcW w:w="0" w:type="auto"/>
            <w:gridSpan w:val="2"/>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hint="eastAsia" w:ascii="Calibri" w:hAnsi="Calibri" w:cs="Times New Roman"/>
                <w:b/>
                <w:bCs/>
                <w:color w:val="000000" w:themeColor="text1"/>
                <w:kern w:val="0"/>
                <w:sz w:val="24"/>
                <w:szCs w:val="24"/>
                <w14:textFill>
                  <w14:solidFill>
                    <w14:schemeClr w14:val="tx1"/>
                  </w14:solidFill>
                </w14:textFill>
              </w:rPr>
              <w:t>零级</w:t>
            </w:r>
            <w:r>
              <w:rPr>
                <w:rFonts w:ascii="Calibri" w:hAnsi="Calibri" w:cs="Times New Roman"/>
                <w:b/>
                <w:bCs/>
                <w:color w:val="000000" w:themeColor="text1"/>
                <w:kern w:val="0"/>
                <w:sz w:val="24"/>
                <w:szCs w:val="24"/>
                <w14:textFill>
                  <w14:solidFill>
                    <w14:schemeClr w14:val="tx1"/>
                  </w14:solidFill>
                </w14:textFill>
              </w:rPr>
              <w:t>停放点</w:t>
            </w:r>
          </w:p>
        </w:tc>
        <w:tc>
          <w:tcPr>
            <w:tcW w:w="0" w:type="auto"/>
            <w:gridSpan w:val="2"/>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一级停放点</w:t>
            </w:r>
          </w:p>
        </w:tc>
        <w:tc>
          <w:tcPr>
            <w:tcW w:w="0" w:type="auto"/>
            <w:gridSpan w:val="2"/>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二级停放点</w:t>
            </w:r>
          </w:p>
        </w:tc>
        <w:tc>
          <w:tcPr>
            <w:tcW w:w="0" w:type="auto"/>
            <w:gridSpan w:val="2"/>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三级停放点</w:t>
            </w:r>
          </w:p>
        </w:tc>
        <w:tc>
          <w:tcPr>
            <w:tcW w:w="1056" w:type="dxa"/>
            <w:vMerge w:val="restart"/>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总车位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540" w:type="dxa"/>
            <w:vMerge w:val="continue"/>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4"/>
                <w:szCs w:val="24"/>
                <w14:textFill>
                  <w14:solidFill>
                    <w14:schemeClr w14:val="tx1"/>
                  </w14:solidFill>
                </w14:textFill>
              </w:rPr>
            </w:pP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数量</w:t>
            </w: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车位</w:t>
            </w: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数量</w:t>
            </w: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车位</w:t>
            </w: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数量</w:t>
            </w: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车位</w:t>
            </w: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数量</w:t>
            </w:r>
          </w:p>
        </w:tc>
        <w:tc>
          <w:tcPr>
            <w:tcW w:w="0" w:type="auto"/>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r>
              <w:rPr>
                <w:rFonts w:ascii="Calibri" w:hAnsi="Calibri" w:cs="Times New Roman"/>
                <w:b/>
                <w:bCs/>
                <w:color w:val="000000" w:themeColor="text1"/>
                <w:kern w:val="0"/>
                <w:sz w:val="24"/>
                <w:szCs w:val="24"/>
                <w14:textFill>
                  <w14:solidFill>
                    <w14:schemeClr w14:val="tx1"/>
                  </w14:solidFill>
                </w14:textFill>
              </w:rPr>
              <w:t>车位</w:t>
            </w:r>
          </w:p>
        </w:tc>
        <w:tc>
          <w:tcPr>
            <w:tcW w:w="1056" w:type="dxa"/>
            <w:vMerge w:val="continue"/>
            <w:shd w:val="clear" w:color="auto" w:fill="D8D8D8" w:themeFill="background1" w:themeFillShade="D9"/>
            <w:vAlign w:val="center"/>
          </w:tcPr>
          <w:p>
            <w:pPr>
              <w:autoSpaceDE w:val="0"/>
              <w:autoSpaceDN w:val="0"/>
              <w:adjustRightInd w:val="0"/>
              <w:spacing w:line="240" w:lineRule="auto"/>
              <w:ind w:firstLine="0" w:firstLineChars="0"/>
              <w:jc w:val="center"/>
              <w:rPr>
                <w:rFonts w:ascii="Calibri" w:hAnsi="Calibri" w:cs="Times New Roman"/>
                <w:b/>
                <w:bCs/>
                <w:color w:val="000000" w:themeColor="text1"/>
                <w:kern w:val="0"/>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540"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4"/>
                <w:szCs w:val="24"/>
                <w14:textFill>
                  <w14:solidFill>
                    <w14:schemeClr w14:val="tx1"/>
                  </w14:solidFill>
                </w14:textFill>
              </w:rPr>
            </w:pPr>
            <w:r>
              <w:rPr>
                <w:rFonts w:hint="eastAsia" w:ascii="Calibri" w:hAnsi="Calibri" w:cs="Times New Roman"/>
                <w:color w:val="000000" w:themeColor="text1"/>
                <w:kern w:val="0"/>
                <w:sz w:val="24"/>
                <w:szCs w:val="24"/>
                <w14:textFill>
                  <w14:solidFill>
                    <w14:schemeClr w14:val="tx1"/>
                  </w14:solidFill>
                </w14:textFill>
              </w:rPr>
              <w:t>市</w:t>
            </w:r>
            <w:r>
              <w:rPr>
                <w:rFonts w:ascii="Calibri" w:hAnsi="Calibri" w:cs="Times New Roman"/>
                <w:color w:val="000000" w:themeColor="text1"/>
                <w:kern w:val="0"/>
                <w:sz w:val="24"/>
                <w:szCs w:val="24"/>
                <w14:textFill>
                  <w14:solidFill>
                    <w14:schemeClr w14:val="tx1"/>
                  </w14:solidFill>
                </w14:textFill>
              </w:rPr>
              <w:t>城区</w:t>
            </w:r>
            <w:r>
              <w:rPr>
                <w:rFonts w:hint="eastAsia" w:ascii="Calibri" w:hAnsi="Calibri" w:cs="Times New Roman"/>
                <w:color w:val="000000" w:themeColor="text1"/>
                <w:kern w:val="0"/>
                <w:sz w:val="24"/>
                <w:szCs w:val="24"/>
                <w14:textFill>
                  <w14:solidFill>
                    <w14:schemeClr w14:val="tx1"/>
                  </w14:solidFill>
                </w14:textFill>
              </w:rPr>
              <w:t>和红海湾</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1400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1500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15</w:t>
            </w:r>
            <w:r>
              <w:rPr>
                <w:rFonts w:hint="eastAsia" w:ascii="Calibri" w:hAnsi="Calibri" w:cs="Times New Roman"/>
                <w:color w:val="000000" w:themeColor="text1"/>
                <w:kern w:val="0"/>
                <w:sz w:val="22"/>
                <w:szCs w:val="21"/>
                <w14:textFill>
                  <w14:solidFill>
                    <w14:schemeClr w14:val="tx1"/>
                  </w14:solidFill>
                </w14:textFill>
              </w:rPr>
              <w:t>3</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7</w:t>
            </w:r>
            <w:r>
              <w:rPr>
                <w:rFonts w:hint="eastAsia" w:ascii="Calibri" w:hAnsi="Calibri" w:cs="Times New Roman"/>
                <w:color w:val="000000" w:themeColor="text1"/>
                <w:kern w:val="0"/>
                <w:sz w:val="22"/>
                <w:szCs w:val="21"/>
                <w14:textFill>
                  <w14:solidFill>
                    <w14:schemeClr w14:val="tx1"/>
                  </w14:solidFill>
                </w14:textFill>
              </w:rPr>
              <w:t>65</w:t>
            </w:r>
            <w:r>
              <w:rPr>
                <w:rFonts w:ascii="Calibri" w:hAnsi="Calibri" w:cs="Times New Roman"/>
                <w:color w:val="000000" w:themeColor="text1"/>
                <w:kern w:val="0"/>
                <w:sz w:val="22"/>
                <w:szCs w:val="21"/>
                <w14:textFill>
                  <w14:solidFill>
                    <w14:schemeClr w14:val="tx1"/>
                  </w14:solidFill>
                </w14:textFill>
              </w:rPr>
              <w:t>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≥5</w:t>
            </w:r>
            <w:r>
              <w:rPr>
                <w:rFonts w:hint="eastAsia" w:ascii="Calibri" w:hAnsi="Calibri" w:cs="Times New Roman"/>
                <w:color w:val="000000" w:themeColor="text1"/>
                <w:kern w:val="0"/>
                <w:sz w:val="22"/>
                <w:szCs w:val="21"/>
                <w14:textFill>
                  <w14:solidFill>
                    <w14:schemeClr w14:val="tx1"/>
                  </w14:solidFill>
                </w14:textFill>
              </w:rPr>
              <w:t>45</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5</w:t>
            </w:r>
            <w:r>
              <w:rPr>
                <w:rFonts w:hint="eastAsia" w:ascii="Calibri" w:hAnsi="Calibri" w:cs="Times New Roman"/>
                <w:color w:val="000000" w:themeColor="text1"/>
                <w:kern w:val="0"/>
                <w:sz w:val="22"/>
                <w:szCs w:val="21"/>
                <w14:textFill>
                  <w14:solidFill>
                    <w14:schemeClr w14:val="tx1"/>
                  </w14:solidFill>
                </w14:textFill>
              </w:rPr>
              <w:t>45</w:t>
            </w:r>
            <w:r>
              <w:rPr>
                <w:rFonts w:ascii="Calibri" w:hAnsi="Calibri" w:cs="Times New Roman"/>
                <w:color w:val="000000" w:themeColor="text1"/>
                <w:kern w:val="0"/>
                <w:sz w:val="22"/>
                <w:szCs w:val="21"/>
                <w14:textFill>
                  <w14:solidFill>
                    <w14:schemeClr w14:val="tx1"/>
                  </w14:solidFill>
                </w14:textFill>
              </w:rPr>
              <w:t>0</w:t>
            </w:r>
          </w:p>
        </w:tc>
        <w:tc>
          <w:tcPr>
            <w:tcW w:w="1056"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540"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4"/>
                <w:szCs w:val="24"/>
                <w14:textFill>
                  <w14:solidFill>
                    <w14:schemeClr w14:val="tx1"/>
                  </w14:solidFill>
                </w14:textFill>
              </w:rPr>
            </w:pPr>
            <w:r>
              <w:rPr>
                <w:rFonts w:ascii="Calibri" w:hAnsi="Calibri" w:cs="Times New Roman"/>
                <w:color w:val="000000" w:themeColor="text1"/>
                <w:kern w:val="0"/>
                <w:sz w:val="24"/>
                <w:szCs w:val="24"/>
                <w14:textFill>
                  <w14:solidFill>
                    <w14:schemeClr w14:val="tx1"/>
                  </w14:solidFill>
                </w14:textFill>
              </w:rPr>
              <w:t>海丰县</w:t>
            </w:r>
            <w:r>
              <w:rPr>
                <w:rFonts w:hint="eastAsia" w:ascii="Calibri" w:hAnsi="Calibri" w:cs="Times New Roman"/>
                <w:color w:val="000000" w:themeColor="text1"/>
                <w:kern w:val="0"/>
                <w:sz w:val="24"/>
                <w:szCs w:val="24"/>
                <w14:textFill>
                  <w14:solidFill>
                    <w14:schemeClr w14:val="tx1"/>
                  </w14:solidFill>
                </w14:textFill>
              </w:rPr>
              <w:t>城区</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1000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1500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150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7500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≥800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8400</w:t>
            </w:r>
          </w:p>
        </w:tc>
        <w:tc>
          <w:tcPr>
            <w:tcW w:w="1056"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540"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4"/>
                <w:szCs w:val="24"/>
                <w14:textFill>
                  <w14:solidFill>
                    <w14:schemeClr w14:val="tx1"/>
                  </w14:solidFill>
                </w14:textFill>
              </w:rPr>
            </w:pPr>
            <w:r>
              <w:rPr>
                <w:rFonts w:ascii="Calibri" w:hAnsi="Calibri" w:cs="Times New Roman"/>
                <w:color w:val="000000" w:themeColor="text1"/>
                <w:kern w:val="0"/>
                <w:sz w:val="24"/>
                <w:szCs w:val="24"/>
                <w14:textFill>
                  <w14:solidFill>
                    <w14:schemeClr w14:val="tx1"/>
                  </w14:solidFill>
                </w14:textFill>
              </w:rPr>
              <w:t>陆丰市</w:t>
            </w:r>
            <w:r>
              <w:rPr>
                <w:rFonts w:hint="eastAsia" w:ascii="Calibri" w:hAnsi="Calibri" w:cs="Times New Roman"/>
                <w:color w:val="000000" w:themeColor="text1"/>
                <w:kern w:val="0"/>
                <w:sz w:val="24"/>
                <w:szCs w:val="24"/>
                <w14:textFill>
                  <w14:solidFill>
                    <w14:schemeClr w14:val="tx1"/>
                  </w14:solidFill>
                </w14:textFill>
              </w:rPr>
              <w:t>城区和碣石镇</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1000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1500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90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4500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≥800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8400</w:t>
            </w:r>
          </w:p>
        </w:tc>
        <w:tc>
          <w:tcPr>
            <w:tcW w:w="1056"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15400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1540"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4"/>
                <w:szCs w:val="24"/>
                <w14:textFill>
                  <w14:solidFill>
                    <w14:schemeClr w14:val="tx1"/>
                  </w14:solidFill>
                </w14:textFill>
              </w:rPr>
            </w:pPr>
            <w:r>
              <w:rPr>
                <w:rFonts w:ascii="Calibri" w:hAnsi="Calibri" w:cs="Times New Roman"/>
                <w:color w:val="000000" w:themeColor="text1"/>
                <w:kern w:val="0"/>
                <w:sz w:val="24"/>
                <w:szCs w:val="24"/>
                <w14:textFill>
                  <w14:solidFill>
                    <w14:schemeClr w14:val="tx1"/>
                  </w14:solidFill>
                </w14:textFill>
              </w:rPr>
              <w:t>陆河县</w:t>
            </w:r>
            <w:r>
              <w:rPr>
                <w:rFonts w:hint="eastAsia" w:ascii="Calibri" w:hAnsi="Calibri" w:cs="Times New Roman"/>
                <w:color w:val="000000" w:themeColor="text1"/>
                <w:kern w:val="0"/>
                <w:sz w:val="24"/>
                <w:szCs w:val="24"/>
                <w14:textFill>
                  <w14:solidFill>
                    <w14:schemeClr w14:val="tx1"/>
                  </w14:solidFill>
                </w14:textFill>
              </w:rPr>
              <w:t>城区</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hint="eastAsia" w:ascii="Calibri" w:hAnsi="Calibri" w:cs="Times New Roman"/>
                <w:color w:val="000000" w:themeColor="text1"/>
                <w:kern w:val="0"/>
                <w:sz w:val="22"/>
                <w:szCs w:val="21"/>
                <w14:textFill>
                  <w14:solidFill>
                    <w14:schemeClr w14:val="tx1"/>
                  </w14:solidFill>
                </w14:textFill>
              </w:rPr>
              <w:t>1</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hint="eastAsia" w:ascii="Calibri" w:hAnsi="Calibri" w:cs="Times New Roman"/>
                <w:color w:val="000000" w:themeColor="text1"/>
                <w:kern w:val="0"/>
                <w:sz w:val="22"/>
                <w:szCs w:val="21"/>
                <w14:textFill>
                  <w14:solidFill>
                    <w14:schemeClr w14:val="tx1"/>
                  </w14:solidFill>
                </w14:textFill>
              </w:rPr>
              <w:t>30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2</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300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hint="eastAsia" w:ascii="Calibri" w:hAnsi="Calibri" w:cs="Times New Roman"/>
                <w:color w:val="000000" w:themeColor="text1"/>
                <w:kern w:val="0"/>
                <w:sz w:val="22"/>
                <w:szCs w:val="21"/>
                <w14:textFill>
                  <w14:solidFill>
                    <w14:schemeClr w14:val="tx1"/>
                  </w14:solidFill>
                </w14:textFill>
              </w:rPr>
              <w:t>21</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hint="eastAsia" w:ascii="Calibri" w:hAnsi="Calibri" w:cs="Times New Roman"/>
                <w:color w:val="000000" w:themeColor="text1"/>
                <w:kern w:val="0"/>
                <w:sz w:val="22"/>
                <w:szCs w:val="21"/>
                <w14:textFill>
                  <w14:solidFill>
                    <w14:schemeClr w14:val="tx1"/>
                  </w14:solidFill>
                </w14:textFill>
              </w:rPr>
              <w:t>1050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4300</w:t>
            </w:r>
          </w:p>
        </w:tc>
        <w:tc>
          <w:tcPr>
            <w:tcW w:w="1056"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540"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4"/>
                <w:szCs w:val="24"/>
                <w14:textFill>
                  <w14:solidFill>
                    <w14:schemeClr w14:val="tx1"/>
                  </w14:solidFill>
                </w14:textFill>
              </w:rPr>
            </w:pPr>
            <w:r>
              <w:rPr>
                <w:rFonts w:ascii="Calibri" w:hAnsi="Calibri" w:cs="Times New Roman"/>
                <w:color w:val="000000" w:themeColor="text1"/>
                <w:kern w:val="0"/>
                <w:sz w:val="24"/>
                <w:szCs w:val="24"/>
                <w14:textFill>
                  <w14:solidFill>
                    <w14:schemeClr w14:val="tx1"/>
                  </w14:solidFill>
                </w14:textFill>
              </w:rPr>
              <w:t>合计</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14</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3400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32</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4800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410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20500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≥2600</w:t>
            </w:r>
          </w:p>
        </w:tc>
        <w:tc>
          <w:tcPr>
            <w:tcW w:w="0" w:type="auto"/>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27100</w:t>
            </w:r>
          </w:p>
        </w:tc>
        <w:tc>
          <w:tcPr>
            <w:tcW w:w="1056" w:type="dxa"/>
            <w:vAlign w:val="center"/>
          </w:tcPr>
          <w:p>
            <w:pPr>
              <w:autoSpaceDE w:val="0"/>
              <w:autoSpaceDN w:val="0"/>
              <w:adjustRightInd w:val="0"/>
              <w:spacing w:line="240" w:lineRule="auto"/>
              <w:ind w:firstLine="0" w:firstLineChars="0"/>
              <w:jc w:val="center"/>
              <w:rPr>
                <w:rFonts w:ascii="Calibri" w:hAnsi="Calibri" w:cs="Times New Roman"/>
                <w:color w:val="000000" w:themeColor="text1"/>
                <w:kern w:val="0"/>
                <w:sz w:val="22"/>
                <w:szCs w:val="21"/>
                <w14:textFill>
                  <w14:solidFill>
                    <w14:schemeClr w14:val="tx1"/>
                  </w14:solidFill>
                </w14:textFill>
              </w:rPr>
            </w:pPr>
            <w:r>
              <w:rPr>
                <w:rFonts w:ascii="Calibri" w:hAnsi="Calibri" w:cs="Times New Roman"/>
                <w:color w:val="000000" w:themeColor="text1"/>
                <w:kern w:val="0"/>
                <w:sz w:val="22"/>
                <w:szCs w:val="21"/>
                <w14:textFill>
                  <w14:solidFill>
                    <w14:schemeClr w14:val="tx1"/>
                  </w14:solidFill>
                </w14:textFill>
              </w:rPr>
              <w:t>55800</w:t>
            </w:r>
          </w:p>
        </w:tc>
      </w:tr>
    </w:tbl>
    <w:p>
      <w:pPr>
        <w:autoSpaceDE w:val="0"/>
        <w:autoSpaceDN w:val="0"/>
        <w:adjustRightInd w:val="0"/>
        <w:spacing w:line="600" w:lineRule="exact"/>
        <w:ind w:firstLine="544"/>
        <w:rPr>
          <w:rFonts w:cs="Times New Roman"/>
          <w:color w:val="000000" w:themeColor="text1"/>
          <w:spacing w:val="-4"/>
          <w:kern w:val="0"/>
          <w:szCs w:val="28"/>
          <w14:textFill>
            <w14:solidFill>
              <w14:schemeClr w14:val="tx1"/>
            </w14:solidFill>
          </w14:textFill>
        </w:rPr>
      </w:pPr>
      <w:r>
        <w:rPr>
          <w:rFonts w:hint="eastAsia" w:cs="Times New Roman"/>
          <w:color w:val="000000" w:themeColor="text1"/>
          <w:spacing w:val="-4"/>
          <w:kern w:val="0"/>
          <w:szCs w:val="28"/>
          <w14:textFill>
            <w14:solidFill>
              <w14:schemeClr w14:val="tx1"/>
            </w14:solidFill>
          </w14:textFill>
        </w:rPr>
        <w:t>其中</w:t>
      </w:r>
      <w:r>
        <w:rPr>
          <w:rFonts w:cs="Times New Roman"/>
          <w:color w:val="000000" w:themeColor="text1"/>
          <w:spacing w:val="-4"/>
          <w:kern w:val="0"/>
          <w:szCs w:val="28"/>
          <w14:textFill>
            <w14:solidFill>
              <w14:schemeClr w14:val="tx1"/>
            </w14:solidFill>
          </w14:textFill>
        </w:rPr>
        <w:t>，汕尾</w:t>
      </w:r>
      <w:r>
        <w:rPr>
          <w:rFonts w:hint="eastAsia" w:cs="Times New Roman"/>
          <w:color w:val="000000" w:themeColor="text1"/>
          <w:spacing w:val="-4"/>
          <w:kern w:val="0"/>
          <w:szCs w:val="28"/>
          <w14:textFill>
            <w14:solidFill>
              <w14:schemeClr w14:val="tx1"/>
            </w14:solidFill>
          </w14:textFill>
        </w:rPr>
        <w:t>市</w:t>
      </w:r>
      <w:r>
        <w:rPr>
          <w:rFonts w:cs="Times New Roman"/>
          <w:color w:val="000000" w:themeColor="text1"/>
          <w:spacing w:val="-4"/>
          <w:kern w:val="0"/>
          <w:szCs w:val="28"/>
          <w14:textFill>
            <w14:solidFill>
              <w14:schemeClr w14:val="tx1"/>
            </w14:solidFill>
          </w14:textFill>
        </w:rPr>
        <w:t>城区</w:t>
      </w:r>
      <w:r>
        <w:rPr>
          <w:rFonts w:hint="eastAsia" w:cs="Times New Roman"/>
          <w:color w:val="000000" w:themeColor="text1"/>
          <w:spacing w:val="-4"/>
          <w:kern w:val="0"/>
          <w:szCs w:val="28"/>
          <w14:textFill>
            <w14:solidFill>
              <w14:schemeClr w14:val="tx1"/>
            </w14:solidFill>
          </w14:textFill>
        </w:rPr>
        <w:t>和红海湾经济开发区</w:t>
      </w:r>
      <w:r>
        <w:rPr>
          <w:rFonts w:cs="Times New Roman"/>
          <w:color w:val="000000" w:themeColor="text1"/>
          <w:spacing w:val="-4"/>
          <w:kern w:val="0"/>
          <w:szCs w:val="28"/>
          <w14:textFill>
            <w14:solidFill>
              <w14:schemeClr w14:val="tx1"/>
            </w14:solidFill>
          </w14:textFill>
        </w:rPr>
        <w:t>共规划停放点位</w:t>
      </w:r>
      <w:r>
        <w:rPr>
          <w:rFonts w:hint="eastAsia" w:cs="Times New Roman"/>
          <w:color w:val="000000" w:themeColor="text1"/>
          <w:spacing w:val="-4"/>
          <w:kern w:val="0"/>
          <w:szCs w:val="28"/>
          <w14:textFill>
            <w14:solidFill>
              <w14:schemeClr w14:val="tx1"/>
            </w14:solidFill>
          </w14:textFill>
        </w:rPr>
        <w:t>712</w:t>
      </w:r>
      <w:r>
        <w:rPr>
          <w:rFonts w:cs="Times New Roman"/>
          <w:color w:val="000000" w:themeColor="text1"/>
          <w:spacing w:val="-4"/>
          <w:kern w:val="0"/>
          <w:szCs w:val="28"/>
          <w14:textFill>
            <w14:solidFill>
              <w14:schemeClr w14:val="tx1"/>
            </w14:solidFill>
          </w14:textFill>
        </w:rPr>
        <w:t>个，其中</w:t>
      </w:r>
      <w:r>
        <w:rPr>
          <w:rFonts w:hint="eastAsia" w:cs="Times New Roman"/>
          <w:color w:val="000000" w:themeColor="text1"/>
          <w:spacing w:val="-4"/>
          <w:kern w:val="0"/>
          <w:szCs w:val="28"/>
          <w14:textFill>
            <w14:solidFill>
              <w14:schemeClr w14:val="tx1"/>
            </w14:solidFill>
          </w14:textFill>
        </w:rPr>
        <w:t>零级</w:t>
      </w:r>
      <w:r>
        <w:rPr>
          <w:rFonts w:cs="Times New Roman"/>
          <w:color w:val="000000" w:themeColor="text1"/>
          <w:spacing w:val="-4"/>
          <w:kern w:val="0"/>
          <w:szCs w:val="28"/>
          <w14:textFill>
            <w14:solidFill>
              <w14:schemeClr w14:val="tx1"/>
            </w14:solidFill>
          </w14:textFill>
        </w:rPr>
        <w:t>停放点</w:t>
      </w:r>
      <w:r>
        <w:rPr>
          <w:rFonts w:hint="eastAsia" w:cs="Times New Roman"/>
          <w:color w:val="000000" w:themeColor="text1"/>
          <w:spacing w:val="-4"/>
          <w:kern w:val="0"/>
          <w:szCs w:val="28"/>
          <w14:textFill>
            <w14:solidFill>
              <w14:schemeClr w14:val="tx1"/>
            </w14:solidFill>
          </w14:textFill>
        </w:rPr>
        <w:t>4</w:t>
      </w:r>
      <w:r>
        <w:rPr>
          <w:rFonts w:cs="Times New Roman"/>
          <w:color w:val="000000" w:themeColor="text1"/>
          <w:spacing w:val="-4"/>
          <w:kern w:val="0"/>
          <w:szCs w:val="28"/>
          <w14:textFill>
            <w14:solidFill>
              <w14:schemeClr w14:val="tx1"/>
            </w14:solidFill>
          </w14:textFill>
        </w:rPr>
        <w:t>个，一级停放点</w:t>
      </w:r>
      <w:r>
        <w:rPr>
          <w:rFonts w:hint="eastAsia" w:cs="Times New Roman"/>
          <w:color w:val="000000" w:themeColor="text1"/>
          <w:spacing w:val="-4"/>
          <w:kern w:val="0"/>
          <w:szCs w:val="28"/>
          <w14:textFill>
            <w14:solidFill>
              <w14:schemeClr w14:val="tx1"/>
            </w14:solidFill>
          </w14:textFill>
        </w:rPr>
        <w:t>10</w:t>
      </w:r>
      <w:r>
        <w:rPr>
          <w:rFonts w:cs="Times New Roman"/>
          <w:color w:val="000000" w:themeColor="text1"/>
          <w:spacing w:val="-4"/>
          <w:kern w:val="0"/>
          <w:szCs w:val="28"/>
          <w14:textFill>
            <w14:solidFill>
              <w14:schemeClr w14:val="tx1"/>
            </w14:solidFill>
          </w14:textFill>
        </w:rPr>
        <w:t>个，二级停放点</w:t>
      </w:r>
      <w:r>
        <w:rPr>
          <w:rFonts w:hint="eastAsia" w:cs="Times New Roman"/>
          <w:color w:val="000000" w:themeColor="text1"/>
          <w:spacing w:val="-4"/>
          <w:kern w:val="0"/>
          <w:szCs w:val="28"/>
          <w14:textFill>
            <w14:solidFill>
              <w14:schemeClr w14:val="tx1"/>
            </w14:solidFill>
          </w14:textFill>
        </w:rPr>
        <w:t>153</w:t>
      </w:r>
      <w:r>
        <w:rPr>
          <w:rFonts w:cs="Times New Roman"/>
          <w:color w:val="000000" w:themeColor="text1"/>
          <w:spacing w:val="-4"/>
          <w:kern w:val="0"/>
          <w:szCs w:val="28"/>
          <w14:textFill>
            <w14:solidFill>
              <w14:schemeClr w14:val="tx1"/>
            </w14:solidFill>
          </w14:textFill>
        </w:rPr>
        <w:t>个，三级停放点</w:t>
      </w:r>
      <w:r>
        <w:rPr>
          <w:rFonts w:hint="eastAsia" w:cs="Times New Roman"/>
          <w:color w:val="000000" w:themeColor="text1"/>
          <w:spacing w:val="-4"/>
          <w:kern w:val="0"/>
          <w:szCs w:val="28"/>
          <w14:textFill>
            <w14:solidFill>
              <w14:schemeClr w14:val="tx1"/>
            </w14:solidFill>
          </w14:textFill>
        </w:rPr>
        <w:t>545</w:t>
      </w:r>
      <w:r>
        <w:rPr>
          <w:rFonts w:cs="Times New Roman"/>
          <w:color w:val="000000" w:themeColor="text1"/>
          <w:spacing w:val="-4"/>
          <w:kern w:val="0"/>
          <w:szCs w:val="28"/>
          <w14:textFill>
            <w14:solidFill>
              <w14:schemeClr w14:val="tx1"/>
            </w14:solidFill>
          </w14:textFill>
        </w:rPr>
        <w:t>个；共</w:t>
      </w:r>
      <w:r>
        <w:rPr>
          <w:rFonts w:hint="eastAsia" w:cs="Times New Roman"/>
          <w:color w:val="000000" w:themeColor="text1"/>
          <w:spacing w:val="-4"/>
          <w:kern w:val="0"/>
          <w:szCs w:val="28"/>
          <w14:textFill>
            <w14:solidFill>
              <w14:schemeClr w14:val="tx1"/>
            </w14:solidFill>
          </w14:textFill>
        </w:rPr>
        <w:t>规划车位16000个，可供8000</w:t>
      </w:r>
      <w:r>
        <w:rPr>
          <w:rFonts w:cs="Times New Roman"/>
          <w:color w:val="000000" w:themeColor="text1"/>
          <w:spacing w:val="-4"/>
          <w:kern w:val="0"/>
          <w:szCs w:val="28"/>
          <w14:textFill>
            <w14:solidFill>
              <w14:schemeClr w14:val="tx1"/>
            </w14:solidFill>
          </w14:textFill>
        </w:rPr>
        <w:t>辆</w:t>
      </w:r>
      <w:r>
        <w:rPr>
          <w:rFonts w:hint="eastAsia" w:cs="Times New Roman"/>
          <w:color w:val="000000" w:themeColor="text1"/>
          <w:spacing w:val="-4"/>
          <w:kern w:val="0"/>
          <w:szCs w:val="28"/>
          <w14:textFill>
            <w14:solidFill>
              <w14:schemeClr w14:val="tx1"/>
            </w14:solidFill>
          </w14:textFill>
        </w:rPr>
        <w:t>共享电动自行车进行运营。零级停放点及一、二级停放点详见下表，三级停放点则可根据实际情况，借助当前汕尾地区已画好的摩托车/电动自行车停车位实现，建议在每个零级停放点、一级停放点以及二级停放点周边500米范围内，设置不少于3个三级停放点，以满足停靠需求：</w:t>
      </w:r>
    </w:p>
    <w:p>
      <w:pPr>
        <w:pStyle w:val="9"/>
        <w:ind w:firstLine="0" w:firstLineChars="0"/>
        <w:jc w:val="center"/>
        <w:rPr>
          <w:rFonts w:ascii="Times New Roman" w:hAnsi="Times New Roman" w:cs="Times New Roman"/>
          <w:color w:val="000000" w:themeColor="text1"/>
          <w:kern w:val="0"/>
          <w:szCs w:val="28"/>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表4</w:t>
      </w:r>
      <w:r>
        <w:rPr>
          <w:rFonts w:ascii="Times New Roman" w:hAnsi="Times New Roman"/>
          <w:color w:val="000000" w:themeColor="text1"/>
          <w:sz w:val="24"/>
          <w:szCs w:val="24"/>
          <w14:textFill>
            <w14:solidFill>
              <w14:schemeClr w14:val="tx1"/>
            </w14:solidFill>
          </w14:textFill>
        </w:rPr>
        <w:t xml:space="preserve">-2 </w:t>
      </w:r>
      <w:r>
        <w:rPr>
          <w:rFonts w:hint="eastAsia" w:ascii="Times New Roman" w:hAnsi="Times New Roman"/>
          <w:color w:val="000000" w:themeColor="text1"/>
          <w:sz w:val="24"/>
          <w:szCs w:val="24"/>
          <w14:textFill>
            <w14:solidFill>
              <w14:schemeClr w14:val="tx1"/>
            </w14:solidFill>
          </w14:textFill>
        </w:rPr>
        <w:t>汕尾市城区和红海湾经济开发区一、二级停放点</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5967"/>
        <w:gridCol w:w="849"/>
        <w:gridCol w:w="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序号</w:t>
            </w:r>
          </w:p>
        </w:tc>
        <w:tc>
          <w:tcPr>
            <w:tcW w:w="3501"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所在道路名（地名）</w:t>
            </w:r>
          </w:p>
        </w:tc>
        <w:tc>
          <w:tcPr>
            <w:tcW w:w="1002" w:type="pct"/>
            <w:gridSpan w:val="2"/>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hint="eastAsia" w:cs="Times New Roman"/>
                <w:b/>
                <w:bCs/>
                <w:color w:val="000000" w:themeColor="text1"/>
                <w:w w:val="99"/>
                <w:kern w:val="0"/>
                <w:sz w:val="24"/>
                <w:szCs w:val="24"/>
                <w14:textFill>
                  <w14:solidFill>
                    <w14:schemeClr w14:val="tx1"/>
                  </w14:solidFill>
                </w14:textFill>
              </w:rPr>
              <w:t>停放点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p>
        </w:tc>
        <w:tc>
          <w:tcPr>
            <w:tcW w:w="3501"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p>
        </w:tc>
        <w:tc>
          <w:tcPr>
            <w:tcW w:w="498"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hint="eastAsia" w:cs="Times New Roman"/>
                <w:b/>
                <w:bCs/>
                <w:color w:val="000000" w:themeColor="text1"/>
                <w:w w:val="99"/>
                <w:kern w:val="0"/>
                <w:sz w:val="24"/>
                <w:szCs w:val="24"/>
                <w14:textFill>
                  <w14:solidFill>
                    <w14:schemeClr w14:val="tx1"/>
                  </w14:solidFill>
                </w14:textFill>
              </w:rPr>
              <w:t>等级</w:t>
            </w:r>
          </w:p>
        </w:tc>
        <w:tc>
          <w:tcPr>
            <w:tcW w:w="504"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车位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1</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汕尾汽车总站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0</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汕尾火车站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0</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3</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保利金町湾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0</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4</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14:textFill>
                  <w14:solidFill>
                    <w14:schemeClr w14:val="tx1"/>
                  </w14:solidFill>
                </w14:textFill>
              </w:rPr>
              <w:t>红海湾遮浪旅游游客中心</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0</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w:t>
            </w:r>
            <w:r>
              <w:rPr>
                <w:rFonts w:cs="Times New Roman"/>
                <w:color w:val="000000" w:themeColor="text1"/>
                <w:w w:val="99"/>
                <w:kern w:val="0"/>
                <w:sz w:val="24"/>
                <w:szCs w:val="24"/>
                <w:lang w:eastAsia="en-US"/>
                <w14:textFill>
                  <w14:solidFill>
                    <w14:schemeClr w14:val="tx1"/>
                  </w14:solidFill>
                </w14:textFill>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信利·城市广场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6</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信利电子厂（南门、南1门、南2门）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7</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汕尾职业技术学院</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金霞光森林公园（马宫大道）</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深汕中医医院(金町院区)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华南师范大学（汕尾校区）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汕尾风车岛</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红海湾金屿滩旅游区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汕尾市职业技术学校</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田墘长途客运站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15</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金町村</w:t>
            </w:r>
            <w:r>
              <w:rPr>
                <w:rFonts w:hint="eastAsia" w:cs="Times New Roman"/>
                <w:color w:val="000000" w:themeColor="text1"/>
                <w:w w:val="99"/>
                <w:kern w:val="0"/>
                <w:sz w:val="24"/>
                <w:szCs w:val="24"/>
                <w14:textFill>
                  <w14:solidFill>
                    <w14:schemeClr w14:val="tx1"/>
                  </w14:solidFill>
                </w14:textFill>
              </w:rPr>
              <w:t>（</w:t>
            </w:r>
            <w:r>
              <w:rPr>
                <w:rFonts w:hint="eastAsia" w:cs="Times New Roman"/>
                <w:color w:val="000000" w:themeColor="text1"/>
                <w:w w:val="99"/>
                <w:kern w:val="0"/>
                <w:sz w:val="24"/>
                <w:szCs w:val="24"/>
                <w:lang w:eastAsia="en-US"/>
                <w14:textFill>
                  <w14:solidFill>
                    <w14:schemeClr w14:val="tx1"/>
                  </w14:solidFill>
                </w14:textFill>
              </w:rPr>
              <w:t>公交车站</w:t>
            </w:r>
            <w:r>
              <w:rPr>
                <w:rFonts w:hint="eastAsia" w:cs="Times New Roman"/>
                <w:color w:val="000000" w:themeColor="text1"/>
                <w:w w:val="99"/>
                <w:kern w:val="0"/>
                <w:sz w:val="24"/>
                <w:szCs w:val="24"/>
                <w14:textFill>
                  <w14:solidFill>
                    <w14:schemeClr w14:val="tx1"/>
                  </w14:solidFill>
                </w14:textFill>
              </w:rPr>
              <w:t>）</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16</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马宫客运站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17</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白鹤寺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18</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广州中医药大学第一附属医院(汕尾逸挥院区)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19</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明珠广场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20</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奎山公园（北门）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21</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中山渡口</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22</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凤山祖庙旅游区妈祖文化广场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23</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小岛村渡口</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24</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红树林沙滩</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25</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中山大学孙逸仙纪念医院深汕中心医院</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26</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观海山庄（公交车站）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27</w:t>
            </w:r>
          </w:p>
        </w:tc>
        <w:tc>
          <w:tcPr>
            <w:tcW w:w="3501"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汕尾市人民医院</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汕尾中山医院</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29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健康人医院</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凤山祖庙旅游区-南门地上停车场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春晖骨科医院</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14:textFill>
                  <w14:solidFill>
                    <w14:schemeClr w14:val="tx1"/>
                  </w14:solidFill>
                </w14:textFill>
              </w:rPr>
              <w:t>比亚迪</w:t>
            </w:r>
            <w:r>
              <w:rPr>
                <w:rFonts w:hint="eastAsia" w:cs="Times New Roman"/>
                <w:color w:val="000000" w:themeColor="text1"/>
                <w:w w:val="99"/>
                <w:kern w:val="0"/>
                <w:sz w:val="24"/>
                <w:szCs w:val="24"/>
                <w14:textFill>
                  <w14:solidFill>
                    <w14:schemeClr w14:val="tx1"/>
                  </w14:solidFill>
                </w14:textFill>
              </w:rPr>
              <w:t>实业</w:t>
            </w:r>
            <w:r>
              <w:rPr>
                <w:rFonts w:cs="Times New Roman"/>
                <w:color w:val="000000" w:themeColor="text1"/>
                <w:w w:val="99"/>
                <w:kern w:val="0"/>
                <w:sz w:val="24"/>
                <w:szCs w:val="24"/>
                <w14:textFill>
                  <w14:solidFill>
                    <w14:schemeClr w14:val="tx1"/>
                  </w14:solidFill>
                </w14:textFill>
              </w:rPr>
              <w:t>有限公司</w:t>
            </w:r>
            <w:r>
              <w:rPr>
                <w:rFonts w:hint="eastAsia" w:cs="Times New Roman"/>
                <w:color w:val="000000" w:themeColor="text1"/>
                <w:w w:val="99"/>
                <w:kern w:val="0"/>
                <w:sz w:val="24"/>
                <w:szCs w:val="24"/>
                <w14:textFill>
                  <w14:solidFill>
                    <w14:schemeClr w14:val="tx1"/>
                  </w14:solidFill>
                </w14:textFill>
              </w:rPr>
              <w:t>（汕尾分公司）</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海港城小区（公交车站）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金豪家园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万佳锦园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大鹏山公园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国泰食品厂（公交车站）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丹桂</w:t>
            </w:r>
            <w:r>
              <w:rPr>
                <w:rFonts w:hint="eastAsia" w:cs="Times New Roman"/>
                <w:color w:val="000000" w:themeColor="text1"/>
                <w:w w:val="99"/>
                <w:kern w:val="0"/>
                <w:sz w:val="24"/>
                <w:szCs w:val="24"/>
                <w14:textFill>
                  <w14:solidFill>
                    <w14:schemeClr w14:val="tx1"/>
                  </w14:solidFill>
                </w14:textFill>
              </w:rPr>
              <w:t>佳</w:t>
            </w:r>
            <w:r>
              <w:rPr>
                <w:rFonts w:hint="eastAsia" w:cs="Times New Roman"/>
                <w:color w:val="000000" w:themeColor="text1"/>
                <w:w w:val="99"/>
                <w:kern w:val="0"/>
                <w:sz w:val="24"/>
                <w:szCs w:val="24"/>
                <w:lang w:eastAsia="en-US"/>
                <w14:textFill>
                  <w14:solidFill>
                    <w14:schemeClr w14:val="tx1"/>
                  </w14:solidFill>
                </w14:textFill>
              </w:rPr>
              <w:t>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39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城北站（公交车站）（红海大道）</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姚厝</w:t>
            </w:r>
            <w:r>
              <w:rPr>
                <w:rFonts w:hint="eastAsia" w:cs="Times New Roman"/>
                <w:color w:val="000000" w:themeColor="text1"/>
                <w:w w:val="99"/>
                <w:kern w:val="0"/>
                <w:sz w:val="24"/>
                <w:szCs w:val="24"/>
                <w14:textFill>
                  <w14:solidFill>
                    <w14:schemeClr w14:val="tx1"/>
                  </w14:solidFill>
                </w14:textFill>
              </w:rPr>
              <w:t>（公交车站）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红草派出所（公交车站）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东涌公园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长富村沙园公园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捷胜车站（公交车站）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耀东塑料五金制品有限公司（北门）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汕尾崇文中等职业技术学校</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市技工学校（公交车站）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14:textFill>
                  <w14:solidFill>
                    <w14:schemeClr w14:val="tx1"/>
                  </w14:solidFill>
                </w14:textFill>
              </w:rPr>
              <w:t>汕尾技师学院</w:t>
            </w:r>
            <w:r>
              <w:rPr>
                <w:rFonts w:hint="eastAsia" w:cs="Times New Roman"/>
                <w:color w:val="000000" w:themeColor="text1"/>
                <w:w w:val="99"/>
                <w:kern w:val="0"/>
                <w:sz w:val="24"/>
                <w:szCs w:val="24"/>
                <w14:textFill>
                  <w14:solidFill>
                    <w14:schemeClr w14:val="tx1"/>
                  </w14:solidFill>
                </w14:textFill>
              </w:rPr>
              <w:t>（南门）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49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汕尾市政务服务中心</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显达时代广场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万盛广场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信诚商场(香城路店)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信诚商场(文德路店)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天明</w:t>
            </w:r>
            <w:r>
              <w:rPr>
                <w:rFonts w:hint="eastAsia" w:cs="Times New Roman"/>
                <w:color w:val="000000" w:themeColor="text1"/>
                <w:w w:val="99"/>
                <w:kern w:val="0"/>
                <w:sz w:val="24"/>
                <w:szCs w:val="24"/>
                <w:lang w:eastAsia="en-US"/>
                <w14:textFill>
                  <w14:solidFill>
                    <w14:schemeClr w14:val="tx1"/>
                  </w14:solidFill>
                </w14:textFill>
              </w:rPr>
              <w:t>鸿景园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信诚商场(凤苑店)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信利集团第二宿舍区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星合里(星合世家店)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14:textFill>
                  <w14:solidFill>
                    <w14:schemeClr w14:val="tx1"/>
                  </w14:solidFill>
                </w14:textFill>
              </w:rPr>
              <w:t>协兴广场</w:t>
            </w:r>
            <w:r>
              <w:rPr>
                <w:rFonts w:hint="eastAsia" w:cs="Times New Roman"/>
                <w:color w:val="000000" w:themeColor="text1"/>
                <w:w w:val="99"/>
                <w:kern w:val="0"/>
                <w:sz w:val="24"/>
                <w:szCs w:val="24"/>
                <w14:textFill>
                  <w14:solidFill>
                    <w14:schemeClr w14:val="tx1"/>
                  </w14:solidFill>
                </w14:textFill>
              </w:rPr>
              <w:t>（公交车站）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59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信利大厦</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鸿景园·御景壹号</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天明熙龙湾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融创金宸府</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华夏东方明珠</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highlight w:val="yellow"/>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龙溪（</w:t>
            </w:r>
            <w:r>
              <w:rPr>
                <w:rFonts w:hint="eastAsia" w:cs="Times New Roman"/>
                <w:color w:val="000000" w:themeColor="text1"/>
                <w:w w:val="99"/>
                <w:kern w:val="0"/>
                <w:sz w:val="24"/>
                <w:szCs w:val="24"/>
                <w:lang w:eastAsia="en-US"/>
                <w14:textFill>
                  <w14:solidFill>
                    <w14:schemeClr w14:val="tx1"/>
                  </w14:solidFill>
                </w14:textFill>
              </w:rPr>
              <w:t>公交车站</w:t>
            </w:r>
            <w:r>
              <w:rPr>
                <w:rFonts w:hint="eastAsia" w:cs="Times New Roman"/>
                <w:color w:val="000000" w:themeColor="text1"/>
                <w:w w:val="99"/>
                <w:kern w:val="0"/>
                <w:sz w:val="24"/>
                <w:szCs w:val="24"/>
                <w14:textFill>
                  <w14:solidFill>
                    <w14:schemeClr w14:val="tx1"/>
                  </w14:solidFill>
                </w14:textFill>
              </w:rPr>
              <w:t>）</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highlight w:val="yellow"/>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黄金海岸金海湾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万盛·银湖湾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碧桂园</w:t>
            </w:r>
            <w:r>
              <w:rPr>
                <w:rFonts w:hint="eastAsia" w:cs="Times New Roman"/>
                <w:color w:val="000000" w:themeColor="text1"/>
                <w:w w:val="99"/>
                <w:kern w:val="0"/>
                <w:sz w:val="24"/>
                <w:szCs w:val="24"/>
                <w:lang w:eastAsia="en-US"/>
                <w14:textFill>
                  <w14:solidFill>
                    <w14:schemeClr w14:val="tx1"/>
                  </w14:solidFill>
                </w14:textFill>
              </w:rPr>
              <w:t>·</w:t>
            </w:r>
            <w:r>
              <w:rPr>
                <w:rFonts w:hint="eastAsia" w:cs="Times New Roman"/>
                <w:color w:val="000000" w:themeColor="text1"/>
                <w:w w:val="99"/>
                <w:kern w:val="0"/>
                <w:sz w:val="24"/>
                <w:szCs w:val="24"/>
                <w14:textFill>
                  <w14:solidFill>
                    <w14:schemeClr w14:val="tx1"/>
                  </w14:solidFill>
                </w14:textFill>
              </w:rPr>
              <w:t>时代城星荟</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湖田路口（公交车站）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69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恒大御景湾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70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汕尾雅居乐山海郡</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71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汕尾碧桂园·品清湖1号</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72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城投愉憬湾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73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御景园(凤湖路)</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74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巴黎半岛酒店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75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新品清湖大酒店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76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汕尾友谊大厦</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77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碧桂园清湖上品</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78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碧桂园·柏丽湾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79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碧桂园凤凰湾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碧桂园天誉</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汕尾星河湾</w:t>
            </w:r>
            <w:r>
              <w:rPr>
                <w:rFonts w:hint="eastAsia" w:cs="Times New Roman"/>
                <w:color w:val="000000" w:themeColor="text1"/>
                <w:w w:val="99"/>
                <w:kern w:val="0"/>
                <w:sz w:val="24"/>
                <w:szCs w:val="24"/>
                <w14:textFill>
                  <w14:solidFill>
                    <w14:schemeClr w14:val="tx1"/>
                  </w14:solidFill>
                </w14:textFill>
              </w:rPr>
              <w:t>一期</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w w:val="99"/>
                <w:kern w:val="0"/>
                <w:sz w:val="24"/>
                <w:szCs w:val="24"/>
                <w:lang w:eastAsia="en-US"/>
                <w14:textFill>
                  <w14:solidFill>
                    <w14:schemeClr w14:val="tx1"/>
                  </w14:solidFill>
                </w14:textFill>
              </w:rPr>
              <w:t>汕尾星河湾</w:t>
            </w:r>
            <w:r>
              <w:rPr>
                <w:rFonts w:hint="eastAsia" w:cs="Times New Roman"/>
                <w:color w:val="000000" w:themeColor="text1"/>
                <w:w w:val="99"/>
                <w:kern w:val="0"/>
                <w:sz w:val="24"/>
                <w:szCs w:val="24"/>
                <w14:textFill>
                  <w14:solidFill>
                    <w14:schemeClr w14:val="tx1"/>
                  </w14:solidFill>
                </w14:textFill>
              </w:rPr>
              <w:t>二期</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恒大品清首府</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德美工业村</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lang w:eastAsia="en-US"/>
                <w14:textFill>
                  <w14:solidFill>
                    <w14:schemeClr w14:val="tx1"/>
                  </w14:solidFill>
                </w14:textFill>
              </w:rPr>
              <w:t>汕尾市体育中心</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汕尾市博物馆</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新林停车场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香湖花园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89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信利电子厂侧门（公交车站）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林埠综合市场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维也纳国际酒店(汕尾城区店)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大中华·汕尾1号</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和顺乡八区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汕尾市图书馆（北门）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马思聪艺术中心</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汕尾开放大学</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香洲头（公交车站）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汕尾全球通大厦</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99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百汇锦绣花园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汕尾市社会主义学院</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东方花园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阳光花园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名门御庭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龙富花园(香洲路)</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城苑邮电宿舍</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园林社区东区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园林社区西区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金湖花园银湖小区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109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滨湖小区(凤苑路)</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龙湖湾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泰濠世纪豪庭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红电花园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屿仔岛（公交车站）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汕尾市国泰食品有限公司（南门）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翡翠湾</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滨海A区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罗马广场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奎山公园（南门）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119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银城小区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奎山盐属小区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香城花园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汕尾体育馆</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奎山综合市场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怡富苑</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和顺叠石小区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碧桂园华附凤凰城</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埔上墩路口（公交车站）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民主广场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129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丽景苑（海边街）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w w:val="99"/>
                <w:kern w:val="0"/>
                <w:sz w:val="24"/>
                <w:szCs w:val="24"/>
              </w:rPr>
              <w:t>方直紫珑府</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港口小区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海边街大型停车场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天佳华庭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汕尾水产品批发市场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金城小区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瑞城花园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新兴小区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海港文旅码头</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139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春苑小区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w w:val="99"/>
                <w:kern w:val="0"/>
                <w:sz w:val="24"/>
                <w:szCs w:val="24"/>
              </w:rPr>
              <w:t>友谊路口（公交车站）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汕尾跨境电商综合试验区电商园区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碧桂园·时代城-都荟</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海陆顺汽车城</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百汇市场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新兴市场(通航路)</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信利红草高新工业园（东门）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海资特色卤鹅火锅•咸菜鸡煲</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西洋村（公交车站）</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149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李厝乡</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红海花园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汕尾市市区蔬菜批发市场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玉台山慈云公园（西北门）</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捷胜玫瑰银滩景区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牛肚村</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大淋村</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南门岗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石头村</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158</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保利时代</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159</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碧桂园星钻</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160</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万象华府A、万象华府B</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161</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星河领誉</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162</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汕尾金融中心</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163</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品清综合市场</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164</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步美公园</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165</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灶物码头夜市</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166</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凯亚斯顿酒店(汕尾城区店)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167</w:t>
            </w:r>
          </w:p>
        </w:tc>
        <w:tc>
          <w:tcPr>
            <w:tcW w:w="3501"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海豚湾快捷酒店(汕尾二马路美食街店)</w:t>
            </w:r>
          </w:p>
        </w:tc>
        <w:tc>
          <w:tcPr>
            <w:tcW w:w="498"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2</w:t>
            </w:r>
          </w:p>
        </w:tc>
        <w:tc>
          <w:tcPr>
            <w:tcW w:w="504"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w w:val="99"/>
                <w:kern w:val="0"/>
                <w:sz w:val="24"/>
                <w:szCs w:val="24"/>
                <w14:textFill>
                  <w14:solidFill>
                    <w14:schemeClr w14:val="tx1"/>
                  </w14:solidFill>
                </w14:textFill>
              </w:rPr>
              <w:t>50</w:t>
            </w:r>
          </w:p>
        </w:tc>
      </w:tr>
    </w:tbl>
    <w:p>
      <w:pPr>
        <w:autoSpaceDE w:val="0"/>
        <w:autoSpaceDN w:val="0"/>
        <w:adjustRightInd w:val="0"/>
        <w:spacing w:line="600" w:lineRule="exact"/>
        <w:ind w:firstLine="544"/>
        <w:rPr>
          <w:rFonts w:cs="Times New Roman"/>
          <w:color w:val="000000" w:themeColor="text1"/>
          <w:spacing w:val="-4"/>
          <w:kern w:val="0"/>
          <w:szCs w:val="28"/>
          <w14:textFill>
            <w14:solidFill>
              <w14:schemeClr w14:val="tx1"/>
            </w14:solidFill>
          </w14:textFill>
        </w:rPr>
      </w:pPr>
      <w:r>
        <w:rPr>
          <w:rFonts w:cs="Times New Roman"/>
          <w:color w:val="000000" w:themeColor="text1"/>
          <w:spacing w:val="-4"/>
          <w:kern w:val="0"/>
          <w:szCs w:val="28"/>
          <w14:textFill>
            <w14:solidFill>
              <w14:schemeClr w14:val="tx1"/>
            </w14:solidFill>
          </w14:textFill>
        </w:rPr>
        <w:t>海丰县</w:t>
      </w:r>
      <w:r>
        <w:rPr>
          <w:rFonts w:hint="eastAsia" w:cs="Times New Roman"/>
          <w:color w:val="000000" w:themeColor="text1"/>
          <w:spacing w:val="-4"/>
          <w:kern w:val="0"/>
          <w:szCs w:val="28"/>
          <w14:textFill>
            <w14:solidFill>
              <w14:schemeClr w14:val="tx1"/>
            </w14:solidFill>
          </w14:textFill>
        </w:rPr>
        <w:t>城区共规划停放点位964个，其中零级停放点4个，一级停放点10个，二级停放点150个，三级停放点800个；共规划车位18400个，可供9200辆共享电动自行车进行运营。零级停放点及一、二级停放点详见下表，三级停放点则可根据实际情况，借助当前汕尾地区已画好的摩托车/电动自行车停车位实现，建议在每个零级停放点、一级停放点以及二级停放点周边500米范围内，设置不少于5个三级停放点，以满足停靠需求：</w:t>
      </w:r>
    </w:p>
    <w:p>
      <w:pPr>
        <w:pStyle w:val="9"/>
        <w:ind w:firstLine="0" w:firstLineChars="0"/>
        <w:jc w:val="center"/>
        <w:rPr>
          <w:rFonts w:ascii="Times New Roman" w:hAnsi="Times New Roman" w:cs="Times New Roman"/>
          <w:color w:val="000000" w:themeColor="text1"/>
          <w:kern w:val="0"/>
          <w:szCs w:val="28"/>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表4</w:t>
      </w:r>
      <w:r>
        <w:rPr>
          <w:rFonts w:ascii="Times New Roman" w:hAnsi="Times New Roman"/>
          <w:color w:val="000000" w:themeColor="text1"/>
          <w:sz w:val="24"/>
          <w:szCs w:val="24"/>
          <w14:textFill>
            <w14:solidFill>
              <w14:schemeClr w14:val="tx1"/>
            </w14:solidFill>
          </w14:textFill>
        </w:rPr>
        <w:t xml:space="preserve">-3 </w:t>
      </w:r>
      <w:r>
        <w:rPr>
          <w:rFonts w:hint="eastAsia" w:ascii="Times New Roman" w:hAnsi="Times New Roman"/>
          <w:color w:val="000000" w:themeColor="text1"/>
          <w:sz w:val="24"/>
          <w:szCs w:val="24"/>
          <w14:textFill>
            <w14:solidFill>
              <w14:schemeClr w14:val="tx1"/>
            </w14:solidFill>
          </w14:textFill>
        </w:rPr>
        <w:t>海丰县城区一、二级停放点</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971"/>
        <w:gridCol w:w="850"/>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eastAsiaTheme="minorEastAsia"/>
                <w:b/>
                <w:bCs/>
                <w:color w:val="000000" w:themeColor="text1"/>
                <w:w w:val="99"/>
                <w:kern w:val="0"/>
                <w:sz w:val="24"/>
                <w:szCs w:val="24"/>
                <w:lang w:eastAsia="en-US"/>
                <w14:textFill>
                  <w14:solidFill>
                    <w14:schemeClr w14:val="tx1"/>
                  </w14:solidFill>
                </w14:textFill>
              </w:rPr>
            </w:pPr>
            <w:r>
              <w:rPr>
                <w:rFonts w:cs="Times New Roman" w:eastAsiaTheme="minorEastAsia"/>
                <w:b/>
                <w:bCs/>
                <w:color w:val="000000" w:themeColor="text1"/>
                <w:w w:val="99"/>
                <w:kern w:val="0"/>
                <w:sz w:val="24"/>
                <w:szCs w:val="24"/>
                <w:lang w:eastAsia="en-US"/>
                <w14:textFill>
                  <w14:solidFill>
                    <w14:schemeClr w14:val="tx1"/>
                  </w14:solidFill>
                </w14:textFill>
              </w:rPr>
              <w:t>序号</w:t>
            </w:r>
          </w:p>
        </w:tc>
        <w:tc>
          <w:tcPr>
            <w:tcW w:w="3503"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eastAsiaTheme="minorEastAsia"/>
                <w:b/>
                <w:bCs/>
                <w:color w:val="000000" w:themeColor="text1"/>
                <w:w w:val="99"/>
                <w:kern w:val="0"/>
                <w:sz w:val="24"/>
                <w:szCs w:val="24"/>
                <w:lang w:eastAsia="en-US"/>
                <w14:textFill>
                  <w14:solidFill>
                    <w14:schemeClr w14:val="tx1"/>
                  </w14:solidFill>
                </w14:textFill>
              </w:rPr>
            </w:pPr>
            <w:r>
              <w:rPr>
                <w:rFonts w:cs="Times New Roman" w:eastAsiaTheme="minorEastAsia"/>
                <w:b/>
                <w:bCs/>
                <w:color w:val="000000" w:themeColor="text1"/>
                <w:w w:val="99"/>
                <w:kern w:val="0"/>
                <w:sz w:val="24"/>
                <w:szCs w:val="24"/>
                <w:lang w:eastAsia="en-US"/>
                <w14:textFill>
                  <w14:solidFill>
                    <w14:schemeClr w14:val="tx1"/>
                  </w14:solidFill>
                </w14:textFill>
              </w:rPr>
              <w:t>所在道路名（地名）</w:t>
            </w:r>
          </w:p>
        </w:tc>
        <w:tc>
          <w:tcPr>
            <w:tcW w:w="998" w:type="pct"/>
            <w:gridSpan w:val="2"/>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eastAsiaTheme="minorEastAsia"/>
                <w:b/>
                <w:bCs/>
                <w:color w:val="000000" w:themeColor="text1"/>
                <w:w w:val="99"/>
                <w:kern w:val="0"/>
                <w:sz w:val="24"/>
                <w:szCs w:val="24"/>
                <w:lang w:eastAsia="en-US"/>
                <w14:textFill>
                  <w14:solidFill>
                    <w14:schemeClr w14:val="tx1"/>
                  </w14:solidFill>
                </w14:textFill>
              </w:rPr>
            </w:pPr>
            <w:r>
              <w:rPr>
                <w:rFonts w:cs="Times New Roman" w:eastAsiaTheme="minorEastAsia"/>
                <w:b/>
                <w:bCs/>
                <w:color w:val="000000" w:themeColor="text1"/>
                <w:w w:val="99"/>
                <w:kern w:val="0"/>
                <w:sz w:val="24"/>
                <w:szCs w:val="24"/>
                <w14:textFill>
                  <w14:solidFill>
                    <w14:schemeClr w14:val="tx1"/>
                  </w14:solidFill>
                </w14:textFill>
              </w:rPr>
              <w:t>停放点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eastAsiaTheme="minorEastAsia"/>
                <w:b/>
                <w:bCs/>
                <w:color w:val="000000" w:themeColor="text1"/>
                <w:w w:val="99"/>
                <w:kern w:val="0"/>
                <w:sz w:val="24"/>
                <w:szCs w:val="24"/>
                <w:lang w:eastAsia="en-US"/>
                <w14:textFill>
                  <w14:solidFill>
                    <w14:schemeClr w14:val="tx1"/>
                  </w14:solidFill>
                </w14:textFill>
              </w:rPr>
            </w:pPr>
          </w:p>
        </w:tc>
        <w:tc>
          <w:tcPr>
            <w:tcW w:w="3503"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eastAsiaTheme="minorEastAsia"/>
                <w:b/>
                <w:bCs/>
                <w:color w:val="000000" w:themeColor="text1"/>
                <w:w w:val="99"/>
                <w:kern w:val="0"/>
                <w:sz w:val="24"/>
                <w:szCs w:val="24"/>
                <w:lang w:eastAsia="en-US"/>
                <w14:textFill>
                  <w14:solidFill>
                    <w14:schemeClr w14:val="tx1"/>
                  </w14:solidFill>
                </w14:textFill>
              </w:rPr>
            </w:pPr>
          </w:p>
        </w:tc>
        <w:tc>
          <w:tcPr>
            <w:tcW w:w="499"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eastAsiaTheme="minorEastAsia"/>
                <w:b/>
                <w:bCs/>
                <w:color w:val="000000" w:themeColor="text1"/>
                <w:w w:val="99"/>
                <w:kern w:val="0"/>
                <w:sz w:val="24"/>
                <w:szCs w:val="24"/>
                <w:lang w:eastAsia="en-US"/>
                <w14:textFill>
                  <w14:solidFill>
                    <w14:schemeClr w14:val="tx1"/>
                  </w14:solidFill>
                </w14:textFill>
              </w:rPr>
            </w:pPr>
            <w:r>
              <w:rPr>
                <w:rFonts w:cs="Times New Roman" w:eastAsiaTheme="minorEastAsia"/>
                <w:b/>
                <w:bCs/>
                <w:color w:val="000000" w:themeColor="text1"/>
                <w:w w:val="99"/>
                <w:kern w:val="0"/>
                <w:sz w:val="24"/>
                <w:szCs w:val="24"/>
                <w14:textFill>
                  <w14:solidFill>
                    <w14:schemeClr w14:val="tx1"/>
                  </w14:solidFill>
                </w14:textFill>
              </w:rPr>
              <w:t>等级</w:t>
            </w:r>
          </w:p>
        </w:tc>
        <w:tc>
          <w:tcPr>
            <w:tcW w:w="499"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eastAsiaTheme="minorEastAsia"/>
                <w:b/>
                <w:bCs/>
                <w:color w:val="000000" w:themeColor="text1"/>
                <w:w w:val="99"/>
                <w:kern w:val="0"/>
                <w:sz w:val="24"/>
                <w:szCs w:val="24"/>
                <w:lang w:eastAsia="en-US"/>
                <w14:textFill>
                  <w14:solidFill>
                    <w14:schemeClr w14:val="tx1"/>
                  </w14:solidFill>
                </w14:textFill>
              </w:rPr>
            </w:pPr>
            <w:r>
              <w:rPr>
                <w:rFonts w:cs="Times New Roman" w:eastAsiaTheme="minorEastAsia"/>
                <w:b/>
                <w:bCs/>
                <w:color w:val="000000" w:themeColor="text1"/>
                <w:w w:val="99"/>
                <w:kern w:val="0"/>
                <w:sz w:val="24"/>
                <w:szCs w:val="24"/>
                <w:lang w:eastAsia="en-US"/>
                <w14:textFill>
                  <w14:solidFill>
                    <w14:schemeClr w14:val="tx1"/>
                  </w14:solidFill>
                </w14:textFill>
              </w:rPr>
              <w:t>车位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14:textFill>
                  <w14:solidFill>
                    <w14:schemeClr w14:val="tx1"/>
                  </w14:solidFill>
                </w14:textFill>
              </w:rPr>
              <w:t>海丰汽车总站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生态园公交停保场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海丰天虹购物中心</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海丰世纪广场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东方红城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金东方·财富家园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东盛华庭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8</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富丽华庭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信利·蓝天广场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金山公园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青年公园地上停车场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华夏花园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龙山消防主题公园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御都华府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华夏广场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16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华夏阳光</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17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仁荣龙津肉菜综合市场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18</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海丰县人民法院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19</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金豪商务酒店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20</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南湖客运站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兰江颐山境</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海丰星河湾</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中共汕尾市委党校</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海丰县中等职业技术学校</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宝俊香山御湖</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金山名城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新城和樾</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海丰保利海德公馆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凤凰商业广场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正升华府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富汇华庭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壹城商业中心</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海悦名城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海丰碧桂园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碧桂园天銮山</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龙津华府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华耀城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凯旋花园1期</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39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凯旋山庄</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雍悦豪苑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东维亚皇室一号</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云岭山庄</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联花园小区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东恒广场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海丰服装城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香山御湖</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彭湃烈士故居</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红宫红场旧址纪念馆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49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新山村红色旅游区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海丰文化公园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文天祥公园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大云岭公园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海丰县彭湃纪念医院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海丰粤东医院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深圳大学附属华南医院海丰中医院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海丰县妇幼保健院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海丰城东医院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海丰老区医院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海丰惠慈医院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海丰县体育馆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凤凰新城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金华大酒店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海丰嘉豐国际酒店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海丰市民广场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正升·永利公馆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御景华府一期</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御景华府二期</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海悦豪庭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69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锦绣家园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富盛小区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富源豪庭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富德小区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东维亚·钻石1号</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恒达楼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汇城华府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华富花园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佳豪明庭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永安达花园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79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富兴新区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80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14:textFill>
                  <w14:solidFill>
                    <w14:schemeClr w14:val="tx1"/>
                  </w14:solidFill>
                </w14:textFill>
              </w:rPr>
              <w:t>万和照祥农产品市场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81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海丽花园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82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富嘉名城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83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富城花园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84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骏豪花园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85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天悦明珠</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14:textFill>
                  <w14:solidFill>
                    <w14:schemeClr w14:val="tx1"/>
                  </w14:solidFill>
                </w14:textFill>
              </w:rPr>
              <w:t>86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龙津水岸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87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金伯爵花园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88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洋心堆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89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新北村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彭湃纪念医院(新院区)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地王广场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华泰中合市场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荷园小区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领航熹璟园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新围小区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东腾园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广信时代</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时代名都</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99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朝阳新村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华侨花园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富佳大厦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海丰县广播电视大学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吉祥苑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怡景苑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海丰影剧院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交通局宿舍</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汕尾市海丰县烈士陵园广场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海城镇云岭综合市场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109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海丰革命烈士暨革命斗争史纪念馆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嘉辉大厦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环球家具广场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龙津锦绣花园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永福小区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裕兴楼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和兴花园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东雅苑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城东教师邨</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恒安大厦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119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成兴楼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狮苑小区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东兴大厦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骏城楼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东汇楼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万众商贸大厦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虎亭工业区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群友商务大厦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富安楼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怡乐城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129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嘉兴花园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雍悦荟</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丽景城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金东方小区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天悦龙庭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海富苑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红城新苑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金悦广场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富悦豪庭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新地王大厦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139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时代水岸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君悦水岸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新阳村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14:textFill>
                  <w14:solidFill>
                    <w14:schemeClr w14:val="tx1"/>
                  </w14:solidFill>
                </w14:textFill>
              </w:rPr>
              <w:t>新东村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劳投埔巷西片</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嘉华楼（红城大道东与海龙路交叉口）</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老车头二栋住宅区1号楼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富园苑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骏马大厦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兴城大厦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149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皇室公寓</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正隆食品有限公司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金富湾商务酒店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广东海华拉链有限公司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海丰县海龙投资大厦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翰林华府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华大润府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东维亚四季水岸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碧桂园悦山府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海丰县丰成食品有限公司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159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名家花园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160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景泰花园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161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海丰县人民政府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162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维也纳酒店(海丰美食街店)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163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盛世华夏</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164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龙翔花园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14:textFill>
                  <w14:solidFill>
                    <w14:schemeClr w14:val="tx1"/>
                  </w14:solidFill>
                </w14:textFill>
              </w:rPr>
              <w:t>50</w:t>
            </w:r>
          </w:p>
        </w:tc>
      </w:tr>
    </w:tbl>
    <w:p>
      <w:pPr>
        <w:autoSpaceDE w:val="0"/>
        <w:autoSpaceDN w:val="0"/>
        <w:adjustRightInd w:val="0"/>
        <w:spacing w:line="600" w:lineRule="exact"/>
        <w:ind w:firstLine="544"/>
        <w:rPr>
          <w:rFonts w:cs="Times New Roman"/>
          <w:color w:val="000000" w:themeColor="text1"/>
          <w:spacing w:val="-4"/>
          <w:kern w:val="0"/>
          <w:szCs w:val="28"/>
          <w14:textFill>
            <w14:solidFill>
              <w14:schemeClr w14:val="tx1"/>
            </w14:solidFill>
          </w14:textFill>
        </w:rPr>
      </w:pPr>
      <w:r>
        <w:rPr>
          <w:rFonts w:hint="eastAsia" w:cs="Times New Roman"/>
          <w:color w:val="000000" w:themeColor="text1"/>
          <w:spacing w:val="-4"/>
          <w:kern w:val="0"/>
          <w:szCs w:val="28"/>
          <w14:textFill>
            <w14:solidFill>
              <w14:schemeClr w14:val="tx1"/>
            </w14:solidFill>
          </w14:textFill>
        </w:rPr>
        <w:t>陆丰市城区和碣石镇共规划停放点位904个，其中零级停放点4个，一级停放点10个，二级停放点90个，三级停放点800个；共规划车位15400个，可供7700辆共享电动自行车进行运营。零级停放点及一、二级停放点详见下表，三级停放点则可根据实际情况，借助当前汕尾地区已画好的摩托车/电动自行车停车位实现，建议在每个零级停放点、一级停放点以及二级停放点周边500米范围内，设置不少于9个三级停放点，以满足停靠需求：</w:t>
      </w:r>
    </w:p>
    <w:p>
      <w:pPr>
        <w:pStyle w:val="9"/>
        <w:ind w:firstLine="0" w:firstLineChars="0"/>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表4</w:t>
      </w:r>
      <w:r>
        <w:rPr>
          <w:rFonts w:ascii="Times New Roman" w:hAnsi="Times New Roman"/>
          <w:color w:val="000000" w:themeColor="text1"/>
          <w:sz w:val="24"/>
          <w:szCs w:val="24"/>
          <w14:textFill>
            <w14:solidFill>
              <w14:schemeClr w14:val="tx1"/>
            </w14:solidFill>
          </w14:textFill>
        </w:rPr>
        <w:t xml:space="preserve">-4 </w:t>
      </w:r>
      <w:r>
        <w:rPr>
          <w:rFonts w:hint="eastAsia" w:ascii="Times New Roman" w:hAnsi="Times New Roman"/>
          <w:color w:val="000000" w:themeColor="text1"/>
          <w:sz w:val="24"/>
          <w:szCs w:val="24"/>
          <w14:textFill>
            <w14:solidFill>
              <w14:schemeClr w14:val="tx1"/>
            </w14:solidFill>
          </w14:textFill>
        </w:rPr>
        <w:t>陆丰市城区和碣石镇一、二级停放点</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971"/>
        <w:gridCol w:w="850"/>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序号</w:t>
            </w:r>
          </w:p>
        </w:tc>
        <w:tc>
          <w:tcPr>
            <w:tcW w:w="3503"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所在道路名（地名）</w:t>
            </w:r>
          </w:p>
        </w:tc>
        <w:tc>
          <w:tcPr>
            <w:tcW w:w="998" w:type="pct"/>
            <w:gridSpan w:val="2"/>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14:textFill>
                  <w14:solidFill>
                    <w14:schemeClr w14:val="tx1"/>
                  </w14:solidFill>
                </w14:textFill>
              </w:rPr>
              <w:t>停放点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p>
        </w:tc>
        <w:tc>
          <w:tcPr>
            <w:tcW w:w="3503"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p>
        </w:tc>
        <w:tc>
          <w:tcPr>
            <w:tcW w:w="499"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14:textFill>
                  <w14:solidFill>
                    <w14:schemeClr w14:val="tx1"/>
                  </w14:solidFill>
                </w14:textFill>
              </w:rPr>
              <w:t>等级</w:t>
            </w:r>
          </w:p>
        </w:tc>
        <w:tc>
          <w:tcPr>
            <w:tcW w:w="499"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车位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3503" w:type="pct"/>
            <w:shd w:val="clear" w:color="auto" w:fill="auto"/>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sz w:val="24"/>
                <w:szCs w:val="24"/>
              </w:rPr>
              <w:t>陆丰汽车总站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3503" w:type="pct"/>
            <w:shd w:val="clear" w:color="auto" w:fill="auto"/>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sz w:val="24"/>
                <w:szCs w:val="24"/>
              </w:rPr>
              <w:t>碣石客运站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陆丰南站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后埔村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岁宝百货</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金钗华府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玄武山旅游区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8</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浅澳沙滩</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陆城美食文化广场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10</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幸福城购物广场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陆丰市人民体育场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康佳半导体</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龙光·玖龙府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中广核新能源(汕尾)有限公司玄武海风场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陆丰市文化中心</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金华来大厦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陆丰市中医院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18</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陆丰市妇幼保健院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19</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玉照公园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20</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福山妈祖旅游区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龙潭中学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陆丰市职业技术学校</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京海凤凰城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龙湖水上乐园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盛世豪庭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华辉新都</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红荔花园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中海豪园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金华花园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名晟花园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博润月亮湾</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金碧豪庭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荣大·滨河湾</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陆丰碧桂园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万国大酒店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香榭丽舍酒店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鼎尊商务酒店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欧暇·地中海酒店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39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中影天恒国际影城(百老汇俱乐部店)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集泰酒店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宝丽莱酒楼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富贵大酒楼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陆丰市政务服务中心</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碣丰新天地(美食城)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生福百货（汕尾市陆丰市菜园路24号）</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玄武山大酒店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碣石石洲文化广场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玉燕新区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49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szCs w:val="24"/>
                <w14:textFill>
                  <w14:solidFill>
                    <w14:schemeClr w14:val="tx1"/>
                  </w14:solidFill>
                </w14:textFill>
              </w:rPr>
              <w:t>碣石南城市场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新安职业技术学校</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碣石半岛碧桂园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碣石正升华府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龙泉山庄</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观海假日酒店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金凯逸酒店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麒麟山庄</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陆丰植物龙产业园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碣海种养有限责任公司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南海海缆有限公司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明阳智能海上风电产业园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中广核工程有限公司陆丰分公司</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 xml:space="preserve"> 全美国际家居装饰材料市场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陆丰市第二职业技术学校</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陆丰市人民医院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szCs w:val="24"/>
                <w14:textFill>
                  <w14:solidFill>
                    <w14:schemeClr w14:val="tx1"/>
                  </w14:solidFill>
                </w14:textFill>
              </w:rPr>
              <w:t>嘉鑫阳光城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隆金时代购物广场(东海店)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河东客运站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龙富豪庭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玉印安全文明小区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龙山花园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锦绣花园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嘉和花园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京海·凤凰城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szCs w:val="24"/>
                <w14:textFill>
                  <w14:solidFill>
                    <w14:schemeClr w14:val="tx1"/>
                  </w14:solidFill>
                </w14:textFill>
              </w:rPr>
              <w:t>炎龙综合市场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港龙城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龙光玖龙府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陆丰碣石新安村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白鹭文化广场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79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林厝村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80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上林村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81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西陂林村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82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西湖村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83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角清村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84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碣石乌坭天后宫</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85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白龙阁</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86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沈厝地村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87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南城春晖苑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88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温馨家园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89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陆丰御景中央花园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乌坎避风港公园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中庭假日酒店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上海生态旅游特色村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济阳医院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碧桂园·天玺湾</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95</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陆丰动物王国</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96</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恒景海景花园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97</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新城华苑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98</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东海翡翠苑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99</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东陆酒店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100</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东海花园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101</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红光综合市场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102</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全美雅苑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103</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鲤鱼潭社天后宫</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104</w:t>
            </w:r>
          </w:p>
        </w:tc>
        <w:tc>
          <w:tcPr>
            <w:tcW w:w="3503" w:type="pct"/>
            <w:shd w:val="clear" w:color="auto" w:fill="auto"/>
            <w:noWrap/>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新大兴酒楼</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bl>
    <w:p>
      <w:pPr>
        <w:autoSpaceDE w:val="0"/>
        <w:autoSpaceDN w:val="0"/>
        <w:adjustRightInd w:val="0"/>
        <w:spacing w:line="600" w:lineRule="exact"/>
        <w:ind w:firstLine="480" w:firstLineChars="0"/>
        <w:jc w:val="center"/>
        <w:rPr>
          <w:color w:val="000000" w:themeColor="text1"/>
          <w:sz w:val="24"/>
          <w:szCs w:val="24"/>
          <w14:textFill>
            <w14:solidFill>
              <w14:schemeClr w14:val="tx1"/>
            </w14:solidFill>
          </w14:textFill>
        </w:rPr>
      </w:pPr>
      <w:r>
        <w:rPr>
          <w:rFonts w:cs="Times New Roman"/>
          <w:color w:val="000000" w:themeColor="text1"/>
          <w:spacing w:val="-4"/>
          <w:kern w:val="0"/>
          <w:szCs w:val="28"/>
          <w14:textFill>
            <w14:solidFill>
              <w14:schemeClr w14:val="tx1"/>
            </w14:solidFill>
          </w14:textFill>
        </w:rPr>
        <w:t>陆河县</w:t>
      </w:r>
      <w:r>
        <w:rPr>
          <w:rFonts w:hint="eastAsia" w:cs="Times New Roman"/>
          <w:color w:val="000000" w:themeColor="text1"/>
          <w:spacing w:val="-4"/>
          <w:kern w:val="0"/>
          <w:szCs w:val="28"/>
          <w14:textFill>
            <w14:solidFill>
              <w14:schemeClr w14:val="tx1"/>
            </w14:solidFill>
          </w14:textFill>
        </w:rPr>
        <w:t>城区</w:t>
      </w:r>
      <w:r>
        <w:rPr>
          <w:rFonts w:cs="Times New Roman"/>
          <w:color w:val="000000" w:themeColor="text1"/>
          <w:spacing w:val="-4"/>
          <w:kern w:val="0"/>
          <w:szCs w:val="28"/>
          <w14:textFill>
            <w14:solidFill>
              <w14:schemeClr w14:val="tx1"/>
            </w14:solidFill>
          </w14:textFill>
        </w:rPr>
        <w:t>共规划</w:t>
      </w:r>
      <w:r>
        <w:rPr>
          <w:rFonts w:hint="eastAsia" w:cs="Times New Roman"/>
          <w:color w:val="000000" w:themeColor="text1"/>
          <w:spacing w:val="-4"/>
          <w:kern w:val="0"/>
          <w:szCs w:val="28"/>
          <w14:textFill>
            <w14:solidFill>
              <w14:schemeClr w14:val="tx1"/>
            </w14:solidFill>
          </w14:textFill>
        </w:rPr>
        <w:t>停放点位424个，其中零级停放点1个</w:t>
      </w:r>
      <w:r>
        <w:rPr>
          <w:rFonts w:hint="eastAsia" w:cs="Times New Roman"/>
          <w:color w:val="000000" w:themeColor="text1"/>
          <w:kern w:val="0"/>
          <w:szCs w:val="28"/>
          <w14:textFill>
            <w14:solidFill>
              <w14:schemeClr w14:val="tx1"/>
            </w14:solidFill>
          </w14:textFill>
        </w:rPr>
        <w:t>（鉴于陆河县外来人口规模较小，共享电动自行车需求量相对有限，该类点位主要承担电池集中充电、配送更换及车辆临时停放功能。区别于其他地区的零级停放点，其车位配置无需满足</w:t>
      </w:r>
      <w:r>
        <w:rPr>
          <w:rFonts w:cs="Times New Roman"/>
          <w:color w:val="000000" w:themeColor="text1"/>
          <w:kern w:val="0"/>
          <w:szCs w:val="28"/>
          <w14:textFill>
            <w14:solidFill>
              <w14:schemeClr w14:val="tx1"/>
            </w14:solidFill>
          </w14:textFill>
        </w:rPr>
        <w:t>250</w:t>
      </w:r>
      <w:r>
        <w:rPr>
          <w:rFonts w:hint="eastAsia" w:cs="Times New Roman"/>
          <w:color w:val="000000" w:themeColor="text1"/>
          <w:kern w:val="0"/>
          <w:szCs w:val="28"/>
          <w14:textFill>
            <w14:solidFill>
              <w14:schemeClr w14:val="tx1"/>
            </w14:solidFill>
          </w14:textFill>
        </w:rPr>
        <w:t>个的固定标准，可根据实际作业需求灵活调整）</w:t>
      </w:r>
      <w:r>
        <w:rPr>
          <w:rFonts w:hint="eastAsia" w:cs="Times New Roman"/>
          <w:color w:val="000000" w:themeColor="text1"/>
          <w:spacing w:val="-4"/>
          <w:kern w:val="0"/>
          <w:szCs w:val="28"/>
          <w14:textFill>
            <w14:solidFill>
              <w14:schemeClr w14:val="tx1"/>
            </w14:solidFill>
          </w14:textFill>
        </w:rPr>
        <w:t>，一级停放点2个，二级停放点21个，三级停放点400个；共规划车位6000个，可供3000辆共享电动自行车进行运营。零级停放点及一、二级停放点详见下表，三级停放点则可根据实际情况，借助当前汕尾地区已画好的摩托车/电动自行车停车位实现，建议在每个零级停放点、一级停放点以及二级停放点周边500米范围内，设置不少于20个三级停放点，以满足停靠需求：</w:t>
      </w:r>
    </w:p>
    <w:p>
      <w:pPr>
        <w:pStyle w:val="9"/>
        <w:ind w:firstLine="0" w:firstLineChars="0"/>
        <w:jc w:val="center"/>
        <w:rPr>
          <w:rFonts w:ascii="Times New Roman" w:hAnsi="Times New Roman" w:cs="Times New Roman"/>
          <w:color w:val="000000" w:themeColor="text1"/>
          <w:kern w:val="0"/>
          <w:szCs w:val="28"/>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表4</w:t>
      </w:r>
      <w:r>
        <w:rPr>
          <w:rFonts w:ascii="Times New Roman" w:hAnsi="Times New Roman"/>
          <w:color w:val="000000" w:themeColor="text1"/>
          <w:sz w:val="24"/>
          <w:szCs w:val="24"/>
          <w14:textFill>
            <w14:solidFill>
              <w14:schemeClr w14:val="tx1"/>
            </w14:solidFill>
          </w14:textFill>
        </w:rPr>
        <w:t xml:space="preserve">-5 </w:t>
      </w:r>
      <w:r>
        <w:rPr>
          <w:rFonts w:hint="eastAsia" w:ascii="Times New Roman" w:hAnsi="Times New Roman"/>
          <w:color w:val="000000" w:themeColor="text1"/>
          <w:sz w:val="24"/>
          <w:szCs w:val="24"/>
          <w14:textFill>
            <w14:solidFill>
              <w14:schemeClr w14:val="tx1"/>
            </w14:solidFill>
          </w14:textFill>
        </w:rPr>
        <w:t>陆河县城区一、二级停放点</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971"/>
        <w:gridCol w:w="850"/>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序号</w:t>
            </w:r>
          </w:p>
        </w:tc>
        <w:tc>
          <w:tcPr>
            <w:tcW w:w="3503" w:type="pct"/>
            <w:vMerge w:val="restar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所在道路名（地名）</w:t>
            </w:r>
          </w:p>
        </w:tc>
        <w:tc>
          <w:tcPr>
            <w:tcW w:w="998" w:type="pct"/>
            <w:gridSpan w:val="2"/>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14:textFill>
                  <w14:solidFill>
                    <w14:schemeClr w14:val="tx1"/>
                  </w14:solidFill>
                </w14:textFill>
              </w:rPr>
              <w:t>停放点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p>
        </w:tc>
        <w:tc>
          <w:tcPr>
            <w:tcW w:w="3503" w:type="pct"/>
            <w:vMerge w:val="continue"/>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p>
        </w:tc>
        <w:tc>
          <w:tcPr>
            <w:tcW w:w="499"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14:textFill>
                  <w14:solidFill>
                    <w14:schemeClr w14:val="tx1"/>
                  </w14:solidFill>
                </w14:textFill>
              </w:rPr>
              <w:t>等级</w:t>
            </w:r>
          </w:p>
        </w:tc>
        <w:tc>
          <w:tcPr>
            <w:tcW w:w="499" w:type="pct"/>
            <w:shd w:val="clear" w:color="auto" w:fill="D8D8D8" w:themeFill="background1" w:themeFillShade="D9"/>
            <w:vAlign w:val="center"/>
          </w:tcPr>
          <w:p>
            <w:pPr>
              <w:autoSpaceDE w:val="0"/>
              <w:autoSpaceDN w:val="0"/>
              <w:spacing w:before="92" w:line="240" w:lineRule="auto"/>
              <w:ind w:left="2" w:firstLine="0" w:firstLineChars="0"/>
              <w:jc w:val="center"/>
              <w:rPr>
                <w:rFonts w:cs="Times New Roman"/>
                <w:b/>
                <w:bCs/>
                <w:color w:val="000000" w:themeColor="text1"/>
                <w:w w:val="99"/>
                <w:kern w:val="0"/>
                <w:sz w:val="24"/>
                <w:szCs w:val="24"/>
                <w:lang w:eastAsia="en-US"/>
                <w14:textFill>
                  <w14:solidFill>
                    <w14:schemeClr w14:val="tx1"/>
                  </w14:solidFill>
                </w14:textFill>
              </w:rPr>
            </w:pPr>
            <w:r>
              <w:rPr>
                <w:rFonts w:cs="Times New Roman"/>
                <w:b/>
                <w:bCs/>
                <w:color w:val="000000" w:themeColor="text1"/>
                <w:w w:val="99"/>
                <w:kern w:val="0"/>
                <w:sz w:val="24"/>
                <w:szCs w:val="24"/>
                <w:lang w:eastAsia="en-US"/>
                <w14:textFill>
                  <w14:solidFill>
                    <w14:schemeClr w14:val="tx1"/>
                  </w14:solidFill>
                </w14:textFill>
              </w:rPr>
              <w:t>车位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陆河县汽车客运站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0</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szCs w:val="24"/>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szCs w:val="24"/>
                <w14:textFill>
                  <w14:solidFill>
                    <w14:schemeClr w14:val="tx1"/>
                  </w14:solidFill>
                </w14:textFill>
              </w:rPr>
              <w:t>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岁宝百货(陆河店)</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hint="eastAsia" w:cs="Times New Roman"/>
                <w:color w:val="000000" w:themeColor="text1"/>
                <w:sz w:val="24"/>
                <w:szCs w:val="24"/>
                <w14:textFill>
                  <w14:solidFill>
                    <w14:schemeClr w14:val="tx1"/>
                  </w14:solidFill>
                </w14:textFill>
              </w:rPr>
              <w:t>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客家文化广场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陆河县文体综合馆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云溪雅苑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岳溪文化广场</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陆河县人民医院</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8</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恒泰嘉园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9</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泰和苑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10</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碧桂园柏悦华府</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秦华鼎苑</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螺河花园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螺河1号</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螺河湾</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15</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碧桂园凤鸣朝阳</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16</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汇龙豪庭花园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17</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润达花园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lang w:eastAsia="en-US"/>
                <w14:textFill>
                  <w14:solidFill>
                    <w14:schemeClr w14:val="tx1"/>
                  </w14:solidFill>
                </w14:textFill>
              </w:rPr>
            </w:pPr>
            <w:r>
              <w:rPr>
                <w:rFonts w:cs="Times New Roman"/>
                <w:color w:val="000000" w:themeColor="text1"/>
                <w:sz w:val="24"/>
                <w:szCs w:val="24"/>
                <w14:textFill>
                  <w14:solidFill>
                    <w14:schemeClr w14:val="tx1"/>
                  </w14:solidFill>
                </w14:textFill>
              </w:rPr>
              <w:t>18</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陆河公园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19</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陆河县开放大学</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20</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保利麓公馆</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21</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陆河县职业技术学校</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22</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高砂路口（公交车站）</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23</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陆河中心城</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24</w:t>
            </w:r>
          </w:p>
        </w:tc>
        <w:tc>
          <w:tcPr>
            <w:tcW w:w="3503"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hint="eastAsia" w:cs="Times New Roman"/>
                <w:color w:val="000000" w:themeColor="text1"/>
                <w:sz w:val="24"/>
                <w:szCs w:val="24"/>
                <w14:textFill>
                  <w14:solidFill>
                    <w14:schemeClr w14:val="tx1"/>
                  </w14:solidFill>
                </w14:textFill>
              </w:rPr>
              <w:t>江中园</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2</w:t>
            </w:r>
          </w:p>
        </w:tc>
        <w:tc>
          <w:tcPr>
            <w:tcW w:w="499" w:type="pct"/>
            <w:shd w:val="clear" w:color="auto" w:fill="auto"/>
            <w:vAlign w:val="center"/>
          </w:tcPr>
          <w:p>
            <w:pPr>
              <w:autoSpaceDE w:val="0"/>
              <w:autoSpaceDN w:val="0"/>
              <w:spacing w:before="92" w:line="240" w:lineRule="auto"/>
              <w:ind w:left="2" w:firstLine="0" w:firstLineChars="0"/>
              <w:jc w:val="center"/>
              <w:rPr>
                <w:rFonts w:cs="Times New Roman"/>
                <w:color w:val="000000" w:themeColor="text1"/>
                <w:w w:val="99"/>
                <w:kern w:val="0"/>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50</w:t>
            </w:r>
          </w:p>
        </w:tc>
      </w:tr>
    </w:tbl>
    <w:p>
      <w:pPr>
        <w:autoSpaceDE w:val="0"/>
        <w:autoSpaceDN w:val="0"/>
        <w:adjustRightInd w:val="0"/>
        <w:spacing w:line="600" w:lineRule="exact"/>
        <w:ind w:firstLine="544"/>
        <w:rPr>
          <w:rFonts w:cs="Times New Roman"/>
          <w:color w:val="000000" w:themeColor="text1"/>
          <w:spacing w:val="-4"/>
          <w14:textFill>
            <w14:solidFill>
              <w14:schemeClr w14:val="tx1"/>
            </w14:solidFill>
          </w14:textFill>
        </w:rPr>
      </w:pPr>
      <w:r>
        <w:rPr>
          <w:rFonts w:hint="eastAsia" w:cs="Times New Roman"/>
          <w:color w:val="000000" w:themeColor="text1"/>
          <w:spacing w:val="-4"/>
          <w:kern w:val="0"/>
          <w:szCs w:val="28"/>
          <w14:textFill>
            <w14:solidFill>
              <w14:schemeClr w14:val="tx1"/>
            </w14:solidFill>
          </w14:textFill>
        </w:rPr>
        <w:t>三级停放点则可根据实际情况，借助当前汕尾地区已画好的摩托车/电动自行车停车位实现。建议在每个零级停放点、一级停放点以及二级停放点周边500米范围内，设置3个以上三级停放车位，以满足停靠需求。</w:t>
      </w:r>
    </w:p>
    <w:p>
      <w:pPr>
        <w:ind w:firstLine="544"/>
        <w:rPr>
          <w:rFonts w:cs="Times New Roman"/>
          <w:color w:val="000000" w:themeColor="text1"/>
          <w:spacing w:val="-4"/>
          <w14:textFill>
            <w14:solidFill>
              <w14:schemeClr w14:val="tx1"/>
            </w14:solidFill>
          </w14:textFill>
        </w:rPr>
        <w:sectPr>
          <w:pgSz w:w="11906" w:h="16838"/>
          <w:pgMar w:top="1440" w:right="1800" w:bottom="1440" w:left="1800" w:header="851" w:footer="992" w:gutter="0"/>
          <w:pgNumType w:fmt="numberInDash"/>
          <w:cols w:space="425" w:num="1"/>
          <w:docGrid w:type="lines" w:linePitch="312" w:charSpace="0"/>
        </w:sectPr>
      </w:pPr>
    </w:p>
    <w:p>
      <w:pPr>
        <w:pStyle w:val="35"/>
        <w:spacing w:before="156" w:after="156"/>
        <w:rPr>
          <w:spacing w:val="-4"/>
        </w:rPr>
      </w:pPr>
      <w:bookmarkStart w:id="38" w:name="_Toc218782113"/>
      <w:bookmarkStart w:id="39" w:name="_Toc209199518"/>
      <w:r>
        <w:rPr>
          <w:spacing w:val="-4"/>
        </w:rPr>
        <w:t>第五章</w:t>
      </w:r>
      <w:r>
        <w:rPr>
          <w:rFonts w:hint="eastAsia"/>
          <w:spacing w:val="-4"/>
        </w:rPr>
        <w:t xml:space="preserve"> 运营管理与服务</w:t>
      </w:r>
      <w:bookmarkEnd w:id="38"/>
      <w:bookmarkEnd w:id="39"/>
    </w:p>
    <w:p>
      <w:pPr>
        <w:pStyle w:val="36"/>
        <w:ind w:firstLine="584"/>
        <w:rPr>
          <w:color w:val="000000" w:themeColor="text1"/>
          <w:spacing w:val="-4"/>
          <w14:textFill>
            <w14:solidFill>
              <w14:schemeClr w14:val="tx1"/>
            </w14:solidFill>
          </w14:textFill>
        </w:rPr>
      </w:pPr>
      <w:bookmarkStart w:id="40" w:name="_Toc218782114"/>
      <w:bookmarkStart w:id="41" w:name="_Toc209199519"/>
      <w:r>
        <w:rPr>
          <w:rFonts w:hint="eastAsia"/>
          <w:color w:val="000000" w:themeColor="text1"/>
          <w:spacing w:val="-4"/>
          <w14:textFill>
            <w14:solidFill>
              <w14:schemeClr w14:val="tx1"/>
            </w14:solidFill>
          </w14:textFill>
        </w:rPr>
        <w:t>一、政府部门监管</w:t>
      </w:r>
      <w:bookmarkEnd w:id="40"/>
      <w:bookmarkEnd w:id="41"/>
    </w:p>
    <w:p>
      <w:pPr>
        <w:ind w:firstLine="546"/>
        <w:rPr>
          <w:b/>
          <w:color w:val="000000" w:themeColor="text1"/>
          <w:spacing w:val="-4"/>
          <w14:textFill>
            <w14:solidFill>
              <w14:schemeClr w14:val="tx1"/>
            </w14:solidFill>
          </w14:textFill>
        </w:rPr>
      </w:pPr>
      <w:bookmarkStart w:id="42" w:name="_Toc209199520"/>
      <w:r>
        <w:rPr>
          <w:rFonts w:hint="eastAsia"/>
          <w:b/>
          <w:color w:val="000000" w:themeColor="text1"/>
          <w:spacing w:val="-4"/>
          <w14:textFill>
            <w14:solidFill>
              <w14:schemeClr w14:val="tx1"/>
            </w14:solidFill>
          </w14:textFill>
        </w:rPr>
        <w:t>（一）建立协同推进机制</w:t>
      </w:r>
      <w:bookmarkEnd w:id="42"/>
    </w:p>
    <w:p>
      <w:pPr>
        <w:ind w:firstLine="544"/>
        <w:rPr>
          <w:spacing w:val="-4"/>
        </w:rPr>
      </w:pPr>
      <w:r>
        <w:rPr>
          <w:rFonts w:hint="eastAsia"/>
          <w:spacing w:val="-4"/>
        </w:rPr>
        <w:t>一是建立由交通运输、公安、住房和城乡建设、市场监管、自然资源、生态环境、工业和信息化部门、消防救援、应急管理、人民银行汕尾中心支行等部门组成的汕尾市共享电动自行车管理工作机制。</w:t>
      </w:r>
    </w:p>
    <w:p>
      <w:pPr>
        <w:ind w:firstLine="544"/>
        <w:rPr>
          <w:spacing w:val="-4"/>
          <w:highlight w:val="yellow"/>
        </w:rPr>
      </w:pPr>
      <w:r>
        <w:rPr>
          <w:rFonts w:hint="eastAsia"/>
          <w:spacing w:val="-4"/>
        </w:rPr>
        <w:t>二是明确各部门责任分工，统筹做好规划、政策制定与监督管理，定期研究解决停放点位布设、运力管控、企业运营监管等相关重大问题。</w:t>
      </w:r>
    </w:p>
    <w:p>
      <w:pPr>
        <w:ind w:firstLine="546"/>
        <w:rPr>
          <w:b/>
          <w:color w:val="000000" w:themeColor="text1"/>
          <w:spacing w:val="-4"/>
          <w14:textFill>
            <w14:solidFill>
              <w14:schemeClr w14:val="tx1"/>
            </w14:solidFill>
          </w14:textFill>
        </w:rPr>
      </w:pPr>
      <w:bookmarkStart w:id="43" w:name="_Toc209199521"/>
      <w:r>
        <w:rPr>
          <w:rFonts w:hint="eastAsia"/>
          <w:b/>
          <w:color w:val="000000" w:themeColor="text1"/>
          <w:spacing w:val="-4"/>
          <w14:textFill>
            <w14:solidFill>
              <w14:schemeClr w14:val="tx1"/>
            </w14:solidFill>
          </w14:textFill>
        </w:rPr>
        <w:t>（二）健全监管政策体系</w:t>
      </w:r>
      <w:bookmarkEnd w:id="43"/>
    </w:p>
    <w:p>
      <w:pPr>
        <w:ind w:firstLine="544"/>
        <w:rPr>
          <w:spacing w:val="-4"/>
        </w:rPr>
      </w:pPr>
      <w:r>
        <w:rPr>
          <w:rFonts w:hint="eastAsia"/>
          <w:spacing w:val="-4"/>
        </w:rPr>
        <w:t>制定实施汕尾市共享电动自行车相关管理办法，明确投放总量调控、车辆投放要求及企业运营管理等，并由各相关管理部门制定相应职责范围的管理实施细则。配套出台汕尾市共享电动自行车服务质量相关考核办法，围绕数据接入、停放秩序、投诉处理、运维响应等核心指标实施量化考评，实行优胜劣汰的动态管理机制。</w:t>
      </w:r>
    </w:p>
    <w:p>
      <w:pPr>
        <w:ind w:firstLine="546"/>
        <w:rPr>
          <w:b/>
          <w:color w:val="000000" w:themeColor="text1"/>
          <w:spacing w:val="-4"/>
          <w14:textFill>
            <w14:solidFill>
              <w14:schemeClr w14:val="tx1"/>
            </w14:solidFill>
          </w14:textFill>
        </w:rPr>
      </w:pPr>
      <w:bookmarkStart w:id="44" w:name="_Toc209199523"/>
      <w:r>
        <w:rPr>
          <w:rFonts w:hint="eastAsia"/>
          <w:b/>
          <w:color w:val="000000" w:themeColor="text1"/>
          <w:spacing w:val="-4"/>
          <w14:textFill>
            <w14:solidFill>
              <w14:schemeClr w14:val="tx1"/>
            </w14:solidFill>
          </w14:textFill>
        </w:rPr>
        <w:t>（三）有序推进投放实施</w:t>
      </w:r>
      <w:bookmarkEnd w:id="44"/>
    </w:p>
    <w:p>
      <w:pPr>
        <w:ind w:firstLine="544"/>
        <w:rPr>
          <w:spacing w:val="-4"/>
          <w:highlight w:val="yellow"/>
        </w:rPr>
      </w:pPr>
      <w:r>
        <w:rPr>
          <w:rFonts w:hint="eastAsia"/>
          <w:spacing w:val="-4"/>
        </w:rPr>
        <w:t>做好共享电动自行车投放实施的前期准备工作，结合所在区域实际，按照规划布局点位分区分类分期推进投放，并配套相关保障措施，指导相关企业分步分期分批推进实施。</w:t>
      </w:r>
    </w:p>
    <w:p>
      <w:pPr>
        <w:ind w:firstLine="546"/>
        <w:rPr>
          <w:b/>
          <w:color w:val="000000" w:themeColor="text1"/>
          <w:spacing w:val="-4"/>
          <w14:textFill>
            <w14:solidFill>
              <w14:schemeClr w14:val="tx1"/>
            </w14:solidFill>
          </w14:textFill>
        </w:rPr>
      </w:pPr>
      <w:bookmarkStart w:id="45" w:name="_Toc209199524"/>
      <w:r>
        <w:rPr>
          <w:rFonts w:hint="eastAsia"/>
          <w:b/>
          <w:color w:val="000000" w:themeColor="text1"/>
          <w:spacing w:val="-4"/>
          <w14:textFill>
            <w14:solidFill>
              <w14:schemeClr w14:val="tx1"/>
            </w14:solidFill>
          </w14:textFill>
        </w:rPr>
        <w:t>（四）加强市场运营管理</w:t>
      </w:r>
      <w:bookmarkEnd w:id="45"/>
    </w:p>
    <w:p>
      <w:pPr>
        <w:ind w:firstLine="544"/>
        <w:rPr>
          <w:spacing w:val="-4"/>
        </w:rPr>
      </w:pPr>
      <w:bookmarkStart w:id="46" w:name="_Toc209199525"/>
      <w:r>
        <w:rPr>
          <w:rFonts w:hint="eastAsia"/>
          <w:spacing w:val="-4"/>
        </w:rPr>
        <w:t>一是安全上，推动企业制定应急预案，纳入安全应急保障体系，开展应急演练。</w:t>
      </w:r>
    </w:p>
    <w:p>
      <w:pPr>
        <w:ind w:firstLine="544"/>
        <w:rPr>
          <w:spacing w:val="-4"/>
        </w:rPr>
      </w:pPr>
      <w:r>
        <w:rPr>
          <w:rFonts w:hint="eastAsia"/>
          <w:spacing w:val="-4"/>
        </w:rPr>
        <w:t>二是运营秩序上，实施电子围栏等措施管理停放，加强执法查处违规行为，建立黑白名单制度。</w:t>
      </w:r>
    </w:p>
    <w:p>
      <w:pPr>
        <w:ind w:firstLine="544"/>
        <w:rPr>
          <w:spacing w:val="-4"/>
        </w:rPr>
      </w:pPr>
      <w:r>
        <w:rPr>
          <w:rFonts w:hint="eastAsia"/>
          <w:spacing w:val="-4"/>
        </w:rPr>
        <w:t>三是停车资源上，实行停放区动态调整，鼓励企业利用大数据优化调度。</w:t>
      </w:r>
    </w:p>
    <w:p>
      <w:pPr>
        <w:ind w:firstLine="544"/>
        <w:rPr>
          <w:spacing w:val="-4"/>
        </w:rPr>
      </w:pPr>
      <w:r>
        <w:rPr>
          <w:rFonts w:hint="eastAsia"/>
          <w:spacing w:val="-4"/>
        </w:rPr>
        <w:t>四是价格管理上，明确汕尾市共享电动自行车价格管理要求，指导建立差异化定价机制和价格承诺备案制。</w:t>
      </w:r>
    </w:p>
    <w:p>
      <w:pPr>
        <w:ind w:firstLine="544"/>
        <w:rPr>
          <w:spacing w:val="-4"/>
        </w:rPr>
      </w:pPr>
      <w:r>
        <w:rPr>
          <w:rFonts w:hint="eastAsia"/>
          <w:spacing w:val="-4"/>
        </w:rPr>
        <w:t>五是企业管理上，明确企业管理要求，包括不限于车辆技术、资金管理、运营服务和安全责任等要求。</w:t>
      </w:r>
    </w:p>
    <w:p>
      <w:pPr>
        <w:ind w:firstLine="544"/>
        <w:rPr>
          <w:spacing w:val="-4"/>
        </w:rPr>
      </w:pPr>
      <w:r>
        <w:rPr>
          <w:rFonts w:hint="eastAsia"/>
          <w:spacing w:val="-4"/>
        </w:rPr>
        <w:t>六是服务质量上，定期开展考核，考核结果与企业投放配额等挂钩，开通监督热线，要求企业限期处理投诉。</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（五）加强宣传引导</w:t>
      </w:r>
      <w:bookmarkEnd w:id="46"/>
    </w:p>
    <w:p>
      <w:pPr>
        <w:ind w:firstLine="544"/>
        <w:rPr>
          <w:spacing w:val="-4"/>
        </w:rPr>
      </w:pPr>
      <w:r>
        <w:rPr>
          <w:rFonts w:hint="eastAsia"/>
          <w:spacing w:val="-4"/>
        </w:rPr>
        <w:t>一是加强共享电动自行车使用管理相关宣传，倡导文明骑行、规范停放。</w:t>
      </w:r>
    </w:p>
    <w:p>
      <w:pPr>
        <w:ind w:firstLine="544"/>
        <w:rPr>
          <w:spacing w:val="-4"/>
        </w:rPr>
      </w:pPr>
      <w:r>
        <w:rPr>
          <w:rFonts w:hint="eastAsia"/>
          <w:spacing w:val="-4"/>
        </w:rPr>
        <w:t>二是加强对市民规范使用共享电动自行车和安全文明骑行的宣传教育。通过企业平台推送、公益广告、主题教育、志愿者活动等多种方式，引导用户增强诚信和文明意识，遵守交通法规，遵守社会公德。</w:t>
      </w:r>
    </w:p>
    <w:p>
      <w:pPr>
        <w:pStyle w:val="36"/>
        <w:ind w:firstLine="584"/>
        <w:rPr>
          <w:color w:val="000000" w:themeColor="text1"/>
          <w:spacing w:val="-4"/>
          <w14:textFill>
            <w14:solidFill>
              <w14:schemeClr w14:val="tx1"/>
            </w14:solidFill>
          </w14:textFill>
        </w:rPr>
      </w:pPr>
      <w:bookmarkStart w:id="47" w:name="_Toc218782115"/>
      <w:bookmarkStart w:id="48" w:name="_Toc209199526"/>
      <w:bookmarkStart w:id="49" w:name="_Toc486947775"/>
      <w:bookmarkStart w:id="50" w:name="_Toc486946944"/>
      <w:r>
        <w:rPr>
          <w:rFonts w:hint="eastAsia"/>
          <w:color w:val="000000" w:themeColor="text1"/>
          <w:spacing w:val="-4"/>
          <w14:textFill>
            <w14:solidFill>
              <w14:schemeClr w14:val="tx1"/>
            </w14:solidFill>
          </w14:textFill>
        </w:rPr>
        <w:t>二、企业运营服务</w:t>
      </w:r>
      <w:bookmarkEnd w:id="47"/>
      <w:bookmarkEnd w:id="48"/>
    </w:p>
    <w:p>
      <w:pPr>
        <w:ind w:firstLine="546"/>
        <w:rPr>
          <w:b/>
          <w:color w:val="000000" w:themeColor="text1"/>
          <w:spacing w:val="-4"/>
          <w14:textFill>
            <w14:solidFill>
              <w14:schemeClr w14:val="tx1"/>
            </w14:solidFill>
          </w14:textFill>
        </w:rPr>
      </w:pPr>
      <w:bookmarkStart w:id="51" w:name="_Toc209199527"/>
      <w:r>
        <w:rPr>
          <w:rFonts w:hint="eastAsia"/>
          <w:b/>
          <w:color w:val="000000" w:themeColor="text1"/>
          <w:spacing w:val="-4"/>
          <w14:textFill>
            <w14:solidFill>
              <w14:schemeClr w14:val="tx1"/>
            </w14:solidFill>
          </w14:textFill>
        </w:rPr>
        <w:t>（一）严格控制车辆投放总量</w:t>
      </w:r>
      <w:bookmarkEnd w:id="51"/>
    </w:p>
    <w:p>
      <w:pPr>
        <w:ind w:firstLine="544"/>
        <w:rPr>
          <w:spacing w:val="-4"/>
        </w:rPr>
      </w:pPr>
      <w:r>
        <w:rPr>
          <w:rFonts w:hint="eastAsia"/>
          <w:spacing w:val="-4"/>
        </w:rPr>
        <w:t>一是运营企业须严格控制车辆投放总量，以各辖区（汕尾市城区、陆丰市、海丰县、陆河县、红海湾经济开发区、华侨管理区）为单位，投放车辆总量不得超过本规划的需求预测量，未经管理部门批准不得擅自投放车辆。车辆首次投放应采取“分区域、分批次”的渐进式策略，建议按季度划分四个投放批次：第一季度投放总量占比50%作为基础运力，第二、三季度各投放20%实现运力梯度补充，第四季度投放10%完成年度投放闭环。各批次投放需与辖区实际需求动态匹配，具体数量严格遵循本规划确定的年度总量标准。</w:t>
      </w:r>
    </w:p>
    <w:p>
      <w:pPr>
        <w:ind w:firstLine="544"/>
        <w:rPr>
          <w:spacing w:val="-4"/>
        </w:rPr>
      </w:pPr>
      <w:r>
        <w:rPr>
          <w:rFonts w:hint="eastAsia"/>
          <w:spacing w:val="-4"/>
        </w:rPr>
        <w:t>二是运营企业需按照监管考核要求动态调整车辆投放总量，实现精细化运营和资源最优配置，提升运营效益。</w:t>
      </w:r>
    </w:p>
    <w:p>
      <w:pPr>
        <w:ind w:firstLine="546"/>
        <w:rPr>
          <w:b/>
          <w:color w:val="000000" w:themeColor="text1"/>
          <w:spacing w:val="-4"/>
          <w14:textFill>
            <w14:solidFill>
              <w14:schemeClr w14:val="tx1"/>
            </w14:solidFill>
          </w14:textFill>
        </w:rPr>
      </w:pPr>
      <w:bookmarkStart w:id="52" w:name="_Toc209199528"/>
      <w:r>
        <w:rPr>
          <w:rFonts w:hint="eastAsia"/>
          <w:b/>
          <w:color w:val="000000" w:themeColor="text1"/>
          <w:spacing w:val="-4"/>
          <w14:textFill>
            <w14:solidFill>
              <w14:schemeClr w14:val="tx1"/>
            </w14:solidFill>
          </w14:textFill>
        </w:rPr>
        <w:t>（二）建立健全企业管理制度</w:t>
      </w:r>
      <w:bookmarkEnd w:id="52"/>
    </w:p>
    <w:p>
      <w:pPr>
        <w:ind w:firstLine="544"/>
        <w:rPr>
          <w:spacing w:val="-4"/>
        </w:rPr>
      </w:pPr>
      <w:r>
        <w:rPr>
          <w:rFonts w:hint="eastAsia"/>
          <w:spacing w:val="-4"/>
        </w:rPr>
        <w:t>一是运营企业应建立涵盖企业资质、人员组织、车辆运维、技术应用、数据安全、用户服务及安全与应急处理等全方位运营环节的管理制度体系。</w:t>
      </w:r>
    </w:p>
    <w:p>
      <w:pPr>
        <w:ind w:firstLine="544"/>
        <w:rPr>
          <w:spacing w:val="-4"/>
        </w:rPr>
      </w:pPr>
      <w:r>
        <w:rPr>
          <w:rFonts w:hint="eastAsia"/>
          <w:spacing w:val="-4"/>
        </w:rPr>
        <w:t>二是定期开展企业资质管理合规自查，动态维护准入资质；优化人员组织，实行网格化负责制；加强车辆全生命周期管理，提升运维保养能力；优化技术应用，提升用户服务及应急处理水平。</w:t>
      </w:r>
    </w:p>
    <w:p>
      <w:pPr>
        <w:ind w:firstLine="546"/>
        <w:rPr>
          <w:b/>
          <w:color w:val="000000" w:themeColor="text1"/>
          <w:spacing w:val="-4"/>
          <w14:textFill>
            <w14:solidFill>
              <w14:schemeClr w14:val="tx1"/>
            </w14:solidFill>
          </w14:textFill>
        </w:rPr>
      </w:pPr>
      <w:bookmarkStart w:id="53" w:name="_Toc209199529"/>
      <w:r>
        <w:rPr>
          <w:rFonts w:hint="eastAsia"/>
          <w:b/>
          <w:color w:val="000000" w:themeColor="text1"/>
          <w:spacing w:val="-4"/>
          <w14:textFill>
            <w14:solidFill>
              <w14:schemeClr w14:val="tx1"/>
            </w14:solidFill>
          </w14:textFill>
        </w:rPr>
        <w:t>（三）规范停放区域设置</w:t>
      </w:r>
      <w:bookmarkEnd w:id="53"/>
      <w:r>
        <w:rPr>
          <w:rFonts w:hint="eastAsia"/>
          <w:b/>
          <w:color w:val="000000" w:themeColor="text1"/>
          <w:spacing w:val="-4"/>
          <w14:textFill>
            <w14:solidFill>
              <w14:schemeClr w14:val="tx1"/>
            </w14:solidFill>
          </w14:textFill>
        </w:rPr>
        <w:t>管理</w:t>
      </w:r>
    </w:p>
    <w:p>
      <w:pPr>
        <w:ind w:firstLine="544"/>
        <w:rPr>
          <w:spacing w:val="-4"/>
        </w:rPr>
      </w:pPr>
      <w:bookmarkStart w:id="54" w:name="_Toc209199530"/>
      <w:r>
        <w:rPr>
          <w:rFonts w:hint="eastAsia"/>
          <w:spacing w:val="-4"/>
        </w:rPr>
        <w:t>一是运营企业应按规划划定的停放点规范停放共享电动自行车，并建立重要停放点位名录，制定管理与应急对策，强化管理；加强禁止停放点巡视监测，及时处理违停。</w:t>
      </w:r>
    </w:p>
    <w:p>
      <w:pPr>
        <w:ind w:firstLine="544"/>
        <w:rPr>
          <w:spacing w:val="-4"/>
        </w:rPr>
      </w:pPr>
      <w:r>
        <w:rPr>
          <w:rFonts w:hint="eastAsia"/>
          <w:spacing w:val="-4"/>
        </w:rPr>
        <w:t>二是推行用户信用积分制，对违规停放采取限制用车、经济处罚、拉入黑名单等措施；对违反交规、危害公共安全的行为，及时报相关部门处理。</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（四）加强数据信息报送和安全保护</w:t>
      </w:r>
      <w:bookmarkEnd w:id="54"/>
    </w:p>
    <w:p>
      <w:pPr>
        <w:ind w:firstLine="544"/>
        <w:rPr>
          <w:spacing w:val="-4"/>
        </w:rPr>
      </w:pPr>
      <w:bookmarkStart w:id="55" w:name="_Toc209199531"/>
      <w:r>
        <w:rPr>
          <w:rFonts w:hint="eastAsia"/>
          <w:spacing w:val="-4"/>
        </w:rPr>
        <w:t>一是运营企业应主动做好与政府部门监管平台对接，按照政府管理部门监管要求报送基础运营、运维管理、服务质量等运营管理数据；加强数据安全保护，遵守网络信息安全规定，落实技术保障手段，强化防范措施，依法合规处理个人信息，确保用户与骑行数据安全，杜绝信息外泄及违法信息传播。</w:t>
      </w:r>
    </w:p>
    <w:p>
      <w:pPr>
        <w:ind w:firstLine="544"/>
        <w:rPr>
          <w:spacing w:val="-4"/>
        </w:rPr>
      </w:pPr>
      <w:r>
        <w:rPr>
          <w:rFonts w:hint="eastAsia"/>
          <w:spacing w:val="-4"/>
        </w:rPr>
        <w:t>二是实行用户实名制注册与资金安全管理，与企业签订服务协议，明确双方权责及用户骑行、停放要求，禁止向未满16周岁未成年人提供服务，明示计费标准与服务质量承诺。押金设专用账户受监管，保障资金安全，规定时间内完成押金退还。</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（五）确保车辆质量与运行安全</w:t>
      </w:r>
      <w:bookmarkEnd w:id="55"/>
    </w:p>
    <w:p>
      <w:pPr>
        <w:ind w:firstLine="544"/>
        <w:rPr>
          <w:spacing w:val="-4"/>
        </w:rPr>
      </w:pPr>
      <w:bookmarkStart w:id="56" w:name="_Toc209199533"/>
      <w:r>
        <w:rPr>
          <w:rFonts w:hint="eastAsia"/>
          <w:spacing w:val="-4"/>
        </w:rPr>
        <w:t>一是投放车辆须符合国家、行业标准，性能安全且质检合格，配备卫星定位智能锁与唯一电子身份标签，满足实时监控、定点还车等功能，不得加装影响安全的附属设备。</w:t>
      </w:r>
    </w:p>
    <w:p>
      <w:pPr>
        <w:ind w:firstLine="544"/>
        <w:rPr>
          <w:spacing w:val="-4"/>
        </w:rPr>
      </w:pPr>
      <w:r>
        <w:rPr>
          <w:rFonts w:hint="eastAsia"/>
          <w:spacing w:val="-4"/>
        </w:rPr>
        <w:t>二是鼓励通过技术升级提升低能见度环境安全性，并配智能安全头盔；企业应通过智能系统实时监测车辆位置、电量及骑行状态，强制用户取用头盔；定期巡检与专项检查，排查刹车、电池等隐患；建立安全信用积分体系，限制违规骑行；定期演练，确保突发情况快速响应。</w:t>
      </w:r>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（六）强化车辆运维与调度能力</w:t>
      </w:r>
      <w:bookmarkEnd w:id="56"/>
    </w:p>
    <w:p>
      <w:pPr>
        <w:ind w:firstLine="544"/>
        <w:rPr>
          <w:spacing w:val="-4"/>
        </w:rPr>
      </w:pPr>
      <w:r>
        <w:rPr>
          <w:rFonts w:hint="eastAsia"/>
          <w:spacing w:val="-4"/>
        </w:rPr>
        <w:t>一是打破企业各自运维模式，多家联合聘第三方统一运维，提高效率。</w:t>
      </w:r>
    </w:p>
    <w:p>
      <w:pPr>
        <w:ind w:firstLine="544"/>
        <w:rPr>
          <w:spacing w:val="-4"/>
        </w:rPr>
      </w:pPr>
      <w:r>
        <w:rPr>
          <w:rFonts w:hint="eastAsia"/>
          <w:spacing w:val="-4"/>
        </w:rPr>
        <w:t>二是运维单位配备人员、机动车，提供名单信息；实行网格化管理，重点区域定人定点，运维人员统一着装、持证上岗，接受监督考核。</w:t>
      </w:r>
    </w:p>
    <w:p>
      <w:pPr>
        <w:ind w:firstLine="544"/>
        <w:rPr>
          <w:spacing w:val="-4"/>
        </w:rPr>
      </w:pPr>
      <w:r>
        <w:rPr>
          <w:rFonts w:hint="eastAsia"/>
          <w:spacing w:val="-4"/>
        </w:rPr>
        <w:t>三是建立全生命周期维护制度，车辆建档，及时检修，深度排查核心部件隐患，保证外观整洁、性能达标，实行强制报废制度，及时清理报废或故障车辆。</w:t>
      </w:r>
    </w:p>
    <w:p>
      <w:pPr>
        <w:ind w:firstLine="544"/>
        <w:rPr>
          <w:spacing w:val="-4"/>
        </w:rPr>
      </w:pPr>
      <w:r>
        <w:rPr>
          <w:rFonts w:hint="eastAsia"/>
          <w:spacing w:val="-4"/>
        </w:rPr>
        <w:t>四是运维单位结合监测与巡查掌握车辆停放状况，及时调度转运、规范摆放、处置违停；加强重点区域高峰时段巡视。</w:t>
      </w:r>
    </w:p>
    <w:p>
      <w:pPr>
        <w:ind w:firstLine="546"/>
        <w:rPr>
          <w:b/>
          <w:color w:val="000000" w:themeColor="text1"/>
          <w:spacing w:val="-4"/>
          <w14:textFill>
            <w14:solidFill>
              <w14:schemeClr w14:val="tx1"/>
            </w14:solidFill>
          </w14:textFill>
        </w:rPr>
      </w:pPr>
      <w:bookmarkStart w:id="57" w:name="_Toc209199535"/>
      <w:r>
        <w:rPr>
          <w:rFonts w:hint="eastAsia"/>
          <w:b/>
          <w:color w:val="000000" w:themeColor="text1"/>
          <w:spacing w:val="-4"/>
          <w14:textFill>
            <w14:solidFill>
              <w14:schemeClr w14:val="tx1"/>
            </w14:solidFill>
          </w14:textFill>
        </w:rPr>
        <w:t>（七）完善投诉与应急处理机制</w:t>
      </w:r>
      <w:bookmarkEnd w:id="57"/>
    </w:p>
    <w:p>
      <w:pPr>
        <w:ind w:firstLine="544"/>
        <w:rPr>
          <w:spacing w:val="-4"/>
        </w:rPr>
      </w:pPr>
      <w:r>
        <w:rPr>
          <w:rFonts w:hint="eastAsia"/>
          <w:spacing w:val="-4"/>
        </w:rPr>
        <w:t>一是运营企业应提供全天24小时热线服务，受理车辆性能、停放秩序等方面的社会投诉举报，以及政府管理部门下发的问题整改工单，并及时安排人员进行有效处理。</w:t>
      </w:r>
    </w:p>
    <w:p>
      <w:pPr>
        <w:ind w:firstLine="544"/>
        <w:rPr>
          <w:spacing w:val="-4"/>
        </w:rPr>
      </w:pPr>
      <w:r>
        <w:rPr>
          <w:rFonts w:hint="eastAsia"/>
          <w:spacing w:val="-4"/>
        </w:rPr>
        <w:t>二是运营企业制定应对自然灾害、社会安全事件等突发事件的应急预案，加强对城市重点区域的隐患排查，及时处置突发事件。</w:t>
      </w:r>
    </w:p>
    <w:p>
      <w:pPr>
        <w:ind w:firstLine="544"/>
        <w:rPr>
          <w:color w:val="000000" w:themeColor="text1"/>
          <w:spacing w:val="-4"/>
          <w14:textFill>
            <w14:solidFill>
              <w14:schemeClr w14:val="tx1"/>
            </w14:solidFill>
          </w14:textFill>
        </w:rPr>
      </w:pPr>
      <w:r>
        <w:rPr>
          <w:rFonts w:hint="eastAsia"/>
          <w:spacing w:val="-4"/>
        </w:rPr>
        <w:t>三是在节假日或重大安保活动期间强化人员、车辆配备，提高车辆投放管理和突发事件处置效能。</w:t>
      </w:r>
      <w:bookmarkEnd w:id="49"/>
      <w:bookmarkEnd w:id="50"/>
    </w:p>
    <w:p>
      <w:pPr>
        <w:ind w:firstLine="546"/>
        <w:rPr>
          <w:b/>
          <w:color w:val="000000" w:themeColor="text1"/>
          <w:spacing w:val="-4"/>
          <w14:textFill>
            <w14:solidFill>
              <w14:schemeClr w14:val="tx1"/>
            </w14:solidFill>
          </w14:textFill>
        </w:rPr>
      </w:pPr>
      <w:r>
        <w:rPr>
          <w:rFonts w:hint="eastAsia"/>
          <w:b/>
          <w:color w:val="000000" w:themeColor="text1"/>
          <w:spacing w:val="-4"/>
          <w14:textFill>
            <w14:solidFill>
              <w14:schemeClr w14:val="tx1"/>
            </w14:solidFill>
          </w14:textFill>
        </w:rPr>
        <w:t>（八）动态完善停放点布局</w:t>
      </w:r>
    </w:p>
    <w:p>
      <w:pPr>
        <w:ind w:firstLine="544"/>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一是建立“道路-停放”联动更新制度，运营企业需紧密结合城市道路新建或改建工程进度、市民出行特征以及城市人流热点地区的动态变化，定期（每季度）深入分析投放点位共享电动自行车的周转率、使用率以及投诉热点等关键情况。依据分析结果，对于使用率较低的低效点位，及时予以撤销；在需求旺盛的区域，合理新增投放点位。同时，常态保持“月评估、季调整”机制，确保点位布局始终与实际需求高度匹配。此外，需明确投放总量调整期限，以便更精准地规划和管理。</w:t>
      </w:r>
    </w:p>
    <w:p>
      <w:pPr>
        <w:ind w:firstLine="544"/>
        <w:rPr>
          <w:color w:val="000000" w:themeColor="text1"/>
          <w:spacing w:val="-4"/>
          <w14:textFill>
            <w14:solidFill>
              <w14:schemeClr w14:val="tx1"/>
            </w14:solidFill>
          </w14:textFill>
        </w:rPr>
        <w:sectPr>
          <w:pgSz w:w="11906" w:h="16838"/>
          <w:pgMar w:top="1440" w:right="1800" w:bottom="1440" w:left="1800" w:header="851" w:footer="992" w:gutter="0"/>
          <w:pgNumType w:fmt="numberInDash"/>
          <w:cols w:space="425" w:num="1"/>
          <w:docGrid w:type="lines" w:linePitch="312" w:charSpace="0"/>
        </w:sectPr>
      </w:pPr>
      <w:r>
        <w:rPr>
          <w:rFonts w:hint="eastAsia"/>
          <w:color w:val="000000" w:themeColor="text1"/>
          <w:spacing w:val="-4"/>
          <w14:textFill>
            <w14:solidFill>
              <w14:schemeClr w14:val="tx1"/>
            </w14:solidFill>
          </w14:textFill>
        </w:rPr>
        <w:t>二是调整停放点位空间布局的方案，必须征得政府管理部门的同意，并且停放位置要严格满足停放点设置的相关要求。当遇到市政道路施工等城市建设活动，需要对停放点进行调整时，运营企业应服从政府管理部门的统一安排，确保停放点调整工作有序、高效进行。</w:t>
      </w:r>
      <w:bookmarkStart w:id="58" w:name="_GoBack"/>
      <w:bookmarkEnd w:id="58"/>
    </w:p>
    <w:p>
      <w:pPr>
        <w:ind w:firstLine="544"/>
        <w:rPr>
          <w:color w:val="000000" w:themeColor="text1"/>
          <w:spacing w:val="-4"/>
          <w14:textFill>
            <w14:solidFill>
              <w14:schemeClr w14:val="tx1"/>
            </w14:solidFill>
          </w14:textFill>
        </w:rPr>
      </w:pPr>
    </w:p>
    <w:sectPr>
      <w:pgSz w:w="16838" w:h="11906" w:orient="landscape"/>
      <w:pgMar w:top="1800" w:right="1440" w:bottom="1800" w:left="1440" w:header="851" w:footer="992" w:gutter="0"/>
      <w:pgNumType w:fmt="numberInDash"/>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Segoe UI">
    <w:panose1 w:val="020B0502040204020203"/>
    <w:charset w:val="00"/>
    <w:family w:val="swiss"/>
    <w:pitch w:val="default"/>
    <w:sig w:usb0="E4002EFF" w:usb1="C000E47F" w:usb2="00000009" w:usb3="00000000" w:csb0="200001FF" w:csb1="00000000"/>
  </w:font>
  <w:font w:name="楷体">
    <w:panose1 w:val="02010609060101010101"/>
    <w:charset w:val="86"/>
    <w:family w:val="modern"/>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0" w:firstLineChars="0"/>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ii</w:t>
    </w:r>
    <w:r>
      <w:rPr>
        <w:sz w:val="21"/>
        <w:szCs w:val="21"/>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single" w:color="auto" w:sz="4" w:space="1"/>
      </w:pBdr>
      <w:ind w:firstLine="0" w:firstLineChars="0"/>
      <w:jc w:val="center"/>
      <w:rPr>
        <w:rFonts w:cs="Times New Roman"/>
        <w:sz w:val="21"/>
        <w:szCs w:val="21"/>
      </w:rPr>
    </w:pPr>
    <w:r>
      <w:rPr>
        <w:rFonts w:cs="Times New Roman"/>
        <w:sz w:val="21"/>
        <w:szCs w:val="21"/>
      </w:rPr>
      <w:fldChar w:fldCharType="begin"/>
    </w:r>
    <w:r>
      <w:rPr>
        <w:rFonts w:cs="Times New Roman"/>
        <w:sz w:val="21"/>
        <w:szCs w:val="21"/>
      </w:rPr>
      <w:instrText xml:space="preserve">PAGE   \* MERGEFORMAT</w:instrText>
    </w:r>
    <w:r>
      <w:rPr>
        <w:rFonts w:cs="Times New Roman"/>
        <w:sz w:val="21"/>
        <w:szCs w:val="21"/>
      </w:rPr>
      <w:fldChar w:fldCharType="separate"/>
    </w:r>
    <w:r>
      <w:rPr>
        <w:rFonts w:cs="Times New Roman"/>
        <w:sz w:val="21"/>
        <w:szCs w:val="21"/>
        <w:lang w:val="zh-CN"/>
      </w:rPr>
      <w:t>-</w:t>
    </w:r>
    <w:r>
      <w:rPr>
        <w:rFonts w:cs="Times New Roman"/>
        <w:sz w:val="21"/>
        <w:szCs w:val="21"/>
      </w:rPr>
      <w:t xml:space="preserve"> 47 -</w:t>
    </w:r>
    <w:r>
      <w:rPr>
        <w:rFonts w:cs="Times New Roman"/>
        <w:sz w:val="21"/>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spacing w:line="240" w:lineRule="auto"/>
      <w:ind w:firstLine="0" w:firstLineChars="0"/>
      <w:jc w:val="both"/>
      <w:rPr>
        <w:rFonts w:ascii="仿宋_GB2312"/>
        <w:i/>
        <w:sz w:val="21"/>
        <w:szCs w:val="21"/>
      </w:rPr>
    </w:pPr>
    <w:r>
      <w:rPr>
        <w:rFonts w:hint="eastAsia" w:ascii="仿宋_GB2312"/>
        <w:i/>
        <w:sz w:val="21"/>
        <w:szCs w:val="21"/>
      </w:rPr>
      <w:t>汕尾市共享电动自行车停放点布局规划</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spacing w:line="240" w:lineRule="auto"/>
      <w:ind w:firstLine="0" w:firstLineChars="0"/>
      <w:jc w:val="both"/>
      <w:rPr>
        <w:i/>
        <w:sz w:val="21"/>
        <w:szCs w:val="21"/>
      </w:rPr>
    </w:pPr>
    <w:r>
      <w:rPr>
        <w:rFonts w:hint="eastAsia" w:ascii="仿宋_GB2312"/>
        <w:i/>
        <w:sz w:val="21"/>
        <w:szCs w:val="21"/>
      </w:rPr>
      <w:t>汕尾市共享电动自行车停放点布局规划</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hideSpellingErrors/>
  <w:trackRevisions w:val="1"/>
  <w:documentProtection w:enforcement="0"/>
  <w:defaultTabStop w:val="420"/>
  <w:drawingGridHorizontalSpacing w:val="140"/>
  <w:drawingGridVerticalSpacing w:val="381"/>
  <w:displayHorizont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050"/>
    <w:rsid w:val="00000CA1"/>
    <w:rsid w:val="00001086"/>
    <w:rsid w:val="00001995"/>
    <w:rsid w:val="00002238"/>
    <w:rsid w:val="00002DFD"/>
    <w:rsid w:val="00004559"/>
    <w:rsid w:val="00004D08"/>
    <w:rsid w:val="0000528E"/>
    <w:rsid w:val="000053B1"/>
    <w:rsid w:val="000061B5"/>
    <w:rsid w:val="0000630D"/>
    <w:rsid w:val="000065F6"/>
    <w:rsid w:val="00007290"/>
    <w:rsid w:val="00007BDD"/>
    <w:rsid w:val="00007E73"/>
    <w:rsid w:val="00007F9D"/>
    <w:rsid w:val="0001059A"/>
    <w:rsid w:val="00010E15"/>
    <w:rsid w:val="00012A71"/>
    <w:rsid w:val="00013570"/>
    <w:rsid w:val="00013E04"/>
    <w:rsid w:val="00013E77"/>
    <w:rsid w:val="000148BA"/>
    <w:rsid w:val="000165EB"/>
    <w:rsid w:val="00017E84"/>
    <w:rsid w:val="00020055"/>
    <w:rsid w:val="00020488"/>
    <w:rsid w:val="0002072C"/>
    <w:rsid w:val="00020A5E"/>
    <w:rsid w:val="00021BA8"/>
    <w:rsid w:val="00021CFC"/>
    <w:rsid w:val="000220D8"/>
    <w:rsid w:val="00022E3F"/>
    <w:rsid w:val="00022F15"/>
    <w:rsid w:val="0002310B"/>
    <w:rsid w:val="00023532"/>
    <w:rsid w:val="000245DD"/>
    <w:rsid w:val="00024D4B"/>
    <w:rsid w:val="00024F93"/>
    <w:rsid w:val="000253A7"/>
    <w:rsid w:val="00025C40"/>
    <w:rsid w:val="00025E62"/>
    <w:rsid w:val="00026093"/>
    <w:rsid w:val="00026192"/>
    <w:rsid w:val="000262CF"/>
    <w:rsid w:val="0002645E"/>
    <w:rsid w:val="00026F50"/>
    <w:rsid w:val="0003395B"/>
    <w:rsid w:val="00034049"/>
    <w:rsid w:val="0003462F"/>
    <w:rsid w:val="00036105"/>
    <w:rsid w:val="0003614B"/>
    <w:rsid w:val="00037E34"/>
    <w:rsid w:val="00040614"/>
    <w:rsid w:val="00040A20"/>
    <w:rsid w:val="0004238F"/>
    <w:rsid w:val="00042BD0"/>
    <w:rsid w:val="00042F6A"/>
    <w:rsid w:val="00043180"/>
    <w:rsid w:val="000432CF"/>
    <w:rsid w:val="0004471B"/>
    <w:rsid w:val="000449CF"/>
    <w:rsid w:val="00045D32"/>
    <w:rsid w:val="0005095D"/>
    <w:rsid w:val="00050960"/>
    <w:rsid w:val="00050970"/>
    <w:rsid w:val="0005117D"/>
    <w:rsid w:val="000520FE"/>
    <w:rsid w:val="0005273E"/>
    <w:rsid w:val="00052F5C"/>
    <w:rsid w:val="000535DC"/>
    <w:rsid w:val="00053F22"/>
    <w:rsid w:val="000544A4"/>
    <w:rsid w:val="000547DE"/>
    <w:rsid w:val="00054ADE"/>
    <w:rsid w:val="00055CFB"/>
    <w:rsid w:val="00056D59"/>
    <w:rsid w:val="00056E48"/>
    <w:rsid w:val="00056F7A"/>
    <w:rsid w:val="00057350"/>
    <w:rsid w:val="00057490"/>
    <w:rsid w:val="00057D2D"/>
    <w:rsid w:val="00060A62"/>
    <w:rsid w:val="00061C94"/>
    <w:rsid w:val="0006365F"/>
    <w:rsid w:val="00063C48"/>
    <w:rsid w:val="00063E46"/>
    <w:rsid w:val="00063E5F"/>
    <w:rsid w:val="000642D7"/>
    <w:rsid w:val="00065E42"/>
    <w:rsid w:val="000661A2"/>
    <w:rsid w:val="00066271"/>
    <w:rsid w:val="0006744C"/>
    <w:rsid w:val="0007161A"/>
    <w:rsid w:val="000725A8"/>
    <w:rsid w:val="00073965"/>
    <w:rsid w:val="0007513E"/>
    <w:rsid w:val="00075AE4"/>
    <w:rsid w:val="00075F0A"/>
    <w:rsid w:val="00075FEA"/>
    <w:rsid w:val="00076489"/>
    <w:rsid w:val="00076C3E"/>
    <w:rsid w:val="000776E9"/>
    <w:rsid w:val="0007772C"/>
    <w:rsid w:val="00077D52"/>
    <w:rsid w:val="00081793"/>
    <w:rsid w:val="000819D3"/>
    <w:rsid w:val="00082ABD"/>
    <w:rsid w:val="0008319B"/>
    <w:rsid w:val="00083352"/>
    <w:rsid w:val="00083946"/>
    <w:rsid w:val="00083A0C"/>
    <w:rsid w:val="00084007"/>
    <w:rsid w:val="00084C0B"/>
    <w:rsid w:val="00084FE5"/>
    <w:rsid w:val="00085835"/>
    <w:rsid w:val="00086290"/>
    <w:rsid w:val="000901D1"/>
    <w:rsid w:val="00090231"/>
    <w:rsid w:val="0009208F"/>
    <w:rsid w:val="00092466"/>
    <w:rsid w:val="000926AA"/>
    <w:rsid w:val="00093DF8"/>
    <w:rsid w:val="00094ACB"/>
    <w:rsid w:val="00094B55"/>
    <w:rsid w:val="00095045"/>
    <w:rsid w:val="000969F9"/>
    <w:rsid w:val="00096EED"/>
    <w:rsid w:val="00097047"/>
    <w:rsid w:val="00097EEF"/>
    <w:rsid w:val="00097F40"/>
    <w:rsid w:val="000A14FD"/>
    <w:rsid w:val="000A1E29"/>
    <w:rsid w:val="000A23EF"/>
    <w:rsid w:val="000A290A"/>
    <w:rsid w:val="000A3C5E"/>
    <w:rsid w:val="000A3FFC"/>
    <w:rsid w:val="000A48C7"/>
    <w:rsid w:val="000A55AE"/>
    <w:rsid w:val="000A5D52"/>
    <w:rsid w:val="000A702D"/>
    <w:rsid w:val="000B000E"/>
    <w:rsid w:val="000B1465"/>
    <w:rsid w:val="000B2072"/>
    <w:rsid w:val="000B2277"/>
    <w:rsid w:val="000B2513"/>
    <w:rsid w:val="000B28B4"/>
    <w:rsid w:val="000B28E6"/>
    <w:rsid w:val="000B3AA8"/>
    <w:rsid w:val="000B3CD0"/>
    <w:rsid w:val="000B40EB"/>
    <w:rsid w:val="000B4695"/>
    <w:rsid w:val="000B49E8"/>
    <w:rsid w:val="000B534D"/>
    <w:rsid w:val="000B5F47"/>
    <w:rsid w:val="000B6076"/>
    <w:rsid w:val="000B699A"/>
    <w:rsid w:val="000B7AE6"/>
    <w:rsid w:val="000B7F12"/>
    <w:rsid w:val="000C147B"/>
    <w:rsid w:val="000C3A65"/>
    <w:rsid w:val="000C3D6C"/>
    <w:rsid w:val="000C3F09"/>
    <w:rsid w:val="000C6269"/>
    <w:rsid w:val="000C6557"/>
    <w:rsid w:val="000C6B94"/>
    <w:rsid w:val="000C7B40"/>
    <w:rsid w:val="000D1780"/>
    <w:rsid w:val="000D1FEF"/>
    <w:rsid w:val="000D37A1"/>
    <w:rsid w:val="000D3F14"/>
    <w:rsid w:val="000D5256"/>
    <w:rsid w:val="000D5D86"/>
    <w:rsid w:val="000D5DAF"/>
    <w:rsid w:val="000D7093"/>
    <w:rsid w:val="000D7400"/>
    <w:rsid w:val="000E00AB"/>
    <w:rsid w:val="000E1005"/>
    <w:rsid w:val="000E2093"/>
    <w:rsid w:val="000E369B"/>
    <w:rsid w:val="000E4581"/>
    <w:rsid w:val="000E5909"/>
    <w:rsid w:val="000E6856"/>
    <w:rsid w:val="000E723B"/>
    <w:rsid w:val="000F105F"/>
    <w:rsid w:val="000F14D6"/>
    <w:rsid w:val="000F1E82"/>
    <w:rsid w:val="000F2459"/>
    <w:rsid w:val="000F28A0"/>
    <w:rsid w:val="000F2A41"/>
    <w:rsid w:val="000F2B64"/>
    <w:rsid w:val="000F4B94"/>
    <w:rsid w:val="000F57E7"/>
    <w:rsid w:val="000F67AD"/>
    <w:rsid w:val="000F6DED"/>
    <w:rsid w:val="000F70DB"/>
    <w:rsid w:val="000F71A2"/>
    <w:rsid w:val="001000E2"/>
    <w:rsid w:val="00102325"/>
    <w:rsid w:val="00102E2D"/>
    <w:rsid w:val="00103291"/>
    <w:rsid w:val="00103572"/>
    <w:rsid w:val="00103681"/>
    <w:rsid w:val="00103E48"/>
    <w:rsid w:val="00104374"/>
    <w:rsid w:val="001044DD"/>
    <w:rsid w:val="00104955"/>
    <w:rsid w:val="00105040"/>
    <w:rsid w:val="00106887"/>
    <w:rsid w:val="00106FA1"/>
    <w:rsid w:val="001070EB"/>
    <w:rsid w:val="001075AB"/>
    <w:rsid w:val="00107D9E"/>
    <w:rsid w:val="00111A9E"/>
    <w:rsid w:val="00111CB6"/>
    <w:rsid w:val="00112F76"/>
    <w:rsid w:val="0011365F"/>
    <w:rsid w:val="00113DF0"/>
    <w:rsid w:val="00114481"/>
    <w:rsid w:val="00114C0C"/>
    <w:rsid w:val="00114DA5"/>
    <w:rsid w:val="00116192"/>
    <w:rsid w:val="00116CF5"/>
    <w:rsid w:val="001171DC"/>
    <w:rsid w:val="00117DC4"/>
    <w:rsid w:val="001200DD"/>
    <w:rsid w:val="00121AA0"/>
    <w:rsid w:val="0012216C"/>
    <w:rsid w:val="00122746"/>
    <w:rsid w:val="00122AA6"/>
    <w:rsid w:val="00122AD2"/>
    <w:rsid w:val="00122D85"/>
    <w:rsid w:val="00123AD9"/>
    <w:rsid w:val="00124090"/>
    <w:rsid w:val="00124F9F"/>
    <w:rsid w:val="00127F52"/>
    <w:rsid w:val="00130035"/>
    <w:rsid w:val="001306D2"/>
    <w:rsid w:val="00130AD3"/>
    <w:rsid w:val="00130DA6"/>
    <w:rsid w:val="00131DFB"/>
    <w:rsid w:val="00132AF5"/>
    <w:rsid w:val="00132F82"/>
    <w:rsid w:val="00134617"/>
    <w:rsid w:val="001349C1"/>
    <w:rsid w:val="0013543D"/>
    <w:rsid w:val="001361EF"/>
    <w:rsid w:val="00136616"/>
    <w:rsid w:val="0013679E"/>
    <w:rsid w:val="00136DF7"/>
    <w:rsid w:val="00137095"/>
    <w:rsid w:val="00137298"/>
    <w:rsid w:val="001379D4"/>
    <w:rsid w:val="00137E85"/>
    <w:rsid w:val="0014049E"/>
    <w:rsid w:val="0014223C"/>
    <w:rsid w:val="00142260"/>
    <w:rsid w:val="001432EF"/>
    <w:rsid w:val="001433ED"/>
    <w:rsid w:val="00143EB9"/>
    <w:rsid w:val="0014416F"/>
    <w:rsid w:val="00144912"/>
    <w:rsid w:val="00145185"/>
    <w:rsid w:val="00145A17"/>
    <w:rsid w:val="00145A5E"/>
    <w:rsid w:val="00145F02"/>
    <w:rsid w:val="001465D4"/>
    <w:rsid w:val="001478CB"/>
    <w:rsid w:val="00147C87"/>
    <w:rsid w:val="00147FC3"/>
    <w:rsid w:val="00150349"/>
    <w:rsid w:val="00150856"/>
    <w:rsid w:val="0015085C"/>
    <w:rsid w:val="00151425"/>
    <w:rsid w:val="00151B39"/>
    <w:rsid w:val="0015200F"/>
    <w:rsid w:val="001527D5"/>
    <w:rsid w:val="001539F0"/>
    <w:rsid w:val="00153A43"/>
    <w:rsid w:val="00153C58"/>
    <w:rsid w:val="00153E45"/>
    <w:rsid w:val="00154ADD"/>
    <w:rsid w:val="00155656"/>
    <w:rsid w:val="001559B3"/>
    <w:rsid w:val="001564B3"/>
    <w:rsid w:val="00156519"/>
    <w:rsid w:val="0015754A"/>
    <w:rsid w:val="00160874"/>
    <w:rsid w:val="0016122A"/>
    <w:rsid w:val="001614D3"/>
    <w:rsid w:val="00161AC3"/>
    <w:rsid w:val="00161AD8"/>
    <w:rsid w:val="00162114"/>
    <w:rsid w:val="00162960"/>
    <w:rsid w:val="00163160"/>
    <w:rsid w:val="00164453"/>
    <w:rsid w:val="00165F0E"/>
    <w:rsid w:val="00166795"/>
    <w:rsid w:val="00166DDB"/>
    <w:rsid w:val="001672CB"/>
    <w:rsid w:val="0016732A"/>
    <w:rsid w:val="00167337"/>
    <w:rsid w:val="00167D67"/>
    <w:rsid w:val="00167E6D"/>
    <w:rsid w:val="00170E4D"/>
    <w:rsid w:val="00171A4C"/>
    <w:rsid w:val="001735F9"/>
    <w:rsid w:val="00173C64"/>
    <w:rsid w:val="0017470A"/>
    <w:rsid w:val="00175084"/>
    <w:rsid w:val="0017550B"/>
    <w:rsid w:val="00180B2D"/>
    <w:rsid w:val="001816DB"/>
    <w:rsid w:val="001822B1"/>
    <w:rsid w:val="00183355"/>
    <w:rsid w:val="00183AF9"/>
    <w:rsid w:val="00183EC7"/>
    <w:rsid w:val="001844C9"/>
    <w:rsid w:val="00185464"/>
    <w:rsid w:val="001870BD"/>
    <w:rsid w:val="00187F3F"/>
    <w:rsid w:val="00190B74"/>
    <w:rsid w:val="0019167F"/>
    <w:rsid w:val="00191ACA"/>
    <w:rsid w:val="00192C1B"/>
    <w:rsid w:val="00192C4C"/>
    <w:rsid w:val="00193781"/>
    <w:rsid w:val="0019603C"/>
    <w:rsid w:val="00197208"/>
    <w:rsid w:val="001974E8"/>
    <w:rsid w:val="0019763D"/>
    <w:rsid w:val="001A1C5E"/>
    <w:rsid w:val="001A314F"/>
    <w:rsid w:val="001A35C9"/>
    <w:rsid w:val="001A3715"/>
    <w:rsid w:val="001A42C6"/>
    <w:rsid w:val="001A5EFD"/>
    <w:rsid w:val="001A615C"/>
    <w:rsid w:val="001A7B24"/>
    <w:rsid w:val="001B0F46"/>
    <w:rsid w:val="001B10D2"/>
    <w:rsid w:val="001B1800"/>
    <w:rsid w:val="001B1FDB"/>
    <w:rsid w:val="001B28D7"/>
    <w:rsid w:val="001B3224"/>
    <w:rsid w:val="001B3B2D"/>
    <w:rsid w:val="001B5985"/>
    <w:rsid w:val="001B6019"/>
    <w:rsid w:val="001B6461"/>
    <w:rsid w:val="001B6C74"/>
    <w:rsid w:val="001B7786"/>
    <w:rsid w:val="001C05D5"/>
    <w:rsid w:val="001C093D"/>
    <w:rsid w:val="001C1D38"/>
    <w:rsid w:val="001C288D"/>
    <w:rsid w:val="001C447C"/>
    <w:rsid w:val="001C5C28"/>
    <w:rsid w:val="001C6128"/>
    <w:rsid w:val="001C6DC4"/>
    <w:rsid w:val="001D04A9"/>
    <w:rsid w:val="001D0D27"/>
    <w:rsid w:val="001D1384"/>
    <w:rsid w:val="001D16D2"/>
    <w:rsid w:val="001D22F7"/>
    <w:rsid w:val="001D4088"/>
    <w:rsid w:val="001D42D4"/>
    <w:rsid w:val="001D465B"/>
    <w:rsid w:val="001D7AF4"/>
    <w:rsid w:val="001E0296"/>
    <w:rsid w:val="001E038D"/>
    <w:rsid w:val="001E0E66"/>
    <w:rsid w:val="001E1B26"/>
    <w:rsid w:val="001E251D"/>
    <w:rsid w:val="001E26A9"/>
    <w:rsid w:val="001E275C"/>
    <w:rsid w:val="001E2E29"/>
    <w:rsid w:val="001E2EB8"/>
    <w:rsid w:val="001E3020"/>
    <w:rsid w:val="001E3895"/>
    <w:rsid w:val="001E4062"/>
    <w:rsid w:val="001E42E8"/>
    <w:rsid w:val="001F00A3"/>
    <w:rsid w:val="001F02A5"/>
    <w:rsid w:val="001F2905"/>
    <w:rsid w:val="001F2C4F"/>
    <w:rsid w:val="001F3C5B"/>
    <w:rsid w:val="001F3CD3"/>
    <w:rsid w:val="001F3F04"/>
    <w:rsid w:val="001F3F3B"/>
    <w:rsid w:val="001F46BC"/>
    <w:rsid w:val="001F4B16"/>
    <w:rsid w:val="001F4B44"/>
    <w:rsid w:val="001F631B"/>
    <w:rsid w:val="001F6848"/>
    <w:rsid w:val="001F6C2B"/>
    <w:rsid w:val="001F70BA"/>
    <w:rsid w:val="001F737F"/>
    <w:rsid w:val="001F77A2"/>
    <w:rsid w:val="00200291"/>
    <w:rsid w:val="002008F6"/>
    <w:rsid w:val="00202476"/>
    <w:rsid w:val="00202C3B"/>
    <w:rsid w:val="0020303B"/>
    <w:rsid w:val="00203500"/>
    <w:rsid w:val="002038D9"/>
    <w:rsid w:val="00205974"/>
    <w:rsid w:val="002062AD"/>
    <w:rsid w:val="002063E3"/>
    <w:rsid w:val="00206943"/>
    <w:rsid w:val="002077CA"/>
    <w:rsid w:val="00207827"/>
    <w:rsid w:val="0020787B"/>
    <w:rsid w:val="00207B57"/>
    <w:rsid w:val="00211694"/>
    <w:rsid w:val="00212F95"/>
    <w:rsid w:val="002133D6"/>
    <w:rsid w:val="002136D9"/>
    <w:rsid w:val="002138D2"/>
    <w:rsid w:val="002143AA"/>
    <w:rsid w:val="002146C4"/>
    <w:rsid w:val="0021474B"/>
    <w:rsid w:val="002148F3"/>
    <w:rsid w:val="0021588D"/>
    <w:rsid w:val="00215D8C"/>
    <w:rsid w:val="00215EA2"/>
    <w:rsid w:val="00215F7D"/>
    <w:rsid w:val="002171FF"/>
    <w:rsid w:val="00217734"/>
    <w:rsid w:val="002212AE"/>
    <w:rsid w:val="0022149A"/>
    <w:rsid w:val="00222007"/>
    <w:rsid w:val="002221F6"/>
    <w:rsid w:val="00222D40"/>
    <w:rsid w:val="002258E1"/>
    <w:rsid w:val="00225BD6"/>
    <w:rsid w:val="00226744"/>
    <w:rsid w:val="00227ABF"/>
    <w:rsid w:val="00227F28"/>
    <w:rsid w:val="0023009B"/>
    <w:rsid w:val="00230328"/>
    <w:rsid w:val="002306DB"/>
    <w:rsid w:val="00231812"/>
    <w:rsid w:val="00231CA1"/>
    <w:rsid w:val="002330A0"/>
    <w:rsid w:val="00234653"/>
    <w:rsid w:val="00235463"/>
    <w:rsid w:val="002359C5"/>
    <w:rsid w:val="00235A21"/>
    <w:rsid w:val="0023644C"/>
    <w:rsid w:val="00236748"/>
    <w:rsid w:val="002411E5"/>
    <w:rsid w:val="002414F3"/>
    <w:rsid w:val="00241A24"/>
    <w:rsid w:val="00241A35"/>
    <w:rsid w:val="002426A4"/>
    <w:rsid w:val="002432CB"/>
    <w:rsid w:val="00243410"/>
    <w:rsid w:val="00244155"/>
    <w:rsid w:val="002447EC"/>
    <w:rsid w:val="00244CA4"/>
    <w:rsid w:val="00245606"/>
    <w:rsid w:val="0024563A"/>
    <w:rsid w:val="00246024"/>
    <w:rsid w:val="002460C1"/>
    <w:rsid w:val="00246442"/>
    <w:rsid w:val="00246C24"/>
    <w:rsid w:val="002470B8"/>
    <w:rsid w:val="00247167"/>
    <w:rsid w:val="00247679"/>
    <w:rsid w:val="00251C2C"/>
    <w:rsid w:val="00251CC7"/>
    <w:rsid w:val="00252FDD"/>
    <w:rsid w:val="00253370"/>
    <w:rsid w:val="002533B7"/>
    <w:rsid w:val="00253F03"/>
    <w:rsid w:val="002549D0"/>
    <w:rsid w:val="0025620C"/>
    <w:rsid w:val="00256495"/>
    <w:rsid w:val="002564DD"/>
    <w:rsid w:val="002567BF"/>
    <w:rsid w:val="00256830"/>
    <w:rsid w:val="00260359"/>
    <w:rsid w:val="00260C8D"/>
    <w:rsid w:val="0026212E"/>
    <w:rsid w:val="00262184"/>
    <w:rsid w:val="002626CB"/>
    <w:rsid w:val="00262B4F"/>
    <w:rsid w:val="0026385B"/>
    <w:rsid w:val="00263BB3"/>
    <w:rsid w:val="002652E0"/>
    <w:rsid w:val="00266E79"/>
    <w:rsid w:val="00267034"/>
    <w:rsid w:val="00267B9B"/>
    <w:rsid w:val="00270CDD"/>
    <w:rsid w:val="00273AFE"/>
    <w:rsid w:val="002744E3"/>
    <w:rsid w:val="0027647D"/>
    <w:rsid w:val="0027665B"/>
    <w:rsid w:val="002768EC"/>
    <w:rsid w:val="00277578"/>
    <w:rsid w:val="00277C00"/>
    <w:rsid w:val="00277CB8"/>
    <w:rsid w:val="00277DCE"/>
    <w:rsid w:val="00280253"/>
    <w:rsid w:val="002803A4"/>
    <w:rsid w:val="00280500"/>
    <w:rsid w:val="00280589"/>
    <w:rsid w:val="002805F7"/>
    <w:rsid w:val="00280BA0"/>
    <w:rsid w:val="00281D4F"/>
    <w:rsid w:val="0028260C"/>
    <w:rsid w:val="00283661"/>
    <w:rsid w:val="002837B3"/>
    <w:rsid w:val="00283803"/>
    <w:rsid w:val="002842F0"/>
    <w:rsid w:val="0028431A"/>
    <w:rsid w:val="002856D9"/>
    <w:rsid w:val="002858B4"/>
    <w:rsid w:val="00285CFE"/>
    <w:rsid w:val="00286E48"/>
    <w:rsid w:val="00287328"/>
    <w:rsid w:val="0029244A"/>
    <w:rsid w:val="00292670"/>
    <w:rsid w:val="00293691"/>
    <w:rsid w:val="0029490D"/>
    <w:rsid w:val="00295A43"/>
    <w:rsid w:val="00295F3B"/>
    <w:rsid w:val="00296C3B"/>
    <w:rsid w:val="00297E9B"/>
    <w:rsid w:val="002A02AC"/>
    <w:rsid w:val="002A083B"/>
    <w:rsid w:val="002A1917"/>
    <w:rsid w:val="002A1AD6"/>
    <w:rsid w:val="002A20A6"/>
    <w:rsid w:val="002A255E"/>
    <w:rsid w:val="002A2898"/>
    <w:rsid w:val="002A2B4D"/>
    <w:rsid w:val="002A2E31"/>
    <w:rsid w:val="002A485F"/>
    <w:rsid w:val="002A6990"/>
    <w:rsid w:val="002A75FD"/>
    <w:rsid w:val="002A7699"/>
    <w:rsid w:val="002A7A7E"/>
    <w:rsid w:val="002B03BD"/>
    <w:rsid w:val="002B0842"/>
    <w:rsid w:val="002B0A28"/>
    <w:rsid w:val="002B0D74"/>
    <w:rsid w:val="002B10C2"/>
    <w:rsid w:val="002B180D"/>
    <w:rsid w:val="002B3A9E"/>
    <w:rsid w:val="002B3EF1"/>
    <w:rsid w:val="002B3FBF"/>
    <w:rsid w:val="002B459A"/>
    <w:rsid w:val="002B5125"/>
    <w:rsid w:val="002B51D4"/>
    <w:rsid w:val="002B5CE4"/>
    <w:rsid w:val="002B790F"/>
    <w:rsid w:val="002B7F04"/>
    <w:rsid w:val="002C0ACD"/>
    <w:rsid w:val="002C1E2A"/>
    <w:rsid w:val="002C374D"/>
    <w:rsid w:val="002C41DD"/>
    <w:rsid w:val="002C4A36"/>
    <w:rsid w:val="002C4C4D"/>
    <w:rsid w:val="002C4D28"/>
    <w:rsid w:val="002C506B"/>
    <w:rsid w:val="002C512F"/>
    <w:rsid w:val="002C5779"/>
    <w:rsid w:val="002C6B46"/>
    <w:rsid w:val="002D0CFE"/>
    <w:rsid w:val="002D1CDA"/>
    <w:rsid w:val="002D3CB7"/>
    <w:rsid w:val="002D5CAD"/>
    <w:rsid w:val="002D706F"/>
    <w:rsid w:val="002D71D0"/>
    <w:rsid w:val="002D7B2F"/>
    <w:rsid w:val="002D7CFE"/>
    <w:rsid w:val="002E03D6"/>
    <w:rsid w:val="002E13E8"/>
    <w:rsid w:val="002E1ABC"/>
    <w:rsid w:val="002E4081"/>
    <w:rsid w:val="002E57B6"/>
    <w:rsid w:val="002E692D"/>
    <w:rsid w:val="002F0E53"/>
    <w:rsid w:val="002F1C41"/>
    <w:rsid w:val="002F1E69"/>
    <w:rsid w:val="002F1E8E"/>
    <w:rsid w:val="002F4380"/>
    <w:rsid w:val="002F5A8B"/>
    <w:rsid w:val="002F65D1"/>
    <w:rsid w:val="002F6A2E"/>
    <w:rsid w:val="002F6CB2"/>
    <w:rsid w:val="003001EC"/>
    <w:rsid w:val="003004FF"/>
    <w:rsid w:val="00300C15"/>
    <w:rsid w:val="0030347C"/>
    <w:rsid w:val="00303932"/>
    <w:rsid w:val="00303A34"/>
    <w:rsid w:val="00305A00"/>
    <w:rsid w:val="0031387B"/>
    <w:rsid w:val="00313A22"/>
    <w:rsid w:val="00314D87"/>
    <w:rsid w:val="00315006"/>
    <w:rsid w:val="00315038"/>
    <w:rsid w:val="00316629"/>
    <w:rsid w:val="00317265"/>
    <w:rsid w:val="003172E2"/>
    <w:rsid w:val="003206FF"/>
    <w:rsid w:val="0032168B"/>
    <w:rsid w:val="003219B4"/>
    <w:rsid w:val="00321B77"/>
    <w:rsid w:val="00322266"/>
    <w:rsid w:val="003229FB"/>
    <w:rsid w:val="00322B47"/>
    <w:rsid w:val="00323DF9"/>
    <w:rsid w:val="0032407B"/>
    <w:rsid w:val="00326406"/>
    <w:rsid w:val="003301E1"/>
    <w:rsid w:val="0033091F"/>
    <w:rsid w:val="0033184E"/>
    <w:rsid w:val="00332201"/>
    <w:rsid w:val="00332C22"/>
    <w:rsid w:val="003333F2"/>
    <w:rsid w:val="0033341D"/>
    <w:rsid w:val="003335D0"/>
    <w:rsid w:val="0033709E"/>
    <w:rsid w:val="00340C21"/>
    <w:rsid w:val="003412B4"/>
    <w:rsid w:val="003412E3"/>
    <w:rsid w:val="00342095"/>
    <w:rsid w:val="0034350B"/>
    <w:rsid w:val="003438EE"/>
    <w:rsid w:val="003446BD"/>
    <w:rsid w:val="00344D37"/>
    <w:rsid w:val="00344FE5"/>
    <w:rsid w:val="00345565"/>
    <w:rsid w:val="003462F2"/>
    <w:rsid w:val="003463F4"/>
    <w:rsid w:val="00346838"/>
    <w:rsid w:val="00346E1E"/>
    <w:rsid w:val="0034734B"/>
    <w:rsid w:val="00347438"/>
    <w:rsid w:val="00347842"/>
    <w:rsid w:val="00347EF5"/>
    <w:rsid w:val="00350A21"/>
    <w:rsid w:val="00350D2B"/>
    <w:rsid w:val="00351B74"/>
    <w:rsid w:val="00351FC9"/>
    <w:rsid w:val="00353256"/>
    <w:rsid w:val="00353BAF"/>
    <w:rsid w:val="003543FE"/>
    <w:rsid w:val="00354AF6"/>
    <w:rsid w:val="00354AFE"/>
    <w:rsid w:val="00354FB8"/>
    <w:rsid w:val="00355F09"/>
    <w:rsid w:val="00356623"/>
    <w:rsid w:val="003569A7"/>
    <w:rsid w:val="00356F82"/>
    <w:rsid w:val="00360668"/>
    <w:rsid w:val="00360D45"/>
    <w:rsid w:val="00361008"/>
    <w:rsid w:val="00361315"/>
    <w:rsid w:val="00361743"/>
    <w:rsid w:val="003629FE"/>
    <w:rsid w:val="0036363E"/>
    <w:rsid w:val="00363BA5"/>
    <w:rsid w:val="00364F65"/>
    <w:rsid w:val="00366405"/>
    <w:rsid w:val="0036797A"/>
    <w:rsid w:val="00367F6A"/>
    <w:rsid w:val="003700FF"/>
    <w:rsid w:val="00370392"/>
    <w:rsid w:val="00370A9F"/>
    <w:rsid w:val="00371136"/>
    <w:rsid w:val="0037119E"/>
    <w:rsid w:val="00371937"/>
    <w:rsid w:val="00371B79"/>
    <w:rsid w:val="0037375C"/>
    <w:rsid w:val="00373C33"/>
    <w:rsid w:val="00373DB4"/>
    <w:rsid w:val="00374130"/>
    <w:rsid w:val="003744B7"/>
    <w:rsid w:val="00374818"/>
    <w:rsid w:val="00374BDB"/>
    <w:rsid w:val="003751D4"/>
    <w:rsid w:val="00375CC4"/>
    <w:rsid w:val="00375D98"/>
    <w:rsid w:val="00375EBC"/>
    <w:rsid w:val="00376EA2"/>
    <w:rsid w:val="00380D63"/>
    <w:rsid w:val="00380F4C"/>
    <w:rsid w:val="00381171"/>
    <w:rsid w:val="003825ED"/>
    <w:rsid w:val="00382817"/>
    <w:rsid w:val="0038286A"/>
    <w:rsid w:val="0038471C"/>
    <w:rsid w:val="0038497E"/>
    <w:rsid w:val="00385E93"/>
    <w:rsid w:val="003869CF"/>
    <w:rsid w:val="00387691"/>
    <w:rsid w:val="00387931"/>
    <w:rsid w:val="00390163"/>
    <w:rsid w:val="00390D1B"/>
    <w:rsid w:val="003924BD"/>
    <w:rsid w:val="00393F46"/>
    <w:rsid w:val="00394423"/>
    <w:rsid w:val="00394AC5"/>
    <w:rsid w:val="003956A7"/>
    <w:rsid w:val="0039625F"/>
    <w:rsid w:val="00396493"/>
    <w:rsid w:val="00396716"/>
    <w:rsid w:val="00396F11"/>
    <w:rsid w:val="00397736"/>
    <w:rsid w:val="003A0F7E"/>
    <w:rsid w:val="003A2FD9"/>
    <w:rsid w:val="003A3BB9"/>
    <w:rsid w:val="003A42FD"/>
    <w:rsid w:val="003A5C7B"/>
    <w:rsid w:val="003A5D50"/>
    <w:rsid w:val="003A6EEF"/>
    <w:rsid w:val="003B04F9"/>
    <w:rsid w:val="003B1C90"/>
    <w:rsid w:val="003B1F54"/>
    <w:rsid w:val="003B295E"/>
    <w:rsid w:val="003B2E3C"/>
    <w:rsid w:val="003B363E"/>
    <w:rsid w:val="003B4249"/>
    <w:rsid w:val="003B4B0C"/>
    <w:rsid w:val="003B4B7A"/>
    <w:rsid w:val="003B5CF1"/>
    <w:rsid w:val="003B65BB"/>
    <w:rsid w:val="003B664D"/>
    <w:rsid w:val="003B677F"/>
    <w:rsid w:val="003B6D69"/>
    <w:rsid w:val="003B6F64"/>
    <w:rsid w:val="003B70FC"/>
    <w:rsid w:val="003B7A3D"/>
    <w:rsid w:val="003B7B52"/>
    <w:rsid w:val="003C0B07"/>
    <w:rsid w:val="003C0B0F"/>
    <w:rsid w:val="003C2CDC"/>
    <w:rsid w:val="003C3A24"/>
    <w:rsid w:val="003C3DCB"/>
    <w:rsid w:val="003C3E61"/>
    <w:rsid w:val="003C40F6"/>
    <w:rsid w:val="003C60C3"/>
    <w:rsid w:val="003C62ED"/>
    <w:rsid w:val="003C70B1"/>
    <w:rsid w:val="003C7565"/>
    <w:rsid w:val="003C7893"/>
    <w:rsid w:val="003C7B9E"/>
    <w:rsid w:val="003D10A3"/>
    <w:rsid w:val="003D1B66"/>
    <w:rsid w:val="003D1BC0"/>
    <w:rsid w:val="003D269C"/>
    <w:rsid w:val="003D3300"/>
    <w:rsid w:val="003D430E"/>
    <w:rsid w:val="003D4785"/>
    <w:rsid w:val="003D5126"/>
    <w:rsid w:val="003D5D21"/>
    <w:rsid w:val="003D67DD"/>
    <w:rsid w:val="003E044B"/>
    <w:rsid w:val="003E060B"/>
    <w:rsid w:val="003E0E08"/>
    <w:rsid w:val="003E2001"/>
    <w:rsid w:val="003E289F"/>
    <w:rsid w:val="003E3B2B"/>
    <w:rsid w:val="003E512D"/>
    <w:rsid w:val="003E5133"/>
    <w:rsid w:val="003E543F"/>
    <w:rsid w:val="003E6EE4"/>
    <w:rsid w:val="003E7F89"/>
    <w:rsid w:val="003F0EF9"/>
    <w:rsid w:val="003F102D"/>
    <w:rsid w:val="003F2CB3"/>
    <w:rsid w:val="003F2E7A"/>
    <w:rsid w:val="003F4904"/>
    <w:rsid w:val="003F6A84"/>
    <w:rsid w:val="00400DC8"/>
    <w:rsid w:val="004010BE"/>
    <w:rsid w:val="00401864"/>
    <w:rsid w:val="00402C60"/>
    <w:rsid w:val="00403063"/>
    <w:rsid w:val="004031B4"/>
    <w:rsid w:val="004032B2"/>
    <w:rsid w:val="004038F3"/>
    <w:rsid w:val="00403EEC"/>
    <w:rsid w:val="00404981"/>
    <w:rsid w:val="00405566"/>
    <w:rsid w:val="00405D7B"/>
    <w:rsid w:val="0040602D"/>
    <w:rsid w:val="00406280"/>
    <w:rsid w:val="00406335"/>
    <w:rsid w:val="00406B33"/>
    <w:rsid w:val="0040713D"/>
    <w:rsid w:val="00407BCA"/>
    <w:rsid w:val="00407C73"/>
    <w:rsid w:val="00410299"/>
    <w:rsid w:val="00410AB1"/>
    <w:rsid w:val="00414CE5"/>
    <w:rsid w:val="00414CF3"/>
    <w:rsid w:val="00416EAD"/>
    <w:rsid w:val="00416F1B"/>
    <w:rsid w:val="0041711A"/>
    <w:rsid w:val="0041783C"/>
    <w:rsid w:val="00417D32"/>
    <w:rsid w:val="00420373"/>
    <w:rsid w:val="0042069A"/>
    <w:rsid w:val="00422432"/>
    <w:rsid w:val="00423DCE"/>
    <w:rsid w:val="00424A75"/>
    <w:rsid w:val="00424CB5"/>
    <w:rsid w:val="00424D44"/>
    <w:rsid w:val="00424ED2"/>
    <w:rsid w:val="00425387"/>
    <w:rsid w:val="0042699E"/>
    <w:rsid w:val="00427749"/>
    <w:rsid w:val="00427BCC"/>
    <w:rsid w:val="004336E5"/>
    <w:rsid w:val="0043444F"/>
    <w:rsid w:val="00434B37"/>
    <w:rsid w:val="004350EA"/>
    <w:rsid w:val="0043540F"/>
    <w:rsid w:val="00435419"/>
    <w:rsid w:val="00435925"/>
    <w:rsid w:val="00437C92"/>
    <w:rsid w:val="0044030D"/>
    <w:rsid w:val="00440345"/>
    <w:rsid w:val="004412C4"/>
    <w:rsid w:val="00441789"/>
    <w:rsid w:val="00442BC6"/>
    <w:rsid w:val="00443433"/>
    <w:rsid w:val="004448EC"/>
    <w:rsid w:val="004454EE"/>
    <w:rsid w:val="0044709C"/>
    <w:rsid w:val="00447514"/>
    <w:rsid w:val="00447F5A"/>
    <w:rsid w:val="004503AE"/>
    <w:rsid w:val="00450B07"/>
    <w:rsid w:val="004521B0"/>
    <w:rsid w:val="004523E1"/>
    <w:rsid w:val="00454B84"/>
    <w:rsid w:val="004563C1"/>
    <w:rsid w:val="00456586"/>
    <w:rsid w:val="00456D28"/>
    <w:rsid w:val="00457DE2"/>
    <w:rsid w:val="004607A0"/>
    <w:rsid w:val="00460FA0"/>
    <w:rsid w:val="00461823"/>
    <w:rsid w:val="004618B1"/>
    <w:rsid w:val="00463951"/>
    <w:rsid w:val="00463E46"/>
    <w:rsid w:val="004641DA"/>
    <w:rsid w:val="00464557"/>
    <w:rsid w:val="0046498E"/>
    <w:rsid w:val="00464D3A"/>
    <w:rsid w:val="00466F9D"/>
    <w:rsid w:val="00466FC7"/>
    <w:rsid w:val="004700F5"/>
    <w:rsid w:val="004707B9"/>
    <w:rsid w:val="004707BF"/>
    <w:rsid w:val="00470EF2"/>
    <w:rsid w:val="004715D7"/>
    <w:rsid w:val="0047165B"/>
    <w:rsid w:val="00471B58"/>
    <w:rsid w:val="00472A4D"/>
    <w:rsid w:val="00473B37"/>
    <w:rsid w:val="0047461E"/>
    <w:rsid w:val="00475531"/>
    <w:rsid w:val="0047558A"/>
    <w:rsid w:val="00475912"/>
    <w:rsid w:val="004759A1"/>
    <w:rsid w:val="00476033"/>
    <w:rsid w:val="004766AC"/>
    <w:rsid w:val="00476755"/>
    <w:rsid w:val="00477D0E"/>
    <w:rsid w:val="0048052A"/>
    <w:rsid w:val="00480938"/>
    <w:rsid w:val="00480E62"/>
    <w:rsid w:val="0048250B"/>
    <w:rsid w:val="004849D7"/>
    <w:rsid w:val="00484D45"/>
    <w:rsid w:val="0048533E"/>
    <w:rsid w:val="00486629"/>
    <w:rsid w:val="0048669E"/>
    <w:rsid w:val="004866E2"/>
    <w:rsid w:val="004876BA"/>
    <w:rsid w:val="004902A5"/>
    <w:rsid w:val="004904CE"/>
    <w:rsid w:val="004904F6"/>
    <w:rsid w:val="004905BE"/>
    <w:rsid w:val="004919F0"/>
    <w:rsid w:val="00492A85"/>
    <w:rsid w:val="00494A95"/>
    <w:rsid w:val="004957B5"/>
    <w:rsid w:val="00495CD6"/>
    <w:rsid w:val="00497A28"/>
    <w:rsid w:val="004A14D9"/>
    <w:rsid w:val="004A1A76"/>
    <w:rsid w:val="004A1B6C"/>
    <w:rsid w:val="004A2F20"/>
    <w:rsid w:val="004A33E9"/>
    <w:rsid w:val="004A38FE"/>
    <w:rsid w:val="004A4D05"/>
    <w:rsid w:val="004A72B6"/>
    <w:rsid w:val="004B062D"/>
    <w:rsid w:val="004B0BF5"/>
    <w:rsid w:val="004B1F30"/>
    <w:rsid w:val="004B24CC"/>
    <w:rsid w:val="004B298D"/>
    <w:rsid w:val="004B2E98"/>
    <w:rsid w:val="004B3E54"/>
    <w:rsid w:val="004B42B8"/>
    <w:rsid w:val="004B4378"/>
    <w:rsid w:val="004B4537"/>
    <w:rsid w:val="004B5DB4"/>
    <w:rsid w:val="004B7036"/>
    <w:rsid w:val="004B72F7"/>
    <w:rsid w:val="004B76B1"/>
    <w:rsid w:val="004C045F"/>
    <w:rsid w:val="004C1342"/>
    <w:rsid w:val="004C1347"/>
    <w:rsid w:val="004C38AD"/>
    <w:rsid w:val="004C42D6"/>
    <w:rsid w:val="004C477F"/>
    <w:rsid w:val="004C4B86"/>
    <w:rsid w:val="004C5F66"/>
    <w:rsid w:val="004C6093"/>
    <w:rsid w:val="004C6554"/>
    <w:rsid w:val="004C7151"/>
    <w:rsid w:val="004C7AEA"/>
    <w:rsid w:val="004D138F"/>
    <w:rsid w:val="004D177C"/>
    <w:rsid w:val="004D180C"/>
    <w:rsid w:val="004D3320"/>
    <w:rsid w:val="004D3824"/>
    <w:rsid w:val="004D4D60"/>
    <w:rsid w:val="004D5230"/>
    <w:rsid w:val="004D5736"/>
    <w:rsid w:val="004D5835"/>
    <w:rsid w:val="004D630E"/>
    <w:rsid w:val="004D6402"/>
    <w:rsid w:val="004D6CFC"/>
    <w:rsid w:val="004D6D3A"/>
    <w:rsid w:val="004D769D"/>
    <w:rsid w:val="004E10A3"/>
    <w:rsid w:val="004E134F"/>
    <w:rsid w:val="004E20BF"/>
    <w:rsid w:val="004E2394"/>
    <w:rsid w:val="004E26EB"/>
    <w:rsid w:val="004E2A55"/>
    <w:rsid w:val="004E2BAB"/>
    <w:rsid w:val="004E3D49"/>
    <w:rsid w:val="004E49B5"/>
    <w:rsid w:val="004E524B"/>
    <w:rsid w:val="004E65B1"/>
    <w:rsid w:val="004E666B"/>
    <w:rsid w:val="004E7149"/>
    <w:rsid w:val="004E7312"/>
    <w:rsid w:val="004E762C"/>
    <w:rsid w:val="004F0977"/>
    <w:rsid w:val="004F0DAE"/>
    <w:rsid w:val="004F1204"/>
    <w:rsid w:val="004F2917"/>
    <w:rsid w:val="004F40DF"/>
    <w:rsid w:val="004F47AF"/>
    <w:rsid w:val="004F4D52"/>
    <w:rsid w:val="004F54DC"/>
    <w:rsid w:val="004F5577"/>
    <w:rsid w:val="004F6292"/>
    <w:rsid w:val="004F6F38"/>
    <w:rsid w:val="004F7A47"/>
    <w:rsid w:val="004F7D87"/>
    <w:rsid w:val="0050042A"/>
    <w:rsid w:val="00500744"/>
    <w:rsid w:val="00500D70"/>
    <w:rsid w:val="00500DDF"/>
    <w:rsid w:val="0050139A"/>
    <w:rsid w:val="005018DF"/>
    <w:rsid w:val="0050239B"/>
    <w:rsid w:val="005026B9"/>
    <w:rsid w:val="00503236"/>
    <w:rsid w:val="005048DA"/>
    <w:rsid w:val="00505DCB"/>
    <w:rsid w:val="00506B7C"/>
    <w:rsid w:val="005073C7"/>
    <w:rsid w:val="005073E4"/>
    <w:rsid w:val="00507C66"/>
    <w:rsid w:val="00510951"/>
    <w:rsid w:val="005120BF"/>
    <w:rsid w:val="005127F9"/>
    <w:rsid w:val="00513702"/>
    <w:rsid w:val="00515080"/>
    <w:rsid w:val="00515B58"/>
    <w:rsid w:val="00515E90"/>
    <w:rsid w:val="00516DD6"/>
    <w:rsid w:val="00517761"/>
    <w:rsid w:val="00520577"/>
    <w:rsid w:val="00520662"/>
    <w:rsid w:val="00520CD4"/>
    <w:rsid w:val="00520E79"/>
    <w:rsid w:val="005215B8"/>
    <w:rsid w:val="00521EFE"/>
    <w:rsid w:val="005220A2"/>
    <w:rsid w:val="0052350F"/>
    <w:rsid w:val="005247EE"/>
    <w:rsid w:val="00524D19"/>
    <w:rsid w:val="005258DA"/>
    <w:rsid w:val="0052647C"/>
    <w:rsid w:val="00526759"/>
    <w:rsid w:val="00526A5B"/>
    <w:rsid w:val="00527C50"/>
    <w:rsid w:val="00527D04"/>
    <w:rsid w:val="005301B5"/>
    <w:rsid w:val="00531766"/>
    <w:rsid w:val="00532EA9"/>
    <w:rsid w:val="0053371A"/>
    <w:rsid w:val="00533FBB"/>
    <w:rsid w:val="0053454F"/>
    <w:rsid w:val="00534566"/>
    <w:rsid w:val="0053479A"/>
    <w:rsid w:val="00534D06"/>
    <w:rsid w:val="00535036"/>
    <w:rsid w:val="0053517D"/>
    <w:rsid w:val="005366C3"/>
    <w:rsid w:val="0053734C"/>
    <w:rsid w:val="005403B7"/>
    <w:rsid w:val="00540BFB"/>
    <w:rsid w:val="005418EA"/>
    <w:rsid w:val="0054306E"/>
    <w:rsid w:val="0054324D"/>
    <w:rsid w:val="00543A26"/>
    <w:rsid w:val="00543AD9"/>
    <w:rsid w:val="0054402A"/>
    <w:rsid w:val="00544A64"/>
    <w:rsid w:val="00545849"/>
    <w:rsid w:val="00546A75"/>
    <w:rsid w:val="005474B9"/>
    <w:rsid w:val="0055051C"/>
    <w:rsid w:val="00550984"/>
    <w:rsid w:val="00550EB8"/>
    <w:rsid w:val="0055200D"/>
    <w:rsid w:val="00552417"/>
    <w:rsid w:val="00554848"/>
    <w:rsid w:val="00556AED"/>
    <w:rsid w:val="005573CF"/>
    <w:rsid w:val="00560307"/>
    <w:rsid w:val="00561C13"/>
    <w:rsid w:val="00561D53"/>
    <w:rsid w:val="005627E9"/>
    <w:rsid w:val="0056377A"/>
    <w:rsid w:val="00563F8F"/>
    <w:rsid w:val="005643C7"/>
    <w:rsid w:val="00564753"/>
    <w:rsid w:val="00567275"/>
    <w:rsid w:val="00567AE9"/>
    <w:rsid w:val="00570EB9"/>
    <w:rsid w:val="0057119F"/>
    <w:rsid w:val="0057188D"/>
    <w:rsid w:val="00571AA6"/>
    <w:rsid w:val="00572A62"/>
    <w:rsid w:val="00573BD2"/>
    <w:rsid w:val="005741F2"/>
    <w:rsid w:val="00574FEB"/>
    <w:rsid w:val="00575D1F"/>
    <w:rsid w:val="0057755D"/>
    <w:rsid w:val="005815FC"/>
    <w:rsid w:val="005817A3"/>
    <w:rsid w:val="0058323F"/>
    <w:rsid w:val="00583801"/>
    <w:rsid w:val="00583A54"/>
    <w:rsid w:val="00584804"/>
    <w:rsid w:val="00587102"/>
    <w:rsid w:val="0058759F"/>
    <w:rsid w:val="00590092"/>
    <w:rsid w:val="005908BC"/>
    <w:rsid w:val="0059212F"/>
    <w:rsid w:val="005921FD"/>
    <w:rsid w:val="00592ED3"/>
    <w:rsid w:val="005948ED"/>
    <w:rsid w:val="005972C6"/>
    <w:rsid w:val="005973E8"/>
    <w:rsid w:val="005979DD"/>
    <w:rsid w:val="005A1352"/>
    <w:rsid w:val="005A363F"/>
    <w:rsid w:val="005A59C1"/>
    <w:rsid w:val="005A5FFF"/>
    <w:rsid w:val="005A67AC"/>
    <w:rsid w:val="005A6EE8"/>
    <w:rsid w:val="005A756E"/>
    <w:rsid w:val="005B0610"/>
    <w:rsid w:val="005B0B10"/>
    <w:rsid w:val="005B2060"/>
    <w:rsid w:val="005B277F"/>
    <w:rsid w:val="005B3677"/>
    <w:rsid w:val="005B3907"/>
    <w:rsid w:val="005B3A68"/>
    <w:rsid w:val="005B5DD5"/>
    <w:rsid w:val="005B6778"/>
    <w:rsid w:val="005B6B30"/>
    <w:rsid w:val="005C06DD"/>
    <w:rsid w:val="005C0DA4"/>
    <w:rsid w:val="005C1E9B"/>
    <w:rsid w:val="005C3D71"/>
    <w:rsid w:val="005C5206"/>
    <w:rsid w:val="005C53A9"/>
    <w:rsid w:val="005C55DC"/>
    <w:rsid w:val="005C605F"/>
    <w:rsid w:val="005C61BB"/>
    <w:rsid w:val="005C6B8E"/>
    <w:rsid w:val="005C6CB3"/>
    <w:rsid w:val="005C705C"/>
    <w:rsid w:val="005C751A"/>
    <w:rsid w:val="005C78C7"/>
    <w:rsid w:val="005C799E"/>
    <w:rsid w:val="005D0213"/>
    <w:rsid w:val="005D1769"/>
    <w:rsid w:val="005D1C28"/>
    <w:rsid w:val="005D21C8"/>
    <w:rsid w:val="005D2414"/>
    <w:rsid w:val="005D2B21"/>
    <w:rsid w:val="005D41B2"/>
    <w:rsid w:val="005D48C9"/>
    <w:rsid w:val="005D524A"/>
    <w:rsid w:val="005D5705"/>
    <w:rsid w:val="005D574B"/>
    <w:rsid w:val="005D7108"/>
    <w:rsid w:val="005D74F0"/>
    <w:rsid w:val="005D7751"/>
    <w:rsid w:val="005E067A"/>
    <w:rsid w:val="005E104C"/>
    <w:rsid w:val="005E14B1"/>
    <w:rsid w:val="005E2B54"/>
    <w:rsid w:val="005E2C56"/>
    <w:rsid w:val="005E2ED6"/>
    <w:rsid w:val="005E499A"/>
    <w:rsid w:val="005E53AC"/>
    <w:rsid w:val="005E709C"/>
    <w:rsid w:val="005E778F"/>
    <w:rsid w:val="005E77D7"/>
    <w:rsid w:val="005F06F4"/>
    <w:rsid w:val="005F0985"/>
    <w:rsid w:val="005F0BFD"/>
    <w:rsid w:val="005F119D"/>
    <w:rsid w:val="005F19B7"/>
    <w:rsid w:val="005F1EF9"/>
    <w:rsid w:val="005F2AF4"/>
    <w:rsid w:val="005F3093"/>
    <w:rsid w:val="005F3360"/>
    <w:rsid w:val="005F3751"/>
    <w:rsid w:val="005F37C6"/>
    <w:rsid w:val="005F3976"/>
    <w:rsid w:val="005F3A91"/>
    <w:rsid w:val="005F458D"/>
    <w:rsid w:val="005F48F6"/>
    <w:rsid w:val="005F4D86"/>
    <w:rsid w:val="005F5049"/>
    <w:rsid w:val="005F5313"/>
    <w:rsid w:val="005F5434"/>
    <w:rsid w:val="005F54DF"/>
    <w:rsid w:val="005F5F01"/>
    <w:rsid w:val="005F5F13"/>
    <w:rsid w:val="005F63FE"/>
    <w:rsid w:val="005F77C5"/>
    <w:rsid w:val="005F7C35"/>
    <w:rsid w:val="006002D1"/>
    <w:rsid w:val="006009A6"/>
    <w:rsid w:val="00601562"/>
    <w:rsid w:val="0060193B"/>
    <w:rsid w:val="00602002"/>
    <w:rsid w:val="00603072"/>
    <w:rsid w:val="006037A0"/>
    <w:rsid w:val="006037AD"/>
    <w:rsid w:val="00603826"/>
    <w:rsid w:val="0060417C"/>
    <w:rsid w:val="006044C1"/>
    <w:rsid w:val="0060591F"/>
    <w:rsid w:val="006064A2"/>
    <w:rsid w:val="006077B1"/>
    <w:rsid w:val="00607CBC"/>
    <w:rsid w:val="0061045D"/>
    <w:rsid w:val="00611A83"/>
    <w:rsid w:val="00611C2B"/>
    <w:rsid w:val="006144EC"/>
    <w:rsid w:val="00614969"/>
    <w:rsid w:val="006202EA"/>
    <w:rsid w:val="00620722"/>
    <w:rsid w:val="006208D3"/>
    <w:rsid w:val="006213D0"/>
    <w:rsid w:val="0062284F"/>
    <w:rsid w:val="00622AAE"/>
    <w:rsid w:val="00623949"/>
    <w:rsid w:val="00623E0A"/>
    <w:rsid w:val="00624019"/>
    <w:rsid w:val="0062416E"/>
    <w:rsid w:val="0062547A"/>
    <w:rsid w:val="00625573"/>
    <w:rsid w:val="00625A00"/>
    <w:rsid w:val="00626C4B"/>
    <w:rsid w:val="00626CA8"/>
    <w:rsid w:val="00627CF1"/>
    <w:rsid w:val="00627DD9"/>
    <w:rsid w:val="006335B9"/>
    <w:rsid w:val="00633B21"/>
    <w:rsid w:val="00633F45"/>
    <w:rsid w:val="00634482"/>
    <w:rsid w:val="0063551E"/>
    <w:rsid w:val="00635677"/>
    <w:rsid w:val="00635E4A"/>
    <w:rsid w:val="00636C2F"/>
    <w:rsid w:val="0064188D"/>
    <w:rsid w:val="0064447B"/>
    <w:rsid w:val="00650181"/>
    <w:rsid w:val="006508ED"/>
    <w:rsid w:val="006509F1"/>
    <w:rsid w:val="006511EC"/>
    <w:rsid w:val="0065197F"/>
    <w:rsid w:val="00653777"/>
    <w:rsid w:val="006545A6"/>
    <w:rsid w:val="006546DA"/>
    <w:rsid w:val="00654FCB"/>
    <w:rsid w:val="00655B98"/>
    <w:rsid w:val="006564C3"/>
    <w:rsid w:val="0066075C"/>
    <w:rsid w:val="00660E3D"/>
    <w:rsid w:val="006611A7"/>
    <w:rsid w:val="00661C24"/>
    <w:rsid w:val="00661DBC"/>
    <w:rsid w:val="00663E01"/>
    <w:rsid w:val="00664403"/>
    <w:rsid w:val="00664B59"/>
    <w:rsid w:val="0066621B"/>
    <w:rsid w:val="00666B88"/>
    <w:rsid w:val="00667705"/>
    <w:rsid w:val="00670380"/>
    <w:rsid w:val="00672030"/>
    <w:rsid w:val="00672857"/>
    <w:rsid w:val="00673661"/>
    <w:rsid w:val="00674C14"/>
    <w:rsid w:val="0067509D"/>
    <w:rsid w:val="006752C8"/>
    <w:rsid w:val="006753A8"/>
    <w:rsid w:val="006753C9"/>
    <w:rsid w:val="006757C8"/>
    <w:rsid w:val="006770D9"/>
    <w:rsid w:val="00677548"/>
    <w:rsid w:val="006776A9"/>
    <w:rsid w:val="00677A92"/>
    <w:rsid w:val="00680383"/>
    <w:rsid w:val="00680EEE"/>
    <w:rsid w:val="00681649"/>
    <w:rsid w:val="00681E07"/>
    <w:rsid w:val="00682F2D"/>
    <w:rsid w:val="0068343F"/>
    <w:rsid w:val="006838DD"/>
    <w:rsid w:val="00683B34"/>
    <w:rsid w:val="00684ADE"/>
    <w:rsid w:val="00684E45"/>
    <w:rsid w:val="00685007"/>
    <w:rsid w:val="0068525C"/>
    <w:rsid w:val="006856EA"/>
    <w:rsid w:val="00687CD5"/>
    <w:rsid w:val="0069133C"/>
    <w:rsid w:val="00691AE0"/>
    <w:rsid w:val="0069248A"/>
    <w:rsid w:val="00692DD2"/>
    <w:rsid w:val="006930AA"/>
    <w:rsid w:val="00693499"/>
    <w:rsid w:val="0069461B"/>
    <w:rsid w:val="006946A9"/>
    <w:rsid w:val="00694749"/>
    <w:rsid w:val="00694E6F"/>
    <w:rsid w:val="006954F5"/>
    <w:rsid w:val="00695FF4"/>
    <w:rsid w:val="006961D2"/>
    <w:rsid w:val="00696BA5"/>
    <w:rsid w:val="00697371"/>
    <w:rsid w:val="00697601"/>
    <w:rsid w:val="006A17DD"/>
    <w:rsid w:val="006A3DA6"/>
    <w:rsid w:val="006A3F63"/>
    <w:rsid w:val="006A3F69"/>
    <w:rsid w:val="006A5D28"/>
    <w:rsid w:val="006A6044"/>
    <w:rsid w:val="006A620F"/>
    <w:rsid w:val="006A6410"/>
    <w:rsid w:val="006A67B2"/>
    <w:rsid w:val="006A6FA3"/>
    <w:rsid w:val="006B1395"/>
    <w:rsid w:val="006B1E5A"/>
    <w:rsid w:val="006B1EB4"/>
    <w:rsid w:val="006B2992"/>
    <w:rsid w:val="006B2A19"/>
    <w:rsid w:val="006B2BD1"/>
    <w:rsid w:val="006B3002"/>
    <w:rsid w:val="006B540B"/>
    <w:rsid w:val="006B58FE"/>
    <w:rsid w:val="006B7422"/>
    <w:rsid w:val="006C022F"/>
    <w:rsid w:val="006C0293"/>
    <w:rsid w:val="006C0D65"/>
    <w:rsid w:val="006C115C"/>
    <w:rsid w:val="006C47D2"/>
    <w:rsid w:val="006C514F"/>
    <w:rsid w:val="006C5711"/>
    <w:rsid w:val="006C61E6"/>
    <w:rsid w:val="006C6724"/>
    <w:rsid w:val="006C6F4D"/>
    <w:rsid w:val="006C7220"/>
    <w:rsid w:val="006C77EB"/>
    <w:rsid w:val="006D1592"/>
    <w:rsid w:val="006D2485"/>
    <w:rsid w:val="006D251C"/>
    <w:rsid w:val="006D2D07"/>
    <w:rsid w:val="006D35BA"/>
    <w:rsid w:val="006D5538"/>
    <w:rsid w:val="006D5996"/>
    <w:rsid w:val="006D610C"/>
    <w:rsid w:val="006D64B8"/>
    <w:rsid w:val="006D693E"/>
    <w:rsid w:val="006D6E33"/>
    <w:rsid w:val="006D712B"/>
    <w:rsid w:val="006D7B67"/>
    <w:rsid w:val="006E0B07"/>
    <w:rsid w:val="006E0BCA"/>
    <w:rsid w:val="006E2851"/>
    <w:rsid w:val="006E2D63"/>
    <w:rsid w:val="006E357E"/>
    <w:rsid w:val="006E3866"/>
    <w:rsid w:val="006E3BE2"/>
    <w:rsid w:val="006E40D1"/>
    <w:rsid w:val="006E6C76"/>
    <w:rsid w:val="006E6ED2"/>
    <w:rsid w:val="006E6FAF"/>
    <w:rsid w:val="006E7A96"/>
    <w:rsid w:val="006F0541"/>
    <w:rsid w:val="006F0A67"/>
    <w:rsid w:val="006F0CBE"/>
    <w:rsid w:val="006F1C09"/>
    <w:rsid w:val="006F21A2"/>
    <w:rsid w:val="006F2B55"/>
    <w:rsid w:val="006F4635"/>
    <w:rsid w:val="006F6144"/>
    <w:rsid w:val="006F6E9F"/>
    <w:rsid w:val="006F7AE3"/>
    <w:rsid w:val="007009E9"/>
    <w:rsid w:val="00703F47"/>
    <w:rsid w:val="007048B4"/>
    <w:rsid w:val="00706982"/>
    <w:rsid w:val="00707132"/>
    <w:rsid w:val="00707219"/>
    <w:rsid w:val="0071264B"/>
    <w:rsid w:val="00713C23"/>
    <w:rsid w:val="007161F4"/>
    <w:rsid w:val="00716292"/>
    <w:rsid w:val="00716CA0"/>
    <w:rsid w:val="00717279"/>
    <w:rsid w:val="00717A25"/>
    <w:rsid w:val="00720011"/>
    <w:rsid w:val="00720046"/>
    <w:rsid w:val="00720154"/>
    <w:rsid w:val="00720704"/>
    <w:rsid w:val="00720B8F"/>
    <w:rsid w:val="007216B3"/>
    <w:rsid w:val="00721903"/>
    <w:rsid w:val="00721D10"/>
    <w:rsid w:val="0072248D"/>
    <w:rsid w:val="00722650"/>
    <w:rsid w:val="00723141"/>
    <w:rsid w:val="00723573"/>
    <w:rsid w:val="007235B7"/>
    <w:rsid w:val="007251BC"/>
    <w:rsid w:val="007274D9"/>
    <w:rsid w:val="00727F50"/>
    <w:rsid w:val="007302D4"/>
    <w:rsid w:val="00732CBB"/>
    <w:rsid w:val="0073316C"/>
    <w:rsid w:val="0073362A"/>
    <w:rsid w:val="00735E65"/>
    <w:rsid w:val="00737262"/>
    <w:rsid w:val="00737752"/>
    <w:rsid w:val="00740204"/>
    <w:rsid w:val="00740AA1"/>
    <w:rsid w:val="007412B7"/>
    <w:rsid w:val="00741475"/>
    <w:rsid w:val="0074177E"/>
    <w:rsid w:val="00741D18"/>
    <w:rsid w:val="00745A0B"/>
    <w:rsid w:val="00746A2C"/>
    <w:rsid w:val="00746BA9"/>
    <w:rsid w:val="00746EC1"/>
    <w:rsid w:val="007473B3"/>
    <w:rsid w:val="0074762E"/>
    <w:rsid w:val="00747854"/>
    <w:rsid w:val="007509D1"/>
    <w:rsid w:val="00752371"/>
    <w:rsid w:val="0075249E"/>
    <w:rsid w:val="0075259F"/>
    <w:rsid w:val="007528D3"/>
    <w:rsid w:val="00753060"/>
    <w:rsid w:val="00753432"/>
    <w:rsid w:val="00753930"/>
    <w:rsid w:val="0075433B"/>
    <w:rsid w:val="00754F39"/>
    <w:rsid w:val="00757BF6"/>
    <w:rsid w:val="00757F02"/>
    <w:rsid w:val="00760537"/>
    <w:rsid w:val="00760C8A"/>
    <w:rsid w:val="00761E45"/>
    <w:rsid w:val="00762140"/>
    <w:rsid w:val="00762395"/>
    <w:rsid w:val="007629DF"/>
    <w:rsid w:val="00762F41"/>
    <w:rsid w:val="00763C74"/>
    <w:rsid w:val="00763EC8"/>
    <w:rsid w:val="00764011"/>
    <w:rsid w:val="007645ED"/>
    <w:rsid w:val="007645F3"/>
    <w:rsid w:val="007648F4"/>
    <w:rsid w:val="00765C93"/>
    <w:rsid w:val="00767067"/>
    <w:rsid w:val="00767108"/>
    <w:rsid w:val="00767E25"/>
    <w:rsid w:val="00770048"/>
    <w:rsid w:val="00770052"/>
    <w:rsid w:val="00771037"/>
    <w:rsid w:val="00771A71"/>
    <w:rsid w:val="007725DC"/>
    <w:rsid w:val="007728EC"/>
    <w:rsid w:val="00772B2E"/>
    <w:rsid w:val="00774498"/>
    <w:rsid w:val="00774626"/>
    <w:rsid w:val="00774803"/>
    <w:rsid w:val="00775B65"/>
    <w:rsid w:val="00775C5D"/>
    <w:rsid w:val="00776363"/>
    <w:rsid w:val="007764D5"/>
    <w:rsid w:val="00776EE7"/>
    <w:rsid w:val="007808A8"/>
    <w:rsid w:val="00782700"/>
    <w:rsid w:val="00782E0A"/>
    <w:rsid w:val="007833D3"/>
    <w:rsid w:val="00783437"/>
    <w:rsid w:val="00784F49"/>
    <w:rsid w:val="007856F3"/>
    <w:rsid w:val="007868AD"/>
    <w:rsid w:val="0078740F"/>
    <w:rsid w:val="00787772"/>
    <w:rsid w:val="00787811"/>
    <w:rsid w:val="00787830"/>
    <w:rsid w:val="007878EE"/>
    <w:rsid w:val="00790359"/>
    <w:rsid w:val="00791702"/>
    <w:rsid w:val="00792128"/>
    <w:rsid w:val="00792D09"/>
    <w:rsid w:val="00792FDC"/>
    <w:rsid w:val="007937E8"/>
    <w:rsid w:val="00794DBA"/>
    <w:rsid w:val="00795F95"/>
    <w:rsid w:val="007A061F"/>
    <w:rsid w:val="007A0693"/>
    <w:rsid w:val="007A359E"/>
    <w:rsid w:val="007A3A65"/>
    <w:rsid w:val="007A41DD"/>
    <w:rsid w:val="007A44E0"/>
    <w:rsid w:val="007A4EC6"/>
    <w:rsid w:val="007A54AB"/>
    <w:rsid w:val="007A695A"/>
    <w:rsid w:val="007A69E6"/>
    <w:rsid w:val="007A6B18"/>
    <w:rsid w:val="007A6FC9"/>
    <w:rsid w:val="007A7945"/>
    <w:rsid w:val="007B022C"/>
    <w:rsid w:val="007B2A52"/>
    <w:rsid w:val="007B325F"/>
    <w:rsid w:val="007B3EAF"/>
    <w:rsid w:val="007B45F5"/>
    <w:rsid w:val="007B4869"/>
    <w:rsid w:val="007B4C2A"/>
    <w:rsid w:val="007B5276"/>
    <w:rsid w:val="007B7231"/>
    <w:rsid w:val="007C16E1"/>
    <w:rsid w:val="007C2106"/>
    <w:rsid w:val="007C25E9"/>
    <w:rsid w:val="007C272A"/>
    <w:rsid w:val="007C3297"/>
    <w:rsid w:val="007C45D1"/>
    <w:rsid w:val="007C495B"/>
    <w:rsid w:val="007C4EE0"/>
    <w:rsid w:val="007C5F7F"/>
    <w:rsid w:val="007C6183"/>
    <w:rsid w:val="007C753D"/>
    <w:rsid w:val="007C7C33"/>
    <w:rsid w:val="007C7C5E"/>
    <w:rsid w:val="007D0653"/>
    <w:rsid w:val="007D282F"/>
    <w:rsid w:val="007D2BA2"/>
    <w:rsid w:val="007D4ABC"/>
    <w:rsid w:val="007D5148"/>
    <w:rsid w:val="007D51F6"/>
    <w:rsid w:val="007D664C"/>
    <w:rsid w:val="007D669E"/>
    <w:rsid w:val="007D6CBE"/>
    <w:rsid w:val="007D72EA"/>
    <w:rsid w:val="007E03CD"/>
    <w:rsid w:val="007E2083"/>
    <w:rsid w:val="007E3278"/>
    <w:rsid w:val="007E4669"/>
    <w:rsid w:val="007E4D22"/>
    <w:rsid w:val="007E5F23"/>
    <w:rsid w:val="007E6483"/>
    <w:rsid w:val="007E66C2"/>
    <w:rsid w:val="007E70D2"/>
    <w:rsid w:val="007F07C5"/>
    <w:rsid w:val="007F0C97"/>
    <w:rsid w:val="007F1840"/>
    <w:rsid w:val="007F1C81"/>
    <w:rsid w:val="007F22C7"/>
    <w:rsid w:val="007F285C"/>
    <w:rsid w:val="007F28C1"/>
    <w:rsid w:val="007F2BF6"/>
    <w:rsid w:val="007F2F1C"/>
    <w:rsid w:val="007F2FF5"/>
    <w:rsid w:val="007F307E"/>
    <w:rsid w:val="007F45A1"/>
    <w:rsid w:val="007F4F1E"/>
    <w:rsid w:val="007F58F2"/>
    <w:rsid w:val="007F624E"/>
    <w:rsid w:val="007F62E0"/>
    <w:rsid w:val="007F636E"/>
    <w:rsid w:val="007F678E"/>
    <w:rsid w:val="007F705E"/>
    <w:rsid w:val="007F7BEE"/>
    <w:rsid w:val="007F7DD3"/>
    <w:rsid w:val="00800725"/>
    <w:rsid w:val="0080076A"/>
    <w:rsid w:val="00802125"/>
    <w:rsid w:val="00802890"/>
    <w:rsid w:val="00802C66"/>
    <w:rsid w:val="00802C90"/>
    <w:rsid w:val="00804551"/>
    <w:rsid w:val="00804718"/>
    <w:rsid w:val="00805841"/>
    <w:rsid w:val="00805B14"/>
    <w:rsid w:val="008065EA"/>
    <w:rsid w:val="00806C55"/>
    <w:rsid w:val="008074FB"/>
    <w:rsid w:val="0080797E"/>
    <w:rsid w:val="00807F3F"/>
    <w:rsid w:val="00810279"/>
    <w:rsid w:val="00810587"/>
    <w:rsid w:val="00810664"/>
    <w:rsid w:val="008108A9"/>
    <w:rsid w:val="00811900"/>
    <w:rsid w:val="00811DC3"/>
    <w:rsid w:val="00811F69"/>
    <w:rsid w:val="00812671"/>
    <w:rsid w:val="0081317A"/>
    <w:rsid w:val="00813617"/>
    <w:rsid w:val="00814AD9"/>
    <w:rsid w:val="00815126"/>
    <w:rsid w:val="00815288"/>
    <w:rsid w:val="008153D7"/>
    <w:rsid w:val="008157C9"/>
    <w:rsid w:val="008158AC"/>
    <w:rsid w:val="00817221"/>
    <w:rsid w:val="00817233"/>
    <w:rsid w:val="00820275"/>
    <w:rsid w:val="008213A8"/>
    <w:rsid w:val="008219F0"/>
    <w:rsid w:val="00823C6B"/>
    <w:rsid w:val="00824027"/>
    <w:rsid w:val="008259FB"/>
    <w:rsid w:val="0082745A"/>
    <w:rsid w:val="00830A12"/>
    <w:rsid w:val="00830BFC"/>
    <w:rsid w:val="00831C05"/>
    <w:rsid w:val="008327A7"/>
    <w:rsid w:val="0083281B"/>
    <w:rsid w:val="00833134"/>
    <w:rsid w:val="00834AF2"/>
    <w:rsid w:val="00834EAF"/>
    <w:rsid w:val="00835108"/>
    <w:rsid w:val="00837379"/>
    <w:rsid w:val="00837C52"/>
    <w:rsid w:val="008403A0"/>
    <w:rsid w:val="0084052F"/>
    <w:rsid w:val="00840FEA"/>
    <w:rsid w:val="0084243F"/>
    <w:rsid w:val="008425DC"/>
    <w:rsid w:val="0084327E"/>
    <w:rsid w:val="00845E9D"/>
    <w:rsid w:val="0085059E"/>
    <w:rsid w:val="0085111B"/>
    <w:rsid w:val="008516A3"/>
    <w:rsid w:val="00851F4F"/>
    <w:rsid w:val="00853FE0"/>
    <w:rsid w:val="00856127"/>
    <w:rsid w:val="00856C4D"/>
    <w:rsid w:val="00860505"/>
    <w:rsid w:val="00860FD0"/>
    <w:rsid w:val="00860FE5"/>
    <w:rsid w:val="00863678"/>
    <w:rsid w:val="008638AF"/>
    <w:rsid w:val="00863A12"/>
    <w:rsid w:val="00864FD1"/>
    <w:rsid w:val="008650F2"/>
    <w:rsid w:val="008658D7"/>
    <w:rsid w:val="00865CA0"/>
    <w:rsid w:val="008666F4"/>
    <w:rsid w:val="008669FF"/>
    <w:rsid w:val="00867174"/>
    <w:rsid w:val="008711AE"/>
    <w:rsid w:val="008717BD"/>
    <w:rsid w:val="00871EF4"/>
    <w:rsid w:val="0087252E"/>
    <w:rsid w:val="00872E57"/>
    <w:rsid w:val="008738B4"/>
    <w:rsid w:val="008743F0"/>
    <w:rsid w:val="00874829"/>
    <w:rsid w:val="008757E8"/>
    <w:rsid w:val="008759A3"/>
    <w:rsid w:val="0087625D"/>
    <w:rsid w:val="00876AD4"/>
    <w:rsid w:val="00877579"/>
    <w:rsid w:val="008776D6"/>
    <w:rsid w:val="00877E35"/>
    <w:rsid w:val="008805F9"/>
    <w:rsid w:val="00880891"/>
    <w:rsid w:val="00880A44"/>
    <w:rsid w:val="00881DDB"/>
    <w:rsid w:val="00883A24"/>
    <w:rsid w:val="00884A66"/>
    <w:rsid w:val="008850C7"/>
    <w:rsid w:val="0088531A"/>
    <w:rsid w:val="00885D8E"/>
    <w:rsid w:val="00885F7F"/>
    <w:rsid w:val="008860B5"/>
    <w:rsid w:val="0088705C"/>
    <w:rsid w:val="00890A06"/>
    <w:rsid w:val="008917C3"/>
    <w:rsid w:val="00892E8C"/>
    <w:rsid w:val="00893B43"/>
    <w:rsid w:val="00895006"/>
    <w:rsid w:val="008970A2"/>
    <w:rsid w:val="008A35B2"/>
    <w:rsid w:val="008A46CA"/>
    <w:rsid w:val="008A4DE7"/>
    <w:rsid w:val="008A5EFF"/>
    <w:rsid w:val="008A6882"/>
    <w:rsid w:val="008A72FA"/>
    <w:rsid w:val="008A78E1"/>
    <w:rsid w:val="008B1414"/>
    <w:rsid w:val="008B3509"/>
    <w:rsid w:val="008B386F"/>
    <w:rsid w:val="008B38A8"/>
    <w:rsid w:val="008B3F1C"/>
    <w:rsid w:val="008B4071"/>
    <w:rsid w:val="008B5CFE"/>
    <w:rsid w:val="008B5FEB"/>
    <w:rsid w:val="008B64F3"/>
    <w:rsid w:val="008B74F8"/>
    <w:rsid w:val="008B7C7C"/>
    <w:rsid w:val="008B7DB4"/>
    <w:rsid w:val="008C0AB3"/>
    <w:rsid w:val="008C1532"/>
    <w:rsid w:val="008C2B2D"/>
    <w:rsid w:val="008C2DB7"/>
    <w:rsid w:val="008C3363"/>
    <w:rsid w:val="008C3734"/>
    <w:rsid w:val="008C48DD"/>
    <w:rsid w:val="008C55B2"/>
    <w:rsid w:val="008D067E"/>
    <w:rsid w:val="008D1B92"/>
    <w:rsid w:val="008D2CE5"/>
    <w:rsid w:val="008D3246"/>
    <w:rsid w:val="008D3517"/>
    <w:rsid w:val="008D3F25"/>
    <w:rsid w:val="008D44E9"/>
    <w:rsid w:val="008D4962"/>
    <w:rsid w:val="008E04A4"/>
    <w:rsid w:val="008E0CD0"/>
    <w:rsid w:val="008E1B50"/>
    <w:rsid w:val="008E21D3"/>
    <w:rsid w:val="008E37D1"/>
    <w:rsid w:val="008E39DC"/>
    <w:rsid w:val="008E5808"/>
    <w:rsid w:val="008E6285"/>
    <w:rsid w:val="008E6BC9"/>
    <w:rsid w:val="008E6EC9"/>
    <w:rsid w:val="008E704B"/>
    <w:rsid w:val="008E7322"/>
    <w:rsid w:val="008F0206"/>
    <w:rsid w:val="008F0B8A"/>
    <w:rsid w:val="008F0EFE"/>
    <w:rsid w:val="008F1478"/>
    <w:rsid w:val="008F166B"/>
    <w:rsid w:val="008F2350"/>
    <w:rsid w:val="008F4508"/>
    <w:rsid w:val="008F4F0E"/>
    <w:rsid w:val="008F64A0"/>
    <w:rsid w:val="008F6F3E"/>
    <w:rsid w:val="008F6F6D"/>
    <w:rsid w:val="008F74C4"/>
    <w:rsid w:val="008F7D6E"/>
    <w:rsid w:val="0090014B"/>
    <w:rsid w:val="00900868"/>
    <w:rsid w:val="00901C49"/>
    <w:rsid w:val="00901F8D"/>
    <w:rsid w:val="00902F5D"/>
    <w:rsid w:val="0090399A"/>
    <w:rsid w:val="00905AF1"/>
    <w:rsid w:val="00905DC9"/>
    <w:rsid w:val="0090732F"/>
    <w:rsid w:val="0090769F"/>
    <w:rsid w:val="009076A2"/>
    <w:rsid w:val="009076CF"/>
    <w:rsid w:val="00907C05"/>
    <w:rsid w:val="009112D9"/>
    <w:rsid w:val="009114D1"/>
    <w:rsid w:val="00912903"/>
    <w:rsid w:val="00912BFB"/>
    <w:rsid w:val="0091304F"/>
    <w:rsid w:val="009138E9"/>
    <w:rsid w:val="00914855"/>
    <w:rsid w:val="00914A67"/>
    <w:rsid w:val="00914A9F"/>
    <w:rsid w:val="00914E40"/>
    <w:rsid w:val="00915F6F"/>
    <w:rsid w:val="00916602"/>
    <w:rsid w:val="009170B3"/>
    <w:rsid w:val="0091775F"/>
    <w:rsid w:val="00917C4C"/>
    <w:rsid w:val="00922E79"/>
    <w:rsid w:val="009231FC"/>
    <w:rsid w:val="009232B2"/>
    <w:rsid w:val="00923F20"/>
    <w:rsid w:val="00924CAE"/>
    <w:rsid w:val="00924CE6"/>
    <w:rsid w:val="00925979"/>
    <w:rsid w:val="009262A6"/>
    <w:rsid w:val="00926968"/>
    <w:rsid w:val="009302B0"/>
    <w:rsid w:val="00930C27"/>
    <w:rsid w:val="0093111C"/>
    <w:rsid w:val="00932DF5"/>
    <w:rsid w:val="00933DE8"/>
    <w:rsid w:val="00934443"/>
    <w:rsid w:val="00934727"/>
    <w:rsid w:val="009353CA"/>
    <w:rsid w:val="009369E1"/>
    <w:rsid w:val="00937A20"/>
    <w:rsid w:val="00937BB3"/>
    <w:rsid w:val="009406E4"/>
    <w:rsid w:val="00940B5A"/>
    <w:rsid w:val="00940E3C"/>
    <w:rsid w:val="0094109E"/>
    <w:rsid w:val="00942439"/>
    <w:rsid w:val="00943098"/>
    <w:rsid w:val="00943978"/>
    <w:rsid w:val="00944322"/>
    <w:rsid w:val="0094466C"/>
    <w:rsid w:val="009447EB"/>
    <w:rsid w:val="00944AA8"/>
    <w:rsid w:val="009459DF"/>
    <w:rsid w:val="0094694D"/>
    <w:rsid w:val="00946C33"/>
    <w:rsid w:val="00947B2C"/>
    <w:rsid w:val="0095089C"/>
    <w:rsid w:val="00950B05"/>
    <w:rsid w:val="0095103E"/>
    <w:rsid w:val="009517B0"/>
    <w:rsid w:val="00953B36"/>
    <w:rsid w:val="009542F2"/>
    <w:rsid w:val="009543C5"/>
    <w:rsid w:val="009545FD"/>
    <w:rsid w:val="00955063"/>
    <w:rsid w:val="00957027"/>
    <w:rsid w:val="0095703B"/>
    <w:rsid w:val="009605A1"/>
    <w:rsid w:val="00960C0E"/>
    <w:rsid w:val="009610B5"/>
    <w:rsid w:val="00961473"/>
    <w:rsid w:val="00961EF7"/>
    <w:rsid w:val="00963305"/>
    <w:rsid w:val="00963477"/>
    <w:rsid w:val="00963979"/>
    <w:rsid w:val="00963A74"/>
    <w:rsid w:val="00963DAC"/>
    <w:rsid w:val="00963DCD"/>
    <w:rsid w:val="00964A27"/>
    <w:rsid w:val="0096577F"/>
    <w:rsid w:val="009658EF"/>
    <w:rsid w:val="00965D5F"/>
    <w:rsid w:val="0096652A"/>
    <w:rsid w:val="009675CF"/>
    <w:rsid w:val="00971075"/>
    <w:rsid w:val="00971640"/>
    <w:rsid w:val="009718F6"/>
    <w:rsid w:val="00972189"/>
    <w:rsid w:val="00972B7D"/>
    <w:rsid w:val="00974212"/>
    <w:rsid w:val="00974906"/>
    <w:rsid w:val="00974ABC"/>
    <w:rsid w:val="00975B9F"/>
    <w:rsid w:val="00975C78"/>
    <w:rsid w:val="00975CFD"/>
    <w:rsid w:val="0097624C"/>
    <w:rsid w:val="0097660D"/>
    <w:rsid w:val="00976BE2"/>
    <w:rsid w:val="009775EE"/>
    <w:rsid w:val="00977929"/>
    <w:rsid w:val="00977FA7"/>
    <w:rsid w:val="00981B9A"/>
    <w:rsid w:val="00981C1F"/>
    <w:rsid w:val="00982AFE"/>
    <w:rsid w:val="0098369A"/>
    <w:rsid w:val="00984E61"/>
    <w:rsid w:val="00985AFE"/>
    <w:rsid w:val="00985B7F"/>
    <w:rsid w:val="00987C16"/>
    <w:rsid w:val="0099068F"/>
    <w:rsid w:val="0099089C"/>
    <w:rsid w:val="00991604"/>
    <w:rsid w:val="009919D5"/>
    <w:rsid w:val="00992622"/>
    <w:rsid w:val="00992F7A"/>
    <w:rsid w:val="009930FA"/>
    <w:rsid w:val="00993FD2"/>
    <w:rsid w:val="009957B0"/>
    <w:rsid w:val="009A109C"/>
    <w:rsid w:val="009A129E"/>
    <w:rsid w:val="009A1664"/>
    <w:rsid w:val="009A1B76"/>
    <w:rsid w:val="009A1C8E"/>
    <w:rsid w:val="009A3C10"/>
    <w:rsid w:val="009A3CA1"/>
    <w:rsid w:val="009A48BE"/>
    <w:rsid w:val="009A534F"/>
    <w:rsid w:val="009A5624"/>
    <w:rsid w:val="009A68F0"/>
    <w:rsid w:val="009A6AFF"/>
    <w:rsid w:val="009B06CF"/>
    <w:rsid w:val="009B0B00"/>
    <w:rsid w:val="009B0CFC"/>
    <w:rsid w:val="009B2738"/>
    <w:rsid w:val="009B2D9E"/>
    <w:rsid w:val="009B2FF7"/>
    <w:rsid w:val="009B5030"/>
    <w:rsid w:val="009B6B99"/>
    <w:rsid w:val="009B6BDB"/>
    <w:rsid w:val="009B7677"/>
    <w:rsid w:val="009B76AD"/>
    <w:rsid w:val="009B783E"/>
    <w:rsid w:val="009B798A"/>
    <w:rsid w:val="009C0FD7"/>
    <w:rsid w:val="009C121E"/>
    <w:rsid w:val="009C1932"/>
    <w:rsid w:val="009C1D75"/>
    <w:rsid w:val="009C3113"/>
    <w:rsid w:val="009C3803"/>
    <w:rsid w:val="009C3CC1"/>
    <w:rsid w:val="009C6EAB"/>
    <w:rsid w:val="009C71F2"/>
    <w:rsid w:val="009D089F"/>
    <w:rsid w:val="009D0E36"/>
    <w:rsid w:val="009D1BA3"/>
    <w:rsid w:val="009D2973"/>
    <w:rsid w:val="009D4B0E"/>
    <w:rsid w:val="009D5574"/>
    <w:rsid w:val="009D56A4"/>
    <w:rsid w:val="009D5DC6"/>
    <w:rsid w:val="009D63BC"/>
    <w:rsid w:val="009D6A53"/>
    <w:rsid w:val="009E0201"/>
    <w:rsid w:val="009E058D"/>
    <w:rsid w:val="009E0E60"/>
    <w:rsid w:val="009E2E24"/>
    <w:rsid w:val="009E2F2C"/>
    <w:rsid w:val="009E2FDE"/>
    <w:rsid w:val="009E368A"/>
    <w:rsid w:val="009E3777"/>
    <w:rsid w:val="009E42EF"/>
    <w:rsid w:val="009E491B"/>
    <w:rsid w:val="009E509E"/>
    <w:rsid w:val="009E5638"/>
    <w:rsid w:val="009E746D"/>
    <w:rsid w:val="009E7502"/>
    <w:rsid w:val="009E78D1"/>
    <w:rsid w:val="009F0527"/>
    <w:rsid w:val="009F1412"/>
    <w:rsid w:val="009F1CB5"/>
    <w:rsid w:val="009F3D0F"/>
    <w:rsid w:val="009F3FA1"/>
    <w:rsid w:val="009F40D1"/>
    <w:rsid w:val="009F4CCD"/>
    <w:rsid w:val="009F5723"/>
    <w:rsid w:val="009F5CEE"/>
    <w:rsid w:val="009F7DF5"/>
    <w:rsid w:val="00A00506"/>
    <w:rsid w:val="00A013F4"/>
    <w:rsid w:val="00A01908"/>
    <w:rsid w:val="00A023E3"/>
    <w:rsid w:val="00A032BC"/>
    <w:rsid w:val="00A045A6"/>
    <w:rsid w:val="00A04D74"/>
    <w:rsid w:val="00A05EB2"/>
    <w:rsid w:val="00A07239"/>
    <w:rsid w:val="00A108DA"/>
    <w:rsid w:val="00A10D3E"/>
    <w:rsid w:val="00A11E2D"/>
    <w:rsid w:val="00A12136"/>
    <w:rsid w:val="00A1218E"/>
    <w:rsid w:val="00A124B7"/>
    <w:rsid w:val="00A12A94"/>
    <w:rsid w:val="00A1311F"/>
    <w:rsid w:val="00A21497"/>
    <w:rsid w:val="00A21BAC"/>
    <w:rsid w:val="00A22308"/>
    <w:rsid w:val="00A23A61"/>
    <w:rsid w:val="00A25CBE"/>
    <w:rsid w:val="00A2683D"/>
    <w:rsid w:val="00A26FEB"/>
    <w:rsid w:val="00A302AD"/>
    <w:rsid w:val="00A30E2E"/>
    <w:rsid w:val="00A31247"/>
    <w:rsid w:val="00A33078"/>
    <w:rsid w:val="00A33923"/>
    <w:rsid w:val="00A33C37"/>
    <w:rsid w:val="00A34C60"/>
    <w:rsid w:val="00A3614D"/>
    <w:rsid w:val="00A368BD"/>
    <w:rsid w:val="00A36B2F"/>
    <w:rsid w:val="00A374D3"/>
    <w:rsid w:val="00A37C72"/>
    <w:rsid w:val="00A40089"/>
    <w:rsid w:val="00A4185D"/>
    <w:rsid w:val="00A41894"/>
    <w:rsid w:val="00A41B60"/>
    <w:rsid w:val="00A4300A"/>
    <w:rsid w:val="00A4387A"/>
    <w:rsid w:val="00A43A95"/>
    <w:rsid w:val="00A43E7F"/>
    <w:rsid w:val="00A43FB8"/>
    <w:rsid w:val="00A44B48"/>
    <w:rsid w:val="00A45377"/>
    <w:rsid w:val="00A46A41"/>
    <w:rsid w:val="00A46E31"/>
    <w:rsid w:val="00A50E68"/>
    <w:rsid w:val="00A530BA"/>
    <w:rsid w:val="00A53CEA"/>
    <w:rsid w:val="00A54174"/>
    <w:rsid w:val="00A544FA"/>
    <w:rsid w:val="00A5528C"/>
    <w:rsid w:val="00A55D85"/>
    <w:rsid w:val="00A57029"/>
    <w:rsid w:val="00A57470"/>
    <w:rsid w:val="00A61383"/>
    <w:rsid w:val="00A626FA"/>
    <w:rsid w:val="00A62C83"/>
    <w:rsid w:val="00A63960"/>
    <w:rsid w:val="00A63B36"/>
    <w:rsid w:val="00A63CE8"/>
    <w:rsid w:val="00A64662"/>
    <w:rsid w:val="00A649B1"/>
    <w:rsid w:val="00A65B3A"/>
    <w:rsid w:val="00A66926"/>
    <w:rsid w:val="00A676EE"/>
    <w:rsid w:val="00A705E5"/>
    <w:rsid w:val="00A709F9"/>
    <w:rsid w:val="00A70EC4"/>
    <w:rsid w:val="00A73A53"/>
    <w:rsid w:val="00A74E85"/>
    <w:rsid w:val="00A755C6"/>
    <w:rsid w:val="00A75B82"/>
    <w:rsid w:val="00A75D26"/>
    <w:rsid w:val="00A7787A"/>
    <w:rsid w:val="00A8021B"/>
    <w:rsid w:val="00A81F3B"/>
    <w:rsid w:val="00A83D80"/>
    <w:rsid w:val="00A86054"/>
    <w:rsid w:val="00A860A1"/>
    <w:rsid w:val="00A862B1"/>
    <w:rsid w:val="00A86848"/>
    <w:rsid w:val="00A87EB5"/>
    <w:rsid w:val="00A901AA"/>
    <w:rsid w:val="00A90DE4"/>
    <w:rsid w:val="00A91DCE"/>
    <w:rsid w:val="00A9205F"/>
    <w:rsid w:val="00A934F0"/>
    <w:rsid w:val="00A93FA2"/>
    <w:rsid w:val="00A94082"/>
    <w:rsid w:val="00A95079"/>
    <w:rsid w:val="00A9547E"/>
    <w:rsid w:val="00A9638A"/>
    <w:rsid w:val="00A96A3E"/>
    <w:rsid w:val="00AA0CB6"/>
    <w:rsid w:val="00AA13CC"/>
    <w:rsid w:val="00AA16B7"/>
    <w:rsid w:val="00AA24C7"/>
    <w:rsid w:val="00AA2616"/>
    <w:rsid w:val="00AA28C1"/>
    <w:rsid w:val="00AA2A62"/>
    <w:rsid w:val="00AA2B99"/>
    <w:rsid w:val="00AA2CE1"/>
    <w:rsid w:val="00AA2DA1"/>
    <w:rsid w:val="00AA448B"/>
    <w:rsid w:val="00AA4739"/>
    <w:rsid w:val="00AA4E03"/>
    <w:rsid w:val="00AA4F06"/>
    <w:rsid w:val="00AA530E"/>
    <w:rsid w:val="00AA63DB"/>
    <w:rsid w:val="00AA7223"/>
    <w:rsid w:val="00AA7C1F"/>
    <w:rsid w:val="00AB062C"/>
    <w:rsid w:val="00AB23EB"/>
    <w:rsid w:val="00AB2A0D"/>
    <w:rsid w:val="00AB2E4A"/>
    <w:rsid w:val="00AB3A55"/>
    <w:rsid w:val="00AB5892"/>
    <w:rsid w:val="00AB5E81"/>
    <w:rsid w:val="00AB6269"/>
    <w:rsid w:val="00AB6FDF"/>
    <w:rsid w:val="00AB7303"/>
    <w:rsid w:val="00AB73B4"/>
    <w:rsid w:val="00AB73B6"/>
    <w:rsid w:val="00AB7998"/>
    <w:rsid w:val="00AC07EC"/>
    <w:rsid w:val="00AC0CFF"/>
    <w:rsid w:val="00AC1F68"/>
    <w:rsid w:val="00AC31F2"/>
    <w:rsid w:val="00AC3569"/>
    <w:rsid w:val="00AC36C5"/>
    <w:rsid w:val="00AC3C1B"/>
    <w:rsid w:val="00AC40C7"/>
    <w:rsid w:val="00AC4950"/>
    <w:rsid w:val="00AC4F73"/>
    <w:rsid w:val="00AC5421"/>
    <w:rsid w:val="00AC54E0"/>
    <w:rsid w:val="00AC58DC"/>
    <w:rsid w:val="00AC6950"/>
    <w:rsid w:val="00AC7312"/>
    <w:rsid w:val="00AC7FD8"/>
    <w:rsid w:val="00AD0734"/>
    <w:rsid w:val="00AD2B60"/>
    <w:rsid w:val="00AD2B84"/>
    <w:rsid w:val="00AD340D"/>
    <w:rsid w:val="00AD362C"/>
    <w:rsid w:val="00AD3943"/>
    <w:rsid w:val="00AD3BAF"/>
    <w:rsid w:val="00AD435D"/>
    <w:rsid w:val="00AD45BC"/>
    <w:rsid w:val="00AD47F1"/>
    <w:rsid w:val="00AD4E40"/>
    <w:rsid w:val="00AD5E3D"/>
    <w:rsid w:val="00AD68FC"/>
    <w:rsid w:val="00AD6ECE"/>
    <w:rsid w:val="00AD7659"/>
    <w:rsid w:val="00AE1322"/>
    <w:rsid w:val="00AE2860"/>
    <w:rsid w:val="00AE456A"/>
    <w:rsid w:val="00AE48E0"/>
    <w:rsid w:val="00AE5EAE"/>
    <w:rsid w:val="00AE756D"/>
    <w:rsid w:val="00AF02D9"/>
    <w:rsid w:val="00AF0454"/>
    <w:rsid w:val="00AF0BC4"/>
    <w:rsid w:val="00AF17AC"/>
    <w:rsid w:val="00AF21B5"/>
    <w:rsid w:val="00AF30AD"/>
    <w:rsid w:val="00AF35EC"/>
    <w:rsid w:val="00AF3A75"/>
    <w:rsid w:val="00AF54FA"/>
    <w:rsid w:val="00AF706C"/>
    <w:rsid w:val="00AF7703"/>
    <w:rsid w:val="00AF7EB5"/>
    <w:rsid w:val="00B007E8"/>
    <w:rsid w:val="00B00B2B"/>
    <w:rsid w:val="00B0365F"/>
    <w:rsid w:val="00B04221"/>
    <w:rsid w:val="00B05AA6"/>
    <w:rsid w:val="00B06B21"/>
    <w:rsid w:val="00B10681"/>
    <w:rsid w:val="00B10A85"/>
    <w:rsid w:val="00B1155D"/>
    <w:rsid w:val="00B11DAD"/>
    <w:rsid w:val="00B120C9"/>
    <w:rsid w:val="00B1289E"/>
    <w:rsid w:val="00B12D73"/>
    <w:rsid w:val="00B1336E"/>
    <w:rsid w:val="00B14A62"/>
    <w:rsid w:val="00B1565D"/>
    <w:rsid w:val="00B160DF"/>
    <w:rsid w:val="00B16ACA"/>
    <w:rsid w:val="00B17B25"/>
    <w:rsid w:val="00B17C83"/>
    <w:rsid w:val="00B20934"/>
    <w:rsid w:val="00B21C13"/>
    <w:rsid w:val="00B21E73"/>
    <w:rsid w:val="00B23357"/>
    <w:rsid w:val="00B23388"/>
    <w:rsid w:val="00B2344A"/>
    <w:rsid w:val="00B23831"/>
    <w:rsid w:val="00B238F9"/>
    <w:rsid w:val="00B23A18"/>
    <w:rsid w:val="00B256CB"/>
    <w:rsid w:val="00B25E67"/>
    <w:rsid w:val="00B267BF"/>
    <w:rsid w:val="00B27479"/>
    <w:rsid w:val="00B30240"/>
    <w:rsid w:val="00B30A65"/>
    <w:rsid w:val="00B31C5A"/>
    <w:rsid w:val="00B322F1"/>
    <w:rsid w:val="00B32F9E"/>
    <w:rsid w:val="00B33CDA"/>
    <w:rsid w:val="00B33D01"/>
    <w:rsid w:val="00B33E0B"/>
    <w:rsid w:val="00B3495C"/>
    <w:rsid w:val="00B35115"/>
    <w:rsid w:val="00B35979"/>
    <w:rsid w:val="00B364B4"/>
    <w:rsid w:val="00B40191"/>
    <w:rsid w:val="00B4111A"/>
    <w:rsid w:val="00B414DD"/>
    <w:rsid w:val="00B42C93"/>
    <w:rsid w:val="00B430F0"/>
    <w:rsid w:val="00B43256"/>
    <w:rsid w:val="00B4354C"/>
    <w:rsid w:val="00B447B1"/>
    <w:rsid w:val="00B449F9"/>
    <w:rsid w:val="00B4513E"/>
    <w:rsid w:val="00B452AB"/>
    <w:rsid w:val="00B459ED"/>
    <w:rsid w:val="00B45E20"/>
    <w:rsid w:val="00B46295"/>
    <w:rsid w:val="00B46918"/>
    <w:rsid w:val="00B46A84"/>
    <w:rsid w:val="00B503DE"/>
    <w:rsid w:val="00B505F6"/>
    <w:rsid w:val="00B5086C"/>
    <w:rsid w:val="00B50F92"/>
    <w:rsid w:val="00B52050"/>
    <w:rsid w:val="00B53887"/>
    <w:rsid w:val="00B5449A"/>
    <w:rsid w:val="00B55D37"/>
    <w:rsid w:val="00B568AF"/>
    <w:rsid w:val="00B56DA5"/>
    <w:rsid w:val="00B572A8"/>
    <w:rsid w:val="00B605D2"/>
    <w:rsid w:val="00B61F3F"/>
    <w:rsid w:val="00B61FE1"/>
    <w:rsid w:val="00B6340E"/>
    <w:rsid w:val="00B653C4"/>
    <w:rsid w:val="00B655A3"/>
    <w:rsid w:val="00B66347"/>
    <w:rsid w:val="00B6647E"/>
    <w:rsid w:val="00B729B7"/>
    <w:rsid w:val="00B736BC"/>
    <w:rsid w:val="00B73823"/>
    <w:rsid w:val="00B742EE"/>
    <w:rsid w:val="00B74610"/>
    <w:rsid w:val="00B74EEC"/>
    <w:rsid w:val="00B8191F"/>
    <w:rsid w:val="00B81B54"/>
    <w:rsid w:val="00B81C46"/>
    <w:rsid w:val="00B8265F"/>
    <w:rsid w:val="00B8299C"/>
    <w:rsid w:val="00B82BB7"/>
    <w:rsid w:val="00B83A06"/>
    <w:rsid w:val="00B84278"/>
    <w:rsid w:val="00B84EFD"/>
    <w:rsid w:val="00B85025"/>
    <w:rsid w:val="00B851C7"/>
    <w:rsid w:val="00B8542B"/>
    <w:rsid w:val="00B9051B"/>
    <w:rsid w:val="00B90758"/>
    <w:rsid w:val="00B90DE0"/>
    <w:rsid w:val="00B9122A"/>
    <w:rsid w:val="00B914C6"/>
    <w:rsid w:val="00B91A29"/>
    <w:rsid w:val="00B92356"/>
    <w:rsid w:val="00B92CF7"/>
    <w:rsid w:val="00B92DE6"/>
    <w:rsid w:val="00B934F3"/>
    <w:rsid w:val="00B9570E"/>
    <w:rsid w:val="00BA0079"/>
    <w:rsid w:val="00BA05E8"/>
    <w:rsid w:val="00BA1307"/>
    <w:rsid w:val="00BA1DBF"/>
    <w:rsid w:val="00BA36F8"/>
    <w:rsid w:val="00BA3957"/>
    <w:rsid w:val="00BA3A16"/>
    <w:rsid w:val="00BA3D1E"/>
    <w:rsid w:val="00BA3EF9"/>
    <w:rsid w:val="00BA45FC"/>
    <w:rsid w:val="00BA5118"/>
    <w:rsid w:val="00BA6D0E"/>
    <w:rsid w:val="00BB226A"/>
    <w:rsid w:val="00BB24B6"/>
    <w:rsid w:val="00BB2566"/>
    <w:rsid w:val="00BB35C6"/>
    <w:rsid w:val="00BB42E5"/>
    <w:rsid w:val="00BB44B0"/>
    <w:rsid w:val="00BB5763"/>
    <w:rsid w:val="00BB5D7D"/>
    <w:rsid w:val="00BB6952"/>
    <w:rsid w:val="00BB6D1A"/>
    <w:rsid w:val="00BB7C84"/>
    <w:rsid w:val="00BC1045"/>
    <w:rsid w:val="00BC2D94"/>
    <w:rsid w:val="00BC3255"/>
    <w:rsid w:val="00BC3278"/>
    <w:rsid w:val="00BC3432"/>
    <w:rsid w:val="00BC3622"/>
    <w:rsid w:val="00BC44FA"/>
    <w:rsid w:val="00BC52EE"/>
    <w:rsid w:val="00BC6945"/>
    <w:rsid w:val="00BC73D6"/>
    <w:rsid w:val="00BC7690"/>
    <w:rsid w:val="00BC7B41"/>
    <w:rsid w:val="00BD05A4"/>
    <w:rsid w:val="00BD18C8"/>
    <w:rsid w:val="00BD1CAA"/>
    <w:rsid w:val="00BD2294"/>
    <w:rsid w:val="00BD260E"/>
    <w:rsid w:val="00BD2D36"/>
    <w:rsid w:val="00BD3ABE"/>
    <w:rsid w:val="00BD56F8"/>
    <w:rsid w:val="00BD576D"/>
    <w:rsid w:val="00BD64CE"/>
    <w:rsid w:val="00BD695E"/>
    <w:rsid w:val="00BD6F91"/>
    <w:rsid w:val="00BD7275"/>
    <w:rsid w:val="00BE0940"/>
    <w:rsid w:val="00BE182F"/>
    <w:rsid w:val="00BE21F8"/>
    <w:rsid w:val="00BE322D"/>
    <w:rsid w:val="00BE38CF"/>
    <w:rsid w:val="00BE4E65"/>
    <w:rsid w:val="00BE5508"/>
    <w:rsid w:val="00BE6483"/>
    <w:rsid w:val="00BE66E5"/>
    <w:rsid w:val="00BE6783"/>
    <w:rsid w:val="00BE7BA2"/>
    <w:rsid w:val="00BE7F9F"/>
    <w:rsid w:val="00BF041C"/>
    <w:rsid w:val="00BF0859"/>
    <w:rsid w:val="00BF13FA"/>
    <w:rsid w:val="00BF1AF5"/>
    <w:rsid w:val="00BF1BD1"/>
    <w:rsid w:val="00BF2C69"/>
    <w:rsid w:val="00BF3D3F"/>
    <w:rsid w:val="00BF46E4"/>
    <w:rsid w:val="00BF5B9C"/>
    <w:rsid w:val="00BF70DF"/>
    <w:rsid w:val="00BF7401"/>
    <w:rsid w:val="00BF7796"/>
    <w:rsid w:val="00C014A8"/>
    <w:rsid w:val="00C01F9A"/>
    <w:rsid w:val="00C0246E"/>
    <w:rsid w:val="00C0250E"/>
    <w:rsid w:val="00C026A5"/>
    <w:rsid w:val="00C04F26"/>
    <w:rsid w:val="00C054AC"/>
    <w:rsid w:val="00C05E46"/>
    <w:rsid w:val="00C06325"/>
    <w:rsid w:val="00C06418"/>
    <w:rsid w:val="00C06A4D"/>
    <w:rsid w:val="00C07345"/>
    <w:rsid w:val="00C077F6"/>
    <w:rsid w:val="00C0781D"/>
    <w:rsid w:val="00C07FF8"/>
    <w:rsid w:val="00C10AE2"/>
    <w:rsid w:val="00C115E0"/>
    <w:rsid w:val="00C13239"/>
    <w:rsid w:val="00C13B57"/>
    <w:rsid w:val="00C1410A"/>
    <w:rsid w:val="00C14D4D"/>
    <w:rsid w:val="00C1734A"/>
    <w:rsid w:val="00C1734B"/>
    <w:rsid w:val="00C205D6"/>
    <w:rsid w:val="00C2155A"/>
    <w:rsid w:val="00C21B5D"/>
    <w:rsid w:val="00C222B1"/>
    <w:rsid w:val="00C2319D"/>
    <w:rsid w:val="00C236A6"/>
    <w:rsid w:val="00C23893"/>
    <w:rsid w:val="00C25FF8"/>
    <w:rsid w:val="00C26006"/>
    <w:rsid w:val="00C26366"/>
    <w:rsid w:val="00C26BBE"/>
    <w:rsid w:val="00C27653"/>
    <w:rsid w:val="00C3084D"/>
    <w:rsid w:val="00C30F06"/>
    <w:rsid w:val="00C312AC"/>
    <w:rsid w:val="00C3179A"/>
    <w:rsid w:val="00C32280"/>
    <w:rsid w:val="00C32930"/>
    <w:rsid w:val="00C32936"/>
    <w:rsid w:val="00C33A7D"/>
    <w:rsid w:val="00C34146"/>
    <w:rsid w:val="00C3446D"/>
    <w:rsid w:val="00C34C28"/>
    <w:rsid w:val="00C36525"/>
    <w:rsid w:val="00C36763"/>
    <w:rsid w:val="00C36EE2"/>
    <w:rsid w:val="00C36F54"/>
    <w:rsid w:val="00C37402"/>
    <w:rsid w:val="00C37B96"/>
    <w:rsid w:val="00C37DD8"/>
    <w:rsid w:val="00C411B8"/>
    <w:rsid w:val="00C43A85"/>
    <w:rsid w:val="00C43F8F"/>
    <w:rsid w:val="00C44D98"/>
    <w:rsid w:val="00C455C5"/>
    <w:rsid w:val="00C45F35"/>
    <w:rsid w:val="00C4642B"/>
    <w:rsid w:val="00C46AB2"/>
    <w:rsid w:val="00C50EF7"/>
    <w:rsid w:val="00C51D12"/>
    <w:rsid w:val="00C5279C"/>
    <w:rsid w:val="00C529F6"/>
    <w:rsid w:val="00C52ABD"/>
    <w:rsid w:val="00C5508B"/>
    <w:rsid w:val="00C55927"/>
    <w:rsid w:val="00C560D6"/>
    <w:rsid w:val="00C56658"/>
    <w:rsid w:val="00C56E81"/>
    <w:rsid w:val="00C60BCF"/>
    <w:rsid w:val="00C60DEB"/>
    <w:rsid w:val="00C61BB8"/>
    <w:rsid w:val="00C624A7"/>
    <w:rsid w:val="00C6330F"/>
    <w:rsid w:val="00C63377"/>
    <w:rsid w:val="00C6354E"/>
    <w:rsid w:val="00C63642"/>
    <w:rsid w:val="00C63749"/>
    <w:rsid w:val="00C646FA"/>
    <w:rsid w:val="00C64DD9"/>
    <w:rsid w:val="00C64E67"/>
    <w:rsid w:val="00C6504E"/>
    <w:rsid w:val="00C66177"/>
    <w:rsid w:val="00C66C1A"/>
    <w:rsid w:val="00C67210"/>
    <w:rsid w:val="00C67747"/>
    <w:rsid w:val="00C71742"/>
    <w:rsid w:val="00C720D4"/>
    <w:rsid w:val="00C72D53"/>
    <w:rsid w:val="00C72F38"/>
    <w:rsid w:val="00C7410F"/>
    <w:rsid w:val="00C74FAC"/>
    <w:rsid w:val="00C752FB"/>
    <w:rsid w:val="00C754FE"/>
    <w:rsid w:val="00C7569E"/>
    <w:rsid w:val="00C75911"/>
    <w:rsid w:val="00C75DDC"/>
    <w:rsid w:val="00C773FF"/>
    <w:rsid w:val="00C77B78"/>
    <w:rsid w:val="00C77DF1"/>
    <w:rsid w:val="00C804CD"/>
    <w:rsid w:val="00C811B9"/>
    <w:rsid w:val="00C8147C"/>
    <w:rsid w:val="00C824D2"/>
    <w:rsid w:val="00C830CD"/>
    <w:rsid w:val="00C84780"/>
    <w:rsid w:val="00C859C5"/>
    <w:rsid w:val="00C8656B"/>
    <w:rsid w:val="00C86ABA"/>
    <w:rsid w:val="00C91F9A"/>
    <w:rsid w:val="00C93397"/>
    <w:rsid w:val="00C9354C"/>
    <w:rsid w:val="00C93700"/>
    <w:rsid w:val="00C93A33"/>
    <w:rsid w:val="00C940F8"/>
    <w:rsid w:val="00C95817"/>
    <w:rsid w:val="00C96C31"/>
    <w:rsid w:val="00C97591"/>
    <w:rsid w:val="00C97B68"/>
    <w:rsid w:val="00CA05E1"/>
    <w:rsid w:val="00CA1D1E"/>
    <w:rsid w:val="00CA22A6"/>
    <w:rsid w:val="00CA2BCE"/>
    <w:rsid w:val="00CA2C17"/>
    <w:rsid w:val="00CA3F06"/>
    <w:rsid w:val="00CA3FE1"/>
    <w:rsid w:val="00CA49A0"/>
    <w:rsid w:val="00CA4FC3"/>
    <w:rsid w:val="00CA5129"/>
    <w:rsid w:val="00CA54C5"/>
    <w:rsid w:val="00CA6730"/>
    <w:rsid w:val="00CA6F8A"/>
    <w:rsid w:val="00CA719C"/>
    <w:rsid w:val="00CA7BA0"/>
    <w:rsid w:val="00CB2198"/>
    <w:rsid w:val="00CB21AD"/>
    <w:rsid w:val="00CB2724"/>
    <w:rsid w:val="00CB327B"/>
    <w:rsid w:val="00CB53EA"/>
    <w:rsid w:val="00CB69BD"/>
    <w:rsid w:val="00CB736C"/>
    <w:rsid w:val="00CC001A"/>
    <w:rsid w:val="00CC0717"/>
    <w:rsid w:val="00CC0D8D"/>
    <w:rsid w:val="00CC28E1"/>
    <w:rsid w:val="00CC2E9C"/>
    <w:rsid w:val="00CC37A0"/>
    <w:rsid w:val="00CC3DE5"/>
    <w:rsid w:val="00CC4C34"/>
    <w:rsid w:val="00CC5238"/>
    <w:rsid w:val="00CC7B85"/>
    <w:rsid w:val="00CD1391"/>
    <w:rsid w:val="00CD26FE"/>
    <w:rsid w:val="00CD5115"/>
    <w:rsid w:val="00CD674C"/>
    <w:rsid w:val="00CD6AD0"/>
    <w:rsid w:val="00CD6ADE"/>
    <w:rsid w:val="00CD7089"/>
    <w:rsid w:val="00CE0DEF"/>
    <w:rsid w:val="00CE1C47"/>
    <w:rsid w:val="00CE24C8"/>
    <w:rsid w:val="00CE292F"/>
    <w:rsid w:val="00CE2A07"/>
    <w:rsid w:val="00CE2CA6"/>
    <w:rsid w:val="00CE43E2"/>
    <w:rsid w:val="00CE4B5D"/>
    <w:rsid w:val="00CE51C5"/>
    <w:rsid w:val="00CE6110"/>
    <w:rsid w:val="00CE74CE"/>
    <w:rsid w:val="00CE7A4A"/>
    <w:rsid w:val="00CE7D40"/>
    <w:rsid w:val="00CF0580"/>
    <w:rsid w:val="00CF06DA"/>
    <w:rsid w:val="00CF0F0B"/>
    <w:rsid w:val="00CF13F7"/>
    <w:rsid w:val="00CF17FE"/>
    <w:rsid w:val="00CF1F40"/>
    <w:rsid w:val="00CF31C5"/>
    <w:rsid w:val="00CF3F5F"/>
    <w:rsid w:val="00CF4322"/>
    <w:rsid w:val="00CF44F1"/>
    <w:rsid w:val="00CF51BB"/>
    <w:rsid w:val="00CF768D"/>
    <w:rsid w:val="00CF7945"/>
    <w:rsid w:val="00CF7EF7"/>
    <w:rsid w:val="00D00901"/>
    <w:rsid w:val="00D0282B"/>
    <w:rsid w:val="00D03472"/>
    <w:rsid w:val="00D03F17"/>
    <w:rsid w:val="00D04922"/>
    <w:rsid w:val="00D050A8"/>
    <w:rsid w:val="00D06768"/>
    <w:rsid w:val="00D06A87"/>
    <w:rsid w:val="00D06FF8"/>
    <w:rsid w:val="00D07622"/>
    <w:rsid w:val="00D10530"/>
    <w:rsid w:val="00D1087F"/>
    <w:rsid w:val="00D109AF"/>
    <w:rsid w:val="00D10E40"/>
    <w:rsid w:val="00D10FBE"/>
    <w:rsid w:val="00D1293F"/>
    <w:rsid w:val="00D12CFA"/>
    <w:rsid w:val="00D13872"/>
    <w:rsid w:val="00D13893"/>
    <w:rsid w:val="00D15CF7"/>
    <w:rsid w:val="00D1641F"/>
    <w:rsid w:val="00D1797A"/>
    <w:rsid w:val="00D20781"/>
    <w:rsid w:val="00D20BB6"/>
    <w:rsid w:val="00D216E3"/>
    <w:rsid w:val="00D21BFD"/>
    <w:rsid w:val="00D21D06"/>
    <w:rsid w:val="00D21FA8"/>
    <w:rsid w:val="00D23071"/>
    <w:rsid w:val="00D231B7"/>
    <w:rsid w:val="00D23596"/>
    <w:rsid w:val="00D2388E"/>
    <w:rsid w:val="00D23B95"/>
    <w:rsid w:val="00D23EB1"/>
    <w:rsid w:val="00D245B6"/>
    <w:rsid w:val="00D248CD"/>
    <w:rsid w:val="00D24BEC"/>
    <w:rsid w:val="00D25F39"/>
    <w:rsid w:val="00D26B5D"/>
    <w:rsid w:val="00D27330"/>
    <w:rsid w:val="00D27CC7"/>
    <w:rsid w:val="00D31751"/>
    <w:rsid w:val="00D31C32"/>
    <w:rsid w:val="00D32069"/>
    <w:rsid w:val="00D32183"/>
    <w:rsid w:val="00D32319"/>
    <w:rsid w:val="00D32D6A"/>
    <w:rsid w:val="00D34369"/>
    <w:rsid w:val="00D350F9"/>
    <w:rsid w:val="00D35924"/>
    <w:rsid w:val="00D36451"/>
    <w:rsid w:val="00D36873"/>
    <w:rsid w:val="00D37ACC"/>
    <w:rsid w:val="00D41AAB"/>
    <w:rsid w:val="00D41D25"/>
    <w:rsid w:val="00D41FA4"/>
    <w:rsid w:val="00D42174"/>
    <w:rsid w:val="00D42370"/>
    <w:rsid w:val="00D42B70"/>
    <w:rsid w:val="00D4325F"/>
    <w:rsid w:val="00D4335F"/>
    <w:rsid w:val="00D437BC"/>
    <w:rsid w:val="00D438A7"/>
    <w:rsid w:val="00D43E92"/>
    <w:rsid w:val="00D44C6D"/>
    <w:rsid w:val="00D4675C"/>
    <w:rsid w:val="00D47643"/>
    <w:rsid w:val="00D50D11"/>
    <w:rsid w:val="00D50E3D"/>
    <w:rsid w:val="00D54492"/>
    <w:rsid w:val="00D5480E"/>
    <w:rsid w:val="00D54E3A"/>
    <w:rsid w:val="00D54E46"/>
    <w:rsid w:val="00D55682"/>
    <w:rsid w:val="00D5687D"/>
    <w:rsid w:val="00D56AFA"/>
    <w:rsid w:val="00D56B58"/>
    <w:rsid w:val="00D571B2"/>
    <w:rsid w:val="00D61B98"/>
    <w:rsid w:val="00D6203E"/>
    <w:rsid w:val="00D62C53"/>
    <w:rsid w:val="00D62F34"/>
    <w:rsid w:val="00D63546"/>
    <w:rsid w:val="00D642E8"/>
    <w:rsid w:val="00D644BE"/>
    <w:rsid w:val="00D6536D"/>
    <w:rsid w:val="00D66966"/>
    <w:rsid w:val="00D66B01"/>
    <w:rsid w:val="00D679B0"/>
    <w:rsid w:val="00D707C1"/>
    <w:rsid w:val="00D70880"/>
    <w:rsid w:val="00D72403"/>
    <w:rsid w:val="00D72F26"/>
    <w:rsid w:val="00D733E4"/>
    <w:rsid w:val="00D73E85"/>
    <w:rsid w:val="00D742EA"/>
    <w:rsid w:val="00D760C0"/>
    <w:rsid w:val="00D7689E"/>
    <w:rsid w:val="00D76CCD"/>
    <w:rsid w:val="00D76F7D"/>
    <w:rsid w:val="00D76F80"/>
    <w:rsid w:val="00D770BF"/>
    <w:rsid w:val="00D7764A"/>
    <w:rsid w:val="00D80D8F"/>
    <w:rsid w:val="00D848A6"/>
    <w:rsid w:val="00D85384"/>
    <w:rsid w:val="00D8556C"/>
    <w:rsid w:val="00D859E3"/>
    <w:rsid w:val="00D85A52"/>
    <w:rsid w:val="00D87B3B"/>
    <w:rsid w:val="00D90103"/>
    <w:rsid w:val="00D9089D"/>
    <w:rsid w:val="00D9128F"/>
    <w:rsid w:val="00D9139C"/>
    <w:rsid w:val="00D920F9"/>
    <w:rsid w:val="00D9267F"/>
    <w:rsid w:val="00D92DDD"/>
    <w:rsid w:val="00D92DEB"/>
    <w:rsid w:val="00D9432C"/>
    <w:rsid w:val="00D95B02"/>
    <w:rsid w:val="00D95D7E"/>
    <w:rsid w:val="00DA0F2F"/>
    <w:rsid w:val="00DA27F2"/>
    <w:rsid w:val="00DA2D35"/>
    <w:rsid w:val="00DA3F00"/>
    <w:rsid w:val="00DA3F0A"/>
    <w:rsid w:val="00DA4B3B"/>
    <w:rsid w:val="00DA523B"/>
    <w:rsid w:val="00DA5C4C"/>
    <w:rsid w:val="00DA7153"/>
    <w:rsid w:val="00DB0DCA"/>
    <w:rsid w:val="00DB124A"/>
    <w:rsid w:val="00DB1EB0"/>
    <w:rsid w:val="00DB2CDB"/>
    <w:rsid w:val="00DB42BF"/>
    <w:rsid w:val="00DB4A8E"/>
    <w:rsid w:val="00DB504C"/>
    <w:rsid w:val="00DB5115"/>
    <w:rsid w:val="00DB5A17"/>
    <w:rsid w:val="00DB62E1"/>
    <w:rsid w:val="00DB63B5"/>
    <w:rsid w:val="00DB6E8A"/>
    <w:rsid w:val="00DB727A"/>
    <w:rsid w:val="00DB788A"/>
    <w:rsid w:val="00DB7B2C"/>
    <w:rsid w:val="00DC0796"/>
    <w:rsid w:val="00DC11B9"/>
    <w:rsid w:val="00DC1214"/>
    <w:rsid w:val="00DC128B"/>
    <w:rsid w:val="00DC2646"/>
    <w:rsid w:val="00DC34C4"/>
    <w:rsid w:val="00DC4065"/>
    <w:rsid w:val="00DC4518"/>
    <w:rsid w:val="00DC4D21"/>
    <w:rsid w:val="00DC5314"/>
    <w:rsid w:val="00DC5698"/>
    <w:rsid w:val="00DC5730"/>
    <w:rsid w:val="00DC5F1F"/>
    <w:rsid w:val="00DC640C"/>
    <w:rsid w:val="00DC6515"/>
    <w:rsid w:val="00DC6707"/>
    <w:rsid w:val="00DC74BF"/>
    <w:rsid w:val="00DC7D99"/>
    <w:rsid w:val="00DD0437"/>
    <w:rsid w:val="00DD0F65"/>
    <w:rsid w:val="00DD1F33"/>
    <w:rsid w:val="00DD2410"/>
    <w:rsid w:val="00DD46BB"/>
    <w:rsid w:val="00DD6C3F"/>
    <w:rsid w:val="00DD6F40"/>
    <w:rsid w:val="00DD70A2"/>
    <w:rsid w:val="00DD7E3E"/>
    <w:rsid w:val="00DD7E9D"/>
    <w:rsid w:val="00DE18A0"/>
    <w:rsid w:val="00DE1ED8"/>
    <w:rsid w:val="00DE3596"/>
    <w:rsid w:val="00DE3837"/>
    <w:rsid w:val="00DE50BB"/>
    <w:rsid w:val="00DE57B4"/>
    <w:rsid w:val="00DE5919"/>
    <w:rsid w:val="00DE6515"/>
    <w:rsid w:val="00DF07D1"/>
    <w:rsid w:val="00DF0B0F"/>
    <w:rsid w:val="00DF1004"/>
    <w:rsid w:val="00DF1C70"/>
    <w:rsid w:val="00DF3E58"/>
    <w:rsid w:val="00DF46BA"/>
    <w:rsid w:val="00DF4BA7"/>
    <w:rsid w:val="00DF4E99"/>
    <w:rsid w:val="00DF60AF"/>
    <w:rsid w:val="00E0076A"/>
    <w:rsid w:val="00E0097A"/>
    <w:rsid w:val="00E044EA"/>
    <w:rsid w:val="00E04BE6"/>
    <w:rsid w:val="00E058A1"/>
    <w:rsid w:val="00E05B8B"/>
    <w:rsid w:val="00E075CE"/>
    <w:rsid w:val="00E1130F"/>
    <w:rsid w:val="00E11344"/>
    <w:rsid w:val="00E1148F"/>
    <w:rsid w:val="00E1161D"/>
    <w:rsid w:val="00E116B6"/>
    <w:rsid w:val="00E12193"/>
    <w:rsid w:val="00E13864"/>
    <w:rsid w:val="00E13E2B"/>
    <w:rsid w:val="00E13E83"/>
    <w:rsid w:val="00E146E3"/>
    <w:rsid w:val="00E15590"/>
    <w:rsid w:val="00E1563C"/>
    <w:rsid w:val="00E15F02"/>
    <w:rsid w:val="00E15F14"/>
    <w:rsid w:val="00E16B05"/>
    <w:rsid w:val="00E17190"/>
    <w:rsid w:val="00E179E1"/>
    <w:rsid w:val="00E17A4B"/>
    <w:rsid w:val="00E17B52"/>
    <w:rsid w:val="00E20AAF"/>
    <w:rsid w:val="00E21188"/>
    <w:rsid w:val="00E2177D"/>
    <w:rsid w:val="00E21F4F"/>
    <w:rsid w:val="00E2217E"/>
    <w:rsid w:val="00E247F6"/>
    <w:rsid w:val="00E24894"/>
    <w:rsid w:val="00E26FCE"/>
    <w:rsid w:val="00E27860"/>
    <w:rsid w:val="00E27A39"/>
    <w:rsid w:val="00E30119"/>
    <w:rsid w:val="00E30482"/>
    <w:rsid w:val="00E3062B"/>
    <w:rsid w:val="00E30A9F"/>
    <w:rsid w:val="00E3136A"/>
    <w:rsid w:val="00E32BCD"/>
    <w:rsid w:val="00E33262"/>
    <w:rsid w:val="00E34A8F"/>
    <w:rsid w:val="00E36B81"/>
    <w:rsid w:val="00E36EE0"/>
    <w:rsid w:val="00E37857"/>
    <w:rsid w:val="00E37BF2"/>
    <w:rsid w:val="00E401D5"/>
    <w:rsid w:val="00E41676"/>
    <w:rsid w:val="00E42D52"/>
    <w:rsid w:val="00E43306"/>
    <w:rsid w:val="00E4331E"/>
    <w:rsid w:val="00E43BBB"/>
    <w:rsid w:val="00E44372"/>
    <w:rsid w:val="00E4445D"/>
    <w:rsid w:val="00E4776E"/>
    <w:rsid w:val="00E47D4B"/>
    <w:rsid w:val="00E504C9"/>
    <w:rsid w:val="00E50581"/>
    <w:rsid w:val="00E50A6C"/>
    <w:rsid w:val="00E518A5"/>
    <w:rsid w:val="00E51F13"/>
    <w:rsid w:val="00E52B52"/>
    <w:rsid w:val="00E52DE5"/>
    <w:rsid w:val="00E52DF5"/>
    <w:rsid w:val="00E5427A"/>
    <w:rsid w:val="00E54BF8"/>
    <w:rsid w:val="00E54D02"/>
    <w:rsid w:val="00E550D4"/>
    <w:rsid w:val="00E558D1"/>
    <w:rsid w:val="00E558F8"/>
    <w:rsid w:val="00E55C0F"/>
    <w:rsid w:val="00E55D2E"/>
    <w:rsid w:val="00E55D6E"/>
    <w:rsid w:val="00E55F68"/>
    <w:rsid w:val="00E56CD8"/>
    <w:rsid w:val="00E609CA"/>
    <w:rsid w:val="00E6266C"/>
    <w:rsid w:val="00E630ED"/>
    <w:rsid w:val="00E636B4"/>
    <w:rsid w:val="00E638D8"/>
    <w:rsid w:val="00E646E8"/>
    <w:rsid w:val="00E652F7"/>
    <w:rsid w:val="00E65731"/>
    <w:rsid w:val="00E65CB9"/>
    <w:rsid w:val="00E65D9E"/>
    <w:rsid w:val="00E6622D"/>
    <w:rsid w:val="00E67352"/>
    <w:rsid w:val="00E67EED"/>
    <w:rsid w:val="00E70359"/>
    <w:rsid w:val="00E7052B"/>
    <w:rsid w:val="00E70DA5"/>
    <w:rsid w:val="00E72475"/>
    <w:rsid w:val="00E75F85"/>
    <w:rsid w:val="00E76588"/>
    <w:rsid w:val="00E76FD2"/>
    <w:rsid w:val="00E77294"/>
    <w:rsid w:val="00E77D9E"/>
    <w:rsid w:val="00E80D51"/>
    <w:rsid w:val="00E82266"/>
    <w:rsid w:val="00E8288B"/>
    <w:rsid w:val="00E82A8D"/>
    <w:rsid w:val="00E8365C"/>
    <w:rsid w:val="00E84DA2"/>
    <w:rsid w:val="00E85065"/>
    <w:rsid w:val="00E8516B"/>
    <w:rsid w:val="00E8560D"/>
    <w:rsid w:val="00E857C2"/>
    <w:rsid w:val="00E85952"/>
    <w:rsid w:val="00E87620"/>
    <w:rsid w:val="00E90B4B"/>
    <w:rsid w:val="00E90CB1"/>
    <w:rsid w:val="00E9126B"/>
    <w:rsid w:val="00E9133E"/>
    <w:rsid w:val="00E91D8B"/>
    <w:rsid w:val="00E92795"/>
    <w:rsid w:val="00E92C28"/>
    <w:rsid w:val="00E95FB5"/>
    <w:rsid w:val="00E962A8"/>
    <w:rsid w:val="00E963B7"/>
    <w:rsid w:val="00E9697F"/>
    <w:rsid w:val="00E96B37"/>
    <w:rsid w:val="00E976EE"/>
    <w:rsid w:val="00EA0DA7"/>
    <w:rsid w:val="00EA0F20"/>
    <w:rsid w:val="00EA1972"/>
    <w:rsid w:val="00EA2704"/>
    <w:rsid w:val="00EA2A5A"/>
    <w:rsid w:val="00EA4540"/>
    <w:rsid w:val="00EA4E24"/>
    <w:rsid w:val="00EA51E0"/>
    <w:rsid w:val="00EA56DD"/>
    <w:rsid w:val="00EA587E"/>
    <w:rsid w:val="00EA6B1F"/>
    <w:rsid w:val="00EA7073"/>
    <w:rsid w:val="00EA72DB"/>
    <w:rsid w:val="00EA73EF"/>
    <w:rsid w:val="00EA7622"/>
    <w:rsid w:val="00EA7733"/>
    <w:rsid w:val="00EA7B3C"/>
    <w:rsid w:val="00EB00BA"/>
    <w:rsid w:val="00EB07E3"/>
    <w:rsid w:val="00EB094A"/>
    <w:rsid w:val="00EB0E6B"/>
    <w:rsid w:val="00EB136E"/>
    <w:rsid w:val="00EB1BA5"/>
    <w:rsid w:val="00EB33C3"/>
    <w:rsid w:val="00EB363E"/>
    <w:rsid w:val="00EB3E58"/>
    <w:rsid w:val="00EB3EA5"/>
    <w:rsid w:val="00EB4050"/>
    <w:rsid w:val="00EB5CAF"/>
    <w:rsid w:val="00EB6080"/>
    <w:rsid w:val="00EB6394"/>
    <w:rsid w:val="00EB70D7"/>
    <w:rsid w:val="00EB7B95"/>
    <w:rsid w:val="00EB7FA0"/>
    <w:rsid w:val="00EC00BD"/>
    <w:rsid w:val="00EC16CC"/>
    <w:rsid w:val="00EC1D89"/>
    <w:rsid w:val="00EC2313"/>
    <w:rsid w:val="00EC28B7"/>
    <w:rsid w:val="00EC43F1"/>
    <w:rsid w:val="00EC45A1"/>
    <w:rsid w:val="00EC63A8"/>
    <w:rsid w:val="00EC63B2"/>
    <w:rsid w:val="00ED0448"/>
    <w:rsid w:val="00ED0F33"/>
    <w:rsid w:val="00ED108E"/>
    <w:rsid w:val="00ED1195"/>
    <w:rsid w:val="00ED1656"/>
    <w:rsid w:val="00ED1A7F"/>
    <w:rsid w:val="00ED1C73"/>
    <w:rsid w:val="00ED25BC"/>
    <w:rsid w:val="00ED29C0"/>
    <w:rsid w:val="00ED3ECC"/>
    <w:rsid w:val="00ED49D6"/>
    <w:rsid w:val="00ED4E20"/>
    <w:rsid w:val="00ED514E"/>
    <w:rsid w:val="00ED51DE"/>
    <w:rsid w:val="00ED5DC5"/>
    <w:rsid w:val="00ED5F3D"/>
    <w:rsid w:val="00ED68B3"/>
    <w:rsid w:val="00ED70C6"/>
    <w:rsid w:val="00ED753A"/>
    <w:rsid w:val="00ED768C"/>
    <w:rsid w:val="00ED7BAD"/>
    <w:rsid w:val="00EE0D41"/>
    <w:rsid w:val="00EE0F16"/>
    <w:rsid w:val="00EE106A"/>
    <w:rsid w:val="00EE10C8"/>
    <w:rsid w:val="00EE15CA"/>
    <w:rsid w:val="00EE238C"/>
    <w:rsid w:val="00EE24CC"/>
    <w:rsid w:val="00EE39B9"/>
    <w:rsid w:val="00EE3F57"/>
    <w:rsid w:val="00EE4AFA"/>
    <w:rsid w:val="00EE50B2"/>
    <w:rsid w:val="00EE551F"/>
    <w:rsid w:val="00EE5EA1"/>
    <w:rsid w:val="00EE62CE"/>
    <w:rsid w:val="00EE6931"/>
    <w:rsid w:val="00EE6AD9"/>
    <w:rsid w:val="00EE7F24"/>
    <w:rsid w:val="00EE7FB5"/>
    <w:rsid w:val="00EF1210"/>
    <w:rsid w:val="00EF2DA5"/>
    <w:rsid w:val="00EF2DB6"/>
    <w:rsid w:val="00EF2E34"/>
    <w:rsid w:val="00EF55E8"/>
    <w:rsid w:val="00EF56F7"/>
    <w:rsid w:val="00EF5C88"/>
    <w:rsid w:val="00EF649B"/>
    <w:rsid w:val="00EF6F93"/>
    <w:rsid w:val="00EF70BB"/>
    <w:rsid w:val="00F00E7C"/>
    <w:rsid w:val="00F02A8E"/>
    <w:rsid w:val="00F03568"/>
    <w:rsid w:val="00F03BBF"/>
    <w:rsid w:val="00F04431"/>
    <w:rsid w:val="00F04ECE"/>
    <w:rsid w:val="00F068C2"/>
    <w:rsid w:val="00F07863"/>
    <w:rsid w:val="00F07C91"/>
    <w:rsid w:val="00F107AD"/>
    <w:rsid w:val="00F10956"/>
    <w:rsid w:val="00F10F05"/>
    <w:rsid w:val="00F12CE1"/>
    <w:rsid w:val="00F12F80"/>
    <w:rsid w:val="00F1475F"/>
    <w:rsid w:val="00F1477A"/>
    <w:rsid w:val="00F14917"/>
    <w:rsid w:val="00F156AC"/>
    <w:rsid w:val="00F16CDE"/>
    <w:rsid w:val="00F16CE7"/>
    <w:rsid w:val="00F17343"/>
    <w:rsid w:val="00F1771B"/>
    <w:rsid w:val="00F2087C"/>
    <w:rsid w:val="00F20F30"/>
    <w:rsid w:val="00F211D2"/>
    <w:rsid w:val="00F21219"/>
    <w:rsid w:val="00F22544"/>
    <w:rsid w:val="00F2270C"/>
    <w:rsid w:val="00F22F60"/>
    <w:rsid w:val="00F23F4C"/>
    <w:rsid w:val="00F24400"/>
    <w:rsid w:val="00F26729"/>
    <w:rsid w:val="00F26CC0"/>
    <w:rsid w:val="00F306FA"/>
    <w:rsid w:val="00F3135D"/>
    <w:rsid w:val="00F3141F"/>
    <w:rsid w:val="00F3144D"/>
    <w:rsid w:val="00F3291F"/>
    <w:rsid w:val="00F336F0"/>
    <w:rsid w:val="00F338CE"/>
    <w:rsid w:val="00F3409B"/>
    <w:rsid w:val="00F3492E"/>
    <w:rsid w:val="00F34F1A"/>
    <w:rsid w:val="00F3680D"/>
    <w:rsid w:val="00F4034A"/>
    <w:rsid w:val="00F40EFA"/>
    <w:rsid w:val="00F4125A"/>
    <w:rsid w:val="00F412D2"/>
    <w:rsid w:val="00F41AB1"/>
    <w:rsid w:val="00F42005"/>
    <w:rsid w:val="00F42BD1"/>
    <w:rsid w:val="00F42D6C"/>
    <w:rsid w:val="00F441A2"/>
    <w:rsid w:val="00F442D0"/>
    <w:rsid w:val="00F448E3"/>
    <w:rsid w:val="00F467D5"/>
    <w:rsid w:val="00F47688"/>
    <w:rsid w:val="00F51F11"/>
    <w:rsid w:val="00F52820"/>
    <w:rsid w:val="00F53975"/>
    <w:rsid w:val="00F53EBC"/>
    <w:rsid w:val="00F53EF1"/>
    <w:rsid w:val="00F5451E"/>
    <w:rsid w:val="00F571CE"/>
    <w:rsid w:val="00F575A0"/>
    <w:rsid w:val="00F60BBD"/>
    <w:rsid w:val="00F6113B"/>
    <w:rsid w:val="00F621AA"/>
    <w:rsid w:val="00F6222B"/>
    <w:rsid w:val="00F65333"/>
    <w:rsid w:val="00F6541E"/>
    <w:rsid w:val="00F65638"/>
    <w:rsid w:val="00F65E5C"/>
    <w:rsid w:val="00F668FD"/>
    <w:rsid w:val="00F66987"/>
    <w:rsid w:val="00F67074"/>
    <w:rsid w:val="00F6735F"/>
    <w:rsid w:val="00F71242"/>
    <w:rsid w:val="00F7148B"/>
    <w:rsid w:val="00F73725"/>
    <w:rsid w:val="00F738D9"/>
    <w:rsid w:val="00F747BE"/>
    <w:rsid w:val="00F7606D"/>
    <w:rsid w:val="00F77585"/>
    <w:rsid w:val="00F80BE1"/>
    <w:rsid w:val="00F81C01"/>
    <w:rsid w:val="00F82080"/>
    <w:rsid w:val="00F8293F"/>
    <w:rsid w:val="00F82F90"/>
    <w:rsid w:val="00F84F19"/>
    <w:rsid w:val="00F86097"/>
    <w:rsid w:val="00F86625"/>
    <w:rsid w:val="00F87D09"/>
    <w:rsid w:val="00F90121"/>
    <w:rsid w:val="00F9031C"/>
    <w:rsid w:val="00F90C77"/>
    <w:rsid w:val="00F91A03"/>
    <w:rsid w:val="00F9242C"/>
    <w:rsid w:val="00F92CF1"/>
    <w:rsid w:val="00F93DA1"/>
    <w:rsid w:val="00F94255"/>
    <w:rsid w:val="00F9511C"/>
    <w:rsid w:val="00F95A94"/>
    <w:rsid w:val="00F95ED6"/>
    <w:rsid w:val="00F95EFA"/>
    <w:rsid w:val="00FA04A1"/>
    <w:rsid w:val="00FA19E6"/>
    <w:rsid w:val="00FA1A47"/>
    <w:rsid w:val="00FA2124"/>
    <w:rsid w:val="00FA3406"/>
    <w:rsid w:val="00FA3A58"/>
    <w:rsid w:val="00FA4B6E"/>
    <w:rsid w:val="00FA5F07"/>
    <w:rsid w:val="00FA63D8"/>
    <w:rsid w:val="00FA6B95"/>
    <w:rsid w:val="00FB1F19"/>
    <w:rsid w:val="00FB25C5"/>
    <w:rsid w:val="00FB25FE"/>
    <w:rsid w:val="00FB2614"/>
    <w:rsid w:val="00FB2E13"/>
    <w:rsid w:val="00FB3064"/>
    <w:rsid w:val="00FB4F62"/>
    <w:rsid w:val="00FB5A55"/>
    <w:rsid w:val="00FB7B67"/>
    <w:rsid w:val="00FB7C0A"/>
    <w:rsid w:val="00FC16FD"/>
    <w:rsid w:val="00FC19C6"/>
    <w:rsid w:val="00FC22BC"/>
    <w:rsid w:val="00FC2F89"/>
    <w:rsid w:val="00FC3807"/>
    <w:rsid w:val="00FC3E36"/>
    <w:rsid w:val="00FC6B0F"/>
    <w:rsid w:val="00FC7D2A"/>
    <w:rsid w:val="00FD0A3F"/>
    <w:rsid w:val="00FD4FD1"/>
    <w:rsid w:val="00FD5F1E"/>
    <w:rsid w:val="00FD7288"/>
    <w:rsid w:val="00FE0B3F"/>
    <w:rsid w:val="00FE11AB"/>
    <w:rsid w:val="00FE1313"/>
    <w:rsid w:val="00FE1C27"/>
    <w:rsid w:val="00FE31DB"/>
    <w:rsid w:val="00FE449E"/>
    <w:rsid w:val="00FE51F7"/>
    <w:rsid w:val="00FE60C8"/>
    <w:rsid w:val="00FE65F1"/>
    <w:rsid w:val="00FE675F"/>
    <w:rsid w:val="00FF072E"/>
    <w:rsid w:val="00FF0731"/>
    <w:rsid w:val="00FF07F8"/>
    <w:rsid w:val="00FF0FC4"/>
    <w:rsid w:val="00FF2408"/>
    <w:rsid w:val="00FF28B7"/>
    <w:rsid w:val="00FF2EC0"/>
    <w:rsid w:val="00FF2F3E"/>
    <w:rsid w:val="00FF4416"/>
    <w:rsid w:val="00FF554A"/>
    <w:rsid w:val="00FF55F0"/>
    <w:rsid w:val="00FF6DAE"/>
    <w:rsid w:val="00FF760C"/>
    <w:rsid w:val="00FF7CE5"/>
    <w:rsid w:val="00FF7E15"/>
    <w:rsid w:val="024B505A"/>
    <w:rsid w:val="02AC0B14"/>
    <w:rsid w:val="03AD5484"/>
    <w:rsid w:val="053A1B5B"/>
    <w:rsid w:val="05401DC9"/>
    <w:rsid w:val="05BE041F"/>
    <w:rsid w:val="06F04422"/>
    <w:rsid w:val="074B3407"/>
    <w:rsid w:val="08545B61"/>
    <w:rsid w:val="08A362EA"/>
    <w:rsid w:val="0D4234FE"/>
    <w:rsid w:val="0D582BAF"/>
    <w:rsid w:val="0DAB2E51"/>
    <w:rsid w:val="0F0767AD"/>
    <w:rsid w:val="10B84F12"/>
    <w:rsid w:val="12317569"/>
    <w:rsid w:val="137514A2"/>
    <w:rsid w:val="14496F20"/>
    <w:rsid w:val="145E0C1D"/>
    <w:rsid w:val="14D902A4"/>
    <w:rsid w:val="16B92CEB"/>
    <w:rsid w:val="18161FCB"/>
    <w:rsid w:val="19E476E2"/>
    <w:rsid w:val="1B334486"/>
    <w:rsid w:val="1B4D72F6"/>
    <w:rsid w:val="1CE7377A"/>
    <w:rsid w:val="1D7D4988"/>
    <w:rsid w:val="1DB01DBE"/>
    <w:rsid w:val="1E4075E6"/>
    <w:rsid w:val="1F1F71FB"/>
    <w:rsid w:val="23111551"/>
    <w:rsid w:val="253B247A"/>
    <w:rsid w:val="254774AC"/>
    <w:rsid w:val="268A3AF4"/>
    <w:rsid w:val="27F92A22"/>
    <w:rsid w:val="291C600D"/>
    <w:rsid w:val="2920604A"/>
    <w:rsid w:val="2B1B5263"/>
    <w:rsid w:val="2DC810BF"/>
    <w:rsid w:val="309A22E6"/>
    <w:rsid w:val="310F07B5"/>
    <w:rsid w:val="3110753A"/>
    <w:rsid w:val="330D45BF"/>
    <w:rsid w:val="33877B47"/>
    <w:rsid w:val="35143F5C"/>
    <w:rsid w:val="378974B0"/>
    <w:rsid w:val="39050DB8"/>
    <w:rsid w:val="3914766B"/>
    <w:rsid w:val="39461AFC"/>
    <w:rsid w:val="3ACD3B57"/>
    <w:rsid w:val="3AFC5F66"/>
    <w:rsid w:val="3B331C0C"/>
    <w:rsid w:val="3C8F352D"/>
    <w:rsid w:val="3D5F318D"/>
    <w:rsid w:val="3DA87AD9"/>
    <w:rsid w:val="3E8D5AD7"/>
    <w:rsid w:val="3F850EA5"/>
    <w:rsid w:val="40D70F9D"/>
    <w:rsid w:val="4109510C"/>
    <w:rsid w:val="431274B4"/>
    <w:rsid w:val="4436451B"/>
    <w:rsid w:val="47721D0E"/>
    <w:rsid w:val="488E6DF3"/>
    <w:rsid w:val="4B702839"/>
    <w:rsid w:val="4C561BFF"/>
    <w:rsid w:val="4DB21EB1"/>
    <w:rsid w:val="518965D2"/>
    <w:rsid w:val="51E25CE3"/>
    <w:rsid w:val="520143BB"/>
    <w:rsid w:val="530D6D8F"/>
    <w:rsid w:val="5AEF0929"/>
    <w:rsid w:val="5BAB5397"/>
    <w:rsid w:val="5C44623D"/>
    <w:rsid w:val="5D1A6F72"/>
    <w:rsid w:val="64430DC7"/>
    <w:rsid w:val="64921199"/>
    <w:rsid w:val="65A90B99"/>
    <w:rsid w:val="675D7E8D"/>
    <w:rsid w:val="68DA26C8"/>
    <w:rsid w:val="69BE2739"/>
    <w:rsid w:val="6BDD159D"/>
    <w:rsid w:val="6CB93DB8"/>
    <w:rsid w:val="6D480F0A"/>
    <w:rsid w:val="6D877A12"/>
    <w:rsid w:val="711A6DEF"/>
    <w:rsid w:val="7169742F"/>
    <w:rsid w:val="731314E4"/>
    <w:rsid w:val="736F551C"/>
    <w:rsid w:val="7B8E0606"/>
    <w:rsid w:val="7C9E3927"/>
    <w:rsid w:val="7E0E0258"/>
    <w:rsid w:val="7E1F5C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0" w:semiHidden="0" w:name="header"/>
    <w:lsdException w:qFormat="1" w:uiPriority="0"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8"/>
      <w:szCs w:val="22"/>
      <w:lang w:val="en-US" w:eastAsia="zh-CN" w:bidi="ar-SA"/>
    </w:rPr>
  </w:style>
  <w:style w:type="paragraph" w:styleId="2">
    <w:name w:val="heading 1"/>
    <w:basedOn w:val="1"/>
    <w:next w:val="3"/>
    <w:link w:val="32"/>
    <w:qFormat/>
    <w:uiPriority w:val="0"/>
    <w:pPr>
      <w:keepNext/>
      <w:keepLines/>
      <w:adjustRightInd w:val="0"/>
      <w:snapToGrid w:val="0"/>
      <w:ind w:left="432" w:hanging="432"/>
      <w:outlineLvl w:val="0"/>
    </w:pPr>
    <w:rPr>
      <w:rFonts w:eastAsia="黑体" w:cs="Times New Roman"/>
      <w:bCs/>
      <w:kern w:val="44"/>
      <w:sz w:val="24"/>
      <w:szCs w:val="44"/>
    </w:rPr>
  </w:style>
  <w:style w:type="paragraph" w:styleId="5">
    <w:name w:val="heading 2"/>
    <w:basedOn w:val="1"/>
    <w:next w:val="1"/>
    <w:link w:val="28"/>
    <w:unhideWhenUsed/>
    <w:qFormat/>
    <w:uiPriority w:val="0"/>
    <w:pPr>
      <w:outlineLvl w:val="1"/>
    </w:pPr>
    <w:rPr>
      <w:rFonts w:eastAsiaTheme="minorEastAsia"/>
      <w:b/>
      <w:bCs/>
      <w:szCs w:val="32"/>
    </w:rPr>
  </w:style>
  <w:style w:type="paragraph" w:styleId="6">
    <w:name w:val="heading 3"/>
    <w:basedOn w:val="1"/>
    <w:next w:val="1"/>
    <w:link w:val="50"/>
    <w:unhideWhenUsed/>
    <w:qFormat/>
    <w:uiPriority w:val="0"/>
    <w:pPr>
      <w:keepNext/>
      <w:keepLines/>
      <w:spacing w:before="260" w:after="260" w:line="416" w:lineRule="auto"/>
      <w:outlineLvl w:val="2"/>
    </w:pPr>
    <w:rPr>
      <w:b/>
      <w:bCs/>
      <w:sz w:val="32"/>
      <w:szCs w:val="32"/>
    </w:rPr>
  </w:style>
  <w:style w:type="paragraph" w:styleId="7">
    <w:name w:val="heading 4"/>
    <w:basedOn w:val="1"/>
    <w:next w:val="1"/>
    <w:link w:val="67"/>
    <w:unhideWhenUsed/>
    <w:qFormat/>
    <w:uiPriority w:val="0"/>
    <w:pPr>
      <w:keepNext/>
      <w:keepLines/>
      <w:spacing w:before="280" w:after="290" w:line="376" w:lineRule="auto"/>
      <w:outlineLvl w:val="3"/>
    </w:pPr>
    <w:rPr>
      <w:rFonts w:asciiTheme="majorHAnsi" w:hAnsiTheme="majorHAnsi" w:eastAsiaTheme="majorEastAsia" w:cstheme="majorBidi"/>
      <w:b/>
      <w:bCs/>
      <w:szCs w:val="28"/>
    </w:rPr>
  </w:style>
  <w:style w:type="character" w:default="1" w:styleId="26">
    <w:name w:val="Default Paragraph Font"/>
    <w:semiHidden/>
    <w:unhideWhenUsed/>
    <w:uiPriority w:val="1"/>
  </w:style>
  <w:style w:type="table" w:default="1" w:styleId="24">
    <w:name w:val="Normal Table"/>
    <w:semiHidden/>
    <w:unhideWhenUsed/>
    <w:uiPriority w:val="99"/>
    <w:tblPr>
      <w:tblCellMar>
        <w:top w:w="0" w:type="dxa"/>
        <w:left w:w="108" w:type="dxa"/>
        <w:bottom w:w="0" w:type="dxa"/>
        <w:right w:w="108" w:type="dxa"/>
      </w:tblCellMar>
    </w:tblPr>
  </w:style>
  <w:style w:type="paragraph" w:styleId="3">
    <w:name w:val="Body Text First Indent"/>
    <w:basedOn w:val="4"/>
    <w:link w:val="34"/>
    <w:semiHidden/>
    <w:unhideWhenUsed/>
    <w:qFormat/>
    <w:uiPriority w:val="99"/>
    <w:pPr>
      <w:ind w:firstLine="420" w:firstLineChars="100"/>
    </w:pPr>
  </w:style>
  <w:style w:type="paragraph" w:styleId="4">
    <w:name w:val="Body Text"/>
    <w:basedOn w:val="1"/>
    <w:link w:val="33"/>
    <w:unhideWhenUsed/>
    <w:qFormat/>
    <w:uiPriority w:val="1"/>
    <w:pPr>
      <w:spacing w:after="120"/>
    </w:pPr>
  </w:style>
  <w:style w:type="paragraph" w:styleId="8">
    <w:name w:val="toc 7"/>
    <w:basedOn w:val="1"/>
    <w:next w:val="1"/>
    <w:unhideWhenUsed/>
    <w:qFormat/>
    <w:uiPriority w:val="39"/>
    <w:pPr>
      <w:spacing w:line="240" w:lineRule="auto"/>
      <w:ind w:left="2520" w:leftChars="1200" w:firstLine="0" w:firstLineChars="0"/>
    </w:pPr>
    <w:rPr>
      <w:rFonts w:eastAsiaTheme="minorEastAsia"/>
      <w:sz w:val="21"/>
    </w:rPr>
  </w:style>
  <w:style w:type="paragraph" w:styleId="9">
    <w:name w:val="caption"/>
    <w:basedOn w:val="1"/>
    <w:next w:val="1"/>
    <w:unhideWhenUsed/>
    <w:qFormat/>
    <w:uiPriority w:val="35"/>
    <w:rPr>
      <w:rFonts w:ascii="Arial" w:hAnsi="Arial" w:eastAsia="黑体"/>
      <w:sz w:val="20"/>
    </w:rPr>
  </w:style>
  <w:style w:type="paragraph" w:styleId="10">
    <w:name w:val="Body Text Indent"/>
    <w:basedOn w:val="1"/>
    <w:link w:val="56"/>
    <w:unhideWhenUsed/>
    <w:qFormat/>
    <w:uiPriority w:val="99"/>
    <w:pPr>
      <w:spacing w:after="120"/>
      <w:ind w:left="420" w:leftChars="200"/>
    </w:pPr>
  </w:style>
  <w:style w:type="paragraph" w:styleId="11">
    <w:name w:val="toc 5"/>
    <w:basedOn w:val="1"/>
    <w:next w:val="1"/>
    <w:unhideWhenUsed/>
    <w:qFormat/>
    <w:uiPriority w:val="39"/>
    <w:pPr>
      <w:spacing w:line="240" w:lineRule="auto"/>
      <w:ind w:left="1680" w:leftChars="800" w:firstLine="0" w:firstLineChars="0"/>
    </w:pPr>
    <w:rPr>
      <w:rFonts w:eastAsiaTheme="minorEastAsia"/>
      <w:sz w:val="21"/>
    </w:rPr>
  </w:style>
  <w:style w:type="paragraph" w:styleId="12">
    <w:name w:val="toc 3"/>
    <w:basedOn w:val="1"/>
    <w:next w:val="1"/>
    <w:unhideWhenUsed/>
    <w:qFormat/>
    <w:uiPriority w:val="39"/>
    <w:pPr>
      <w:tabs>
        <w:tab w:val="right" w:leader="dot" w:pos="8296"/>
      </w:tabs>
      <w:ind w:left="566" w:leftChars="202" w:firstLine="480"/>
    </w:pPr>
    <w:rPr>
      <w:sz w:val="24"/>
    </w:rPr>
  </w:style>
  <w:style w:type="paragraph" w:styleId="13">
    <w:name w:val="toc 8"/>
    <w:basedOn w:val="1"/>
    <w:next w:val="1"/>
    <w:unhideWhenUsed/>
    <w:qFormat/>
    <w:uiPriority w:val="39"/>
    <w:pPr>
      <w:spacing w:line="240" w:lineRule="auto"/>
      <w:ind w:left="2940" w:leftChars="1400" w:firstLine="0" w:firstLineChars="0"/>
    </w:pPr>
    <w:rPr>
      <w:rFonts w:eastAsiaTheme="minorEastAsia"/>
      <w:sz w:val="21"/>
    </w:rPr>
  </w:style>
  <w:style w:type="paragraph" w:styleId="14">
    <w:name w:val="Date"/>
    <w:basedOn w:val="1"/>
    <w:next w:val="1"/>
    <w:link w:val="41"/>
    <w:semiHidden/>
    <w:unhideWhenUsed/>
    <w:qFormat/>
    <w:uiPriority w:val="99"/>
    <w:pPr>
      <w:ind w:left="100" w:leftChars="2500"/>
    </w:pPr>
  </w:style>
  <w:style w:type="paragraph" w:styleId="15">
    <w:name w:val="Balloon Text"/>
    <w:basedOn w:val="1"/>
    <w:link w:val="29"/>
    <w:semiHidden/>
    <w:unhideWhenUsed/>
    <w:qFormat/>
    <w:uiPriority w:val="99"/>
    <w:rPr>
      <w:sz w:val="18"/>
      <w:szCs w:val="18"/>
    </w:rPr>
  </w:style>
  <w:style w:type="paragraph" w:styleId="16">
    <w:name w:val="footer"/>
    <w:basedOn w:val="1"/>
    <w:link w:val="31"/>
    <w:unhideWhenUsed/>
    <w:qFormat/>
    <w:uiPriority w:val="0"/>
    <w:pPr>
      <w:tabs>
        <w:tab w:val="center" w:pos="4153"/>
        <w:tab w:val="right" w:pos="8306"/>
      </w:tabs>
      <w:snapToGrid w:val="0"/>
      <w:jc w:val="left"/>
    </w:pPr>
    <w:rPr>
      <w:sz w:val="18"/>
      <w:szCs w:val="18"/>
    </w:rPr>
  </w:style>
  <w:style w:type="paragraph" w:styleId="17">
    <w:name w:val="header"/>
    <w:basedOn w:val="1"/>
    <w:link w:val="30"/>
    <w:unhideWhenUsed/>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tabs>
        <w:tab w:val="right" w:leader="dot" w:pos="8296"/>
      </w:tabs>
      <w:ind w:firstLine="0" w:firstLineChars="0"/>
    </w:pPr>
    <w:rPr>
      <w:rFonts w:eastAsia="黑体"/>
      <w:b/>
    </w:rPr>
  </w:style>
  <w:style w:type="paragraph" w:styleId="19">
    <w:name w:val="toc 4"/>
    <w:basedOn w:val="1"/>
    <w:next w:val="1"/>
    <w:link w:val="69"/>
    <w:unhideWhenUsed/>
    <w:qFormat/>
    <w:uiPriority w:val="39"/>
    <w:pPr>
      <w:spacing w:line="240" w:lineRule="auto"/>
      <w:ind w:left="1260" w:leftChars="600" w:firstLine="0" w:firstLineChars="0"/>
    </w:pPr>
    <w:rPr>
      <w:rFonts w:eastAsiaTheme="minorEastAsia"/>
      <w:sz w:val="21"/>
    </w:rPr>
  </w:style>
  <w:style w:type="paragraph" w:styleId="20">
    <w:name w:val="toc 6"/>
    <w:basedOn w:val="1"/>
    <w:next w:val="1"/>
    <w:unhideWhenUsed/>
    <w:qFormat/>
    <w:uiPriority w:val="39"/>
    <w:pPr>
      <w:spacing w:line="240" w:lineRule="auto"/>
      <w:ind w:left="2100" w:leftChars="1000" w:firstLine="0" w:firstLineChars="0"/>
    </w:pPr>
    <w:rPr>
      <w:rFonts w:eastAsiaTheme="minorEastAsia"/>
      <w:sz w:val="21"/>
    </w:rPr>
  </w:style>
  <w:style w:type="paragraph" w:styleId="21">
    <w:name w:val="toc 2"/>
    <w:basedOn w:val="1"/>
    <w:next w:val="1"/>
    <w:unhideWhenUsed/>
    <w:qFormat/>
    <w:uiPriority w:val="39"/>
    <w:pPr>
      <w:tabs>
        <w:tab w:val="right" w:leader="dot" w:pos="8296"/>
      </w:tabs>
      <w:ind w:firstLine="566" w:firstLineChars="202"/>
    </w:pPr>
    <w:rPr>
      <w:rFonts w:eastAsia="楷体_GB2312"/>
    </w:rPr>
  </w:style>
  <w:style w:type="paragraph" w:styleId="22">
    <w:name w:val="toc 9"/>
    <w:basedOn w:val="1"/>
    <w:next w:val="1"/>
    <w:unhideWhenUsed/>
    <w:qFormat/>
    <w:uiPriority w:val="39"/>
    <w:pPr>
      <w:spacing w:line="240" w:lineRule="auto"/>
      <w:ind w:left="3360" w:leftChars="1600" w:firstLine="0" w:firstLineChars="0"/>
    </w:pPr>
    <w:rPr>
      <w:rFonts w:eastAsiaTheme="minorEastAsia"/>
      <w:sz w:val="21"/>
    </w:rPr>
  </w:style>
  <w:style w:type="paragraph" w:styleId="23">
    <w:name w:val="Normal (Web)"/>
    <w:basedOn w:val="1"/>
    <w:semiHidden/>
    <w:unhideWhenUsed/>
    <w:qFormat/>
    <w:uiPriority w:val="99"/>
    <w:pPr>
      <w:widowControl/>
      <w:spacing w:before="100" w:beforeAutospacing="1" w:after="100" w:afterAutospacing="1" w:line="240" w:lineRule="auto"/>
      <w:ind w:firstLine="0" w:firstLineChars="0"/>
      <w:jc w:val="left"/>
    </w:pPr>
    <w:rPr>
      <w:rFonts w:ascii="宋体" w:hAnsi="宋体" w:cs="宋体"/>
      <w:kern w:val="0"/>
      <w:sz w:val="24"/>
      <w:szCs w:val="24"/>
    </w:rPr>
  </w:style>
  <w:style w:type="table" w:styleId="25">
    <w:name w:val="Table Grid"/>
    <w:basedOn w:val="2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Hyperlink"/>
    <w:basedOn w:val="26"/>
    <w:unhideWhenUsed/>
    <w:qFormat/>
    <w:uiPriority w:val="99"/>
    <w:rPr>
      <w:color w:val="0563C1" w:themeColor="hyperlink"/>
      <w:u w:val="single"/>
      <w14:textFill>
        <w14:solidFill>
          <w14:schemeClr w14:val="hlink"/>
        </w14:solidFill>
      </w14:textFill>
    </w:rPr>
  </w:style>
  <w:style w:type="character" w:customStyle="1" w:styleId="28">
    <w:name w:val="标题 2 字符"/>
    <w:basedOn w:val="26"/>
    <w:link w:val="5"/>
    <w:qFormat/>
    <w:uiPriority w:val="0"/>
    <w:rPr>
      <w:rFonts w:eastAsiaTheme="minorEastAsia" w:cstheme="minorBidi"/>
      <w:b/>
      <w:bCs/>
      <w:kern w:val="2"/>
      <w:sz w:val="28"/>
      <w:szCs w:val="32"/>
    </w:rPr>
  </w:style>
  <w:style w:type="character" w:customStyle="1" w:styleId="29">
    <w:name w:val="批注框文本 字符"/>
    <w:basedOn w:val="26"/>
    <w:link w:val="15"/>
    <w:semiHidden/>
    <w:qFormat/>
    <w:uiPriority w:val="99"/>
    <w:rPr>
      <w:sz w:val="18"/>
      <w:szCs w:val="18"/>
    </w:rPr>
  </w:style>
  <w:style w:type="character" w:customStyle="1" w:styleId="30">
    <w:name w:val="页眉 字符"/>
    <w:basedOn w:val="26"/>
    <w:link w:val="17"/>
    <w:qFormat/>
    <w:uiPriority w:val="0"/>
    <w:rPr>
      <w:sz w:val="18"/>
      <w:szCs w:val="18"/>
    </w:rPr>
  </w:style>
  <w:style w:type="character" w:customStyle="1" w:styleId="31">
    <w:name w:val="页脚 字符"/>
    <w:basedOn w:val="26"/>
    <w:link w:val="16"/>
    <w:qFormat/>
    <w:uiPriority w:val="0"/>
    <w:rPr>
      <w:sz w:val="18"/>
      <w:szCs w:val="18"/>
    </w:rPr>
  </w:style>
  <w:style w:type="character" w:customStyle="1" w:styleId="32">
    <w:name w:val="标题 1 字符"/>
    <w:basedOn w:val="26"/>
    <w:link w:val="2"/>
    <w:qFormat/>
    <w:uiPriority w:val="0"/>
    <w:rPr>
      <w:rFonts w:ascii="Times New Roman" w:hAnsi="Times New Roman" w:eastAsia="黑体" w:cs="Times New Roman"/>
      <w:bCs/>
      <w:kern w:val="44"/>
      <w:sz w:val="24"/>
      <w:szCs w:val="44"/>
    </w:rPr>
  </w:style>
  <w:style w:type="character" w:customStyle="1" w:styleId="33">
    <w:name w:val="正文文本 字符"/>
    <w:basedOn w:val="26"/>
    <w:link w:val="4"/>
    <w:qFormat/>
    <w:uiPriority w:val="1"/>
  </w:style>
  <w:style w:type="character" w:customStyle="1" w:styleId="34">
    <w:name w:val="正文首行缩进 字符"/>
    <w:basedOn w:val="33"/>
    <w:link w:val="3"/>
    <w:semiHidden/>
    <w:qFormat/>
    <w:uiPriority w:val="99"/>
  </w:style>
  <w:style w:type="paragraph" w:customStyle="1" w:styleId="35">
    <w:name w:val="第一章"/>
    <w:basedOn w:val="2"/>
    <w:link w:val="37"/>
    <w:qFormat/>
    <w:uiPriority w:val="0"/>
    <w:pPr>
      <w:spacing w:before="50" w:beforeLines="50" w:after="50" w:afterLines="50"/>
      <w:ind w:left="0" w:firstLine="0" w:firstLineChars="0"/>
      <w:jc w:val="center"/>
    </w:pPr>
    <w:rPr>
      <w:sz w:val="36"/>
      <w:szCs w:val="36"/>
    </w:rPr>
  </w:style>
  <w:style w:type="paragraph" w:customStyle="1" w:styleId="36">
    <w:name w:val="1.1"/>
    <w:basedOn w:val="1"/>
    <w:link w:val="38"/>
    <w:qFormat/>
    <w:uiPriority w:val="0"/>
    <w:pPr>
      <w:tabs>
        <w:tab w:val="left" w:pos="5440"/>
      </w:tabs>
      <w:outlineLvl w:val="1"/>
    </w:pPr>
    <w:rPr>
      <w:rFonts w:eastAsia="楷体_GB2312" w:cs="Times New Roman"/>
      <w:bCs/>
      <w:color w:val="000000"/>
      <w:sz w:val="30"/>
      <w:szCs w:val="28"/>
    </w:rPr>
  </w:style>
  <w:style w:type="character" w:customStyle="1" w:styleId="37">
    <w:name w:val="第一章 Char"/>
    <w:basedOn w:val="32"/>
    <w:link w:val="35"/>
    <w:qFormat/>
    <w:uiPriority w:val="0"/>
    <w:rPr>
      <w:rFonts w:ascii="Times New Roman" w:hAnsi="Times New Roman" w:eastAsia="黑体" w:cs="Times New Roman"/>
      <w:kern w:val="44"/>
      <w:sz w:val="36"/>
      <w:szCs w:val="36"/>
    </w:rPr>
  </w:style>
  <w:style w:type="character" w:customStyle="1" w:styleId="38">
    <w:name w:val="1.1 Char"/>
    <w:basedOn w:val="26"/>
    <w:link w:val="36"/>
    <w:qFormat/>
    <w:uiPriority w:val="0"/>
    <w:rPr>
      <w:rFonts w:eastAsia="楷体_GB2312"/>
      <w:bCs/>
      <w:color w:val="000000"/>
      <w:kern w:val="2"/>
      <w:sz w:val="30"/>
      <w:szCs w:val="28"/>
    </w:rPr>
  </w:style>
  <w:style w:type="paragraph" w:customStyle="1" w:styleId="39">
    <w:name w:val="1.1.1"/>
    <w:basedOn w:val="1"/>
    <w:next w:val="1"/>
    <w:link w:val="40"/>
    <w:qFormat/>
    <w:uiPriority w:val="0"/>
    <w:pPr>
      <w:tabs>
        <w:tab w:val="left" w:pos="5440"/>
      </w:tabs>
      <w:outlineLvl w:val="2"/>
    </w:pPr>
    <w:rPr>
      <w:rFonts w:cs="Times New Roman"/>
      <w:b/>
      <w:bCs/>
      <w:color w:val="000000"/>
      <w:szCs w:val="28"/>
    </w:rPr>
  </w:style>
  <w:style w:type="character" w:customStyle="1" w:styleId="40">
    <w:name w:val="1.1.1 Char"/>
    <w:basedOn w:val="26"/>
    <w:link w:val="39"/>
    <w:qFormat/>
    <w:uiPriority w:val="0"/>
    <w:rPr>
      <w:rFonts w:ascii="Times New Roman" w:hAnsi="Times New Roman" w:eastAsia="宋体" w:cs="Times New Roman"/>
      <w:b/>
      <w:bCs/>
      <w:color w:val="000000"/>
      <w:sz w:val="28"/>
      <w:szCs w:val="28"/>
    </w:rPr>
  </w:style>
  <w:style w:type="character" w:customStyle="1" w:styleId="41">
    <w:name w:val="日期 字符"/>
    <w:basedOn w:val="26"/>
    <w:link w:val="14"/>
    <w:semiHidden/>
    <w:qFormat/>
    <w:uiPriority w:val="99"/>
  </w:style>
  <w:style w:type="character" w:customStyle="1" w:styleId="42">
    <w:name w:val="文章正文 Char2"/>
    <w:link w:val="43"/>
    <w:qFormat/>
    <w:uiPriority w:val="0"/>
    <w:rPr>
      <w:sz w:val="24"/>
      <w:szCs w:val="24"/>
    </w:rPr>
  </w:style>
  <w:style w:type="paragraph" w:customStyle="1" w:styleId="43">
    <w:name w:val="文章正文"/>
    <w:basedOn w:val="1"/>
    <w:link w:val="42"/>
    <w:qFormat/>
    <w:uiPriority w:val="0"/>
    <w:pPr>
      <w:ind w:firstLine="454" w:firstLineChars="0"/>
    </w:pPr>
    <w:rPr>
      <w:rFonts w:eastAsiaTheme="minorEastAsia"/>
      <w:sz w:val="24"/>
      <w:szCs w:val="24"/>
    </w:rPr>
  </w:style>
  <w:style w:type="character" w:customStyle="1" w:styleId="44">
    <w:name w:val="green1"/>
    <w:qFormat/>
    <w:uiPriority w:val="0"/>
    <w:rPr>
      <w:color w:val="000000"/>
      <w:sz w:val="21"/>
      <w:szCs w:val="21"/>
    </w:rPr>
  </w:style>
  <w:style w:type="character" w:customStyle="1" w:styleId="45">
    <w:name w:val="插图 Char Char"/>
    <w:link w:val="46"/>
    <w:qFormat/>
    <w:uiPriority w:val="0"/>
    <w:rPr>
      <w:szCs w:val="24"/>
    </w:rPr>
  </w:style>
  <w:style w:type="paragraph" w:customStyle="1" w:styleId="46">
    <w:name w:val="插图"/>
    <w:next w:val="1"/>
    <w:link w:val="45"/>
    <w:qFormat/>
    <w:uiPriority w:val="0"/>
    <w:pPr>
      <w:snapToGrid w:val="0"/>
      <w:spacing w:before="156" w:beforeLines="50" w:after="156" w:afterLines="50"/>
      <w:jc w:val="center"/>
    </w:pPr>
    <w:rPr>
      <w:rFonts w:asciiTheme="minorHAnsi" w:hAnsiTheme="minorHAnsi" w:eastAsiaTheme="minorEastAsia" w:cstheme="minorBidi"/>
      <w:kern w:val="2"/>
      <w:sz w:val="21"/>
      <w:szCs w:val="24"/>
      <w:lang w:val="en-US" w:eastAsia="zh-CN" w:bidi="ar-SA"/>
    </w:rPr>
  </w:style>
  <w:style w:type="paragraph" w:customStyle="1" w:styleId="47">
    <w:name w:val="表标题 Char"/>
    <w:qFormat/>
    <w:uiPriority w:val="0"/>
    <w:pPr>
      <w:tabs>
        <w:tab w:val="left" w:pos="5278"/>
      </w:tabs>
      <w:snapToGrid w:val="0"/>
      <w:spacing w:after="120" w:line="520" w:lineRule="exact"/>
      <w:jc w:val="center"/>
    </w:pPr>
    <w:rPr>
      <w:rFonts w:ascii="宋体" w:hAnsi="宋体" w:eastAsia="黑体" w:cs="Times New Roman"/>
      <w:kern w:val="2"/>
      <w:sz w:val="21"/>
      <w:szCs w:val="24"/>
      <w:lang w:val="en-US" w:eastAsia="zh-CN" w:bidi="ar-SA"/>
    </w:rPr>
  </w:style>
  <w:style w:type="paragraph" w:styleId="48">
    <w:name w:val="List Paragraph"/>
    <w:basedOn w:val="1"/>
    <w:qFormat/>
    <w:uiPriority w:val="1"/>
    <w:pPr>
      <w:ind w:firstLine="420"/>
    </w:pPr>
  </w:style>
  <w:style w:type="character" w:styleId="49">
    <w:name w:val="Placeholder Text"/>
    <w:basedOn w:val="26"/>
    <w:semiHidden/>
    <w:qFormat/>
    <w:uiPriority w:val="99"/>
    <w:rPr>
      <w:color w:val="808080"/>
    </w:rPr>
  </w:style>
  <w:style w:type="character" w:customStyle="1" w:styleId="50">
    <w:name w:val="标题 3 字符"/>
    <w:basedOn w:val="26"/>
    <w:link w:val="6"/>
    <w:qFormat/>
    <w:uiPriority w:val="9"/>
    <w:rPr>
      <w:rFonts w:eastAsia="仿宋"/>
      <w:b/>
      <w:bCs/>
      <w:sz w:val="32"/>
      <w:szCs w:val="32"/>
    </w:rPr>
  </w:style>
  <w:style w:type="character" w:customStyle="1" w:styleId="51">
    <w:name w:val="未处理的提及1"/>
    <w:basedOn w:val="26"/>
    <w:semiHidden/>
    <w:unhideWhenUsed/>
    <w:qFormat/>
    <w:uiPriority w:val="99"/>
    <w:rPr>
      <w:color w:val="605E5C"/>
      <w:shd w:val="clear" w:color="auto" w:fill="E1DFDD"/>
    </w:rPr>
  </w:style>
  <w:style w:type="paragraph" w:customStyle="1" w:styleId="52">
    <w:name w:val="Char Char Char Char Char Char"/>
    <w:basedOn w:val="1"/>
    <w:qFormat/>
    <w:uiPriority w:val="0"/>
    <w:pPr>
      <w:spacing w:line="240" w:lineRule="auto"/>
      <w:ind w:firstLine="0" w:firstLineChars="0"/>
    </w:pPr>
    <w:rPr>
      <w:rFonts w:cs="Times New Roman"/>
      <w:sz w:val="21"/>
      <w:szCs w:val="24"/>
    </w:rPr>
  </w:style>
  <w:style w:type="paragraph" w:customStyle="1" w:styleId="53">
    <w:name w:val="Char Char Char Char Char Char1"/>
    <w:basedOn w:val="1"/>
    <w:qFormat/>
    <w:uiPriority w:val="0"/>
    <w:pPr>
      <w:spacing w:line="240" w:lineRule="auto"/>
      <w:ind w:firstLine="0" w:firstLineChars="0"/>
    </w:pPr>
    <w:rPr>
      <w:rFonts w:cs="Times New Roman"/>
      <w:sz w:val="21"/>
      <w:szCs w:val="24"/>
    </w:rPr>
  </w:style>
  <w:style w:type="table" w:customStyle="1" w:styleId="54">
    <w:name w:val="网格型1"/>
    <w:basedOn w:val="2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5">
    <w:name w:val="修订1"/>
    <w:hidden/>
    <w:semiHidden/>
    <w:qFormat/>
    <w:uiPriority w:val="99"/>
    <w:rPr>
      <w:rFonts w:ascii="Times New Roman" w:hAnsi="Times New Roman" w:eastAsia="仿宋_GB2312" w:cstheme="minorBidi"/>
      <w:kern w:val="2"/>
      <w:sz w:val="28"/>
      <w:szCs w:val="22"/>
      <w:lang w:val="en-US" w:eastAsia="zh-CN" w:bidi="ar-SA"/>
    </w:rPr>
  </w:style>
  <w:style w:type="character" w:customStyle="1" w:styleId="56">
    <w:name w:val="正文文本缩进 字符"/>
    <w:basedOn w:val="26"/>
    <w:link w:val="10"/>
    <w:qFormat/>
    <w:uiPriority w:val="99"/>
    <w:rPr>
      <w:rFonts w:ascii="Times New Roman" w:hAnsi="Times New Roman" w:eastAsia="宋体"/>
      <w:kern w:val="2"/>
      <w:sz w:val="28"/>
      <w:szCs w:val="22"/>
    </w:rPr>
  </w:style>
  <w:style w:type="character" w:customStyle="1" w:styleId="57">
    <w:name w:val="font21"/>
    <w:basedOn w:val="26"/>
    <w:qFormat/>
    <w:uiPriority w:val="0"/>
    <w:rPr>
      <w:rFonts w:hint="eastAsia" w:ascii="宋体" w:hAnsi="宋体" w:eastAsia="宋体" w:cs="宋体"/>
      <w:color w:val="000000"/>
      <w:sz w:val="24"/>
      <w:szCs w:val="24"/>
      <w:u w:val="none"/>
    </w:rPr>
  </w:style>
  <w:style w:type="character" w:customStyle="1" w:styleId="58">
    <w:name w:val="font11"/>
    <w:basedOn w:val="26"/>
    <w:qFormat/>
    <w:uiPriority w:val="0"/>
    <w:rPr>
      <w:rFonts w:hint="default" w:ascii="Segoe UI" w:hAnsi="Segoe UI" w:eastAsia="Segoe UI" w:cs="Segoe UI"/>
      <w:color w:val="000000"/>
      <w:sz w:val="24"/>
      <w:szCs w:val="24"/>
      <w:u w:val="none"/>
    </w:rPr>
  </w:style>
  <w:style w:type="paragraph" w:customStyle="1" w:styleId="59">
    <w:name w:val="表内容"/>
    <w:basedOn w:val="1"/>
    <w:qFormat/>
    <w:uiPriority w:val="1"/>
    <w:pPr>
      <w:widowControl/>
      <w:spacing w:line="420" w:lineRule="exact"/>
      <w:jc w:val="center"/>
    </w:pPr>
    <w:rPr>
      <w:color w:val="000000"/>
      <w:sz w:val="21"/>
      <w:szCs w:val="21"/>
    </w:rPr>
  </w:style>
  <w:style w:type="table" w:customStyle="1" w:styleId="60">
    <w:name w:val="Table Normal"/>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61">
    <w:name w:val="Table Normal1"/>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62">
    <w:name w:val="Table Normal2"/>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63">
    <w:name w:val="Table Normal3"/>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64">
    <w:name w:val="网格型2"/>
    <w:basedOn w:val="24"/>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
    <w:name w:val="网格型3"/>
    <w:basedOn w:val="24"/>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6">
    <w:name w:val="1.1.1.1."/>
    <w:basedOn w:val="7"/>
    <w:link w:val="70"/>
    <w:qFormat/>
    <w:uiPriority w:val="0"/>
    <w:pPr>
      <w:spacing w:before="0" w:after="0" w:line="360" w:lineRule="auto"/>
    </w:pPr>
    <w:rPr>
      <w:rFonts w:ascii="Times New Roman" w:hAnsi="Times New Roman" w:eastAsiaTheme="minorEastAsia"/>
    </w:rPr>
  </w:style>
  <w:style w:type="character" w:customStyle="1" w:styleId="67">
    <w:name w:val="标题 4 字符"/>
    <w:basedOn w:val="26"/>
    <w:link w:val="7"/>
    <w:qFormat/>
    <w:uiPriority w:val="0"/>
    <w:rPr>
      <w:rFonts w:asciiTheme="majorHAnsi" w:hAnsiTheme="majorHAnsi" w:eastAsiaTheme="majorEastAsia" w:cstheme="majorBidi"/>
      <w:b/>
      <w:bCs/>
      <w:kern w:val="2"/>
      <w:sz w:val="28"/>
      <w:szCs w:val="28"/>
    </w:rPr>
  </w:style>
  <w:style w:type="table" w:customStyle="1" w:styleId="68">
    <w:name w:val="网格型4"/>
    <w:basedOn w:val="24"/>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9">
    <w:name w:val="目录 4 字符"/>
    <w:basedOn w:val="26"/>
    <w:link w:val="19"/>
    <w:qFormat/>
    <w:uiPriority w:val="39"/>
    <w:rPr>
      <w:rFonts w:eastAsiaTheme="minorEastAsia" w:cstheme="minorBidi"/>
      <w:kern w:val="2"/>
      <w:sz w:val="21"/>
      <w:szCs w:val="22"/>
    </w:rPr>
  </w:style>
  <w:style w:type="character" w:customStyle="1" w:styleId="70">
    <w:name w:val="1.1.1.1. 字符"/>
    <w:basedOn w:val="69"/>
    <w:link w:val="66"/>
    <w:qFormat/>
    <w:uiPriority w:val="0"/>
    <w:rPr>
      <w:rFonts w:eastAsiaTheme="minorEastAsia" w:cstheme="majorBidi"/>
      <w:b/>
      <w:bCs/>
      <w:kern w:val="2"/>
      <w:sz w:val="28"/>
      <w:szCs w:val="28"/>
    </w:rPr>
  </w:style>
  <w:style w:type="table" w:customStyle="1" w:styleId="71">
    <w:name w:val="网格型5"/>
    <w:basedOn w:val="24"/>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2">
    <w:name w:val="Table Paragraph"/>
    <w:basedOn w:val="1"/>
    <w:qFormat/>
    <w:uiPriority w:val="1"/>
    <w:pPr>
      <w:autoSpaceDE w:val="0"/>
      <w:autoSpaceDN w:val="0"/>
      <w:spacing w:before="91" w:line="240" w:lineRule="auto"/>
      <w:ind w:firstLine="0" w:firstLineChars="0"/>
      <w:jc w:val="center"/>
    </w:pPr>
    <w:rPr>
      <w:rFonts w:eastAsia="Times New Roman" w:cs="Times New Roman"/>
      <w:kern w:val="0"/>
      <w:sz w:val="22"/>
    </w:rPr>
  </w:style>
  <w:style w:type="table" w:customStyle="1" w:styleId="73">
    <w:name w:val="Table Normal4"/>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74">
    <w:name w:val="网格型6"/>
    <w:basedOn w:val="24"/>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
    <w:name w:val="网格型7"/>
    <w:basedOn w:val="24"/>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
    <w:name w:val="Table Normal5"/>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77">
    <w:name w:val="网格型8"/>
    <w:basedOn w:val="24"/>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8">
    <w:name w:val="修订2"/>
    <w:hidden/>
    <w:semiHidden/>
    <w:qFormat/>
    <w:uiPriority w:val="99"/>
    <w:rPr>
      <w:rFonts w:ascii="Times New Roman" w:hAnsi="Times New Roman" w:eastAsia="宋体" w:cstheme="minorBidi"/>
      <w:kern w:val="2"/>
      <w:sz w:val="28"/>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customXml" Target="../customXml/item1.xml"/><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emf"/><Relationship Id="rId24" Type="http://schemas.openxmlformats.org/officeDocument/2006/relationships/package" Target="embeddings/Microsoft_Visio___5.vsdx"/><Relationship Id="rId23" Type="http://schemas.openxmlformats.org/officeDocument/2006/relationships/image" Target="media/image4.emf"/><Relationship Id="rId22" Type="http://schemas.openxmlformats.org/officeDocument/2006/relationships/package" Target="embeddings/Microsoft_Visio___4.vsdx"/><Relationship Id="rId21" Type="http://schemas.openxmlformats.org/officeDocument/2006/relationships/image" Target="media/image3.emf"/><Relationship Id="rId20" Type="http://schemas.openxmlformats.org/officeDocument/2006/relationships/package" Target="embeddings/Microsoft_Visio___3.vsdx"/><Relationship Id="rId2" Type="http://schemas.openxmlformats.org/officeDocument/2006/relationships/settings" Target="settings.xml"/><Relationship Id="rId19" Type="http://schemas.openxmlformats.org/officeDocument/2006/relationships/image" Target="media/image2.emf"/><Relationship Id="rId18" Type="http://schemas.openxmlformats.org/officeDocument/2006/relationships/package" Target="embeddings/Microsoft_Visio___2.vsdx"/><Relationship Id="rId17" Type="http://schemas.openxmlformats.org/officeDocument/2006/relationships/image" Target="media/image1.emf"/><Relationship Id="rId16" Type="http://schemas.openxmlformats.org/officeDocument/2006/relationships/package" Target="embeddings/Microsoft_Visio___1.vsdx"/><Relationship Id="rId15" Type="http://schemas.openxmlformats.org/officeDocument/2006/relationships/theme" Target="theme/theme1.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486D608-5801-4670-B317-1598CA8EF254}">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50</Pages>
  <Words>3858</Words>
  <Characters>21996</Characters>
  <Lines>183</Lines>
  <Paragraphs>51</Paragraphs>
  <TotalTime>2</TotalTime>
  <ScaleCrop>false</ScaleCrop>
  <LinksUpToDate>false</LinksUpToDate>
  <CharactersWithSpaces>25803</CharactersWithSpaces>
  <Application>WPS Office_11.8.2.10912_F1E327BC-269C-435d-A152-05C5408002CA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2026-03-02T11:18:00Z</dcterms:created>
  <dc:creator>zhanganying</dc:creator>
  <cp:lastModifiedBy>你别眨眼</cp:lastModifiedBy>
  <cp:lastPrinted>2025-12-02T10:46:00Z</cp:lastPrinted>
  <dcterms:modified xsi:type="dcterms:W3CDTF">2026-03-13T09:25:07Z</dcterms:modified>
  <cp:revision>103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eyJoZGlkIjoiZTkzYjgxZDU5YTQyMzNmZGJmNDIyNGNmYTJiNWQwNTUiLCJ1c2VySWQiOiIyMzk5ODE5MTEifQ==</vt:lpwstr>
  </property>
  <property fmtid="{D5CDD505-2E9C-101B-9397-08002B2CF9AE}" pid="3" name="KSOProductBuildVer">
    <vt:lpwstr>2052-11.8.2.10912</vt:lpwstr>
  </property>
  <property fmtid="{D5CDD505-2E9C-101B-9397-08002B2CF9AE}" pid="4" name="ICV">
    <vt:lpwstr>CCA55927A42C46E49B0CA735C4C82CD4</vt:lpwstr>
  </property>
</Properties>
</file>