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1A357A">
      <w:pPr>
        <w:rPr>
          <w:rFonts w:hint="eastAsia"/>
          <w:color w:val="000000"/>
        </w:rPr>
      </w:pPr>
      <w:bookmarkStart w:id="0" w:name="_Toc80607433"/>
      <w:bookmarkStart w:id="1" w:name="_Toc80581957"/>
      <w:bookmarkStart w:id="2" w:name="_Toc80607890"/>
    </w:p>
    <w:p w14:paraId="731BBB92">
      <w:pPr>
        <w:rPr>
          <w:rFonts w:hint="eastAsia"/>
          <w:color w:val="000000"/>
        </w:rPr>
      </w:pPr>
    </w:p>
    <w:p w14:paraId="1037FB79">
      <w:pPr>
        <w:rPr>
          <w:rFonts w:hint="eastAsia"/>
          <w:color w:val="000000"/>
        </w:rPr>
      </w:pPr>
    </w:p>
    <w:p w14:paraId="2640E443">
      <w:pPr>
        <w:rPr>
          <w:rFonts w:hint="eastAsia"/>
          <w:color w:val="000000"/>
        </w:rPr>
      </w:pPr>
    </w:p>
    <w:p w14:paraId="3A67471B">
      <w:pPr>
        <w:rPr>
          <w:rFonts w:hint="eastAsia"/>
          <w:color w:val="000000"/>
        </w:rPr>
      </w:pPr>
    </w:p>
    <w:p w14:paraId="412EB235">
      <w:pPr>
        <w:rPr>
          <w:rFonts w:hint="eastAsia"/>
          <w:color w:val="000000"/>
        </w:rPr>
      </w:pPr>
    </w:p>
    <w:p w14:paraId="274EC65B">
      <w:pPr>
        <w:rPr>
          <w:rFonts w:hint="eastAsia"/>
          <w:color w:val="000000"/>
        </w:rPr>
      </w:pPr>
    </w:p>
    <w:p w14:paraId="63DE3CB6">
      <w:pPr>
        <w:rPr>
          <w:rFonts w:hint="eastAsia"/>
          <w:color w:val="000000"/>
        </w:rPr>
      </w:pPr>
    </w:p>
    <w:p w14:paraId="12CA56C6">
      <w:pPr>
        <w:rPr>
          <w:rFonts w:hint="eastAsia"/>
          <w:color w:val="000000"/>
        </w:rPr>
      </w:pPr>
    </w:p>
    <w:p w14:paraId="0BF3B962">
      <w:pPr>
        <w:rPr>
          <w:rFonts w:hint="eastAsia"/>
          <w:color w:val="000000"/>
        </w:rPr>
      </w:pPr>
    </w:p>
    <w:p w14:paraId="43D91287">
      <w:pPr>
        <w:rPr>
          <w:rFonts w:hint="eastAsia"/>
          <w:color w:val="000000"/>
        </w:rPr>
      </w:pPr>
    </w:p>
    <w:p w14:paraId="2875121B">
      <w:pPr>
        <w:rPr>
          <w:rFonts w:hint="eastAsia"/>
          <w:color w:val="000000"/>
        </w:rPr>
      </w:pPr>
    </w:p>
    <w:p w14:paraId="16CB4255">
      <w:pPr>
        <w:rPr>
          <w:rFonts w:hint="eastAsia"/>
          <w:color w:val="000000"/>
        </w:rPr>
      </w:pPr>
    </w:p>
    <w:p w14:paraId="64CF16CA">
      <w:pPr>
        <w:rPr>
          <w:rFonts w:hint="eastAsia"/>
          <w:color w:val="000000"/>
        </w:rPr>
      </w:pPr>
    </w:p>
    <w:p w14:paraId="08E39FE8">
      <w:pPr>
        <w:rPr>
          <w:rFonts w:hint="eastAsia"/>
          <w:color w:val="000000"/>
        </w:rPr>
      </w:pPr>
    </w:p>
    <w:p w14:paraId="06ED525B">
      <w:pPr>
        <w:rPr>
          <w:rFonts w:hint="eastAsia"/>
          <w:color w:val="000000"/>
        </w:rPr>
      </w:pPr>
    </w:p>
    <w:p w14:paraId="04AC648D">
      <w:pPr>
        <w:rPr>
          <w:rFonts w:hint="eastAsia"/>
          <w:color w:val="000000"/>
        </w:rPr>
      </w:pPr>
    </w:p>
    <w:p w14:paraId="375DFDCF">
      <w:pPr>
        <w:jc w:val="center"/>
        <w:rPr>
          <w:rFonts w:hint="eastAsia" w:ascii="华文隶书" w:eastAsia="华文隶书"/>
          <w:sz w:val="112"/>
          <w:szCs w:val="112"/>
          <w:highlight w:val="none"/>
        </w:rPr>
      </w:pPr>
      <w:r>
        <w:rPr>
          <w:rFonts w:hint="eastAsia" w:ascii="华文隶书" w:eastAsia="华文隶书"/>
          <w:sz w:val="112"/>
          <w:szCs w:val="112"/>
          <w:highlight w:val="none"/>
        </w:rPr>
        <w:t>汕尾市商业网点规划（202</w:t>
      </w:r>
      <w:r>
        <w:rPr>
          <w:rFonts w:hint="eastAsia" w:ascii="华文隶书" w:eastAsia="华文隶书"/>
          <w:sz w:val="112"/>
          <w:szCs w:val="112"/>
          <w:highlight w:val="none"/>
          <w:lang w:val="en-US" w:eastAsia="zh-CN"/>
        </w:rPr>
        <w:t>5</w:t>
      </w:r>
      <w:r>
        <w:rPr>
          <w:rFonts w:hint="eastAsia" w:ascii="华文隶书" w:eastAsia="华文隶书"/>
          <w:sz w:val="112"/>
          <w:szCs w:val="112"/>
          <w:highlight w:val="none"/>
        </w:rPr>
        <w:t>-2035年）</w:t>
      </w:r>
    </w:p>
    <w:p w14:paraId="5E95BAB2">
      <w:pPr>
        <w:jc w:val="center"/>
        <w:rPr>
          <w:rFonts w:hint="eastAsia" w:ascii="华文隶书" w:eastAsia="华文隶书"/>
          <w:sz w:val="112"/>
          <w:szCs w:val="112"/>
          <w:highlight w:val="none"/>
          <w:lang w:val="en-US" w:eastAsia="zh-CN"/>
        </w:rPr>
      </w:pPr>
    </w:p>
    <w:p w14:paraId="12933C9A">
      <w:pPr>
        <w:rPr>
          <w:rFonts w:hint="eastAsia" w:ascii="Times New Roman" w:hAnsi="Times New Roman" w:eastAsia="宋体" w:cs="Times New Roman"/>
          <w:color w:val="000000"/>
        </w:rPr>
      </w:pPr>
    </w:p>
    <w:p w14:paraId="3FD0E7A8">
      <w:pPr>
        <w:rPr>
          <w:rFonts w:hint="eastAsia" w:ascii="Times New Roman" w:hAnsi="Times New Roman" w:eastAsia="宋体" w:cs="Times New Roman"/>
          <w:color w:val="000000"/>
        </w:rPr>
      </w:pPr>
    </w:p>
    <w:p w14:paraId="3FEBBE46">
      <w:pPr>
        <w:rPr>
          <w:rFonts w:hint="eastAsia" w:ascii="Times New Roman" w:hAnsi="Times New Roman" w:eastAsia="宋体" w:cs="Times New Roman"/>
          <w:color w:val="000000"/>
        </w:rPr>
      </w:pPr>
    </w:p>
    <w:p w14:paraId="65D957E0">
      <w:pPr>
        <w:rPr>
          <w:rFonts w:hint="eastAsia" w:ascii="Times New Roman" w:hAnsi="Times New Roman" w:eastAsia="宋体" w:cs="Times New Roman"/>
          <w:color w:val="000000"/>
        </w:rPr>
      </w:pPr>
    </w:p>
    <w:p w14:paraId="0FBD6A37">
      <w:pPr>
        <w:rPr>
          <w:rFonts w:hint="eastAsia" w:ascii="Times New Roman" w:hAnsi="Times New Roman" w:eastAsia="宋体" w:cs="Times New Roman"/>
          <w:color w:val="000000"/>
        </w:rPr>
      </w:pPr>
    </w:p>
    <w:p w14:paraId="29B7F859">
      <w:pPr>
        <w:rPr>
          <w:rFonts w:hint="eastAsia" w:ascii="Times New Roman" w:hAnsi="Times New Roman" w:eastAsia="宋体" w:cs="Times New Roman"/>
          <w:color w:val="000000"/>
        </w:rPr>
      </w:pPr>
    </w:p>
    <w:p w14:paraId="053A8E53">
      <w:pPr>
        <w:rPr>
          <w:rFonts w:hint="eastAsia" w:ascii="Times New Roman" w:hAnsi="Times New Roman" w:eastAsia="宋体" w:cs="Times New Roman"/>
          <w:color w:val="000000"/>
        </w:rPr>
      </w:pPr>
    </w:p>
    <w:p w14:paraId="30A3CA55">
      <w:pPr>
        <w:rPr>
          <w:rFonts w:hint="eastAsia" w:ascii="Times New Roman" w:hAnsi="Times New Roman" w:eastAsia="宋体" w:cs="Times New Roman"/>
          <w:color w:val="000000"/>
        </w:rPr>
      </w:pPr>
    </w:p>
    <w:p w14:paraId="3F4E3755">
      <w:pPr>
        <w:rPr>
          <w:rFonts w:hint="eastAsia" w:ascii="Times New Roman" w:hAnsi="Times New Roman" w:eastAsia="宋体" w:cs="Times New Roman"/>
          <w:color w:val="000000"/>
        </w:rPr>
      </w:pPr>
    </w:p>
    <w:p w14:paraId="65937B60">
      <w:pPr>
        <w:rPr>
          <w:rFonts w:hint="eastAsia" w:ascii="Times New Roman" w:hAnsi="Times New Roman" w:eastAsia="宋体" w:cs="Times New Roman"/>
          <w:color w:val="000000"/>
        </w:rPr>
      </w:pPr>
    </w:p>
    <w:p w14:paraId="2A502901">
      <w:pPr>
        <w:rPr>
          <w:rFonts w:hint="eastAsia" w:ascii="Times New Roman" w:hAnsi="Times New Roman" w:eastAsia="宋体" w:cs="Times New Roman"/>
          <w:color w:val="000000"/>
        </w:rPr>
      </w:pPr>
    </w:p>
    <w:p w14:paraId="46258B66">
      <w:pPr>
        <w:rPr>
          <w:rFonts w:hint="eastAsia" w:ascii="Times New Roman" w:hAnsi="Times New Roman" w:eastAsia="宋体" w:cs="Times New Roman"/>
          <w:color w:val="000000"/>
        </w:rPr>
      </w:pPr>
    </w:p>
    <w:p w14:paraId="01E0EC4A">
      <w:pPr>
        <w:rPr>
          <w:rFonts w:hint="eastAsia" w:ascii="Times New Roman" w:hAnsi="Times New Roman" w:eastAsia="宋体" w:cs="Times New Roman"/>
          <w:color w:val="000000"/>
        </w:rPr>
      </w:pPr>
    </w:p>
    <w:p w14:paraId="14839601">
      <w:pPr>
        <w:rPr>
          <w:rFonts w:hint="eastAsia" w:ascii="Times New Roman" w:hAnsi="Times New Roman" w:eastAsia="宋体" w:cs="Times New Roman"/>
          <w:color w:val="000000"/>
        </w:rPr>
      </w:pPr>
    </w:p>
    <w:p w14:paraId="4119A0E9">
      <w:pPr>
        <w:jc w:val="center"/>
        <w:rPr>
          <w:rFonts w:hint="eastAsia" w:ascii="黑体" w:hAnsi="黑体" w:eastAsia="黑体"/>
          <w:sz w:val="28"/>
          <w:szCs w:val="28"/>
          <w:highlight w:val="none"/>
        </w:rPr>
      </w:pPr>
    </w:p>
    <w:p w14:paraId="241D4D08">
      <w:pPr>
        <w:wordWrap/>
        <w:ind w:left="0" w:leftChars="0" w:right="45" w:firstLine="0" w:firstLineChars="0"/>
        <w:jc w:val="center"/>
        <w:rPr>
          <w:rFonts w:hint="eastAsia" w:ascii="华文隶书" w:eastAsia="华文隶书"/>
          <w:color w:val="000000"/>
          <w:sz w:val="144"/>
          <w:szCs w:val="144"/>
        </w:rPr>
      </w:pPr>
      <w:r>
        <w:rPr>
          <w:rFonts w:hint="eastAsia" w:ascii="黑体" w:hAnsi="黑体" w:eastAsia="黑体"/>
          <w:sz w:val="28"/>
          <w:szCs w:val="28"/>
          <w:highlight w:val="none"/>
        </w:rPr>
        <w:t>二〇二</w:t>
      </w:r>
      <w:r>
        <w:rPr>
          <w:rFonts w:hint="eastAsia" w:ascii="黑体" w:hAnsi="黑体" w:eastAsia="黑体"/>
          <w:sz w:val="28"/>
          <w:szCs w:val="28"/>
          <w:highlight w:val="none"/>
          <w:lang w:val="en-US" w:eastAsia="zh-CN"/>
        </w:rPr>
        <w:t>六</w:t>
      </w:r>
      <w:r>
        <w:rPr>
          <w:rFonts w:hint="eastAsia" w:ascii="黑体" w:hAnsi="黑体" w:eastAsia="黑体"/>
          <w:sz w:val="28"/>
          <w:szCs w:val="28"/>
          <w:highlight w:val="none"/>
        </w:rPr>
        <w:t>年</w:t>
      </w:r>
      <w:r>
        <w:rPr>
          <w:rFonts w:hint="eastAsia" w:ascii="黑体" w:hAnsi="黑体" w:eastAsia="黑体"/>
          <w:sz w:val="28"/>
          <w:szCs w:val="28"/>
          <w:highlight w:val="none"/>
          <w:lang w:val="en-US" w:eastAsia="zh-CN"/>
        </w:rPr>
        <w:t>二</w:t>
      </w:r>
      <w:r>
        <w:rPr>
          <w:rFonts w:hint="eastAsia" w:ascii="黑体" w:hAnsi="黑体" w:eastAsia="黑体"/>
          <w:sz w:val="28"/>
          <w:szCs w:val="28"/>
          <w:highlight w:val="none"/>
        </w:rPr>
        <w:t>月</w:t>
      </w:r>
    </w:p>
    <w:p w14:paraId="6B264D49">
      <w:pPr>
        <w:spacing w:before="48" w:after="48" w:line="252" w:lineRule="auto"/>
        <w:rPr>
          <w:rFonts w:ascii="宋体" w:hAnsi="宋体"/>
          <w:color w:val="000000"/>
          <w:sz w:val="32"/>
          <w:szCs w:val="32"/>
        </w:rPr>
        <w:sectPr>
          <w:headerReference r:id="rId5" w:type="first"/>
          <w:headerReference r:id="rId3" w:type="default"/>
          <w:footerReference r:id="rId6" w:type="default"/>
          <w:headerReference r:id="rId4" w:type="even"/>
          <w:pgSz w:w="23814" w:h="16840" w:orient="landscape"/>
          <w:pgMar w:top="1440" w:right="1899" w:bottom="1440" w:left="1741" w:header="851" w:footer="992" w:gutter="0"/>
          <w:pgNumType w:fmt="decimal" w:start="1"/>
          <w:cols w:space="720" w:num="1"/>
          <w:titlePg/>
          <w:docGrid w:type="lines" w:linePitch="312" w:charSpace="0"/>
        </w:sectPr>
      </w:pPr>
    </w:p>
    <w:p w14:paraId="236359A9">
      <w:pPr>
        <w:tabs>
          <w:tab w:val="left" w:pos="426"/>
        </w:tabs>
        <w:jc w:val="center"/>
        <w:rPr>
          <w:rFonts w:hint="eastAsia" w:ascii="华文中宋" w:hAnsi="华文中宋" w:eastAsia="华文中宋"/>
          <w:b/>
          <w:color w:val="000000"/>
          <w:sz w:val="32"/>
          <w:szCs w:val="32"/>
        </w:rPr>
      </w:pPr>
      <w:r>
        <w:rPr>
          <w:rFonts w:hint="eastAsia" w:ascii="华文中宋" w:hAnsi="华文中宋" w:eastAsia="华文中宋"/>
          <w:b/>
          <w:color w:val="000000"/>
          <w:sz w:val="32"/>
          <w:szCs w:val="32"/>
        </w:rPr>
        <w:t>目  录</w:t>
      </w:r>
    </w:p>
    <w:p w14:paraId="0F5CC6D2">
      <w:pPr>
        <w:pStyle w:val="22"/>
        <w:tabs>
          <w:tab w:val="right" w:leader="dot" w:pos="9502"/>
          <w:tab w:val="clear" w:pos="9639"/>
        </w:tabs>
      </w:pPr>
      <w:r>
        <w:rPr>
          <w:color w:val="000000"/>
        </w:rPr>
        <w:fldChar w:fldCharType="begin"/>
      </w:r>
      <w:r>
        <w:rPr>
          <w:color w:val="000000"/>
        </w:rPr>
        <w:instrText xml:space="preserve"> TOC \o "1-3" \h \z \u </w:instrText>
      </w:r>
      <w:r>
        <w:rPr>
          <w:color w:val="000000"/>
        </w:rPr>
        <w:fldChar w:fldCharType="separate"/>
      </w:r>
      <w:r>
        <w:rPr>
          <w:color w:val="000000"/>
        </w:rPr>
        <w:fldChar w:fldCharType="begin"/>
      </w:r>
      <w:r>
        <w:instrText xml:space="preserve"> HYPERLINK \l _Toc10113 </w:instrText>
      </w:r>
      <w:r>
        <w:fldChar w:fldCharType="separate"/>
      </w:r>
      <w:r>
        <w:rPr>
          <w:rFonts w:hint="eastAsia" w:ascii="华文中宋" w:hAnsi="华文中宋" w:eastAsia="华文中宋"/>
        </w:rPr>
        <w:t>第一章 总则</w:t>
      </w:r>
      <w:r>
        <w:tab/>
      </w:r>
      <w:r>
        <w:fldChar w:fldCharType="begin"/>
      </w:r>
      <w:r>
        <w:instrText xml:space="preserve"> PAGEREF _Toc10113 \h </w:instrText>
      </w:r>
      <w:r>
        <w:fldChar w:fldCharType="separate"/>
      </w:r>
      <w:r>
        <w:t>1</w:t>
      </w:r>
      <w:r>
        <w:fldChar w:fldCharType="end"/>
      </w:r>
      <w:r>
        <w:rPr>
          <w:color w:val="000000"/>
        </w:rPr>
        <w:fldChar w:fldCharType="end"/>
      </w:r>
    </w:p>
    <w:p w14:paraId="47754634">
      <w:pPr>
        <w:pStyle w:val="14"/>
        <w:tabs>
          <w:tab w:val="right" w:leader="dot" w:pos="9502"/>
          <w:tab w:val="clear" w:pos="9639"/>
        </w:tabs>
      </w:pPr>
      <w:r>
        <w:rPr>
          <w:color w:val="000000"/>
        </w:rPr>
        <w:fldChar w:fldCharType="begin"/>
      </w:r>
      <w:r>
        <w:instrText xml:space="preserve"> HYPERLINK \l _Toc29794 </w:instrText>
      </w:r>
      <w:r>
        <w:fldChar w:fldCharType="separate"/>
      </w:r>
      <w:r>
        <w:rPr>
          <w:rFonts w:hint="eastAsia" w:ascii="微软雅黑" w:hAnsi="微软雅黑" w:eastAsia="微软雅黑"/>
          <w:lang w:val="en-US"/>
        </w:rPr>
        <w:t xml:space="preserve">第一条 </w:t>
      </w:r>
      <w:r>
        <w:rPr>
          <w:rFonts w:hint="eastAsia" w:ascii="微软雅黑" w:hAnsi="微软雅黑" w:eastAsia="微软雅黑"/>
        </w:rPr>
        <w:t>规划目的</w:t>
      </w:r>
      <w:r>
        <w:tab/>
      </w:r>
      <w:r>
        <w:fldChar w:fldCharType="begin"/>
      </w:r>
      <w:r>
        <w:instrText xml:space="preserve"> PAGEREF _Toc29794 \h </w:instrText>
      </w:r>
      <w:r>
        <w:fldChar w:fldCharType="separate"/>
      </w:r>
      <w:r>
        <w:t>1</w:t>
      </w:r>
      <w:r>
        <w:fldChar w:fldCharType="end"/>
      </w:r>
      <w:r>
        <w:rPr>
          <w:color w:val="000000"/>
        </w:rPr>
        <w:fldChar w:fldCharType="end"/>
      </w:r>
    </w:p>
    <w:p w14:paraId="58901FF7">
      <w:pPr>
        <w:pStyle w:val="14"/>
        <w:tabs>
          <w:tab w:val="right" w:leader="dot" w:pos="9502"/>
          <w:tab w:val="clear" w:pos="9639"/>
        </w:tabs>
      </w:pPr>
      <w:r>
        <w:rPr>
          <w:color w:val="000000"/>
        </w:rPr>
        <w:fldChar w:fldCharType="begin"/>
      </w:r>
      <w:r>
        <w:instrText xml:space="preserve"> HYPERLINK \l _Toc31062 </w:instrText>
      </w:r>
      <w:r>
        <w:fldChar w:fldCharType="separate"/>
      </w:r>
      <w:r>
        <w:rPr>
          <w:rFonts w:hint="eastAsia" w:ascii="微软雅黑" w:hAnsi="微软雅黑" w:eastAsia="微软雅黑"/>
          <w:lang w:val="en-US"/>
        </w:rPr>
        <w:t xml:space="preserve">第二条 </w:t>
      </w:r>
      <w:r>
        <w:rPr>
          <w:rFonts w:hint="eastAsia" w:ascii="微软雅黑" w:hAnsi="微软雅黑" w:eastAsia="微软雅黑"/>
        </w:rPr>
        <w:t>规划范围</w:t>
      </w:r>
      <w:r>
        <w:tab/>
      </w:r>
      <w:r>
        <w:fldChar w:fldCharType="begin"/>
      </w:r>
      <w:r>
        <w:instrText xml:space="preserve"> PAGEREF _Toc31062 \h </w:instrText>
      </w:r>
      <w:r>
        <w:fldChar w:fldCharType="separate"/>
      </w:r>
      <w:r>
        <w:t>1</w:t>
      </w:r>
      <w:r>
        <w:fldChar w:fldCharType="end"/>
      </w:r>
      <w:r>
        <w:rPr>
          <w:color w:val="000000"/>
        </w:rPr>
        <w:fldChar w:fldCharType="end"/>
      </w:r>
    </w:p>
    <w:p w14:paraId="3655144D">
      <w:pPr>
        <w:pStyle w:val="14"/>
        <w:tabs>
          <w:tab w:val="right" w:leader="dot" w:pos="9502"/>
          <w:tab w:val="clear" w:pos="9639"/>
        </w:tabs>
      </w:pPr>
      <w:r>
        <w:rPr>
          <w:color w:val="000000"/>
        </w:rPr>
        <w:fldChar w:fldCharType="begin"/>
      </w:r>
      <w:r>
        <w:instrText xml:space="preserve"> HYPERLINK \l _Toc12645 </w:instrText>
      </w:r>
      <w:r>
        <w:fldChar w:fldCharType="separate"/>
      </w:r>
      <w:r>
        <w:rPr>
          <w:rFonts w:hint="eastAsia" w:ascii="微软雅黑" w:hAnsi="微软雅黑" w:eastAsia="微软雅黑"/>
          <w:lang w:val="en-US"/>
        </w:rPr>
        <w:t xml:space="preserve">第三条 </w:t>
      </w:r>
      <w:r>
        <w:rPr>
          <w:rFonts w:hint="eastAsia" w:ascii="微软雅黑" w:hAnsi="微软雅黑" w:eastAsia="微软雅黑"/>
        </w:rPr>
        <w:t>规划期限</w:t>
      </w:r>
      <w:r>
        <w:tab/>
      </w:r>
      <w:r>
        <w:fldChar w:fldCharType="begin"/>
      </w:r>
      <w:r>
        <w:instrText xml:space="preserve"> PAGEREF _Toc12645 \h </w:instrText>
      </w:r>
      <w:r>
        <w:fldChar w:fldCharType="separate"/>
      </w:r>
      <w:r>
        <w:t>1</w:t>
      </w:r>
      <w:r>
        <w:fldChar w:fldCharType="end"/>
      </w:r>
      <w:r>
        <w:rPr>
          <w:color w:val="000000"/>
        </w:rPr>
        <w:fldChar w:fldCharType="end"/>
      </w:r>
    </w:p>
    <w:p w14:paraId="00C41E44">
      <w:pPr>
        <w:pStyle w:val="14"/>
        <w:tabs>
          <w:tab w:val="right" w:leader="dot" w:pos="9502"/>
          <w:tab w:val="clear" w:pos="9639"/>
        </w:tabs>
      </w:pPr>
      <w:r>
        <w:rPr>
          <w:color w:val="000000"/>
        </w:rPr>
        <w:fldChar w:fldCharType="begin"/>
      </w:r>
      <w:r>
        <w:instrText xml:space="preserve"> HYPERLINK \l _Toc22373 </w:instrText>
      </w:r>
      <w:r>
        <w:fldChar w:fldCharType="separate"/>
      </w:r>
      <w:r>
        <w:rPr>
          <w:rFonts w:hint="eastAsia" w:ascii="微软雅黑" w:hAnsi="微软雅黑" w:eastAsia="微软雅黑"/>
          <w:lang w:val="en-US"/>
        </w:rPr>
        <w:t xml:space="preserve">第四条 </w:t>
      </w:r>
      <w:r>
        <w:rPr>
          <w:rFonts w:hint="eastAsia" w:ascii="微软雅黑" w:hAnsi="微软雅黑" w:eastAsia="微软雅黑"/>
        </w:rPr>
        <w:t>规划依据</w:t>
      </w:r>
      <w:r>
        <w:tab/>
      </w:r>
      <w:r>
        <w:fldChar w:fldCharType="begin"/>
      </w:r>
      <w:r>
        <w:instrText xml:space="preserve"> PAGEREF _Toc22373 \h </w:instrText>
      </w:r>
      <w:r>
        <w:fldChar w:fldCharType="separate"/>
      </w:r>
      <w:r>
        <w:t>1</w:t>
      </w:r>
      <w:r>
        <w:fldChar w:fldCharType="end"/>
      </w:r>
      <w:r>
        <w:rPr>
          <w:color w:val="000000"/>
        </w:rPr>
        <w:fldChar w:fldCharType="end"/>
      </w:r>
    </w:p>
    <w:p w14:paraId="73EE63CE">
      <w:pPr>
        <w:pStyle w:val="14"/>
        <w:tabs>
          <w:tab w:val="right" w:leader="dot" w:pos="9502"/>
          <w:tab w:val="clear" w:pos="9639"/>
        </w:tabs>
      </w:pPr>
      <w:r>
        <w:rPr>
          <w:color w:val="000000"/>
        </w:rPr>
        <w:fldChar w:fldCharType="begin"/>
      </w:r>
      <w:r>
        <w:instrText xml:space="preserve"> HYPERLINK \l _Toc21008 </w:instrText>
      </w:r>
      <w:r>
        <w:fldChar w:fldCharType="separate"/>
      </w:r>
      <w:r>
        <w:rPr>
          <w:rFonts w:hint="eastAsia" w:ascii="微软雅黑" w:hAnsi="微软雅黑" w:eastAsia="微软雅黑"/>
          <w:lang w:val="en-US"/>
        </w:rPr>
        <w:t xml:space="preserve">第五条 </w:t>
      </w:r>
      <w:r>
        <w:rPr>
          <w:rFonts w:hint="eastAsia" w:ascii="微软雅黑" w:hAnsi="微软雅黑" w:eastAsia="微软雅黑"/>
        </w:rPr>
        <w:t>规划原则</w:t>
      </w:r>
      <w:r>
        <w:tab/>
      </w:r>
      <w:r>
        <w:fldChar w:fldCharType="begin"/>
      </w:r>
      <w:r>
        <w:instrText xml:space="preserve"> PAGEREF _Toc21008 \h </w:instrText>
      </w:r>
      <w:r>
        <w:fldChar w:fldCharType="separate"/>
      </w:r>
      <w:r>
        <w:t>1</w:t>
      </w:r>
      <w:r>
        <w:fldChar w:fldCharType="end"/>
      </w:r>
      <w:r>
        <w:rPr>
          <w:color w:val="000000"/>
        </w:rPr>
        <w:fldChar w:fldCharType="end"/>
      </w:r>
    </w:p>
    <w:p w14:paraId="6D3716CD">
      <w:pPr>
        <w:pStyle w:val="14"/>
        <w:tabs>
          <w:tab w:val="right" w:leader="dot" w:pos="9502"/>
          <w:tab w:val="clear" w:pos="9639"/>
        </w:tabs>
      </w:pPr>
      <w:r>
        <w:rPr>
          <w:color w:val="000000"/>
        </w:rPr>
        <w:fldChar w:fldCharType="begin"/>
      </w:r>
      <w:r>
        <w:instrText xml:space="preserve"> HYPERLINK \l _Toc22138 </w:instrText>
      </w:r>
      <w:r>
        <w:fldChar w:fldCharType="separate"/>
      </w:r>
      <w:r>
        <w:rPr>
          <w:rFonts w:hint="eastAsia" w:ascii="微软雅黑" w:hAnsi="微软雅黑" w:eastAsia="微软雅黑"/>
          <w:lang w:val="en-US"/>
        </w:rPr>
        <w:t xml:space="preserve">第六条 </w:t>
      </w:r>
      <w:r>
        <w:rPr>
          <w:rFonts w:hint="eastAsia" w:ascii="微软雅黑" w:hAnsi="微软雅黑" w:eastAsia="微软雅黑"/>
        </w:rPr>
        <w:t>适用范围</w:t>
      </w:r>
      <w:r>
        <w:tab/>
      </w:r>
      <w:r>
        <w:fldChar w:fldCharType="begin"/>
      </w:r>
      <w:r>
        <w:instrText xml:space="preserve"> PAGEREF _Toc22138 \h </w:instrText>
      </w:r>
      <w:r>
        <w:fldChar w:fldCharType="separate"/>
      </w:r>
      <w:r>
        <w:t>2</w:t>
      </w:r>
      <w:r>
        <w:fldChar w:fldCharType="end"/>
      </w:r>
      <w:r>
        <w:rPr>
          <w:color w:val="000000"/>
        </w:rPr>
        <w:fldChar w:fldCharType="end"/>
      </w:r>
    </w:p>
    <w:p w14:paraId="55EE4D05">
      <w:pPr>
        <w:pStyle w:val="22"/>
        <w:tabs>
          <w:tab w:val="right" w:leader="dot" w:pos="9502"/>
          <w:tab w:val="clear" w:pos="9639"/>
        </w:tabs>
      </w:pPr>
      <w:r>
        <w:rPr>
          <w:color w:val="000000"/>
        </w:rPr>
        <w:fldChar w:fldCharType="begin"/>
      </w:r>
      <w:r>
        <w:instrText xml:space="preserve"> HYPERLINK \l _Toc31911 </w:instrText>
      </w:r>
      <w:r>
        <w:fldChar w:fldCharType="separate"/>
      </w:r>
      <w:r>
        <w:rPr>
          <w:rFonts w:hint="eastAsia" w:ascii="华文中宋" w:hAnsi="华文中宋" w:eastAsia="华文中宋"/>
        </w:rPr>
        <w:t>第二章 发展策略与目标定位</w:t>
      </w:r>
      <w:r>
        <w:tab/>
      </w:r>
      <w:r>
        <w:fldChar w:fldCharType="begin"/>
      </w:r>
      <w:r>
        <w:instrText xml:space="preserve"> PAGEREF _Toc31911 \h </w:instrText>
      </w:r>
      <w:r>
        <w:fldChar w:fldCharType="separate"/>
      </w:r>
      <w:r>
        <w:t>3</w:t>
      </w:r>
      <w:r>
        <w:fldChar w:fldCharType="end"/>
      </w:r>
      <w:r>
        <w:rPr>
          <w:color w:val="000000"/>
        </w:rPr>
        <w:fldChar w:fldCharType="end"/>
      </w:r>
    </w:p>
    <w:p w14:paraId="4C7D00AE">
      <w:pPr>
        <w:pStyle w:val="14"/>
        <w:tabs>
          <w:tab w:val="right" w:leader="dot" w:pos="9502"/>
          <w:tab w:val="clear" w:pos="9639"/>
        </w:tabs>
      </w:pPr>
      <w:r>
        <w:rPr>
          <w:color w:val="000000"/>
        </w:rPr>
        <w:fldChar w:fldCharType="begin"/>
      </w:r>
      <w:r>
        <w:instrText xml:space="preserve"> HYPERLINK \l _Toc32209 </w:instrText>
      </w:r>
      <w:r>
        <w:fldChar w:fldCharType="separate"/>
      </w:r>
      <w:r>
        <w:rPr>
          <w:rFonts w:hint="eastAsia" w:ascii="微软雅黑" w:hAnsi="微软雅黑" w:eastAsia="微软雅黑"/>
          <w:lang w:val="en-US"/>
        </w:rPr>
        <w:t xml:space="preserve">第七条 </w:t>
      </w:r>
      <w:r>
        <w:rPr>
          <w:rFonts w:hint="eastAsia" w:ascii="微软雅黑" w:hAnsi="微软雅黑" w:eastAsia="微软雅黑"/>
        </w:rPr>
        <w:t>发展策略</w:t>
      </w:r>
      <w:r>
        <w:tab/>
      </w:r>
      <w:r>
        <w:fldChar w:fldCharType="begin"/>
      </w:r>
      <w:r>
        <w:instrText xml:space="preserve"> PAGEREF _Toc32209 \h </w:instrText>
      </w:r>
      <w:r>
        <w:fldChar w:fldCharType="separate"/>
      </w:r>
      <w:r>
        <w:t>3</w:t>
      </w:r>
      <w:r>
        <w:fldChar w:fldCharType="end"/>
      </w:r>
      <w:r>
        <w:rPr>
          <w:color w:val="000000"/>
        </w:rPr>
        <w:fldChar w:fldCharType="end"/>
      </w:r>
    </w:p>
    <w:p w14:paraId="6DF1B78A">
      <w:pPr>
        <w:pStyle w:val="14"/>
        <w:tabs>
          <w:tab w:val="right" w:leader="dot" w:pos="9502"/>
          <w:tab w:val="clear" w:pos="9639"/>
        </w:tabs>
      </w:pPr>
      <w:r>
        <w:rPr>
          <w:color w:val="000000"/>
        </w:rPr>
        <w:fldChar w:fldCharType="begin"/>
      </w:r>
      <w:r>
        <w:instrText xml:space="preserve"> HYPERLINK \l _Toc13684 </w:instrText>
      </w:r>
      <w:r>
        <w:fldChar w:fldCharType="separate"/>
      </w:r>
      <w:r>
        <w:rPr>
          <w:rFonts w:hint="eastAsia" w:ascii="微软雅黑" w:hAnsi="微软雅黑" w:eastAsia="微软雅黑"/>
          <w:lang w:val="en-US"/>
        </w:rPr>
        <w:t xml:space="preserve">第八条 </w:t>
      </w:r>
      <w:r>
        <w:rPr>
          <w:rFonts w:hint="eastAsia" w:ascii="微软雅黑" w:hAnsi="微软雅黑" w:eastAsia="微软雅黑"/>
        </w:rPr>
        <w:t>发展目标</w:t>
      </w:r>
      <w:r>
        <w:tab/>
      </w:r>
      <w:r>
        <w:fldChar w:fldCharType="begin"/>
      </w:r>
      <w:r>
        <w:instrText xml:space="preserve"> PAGEREF _Toc13684 \h </w:instrText>
      </w:r>
      <w:r>
        <w:fldChar w:fldCharType="separate"/>
      </w:r>
      <w:r>
        <w:t>3</w:t>
      </w:r>
      <w:r>
        <w:fldChar w:fldCharType="end"/>
      </w:r>
      <w:r>
        <w:rPr>
          <w:color w:val="000000"/>
        </w:rPr>
        <w:fldChar w:fldCharType="end"/>
      </w:r>
    </w:p>
    <w:p w14:paraId="462FD80A">
      <w:pPr>
        <w:pStyle w:val="14"/>
        <w:tabs>
          <w:tab w:val="right" w:leader="dot" w:pos="9502"/>
          <w:tab w:val="clear" w:pos="9639"/>
        </w:tabs>
      </w:pPr>
      <w:r>
        <w:rPr>
          <w:color w:val="000000"/>
        </w:rPr>
        <w:fldChar w:fldCharType="begin"/>
      </w:r>
      <w:r>
        <w:instrText xml:space="preserve"> HYPERLINK \l _Toc23192 </w:instrText>
      </w:r>
      <w:r>
        <w:fldChar w:fldCharType="separate"/>
      </w:r>
      <w:r>
        <w:rPr>
          <w:rFonts w:hint="eastAsia" w:ascii="微软雅黑" w:hAnsi="微软雅黑" w:eastAsia="微软雅黑"/>
          <w:lang w:val="en-US"/>
        </w:rPr>
        <w:t xml:space="preserve">第九条 </w:t>
      </w:r>
      <w:r>
        <w:rPr>
          <w:rFonts w:hint="eastAsia" w:ascii="微软雅黑" w:hAnsi="微软雅黑" w:eastAsia="微软雅黑"/>
        </w:rPr>
        <w:t>发展规模</w:t>
      </w:r>
      <w:r>
        <w:tab/>
      </w:r>
      <w:r>
        <w:fldChar w:fldCharType="begin"/>
      </w:r>
      <w:r>
        <w:instrText xml:space="preserve"> PAGEREF _Toc23192 \h </w:instrText>
      </w:r>
      <w:r>
        <w:fldChar w:fldCharType="separate"/>
      </w:r>
      <w:r>
        <w:t>3</w:t>
      </w:r>
      <w:r>
        <w:fldChar w:fldCharType="end"/>
      </w:r>
      <w:r>
        <w:rPr>
          <w:color w:val="000000"/>
        </w:rPr>
        <w:fldChar w:fldCharType="end"/>
      </w:r>
    </w:p>
    <w:p w14:paraId="6619ED38">
      <w:pPr>
        <w:pStyle w:val="22"/>
        <w:tabs>
          <w:tab w:val="right" w:leader="dot" w:pos="9502"/>
          <w:tab w:val="clear" w:pos="9639"/>
        </w:tabs>
      </w:pPr>
      <w:r>
        <w:rPr>
          <w:color w:val="000000"/>
        </w:rPr>
        <w:fldChar w:fldCharType="begin"/>
      </w:r>
      <w:r>
        <w:instrText xml:space="preserve"> HYPERLINK \l _Toc20146 </w:instrText>
      </w:r>
      <w:r>
        <w:fldChar w:fldCharType="separate"/>
      </w:r>
      <w:r>
        <w:rPr>
          <w:rFonts w:hint="eastAsia" w:ascii="华文中宋" w:hAnsi="华文中宋" w:eastAsia="华文中宋"/>
        </w:rPr>
        <w:t>第三章 市域商业网点布局体系</w:t>
      </w:r>
      <w:r>
        <w:tab/>
      </w:r>
      <w:r>
        <w:fldChar w:fldCharType="begin"/>
      </w:r>
      <w:r>
        <w:instrText xml:space="preserve"> PAGEREF _Toc20146 \h </w:instrText>
      </w:r>
      <w:r>
        <w:fldChar w:fldCharType="separate"/>
      </w:r>
      <w:r>
        <w:t>4</w:t>
      </w:r>
      <w:r>
        <w:fldChar w:fldCharType="end"/>
      </w:r>
      <w:r>
        <w:rPr>
          <w:color w:val="000000"/>
        </w:rPr>
        <w:fldChar w:fldCharType="end"/>
      </w:r>
    </w:p>
    <w:p w14:paraId="3ADD1DDE">
      <w:pPr>
        <w:pStyle w:val="14"/>
        <w:tabs>
          <w:tab w:val="right" w:leader="dot" w:pos="9502"/>
          <w:tab w:val="clear" w:pos="9639"/>
        </w:tabs>
      </w:pPr>
      <w:r>
        <w:rPr>
          <w:color w:val="000000"/>
        </w:rPr>
        <w:fldChar w:fldCharType="begin"/>
      </w:r>
      <w:r>
        <w:instrText xml:space="preserve"> HYPERLINK \l _Toc12483 </w:instrText>
      </w:r>
      <w:r>
        <w:fldChar w:fldCharType="separate"/>
      </w:r>
      <w:r>
        <w:rPr>
          <w:rFonts w:hint="eastAsia" w:ascii="微软雅黑" w:hAnsi="微软雅黑" w:eastAsia="微软雅黑"/>
          <w:lang w:val="en-US"/>
        </w:rPr>
        <w:t xml:space="preserve">第十条 </w:t>
      </w:r>
      <w:r>
        <w:rPr>
          <w:rFonts w:hint="eastAsia" w:ascii="微软雅黑" w:hAnsi="微软雅黑" w:eastAsia="微软雅黑"/>
        </w:rPr>
        <w:t>市域商业网点布局格局</w:t>
      </w:r>
      <w:r>
        <w:tab/>
      </w:r>
      <w:r>
        <w:fldChar w:fldCharType="begin"/>
      </w:r>
      <w:r>
        <w:instrText xml:space="preserve"> PAGEREF _Toc12483 \h </w:instrText>
      </w:r>
      <w:r>
        <w:fldChar w:fldCharType="separate"/>
      </w:r>
      <w:r>
        <w:t>4</w:t>
      </w:r>
      <w:r>
        <w:fldChar w:fldCharType="end"/>
      </w:r>
      <w:r>
        <w:rPr>
          <w:color w:val="000000"/>
        </w:rPr>
        <w:fldChar w:fldCharType="end"/>
      </w:r>
    </w:p>
    <w:p w14:paraId="50E5FA53">
      <w:pPr>
        <w:pStyle w:val="14"/>
        <w:tabs>
          <w:tab w:val="right" w:leader="dot" w:pos="9502"/>
          <w:tab w:val="clear" w:pos="9639"/>
        </w:tabs>
      </w:pPr>
      <w:r>
        <w:rPr>
          <w:color w:val="000000"/>
        </w:rPr>
        <w:fldChar w:fldCharType="begin"/>
      </w:r>
      <w:r>
        <w:instrText xml:space="preserve"> HYPERLINK \l _Toc21665 </w:instrText>
      </w:r>
      <w:r>
        <w:fldChar w:fldCharType="separate"/>
      </w:r>
      <w:r>
        <w:rPr>
          <w:rFonts w:hint="eastAsia" w:ascii="微软雅黑" w:hAnsi="微软雅黑" w:eastAsia="微软雅黑"/>
          <w:lang w:val="en-US"/>
        </w:rPr>
        <w:t xml:space="preserve">第十一条 </w:t>
      </w:r>
      <w:r>
        <w:rPr>
          <w:rFonts w:hint="eastAsia" w:ascii="微软雅黑" w:hAnsi="微软雅黑" w:eastAsia="微软雅黑"/>
          <w:lang w:val="en-US" w:eastAsia="zh-CN"/>
        </w:rPr>
        <w:t>中心城区</w:t>
      </w:r>
      <w:r>
        <w:rPr>
          <w:rFonts w:hint="eastAsia" w:ascii="微软雅黑" w:hAnsi="微软雅黑" w:eastAsia="微软雅黑"/>
        </w:rPr>
        <w:t>商业网点布局格局</w:t>
      </w:r>
      <w:r>
        <w:tab/>
      </w:r>
      <w:r>
        <w:fldChar w:fldCharType="begin"/>
      </w:r>
      <w:r>
        <w:instrText xml:space="preserve"> PAGEREF _Toc21665 \h </w:instrText>
      </w:r>
      <w:r>
        <w:fldChar w:fldCharType="separate"/>
      </w:r>
      <w:r>
        <w:t>4</w:t>
      </w:r>
      <w:r>
        <w:fldChar w:fldCharType="end"/>
      </w:r>
      <w:r>
        <w:rPr>
          <w:color w:val="000000"/>
        </w:rPr>
        <w:fldChar w:fldCharType="end"/>
      </w:r>
    </w:p>
    <w:p w14:paraId="71A54FFA">
      <w:pPr>
        <w:pStyle w:val="14"/>
        <w:tabs>
          <w:tab w:val="right" w:leader="dot" w:pos="9502"/>
          <w:tab w:val="clear" w:pos="9639"/>
        </w:tabs>
      </w:pPr>
      <w:r>
        <w:rPr>
          <w:color w:val="000000"/>
        </w:rPr>
        <w:fldChar w:fldCharType="begin"/>
      </w:r>
      <w:r>
        <w:instrText xml:space="preserve"> HYPERLINK \l _Toc15172 </w:instrText>
      </w:r>
      <w:r>
        <w:fldChar w:fldCharType="separate"/>
      </w:r>
      <w:r>
        <w:rPr>
          <w:rFonts w:hint="eastAsia" w:ascii="微软雅黑" w:hAnsi="微软雅黑" w:eastAsia="微软雅黑" w:cs="Times New Roman"/>
          <w:bCs/>
          <w:lang w:val="en-US" w:eastAsia="zh-CN"/>
        </w:rPr>
        <w:t>第十二条 陆丰市商业网点布局体系</w:t>
      </w:r>
      <w:r>
        <w:tab/>
      </w:r>
      <w:r>
        <w:fldChar w:fldCharType="begin"/>
      </w:r>
      <w:r>
        <w:instrText xml:space="preserve"> PAGEREF _Toc15172 \h </w:instrText>
      </w:r>
      <w:r>
        <w:fldChar w:fldCharType="separate"/>
      </w:r>
      <w:r>
        <w:t>4</w:t>
      </w:r>
      <w:r>
        <w:fldChar w:fldCharType="end"/>
      </w:r>
      <w:r>
        <w:rPr>
          <w:color w:val="000000"/>
        </w:rPr>
        <w:fldChar w:fldCharType="end"/>
      </w:r>
    </w:p>
    <w:p w14:paraId="7ACA8784">
      <w:pPr>
        <w:pStyle w:val="14"/>
        <w:tabs>
          <w:tab w:val="right" w:leader="dot" w:pos="9502"/>
          <w:tab w:val="clear" w:pos="9639"/>
        </w:tabs>
      </w:pPr>
      <w:r>
        <w:rPr>
          <w:color w:val="000000"/>
        </w:rPr>
        <w:fldChar w:fldCharType="begin"/>
      </w:r>
      <w:r>
        <w:instrText xml:space="preserve"> HYPERLINK \l _Toc16215 </w:instrText>
      </w:r>
      <w:r>
        <w:fldChar w:fldCharType="separate"/>
      </w:r>
      <w:r>
        <w:rPr>
          <w:rFonts w:hint="eastAsia" w:ascii="微软雅黑" w:hAnsi="微软雅黑" w:eastAsia="微软雅黑" w:cs="Times New Roman"/>
          <w:bCs/>
          <w:lang w:val="en-US" w:eastAsia="zh-CN"/>
        </w:rPr>
        <w:t>第十三条 海丰县商业网点布局体系</w:t>
      </w:r>
      <w:r>
        <w:tab/>
      </w:r>
      <w:r>
        <w:fldChar w:fldCharType="begin"/>
      </w:r>
      <w:r>
        <w:instrText xml:space="preserve"> PAGEREF _Toc16215 \h </w:instrText>
      </w:r>
      <w:r>
        <w:fldChar w:fldCharType="separate"/>
      </w:r>
      <w:r>
        <w:t>4</w:t>
      </w:r>
      <w:r>
        <w:fldChar w:fldCharType="end"/>
      </w:r>
      <w:r>
        <w:rPr>
          <w:color w:val="000000"/>
        </w:rPr>
        <w:fldChar w:fldCharType="end"/>
      </w:r>
    </w:p>
    <w:p w14:paraId="647AD149">
      <w:pPr>
        <w:pStyle w:val="14"/>
        <w:tabs>
          <w:tab w:val="right" w:leader="dot" w:pos="9502"/>
          <w:tab w:val="clear" w:pos="9639"/>
        </w:tabs>
      </w:pPr>
      <w:r>
        <w:rPr>
          <w:color w:val="000000"/>
        </w:rPr>
        <w:fldChar w:fldCharType="begin"/>
      </w:r>
      <w:r>
        <w:instrText xml:space="preserve"> HYPERLINK \l _Toc16153 </w:instrText>
      </w:r>
      <w:r>
        <w:fldChar w:fldCharType="separate"/>
      </w:r>
      <w:r>
        <w:rPr>
          <w:rFonts w:hint="eastAsia" w:ascii="微软雅黑" w:hAnsi="微软雅黑" w:eastAsia="微软雅黑" w:cs="Times New Roman"/>
          <w:bCs/>
          <w:lang w:val="en-US" w:eastAsia="zh-CN"/>
        </w:rPr>
        <w:t>第十四条 陆河县商业网点布局体系</w:t>
      </w:r>
      <w:r>
        <w:tab/>
      </w:r>
      <w:r>
        <w:fldChar w:fldCharType="begin"/>
      </w:r>
      <w:r>
        <w:instrText xml:space="preserve"> PAGEREF _Toc16153 \h </w:instrText>
      </w:r>
      <w:r>
        <w:fldChar w:fldCharType="separate"/>
      </w:r>
      <w:r>
        <w:t>5</w:t>
      </w:r>
      <w:r>
        <w:fldChar w:fldCharType="end"/>
      </w:r>
      <w:r>
        <w:rPr>
          <w:color w:val="000000"/>
        </w:rPr>
        <w:fldChar w:fldCharType="end"/>
      </w:r>
    </w:p>
    <w:p w14:paraId="7EFA4D82">
      <w:pPr>
        <w:pStyle w:val="22"/>
        <w:tabs>
          <w:tab w:val="right" w:leader="dot" w:pos="9502"/>
          <w:tab w:val="clear" w:pos="9639"/>
        </w:tabs>
      </w:pPr>
      <w:r>
        <w:rPr>
          <w:color w:val="000000"/>
        </w:rPr>
        <w:fldChar w:fldCharType="begin"/>
      </w:r>
      <w:r>
        <w:instrText xml:space="preserve"> HYPERLINK \l _Toc16403 </w:instrText>
      </w:r>
      <w:r>
        <w:fldChar w:fldCharType="separate"/>
      </w:r>
      <w:r>
        <w:rPr>
          <w:rFonts w:hint="eastAsia" w:ascii="华文中宋" w:hAnsi="华文中宋" w:eastAsia="华文中宋"/>
        </w:rPr>
        <w:t>第</w:t>
      </w:r>
      <w:r>
        <w:rPr>
          <w:rFonts w:hint="eastAsia" w:ascii="华文中宋" w:hAnsi="华文中宋" w:eastAsia="华文中宋"/>
          <w:lang w:val="en-US" w:eastAsia="zh-CN"/>
        </w:rPr>
        <w:t>四</w:t>
      </w:r>
      <w:r>
        <w:rPr>
          <w:rFonts w:hint="eastAsia" w:ascii="华文中宋" w:hAnsi="华文中宋" w:eastAsia="华文中宋"/>
        </w:rPr>
        <w:t xml:space="preserve">章 </w:t>
      </w:r>
      <w:r>
        <w:rPr>
          <w:rFonts w:hint="eastAsia" w:ascii="华文中宋" w:hAnsi="华文中宋" w:eastAsia="华文中宋"/>
          <w:lang w:val="en-US" w:eastAsia="zh-CN"/>
        </w:rPr>
        <w:t>中心城区</w:t>
      </w:r>
      <w:r>
        <w:rPr>
          <w:rFonts w:hint="eastAsia" w:ascii="华文中宋" w:hAnsi="华文中宋" w:eastAsia="华文中宋"/>
        </w:rPr>
        <w:t>城市商业网点规划</w:t>
      </w:r>
      <w:r>
        <w:tab/>
      </w:r>
      <w:r>
        <w:fldChar w:fldCharType="begin"/>
      </w:r>
      <w:r>
        <w:instrText xml:space="preserve"> PAGEREF _Toc16403 \h </w:instrText>
      </w:r>
      <w:r>
        <w:fldChar w:fldCharType="separate"/>
      </w:r>
      <w:r>
        <w:t>6</w:t>
      </w:r>
      <w:r>
        <w:fldChar w:fldCharType="end"/>
      </w:r>
      <w:r>
        <w:rPr>
          <w:color w:val="000000"/>
        </w:rPr>
        <w:fldChar w:fldCharType="end"/>
      </w:r>
    </w:p>
    <w:p w14:paraId="0BA7D72C">
      <w:pPr>
        <w:pStyle w:val="28"/>
        <w:tabs>
          <w:tab w:val="right" w:leader="dot" w:pos="9502"/>
          <w:tab w:val="clear" w:pos="9639"/>
        </w:tabs>
      </w:pPr>
      <w:r>
        <w:rPr>
          <w:color w:val="000000"/>
        </w:rPr>
        <w:fldChar w:fldCharType="begin"/>
      </w:r>
      <w:r>
        <w:instrText xml:space="preserve"> HYPERLINK \l _Toc4058 </w:instrText>
      </w:r>
      <w:r>
        <w:fldChar w:fldCharType="separate"/>
      </w:r>
      <w:r>
        <w:rPr>
          <w:rFonts w:hint="eastAsia" w:ascii="华文中宋" w:hAnsi="华文中宋" w:eastAsia="华文中宋"/>
          <w:szCs w:val="36"/>
        </w:rPr>
        <w:t>第一节 城市商业中心规划布局</w:t>
      </w:r>
      <w:r>
        <w:tab/>
      </w:r>
      <w:r>
        <w:fldChar w:fldCharType="begin"/>
      </w:r>
      <w:r>
        <w:instrText xml:space="preserve"> PAGEREF _Toc4058 \h </w:instrText>
      </w:r>
      <w:r>
        <w:fldChar w:fldCharType="separate"/>
      </w:r>
      <w:r>
        <w:t>6</w:t>
      </w:r>
      <w:r>
        <w:fldChar w:fldCharType="end"/>
      </w:r>
      <w:r>
        <w:rPr>
          <w:color w:val="000000"/>
        </w:rPr>
        <w:fldChar w:fldCharType="end"/>
      </w:r>
    </w:p>
    <w:p w14:paraId="1422A63F">
      <w:pPr>
        <w:pStyle w:val="14"/>
        <w:tabs>
          <w:tab w:val="right" w:leader="dot" w:pos="9502"/>
          <w:tab w:val="clear" w:pos="9639"/>
        </w:tabs>
      </w:pPr>
      <w:r>
        <w:rPr>
          <w:color w:val="000000"/>
        </w:rPr>
        <w:fldChar w:fldCharType="begin"/>
      </w:r>
      <w:r>
        <w:instrText xml:space="preserve"> HYPERLINK \l _Toc28178 </w:instrText>
      </w:r>
      <w:r>
        <w:fldChar w:fldCharType="separate"/>
      </w:r>
      <w:r>
        <w:rPr>
          <w:rFonts w:hint="eastAsia" w:ascii="微软雅黑" w:hAnsi="微软雅黑" w:eastAsia="微软雅黑"/>
          <w:lang w:val="en-US"/>
        </w:rPr>
        <w:t xml:space="preserve">第十五条 </w:t>
      </w:r>
      <w:r>
        <w:rPr>
          <w:rFonts w:hint="eastAsia" w:ascii="微软雅黑" w:hAnsi="微软雅黑" w:eastAsia="微软雅黑"/>
        </w:rPr>
        <w:t>城市商业中心规划布局</w:t>
      </w:r>
      <w:r>
        <w:tab/>
      </w:r>
      <w:r>
        <w:fldChar w:fldCharType="begin"/>
      </w:r>
      <w:r>
        <w:instrText xml:space="preserve"> PAGEREF _Toc28178 \h </w:instrText>
      </w:r>
      <w:r>
        <w:fldChar w:fldCharType="separate"/>
      </w:r>
      <w:r>
        <w:t>6</w:t>
      </w:r>
      <w:r>
        <w:fldChar w:fldCharType="end"/>
      </w:r>
      <w:r>
        <w:rPr>
          <w:color w:val="000000"/>
        </w:rPr>
        <w:fldChar w:fldCharType="end"/>
      </w:r>
    </w:p>
    <w:p w14:paraId="54840236">
      <w:pPr>
        <w:pStyle w:val="14"/>
        <w:tabs>
          <w:tab w:val="right" w:leader="dot" w:pos="9502"/>
          <w:tab w:val="clear" w:pos="9639"/>
        </w:tabs>
      </w:pPr>
      <w:r>
        <w:rPr>
          <w:color w:val="000000"/>
        </w:rPr>
        <w:fldChar w:fldCharType="begin"/>
      </w:r>
      <w:r>
        <w:instrText xml:space="preserve"> HYPERLINK \l _Toc22958 </w:instrText>
      </w:r>
      <w:r>
        <w:fldChar w:fldCharType="separate"/>
      </w:r>
      <w:r>
        <w:rPr>
          <w:rFonts w:hint="eastAsia" w:ascii="微软雅黑" w:hAnsi="微软雅黑" w:eastAsia="微软雅黑"/>
          <w:lang w:val="en-US"/>
        </w:rPr>
        <w:t xml:space="preserve">第十六条 </w:t>
      </w:r>
      <w:r>
        <w:rPr>
          <w:rFonts w:hint="eastAsia" w:ascii="微软雅黑" w:hAnsi="微软雅黑" w:eastAsia="微软雅黑"/>
        </w:rPr>
        <w:t>组团商业中心规划布局</w:t>
      </w:r>
      <w:r>
        <w:tab/>
      </w:r>
      <w:r>
        <w:fldChar w:fldCharType="begin"/>
      </w:r>
      <w:r>
        <w:instrText xml:space="preserve"> PAGEREF _Toc22958 \h </w:instrText>
      </w:r>
      <w:r>
        <w:fldChar w:fldCharType="separate"/>
      </w:r>
      <w:r>
        <w:t>6</w:t>
      </w:r>
      <w:r>
        <w:fldChar w:fldCharType="end"/>
      </w:r>
      <w:r>
        <w:rPr>
          <w:color w:val="000000"/>
        </w:rPr>
        <w:fldChar w:fldCharType="end"/>
      </w:r>
    </w:p>
    <w:p w14:paraId="449543FB">
      <w:pPr>
        <w:pStyle w:val="14"/>
        <w:tabs>
          <w:tab w:val="right" w:leader="dot" w:pos="9502"/>
          <w:tab w:val="clear" w:pos="9639"/>
        </w:tabs>
      </w:pPr>
      <w:r>
        <w:rPr>
          <w:color w:val="000000"/>
        </w:rPr>
        <w:fldChar w:fldCharType="begin"/>
      </w:r>
      <w:r>
        <w:instrText xml:space="preserve"> HYPERLINK \l _Toc30529 </w:instrText>
      </w:r>
      <w:r>
        <w:fldChar w:fldCharType="separate"/>
      </w:r>
      <w:r>
        <w:rPr>
          <w:rFonts w:hint="eastAsia" w:ascii="微软雅黑" w:hAnsi="微软雅黑" w:eastAsia="微软雅黑"/>
          <w:lang w:val="en-US"/>
        </w:rPr>
        <w:t xml:space="preserve">第十七条 </w:t>
      </w:r>
      <w:r>
        <w:rPr>
          <w:rFonts w:hint="eastAsia" w:ascii="微软雅黑" w:hAnsi="微软雅黑" w:eastAsia="微软雅黑"/>
        </w:rPr>
        <w:t>社区商业中心规划布局</w:t>
      </w:r>
      <w:r>
        <w:tab/>
      </w:r>
      <w:r>
        <w:fldChar w:fldCharType="begin"/>
      </w:r>
      <w:r>
        <w:instrText xml:space="preserve"> PAGEREF _Toc30529 \h </w:instrText>
      </w:r>
      <w:r>
        <w:fldChar w:fldCharType="separate"/>
      </w:r>
      <w:r>
        <w:t>6</w:t>
      </w:r>
      <w:r>
        <w:fldChar w:fldCharType="end"/>
      </w:r>
      <w:r>
        <w:rPr>
          <w:color w:val="000000"/>
        </w:rPr>
        <w:fldChar w:fldCharType="end"/>
      </w:r>
    </w:p>
    <w:p w14:paraId="057E5A2B">
      <w:pPr>
        <w:pStyle w:val="28"/>
        <w:tabs>
          <w:tab w:val="right" w:leader="dot" w:pos="9502"/>
          <w:tab w:val="clear" w:pos="9639"/>
        </w:tabs>
      </w:pPr>
      <w:r>
        <w:rPr>
          <w:color w:val="000000"/>
        </w:rPr>
        <w:fldChar w:fldCharType="begin"/>
      </w:r>
      <w:r>
        <w:instrText xml:space="preserve"> HYPERLINK \l _Toc25539 </w:instrText>
      </w:r>
      <w:r>
        <w:fldChar w:fldCharType="separate"/>
      </w:r>
      <w:r>
        <w:rPr>
          <w:rFonts w:hint="eastAsia" w:ascii="华文中宋" w:hAnsi="华文中宋" w:eastAsia="华文中宋"/>
          <w:szCs w:val="36"/>
        </w:rPr>
        <w:t>第二节 大中型零售商业网点规划布局</w:t>
      </w:r>
      <w:r>
        <w:tab/>
      </w:r>
      <w:r>
        <w:fldChar w:fldCharType="begin"/>
      </w:r>
      <w:r>
        <w:instrText xml:space="preserve"> PAGEREF _Toc25539 \h </w:instrText>
      </w:r>
      <w:r>
        <w:fldChar w:fldCharType="separate"/>
      </w:r>
      <w:r>
        <w:t>7</w:t>
      </w:r>
      <w:r>
        <w:fldChar w:fldCharType="end"/>
      </w:r>
      <w:r>
        <w:rPr>
          <w:color w:val="000000"/>
        </w:rPr>
        <w:fldChar w:fldCharType="end"/>
      </w:r>
    </w:p>
    <w:p w14:paraId="28206662">
      <w:pPr>
        <w:pStyle w:val="14"/>
        <w:tabs>
          <w:tab w:val="right" w:leader="dot" w:pos="9502"/>
          <w:tab w:val="clear" w:pos="9639"/>
        </w:tabs>
      </w:pPr>
      <w:r>
        <w:rPr>
          <w:color w:val="000000"/>
        </w:rPr>
        <w:fldChar w:fldCharType="begin"/>
      </w:r>
      <w:r>
        <w:instrText xml:space="preserve"> HYPERLINK \l _Toc23356 </w:instrText>
      </w:r>
      <w:r>
        <w:fldChar w:fldCharType="separate"/>
      </w:r>
      <w:r>
        <w:rPr>
          <w:rFonts w:hint="eastAsia" w:ascii="微软雅黑" w:hAnsi="微软雅黑" w:eastAsia="微软雅黑"/>
          <w:lang w:val="en-US"/>
        </w:rPr>
        <w:t xml:space="preserve">第十八条 </w:t>
      </w:r>
      <w:r>
        <w:rPr>
          <w:rFonts w:hint="eastAsia" w:ascii="微软雅黑" w:hAnsi="微软雅黑" w:eastAsia="微软雅黑"/>
        </w:rPr>
        <w:t>规划对象</w:t>
      </w:r>
      <w:r>
        <w:tab/>
      </w:r>
      <w:r>
        <w:fldChar w:fldCharType="begin"/>
      </w:r>
      <w:r>
        <w:instrText xml:space="preserve"> PAGEREF _Toc23356 \h </w:instrText>
      </w:r>
      <w:r>
        <w:fldChar w:fldCharType="separate"/>
      </w:r>
      <w:r>
        <w:t>7</w:t>
      </w:r>
      <w:r>
        <w:fldChar w:fldCharType="end"/>
      </w:r>
      <w:r>
        <w:rPr>
          <w:color w:val="000000"/>
        </w:rPr>
        <w:fldChar w:fldCharType="end"/>
      </w:r>
    </w:p>
    <w:p w14:paraId="0668731E">
      <w:pPr>
        <w:pStyle w:val="14"/>
        <w:tabs>
          <w:tab w:val="right" w:leader="dot" w:pos="9502"/>
          <w:tab w:val="clear" w:pos="9639"/>
        </w:tabs>
      </w:pPr>
      <w:r>
        <w:rPr>
          <w:color w:val="000000"/>
        </w:rPr>
        <w:fldChar w:fldCharType="begin"/>
      </w:r>
      <w:r>
        <w:instrText xml:space="preserve"> HYPERLINK \l _Toc22470 </w:instrText>
      </w:r>
      <w:r>
        <w:fldChar w:fldCharType="separate"/>
      </w:r>
      <w:r>
        <w:rPr>
          <w:rFonts w:hint="eastAsia" w:ascii="微软雅黑" w:hAnsi="微软雅黑" w:eastAsia="微软雅黑"/>
          <w:lang w:val="en-US"/>
        </w:rPr>
        <w:t xml:space="preserve">第十九条 </w:t>
      </w:r>
      <w:r>
        <w:rPr>
          <w:rFonts w:hint="eastAsia" w:ascii="微软雅黑" w:hAnsi="微软雅黑" w:eastAsia="微软雅黑"/>
        </w:rPr>
        <w:t>商业综合体规划布局</w:t>
      </w:r>
      <w:r>
        <w:tab/>
      </w:r>
      <w:r>
        <w:fldChar w:fldCharType="begin"/>
      </w:r>
      <w:r>
        <w:instrText xml:space="preserve"> PAGEREF _Toc22470 \h </w:instrText>
      </w:r>
      <w:r>
        <w:fldChar w:fldCharType="separate"/>
      </w:r>
      <w:r>
        <w:t>7</w:t>
      </w:r>
      <w:r>
        <w:fldChar w:fldCharType="end"/>
      </w:r>
      <w:r>
        <w:rPr>
          <w:color w:val="000000"/>
        </w:rPr>
        <w:fldChar w:fldCharType="end"/>
      </w:r>
    </w:p>
    <w:p w14:paraId="71151EBE">
      <w:pPr>
        <w:pStyle w:val="14"/>
        <w:tabs>
          <w:tab w:val="right" w:leader="dot" w:pos="9502"/>
          <w:tab w:val="clear" w:pos="9639"/>
        </w:tabs>
      </w:pPr>
      <w:r>
        <w:rPr>
          <w:color w:val="000000"/>
        </w:rPr>
        <w:fldChar w:fldCharType="begin"/>
      </w:r>
      <w:r>
        <w:instrText xml:space="preserve"> HYPERLINK \l _Toc11125 </w:instrText>
      </w:r>
      <w:r>
        <w:fldChar w:fldCharType="separate"/>
      </w:r>
      <w:r>
        <w:rPr>
          <w:rFonts w:hint="eastAsia" w:ascii="微软雅黑" w:hAnsi="微软雅黑" w:eastAsia="微软雅黑" w:cs="Times New Roman"/>
          <w:bCs/>
          <w:lang w:val="en-US"/>
        </w:rPr>
        <w:t xml:space="preserve">第二十条 </w:t>
      </w:r>
      <w:r>
        <w:rPr>
          <w:rFonts w:hint="eastAsia" w:ascii="微软雅黑" w:hAnsi="微软雅黑" w:eastAsia="微软雅黑" w:cs="Times New Roman"/>
          <w:bCs/>
        </w:rPr>
        <w:t>大中型商超规划布局</w:t>
      </w:r>
      <w:r>
        <w:tab/>
      </w:r>
      <w:r>
        <w:fldChar w:fldCharType="begin"/>
      </w:r>
      <w:r>
        <w:instrText xml:space="preserve"> PAGEREF _Toc11125 \h </w:instrText>
      </w:r>
      <w:r>
        <w:fldChar w:fldCharType="separate"/>
      </w:r>
      <w:r>
        <w:t>8</w:t>
      </w:r>
      <w:r>
        <w:fldChar w:fldCharType="end"/>
      </w:r>
      <w:r>
        <w:rPr>
          <w:color w:val="000000"/>
        </w:rPr>
        <w:fldChar w:fldCharType="end"/>
      </w:r>
    </w:p>
    <w:p w14:paraId="0F0CC777">
      <w:pPr>
        <w:pStyle w:val="28"/>
        <w:tabs>
          <w:tab w:val="right" w:leader="dot" w:pos="9502"/>
          <w:tab w:val="clear" w:pos="9639"/>
        </w:tabs>
      </w:pPr>
      <w:r>
        <w:rPr>
          <w:color w:val="000000"/>
        </w:rPr>
        <w:fldChar w:fldCharType="begin"/>
      </w:r>
      <w:r>
        <w:instrText xml:space="preserve"> HYPERLINK \l _Toc15859 </w:instrText>
      </w:r>
      <w:r>
        <w:fldChar w:fldCharType="separate"/>
      </w:r>
      <w:r>
        <w:rPr>
          <w:rFonts w:hint="eastAsia" w:ascii="华文中宋" w:hAnsi="华文中宋" w:eastAsia="华文中宋"/>
          <w:szCs w:val="36"/>
        </w:rPr>
        <w:t>第三节 商业街规划布局</w:t>
      </w:r>
      <w:r>
        <w:tab/>
      </w:r>
      <w:r>
        <w:fldChar w:fldCharType="begin"/>
      </w:r>
      <w:r>
        <w:instrText xml:space="preserve"> PAGEREF _Toc15859 \h </w:instrText>
      </w:r>
      <w:r>
        <w:fldChar w:fldCharType="separate"/>
      </w:r>
      <w:r>
        <w:t>8</w:t>
      </w:r>
      <w:r>
        <w:fldChar w:fldCharType="end"/>
      </w:r>
      <w:r>
        <w:rPr>
          <w:color w:val="000000"/>
        </w:rPr>
        <w:fldChar w:fldCharType="end"/>
      </w:r>
    </w:p>
    <w:p w14:paraId="1D7DA937">
      <w:pPr>
        <w:pStyle w:val="14"/>
        <w:tabs>
          <w:tab w:val="right" w:leader="dot" w:pos="9502"/>
          <w:tab w:val="clear" w:pos="9639"/>
        </w:tabs>
      </w:pPr>
      <w:r>
        <w:rPr>
          <w:color w:val="000000"/>
        </w:rPr>
        <w:fldChar w:fldCharType="begin"/>
      </w:r>
      <w:r>
        <w:instrText xml:space="preserve"> HYPERLINK \l _Toc24962 </w:instrText>
      </w:r>
      <w:r>
        <w:fldChar w:fldCharType="separate"/>
      </w:r>
      <w:r>
        <w:rPr>
          <w:rFonts w:hint="eastAsia" w:ascii="微软雅黑" w:hAnsi="微软雅黑" w:eastAsia="微软雅黑"/>
          <w:lang w:val="en-US"/>
        </w:rPr>
        <w:t xml:space="preserve">第二十一条 </w:t>
      </w:r>
      <w:r>
        <w:rPr>
          <w:rFonts w:hint="eastAsia" w:ascii="微软雅黑" w:hAnsi="微软雅黑" w:eastAsia="微软雅黑"/>
        </w:rPr>
        <w:t>商业街规划布局</w:t>
      </w:r>
      <w:r>
        <w:tab/>
      </w:r>
      <w:r>
        <w:fldChar w:fldCharType="begin"/>
      </w:r>
      <w:r>
        <w:instrText xml:space="preserve"> PAGEREF _Toc24962 \h </w:instrText>
      </w:r>
      <w:r>
        <w:fldChar w:fldCharType="separate"/>
      </w:r>
      <w:r>
        <w:t>8</w:t>
      </w:r>
      <w:r>
        <w:fldChar w:fldCharType="end"/>
      </w:r>
      <w:r>
        <w:rPr>
          <w:color w:val="000000"/>
        </w:rPr>
        <w:fldChar w:fldCharType="end"/>
      </w:r>
    </w:p>
    <w:p w14:paraId="75669220">
      <w:pPr>
        <w:pStyle w:val="22"/>
        <w:tabs>
          <w:tab w:val="right" w:leader="dot" w:pos="9502"/>
          <w:tab w:val="clear" w:pos="9639"/>
        </w:tabs>
      </w:pPr>
      <w:r>
        <w:rPr>
          <w:color w:val="000000"/>
        </w:rPr>
        <w:fldChar w:fldCharType="begin"/>
      </w:r>
      <w:r>
        <w:instrText xml:space="preserve"> HYPERLINK \l _Toc6828 </w:instrText>
      </w:r>
      <w:r>
        <w:fldChar w:fldCharType="separate"/>
      </w:r>
      <w:r>
        <w:rPr>
          <w:rFonts w:hint="eastAsia" w:ascii="华文中宋" w:hAnsi="华文中宋" w:eastAsia="华文中宋"/>
        </w:rPr>
        <w:t>第</w:t>
      </w:r>
      <w:r>
        <w:rPr>
          <w:rFonts w:hint="eastAsia" w:ascii="华文中宋" w:hAnsi="华文中宋" w:eastAsia="华文中宋"/>
          <w:lang w:val="en-US" w:eastAsia="zh-CN"/>
        </w:rPr>
        <w:t>五</w:t>
      </w:r>
      <w:r>
        <w:rPr>
          <w:rFonts w:hint="eastAsia" w:ascii="华文中宋" w:hAnsi="华文中宋" w:eastAsia="华文中宋"/>
        </w:rPr>
        <w:t xml:space="preserve">章 </w:t>
      </w:r>
      <w:r>
        <w:rPr>
          <w:rFonts w:hint="eastAsia" w:ascii="华文中宋" w:hAnsi="华文中宋" w:eastAsia="华文中宋"/>
          <w:lang w:val="en-US" w:eastAsia="zh-CN"/>
        </w:rPr>
        <w:t>中心城区</w:t>
      </w:r>
      <w:r>
        <w:rPr>
          <w:rFonts w:hint="eastAsia" w:ascii="华文中宋" w:hAnsi="华文中宋" w:eastAsia="华文中宋"/>
        </w:rPr>
        <w:t>农贸市场发展规划</w:t>
      </w:r>
      <w:r>
        <w:tab/>
      </w:r>
      <w:r>
        <w:fldChar w:fldCharType="begin"/>
      </w:r>
      <w:r>
        <w:instrText xml:space="preserve"> PAGEREF _Toc6828 \h </w:instrText>
      </w:r>
      <w:r>
        <w:fldChar w:fldCharType="separate"/>
      </w:r>
      <w:r>
        <w:t>9</w:t>
      </w:r>
      <w:r>
        <w:fldChar w:fldCharType="end"/>
      </w:r>
      <w:r>
        <w:rPr>
          <w:color w:val="000000"/>
        </w:rPr>
        <w:fldChar w:fldCharType="end"/>
      </w:r>
    </w:p>
    <w:p w14:paraId="785F7F92">
      <w:pPr>
        <w:pStyle w:val="14"/>
        <w:tabs>
          <w:tab w:val="right" w:leader="dot" w:pos="9502"/>
          <w:tab w:val="clear" w:pos="9639"/>
        </w:tabs>
      </w:pPr>
      <w:r>
        <w:rPr>
          <w:color w:val="000000"/>
        </w:rPr>
        <w:fldChar w:fldCharType="begin"/>
      </w:r>
      <w:r>
        <w:instrText xml:space="preserve"> HYPERLINK \l _Toc9436 </w:instrText>
      </w:r>
      <w:r>
        <w:fldChar w:fldCharType="separate"/>
      </w:r>
      <w:r>
        <w:rPr>
          <w:rFonts w:hint="eastAsia" w:ascii="微软雅黑" w:hAnsi="微软雅黑" w:eastAsia="微软雅黑"/>
          <w:lang w:val="en-US"/>
        </w:rPr>
        <w:t xml:space="preserve">第二十二条 </w:t>
      </w:r>
      <w:r>
        <w:rPr>
          <w:rFonts w:hint="eastAsia" w:ascii="微软雅黑" w:hAnsi="微软雅黑" w:eastAsia="微软雅黑"/>
        </w:rPr>
        <w:t>农贸市场发展规模</w:t>
      </w:r>
      <w:r>
        <w:tab/>
      </w:r>
      <w:r>
        <w:fldChar w:fldCharType="begin"/>
      </w:r>
      <w:r>
        <w:instrText xml:space="preserve"> PAGEREF _Toc9436 \h </w:instrText>
      </w:r>
      <w:r>
        <w:fldChar w:fldCharType="separate"/>
      </w:r>
      <w:r>
        <w:t>9</w:t>
      </w:r>
      <w:r>
        <w:fldChar w:fldCharType="end"/>
      </w:r>
      <w:r>
        <w:rPr>
          <w:color w:val="000000"/>
        </w:rPr>
        <w:fldChar w:fldCharType="end"/>
      </w:r>
    </w:p>
    <w:p w14:paraId="0FA79587">
      <w:pPr>
        <w:pStyle w:val="14"/>
        <w:tabs>
          <w:tab w:val="right" w:leader="dot" w:pos="9502"/>
          <w:tab w:val="clear" w:pos="9639"/>
        </w:tabs>
      </w:pPr>
      <w:r>
        <w:rPr>
          <w:color w:val="000000"/>
        </w:rPr>
        <w:fldChar w:fldCharType="begin"/>
      </w:r>
      <w:r>
        <w:instrText xml:space="preserve"> HYPERLINK \l _Toc16822 </w:instrText>
      </w:r>
      <w:r>
        <w:fldChar w:fldCharType="separate"/>
      </w:r>
      <w:r>
        <w:rPr>
          <w:rFonts w:hint="eastAsia" w:ascii="微软雅黑" w:hAnsi="微软雅黑" w:eastAsia="微软雅黑"/>
          <w:lang w:val="en-US"/>
        </w:rPr>
        <w:t xml:space="preserve">第二十三条 </w:t>
      </w:r>
      <w:r>
        <w:rPr>
          <w:rFonts w:hint="eastAsia" w:ascii="微软雅黑" w:hAnsi="微软雅黑" w:eastAsia="微软雅黑"/>
        </w:rPr>
        <w:t>市域农贸市场发展布局</w:t>
      </w:r>
      <w:r>
        <w:tab/>
      </w:r>
      <w:r>
        <w:fldChar w:fldCharType="begin"/>
      </w:r>
      <w:r>
        <w:instrText xml:space="preserve"> PAGEREF _Toc16822 \h </w:instrText>
      </w:r>
      <w:r>
        <w:fldChar w:fldCharType="separate"/>
      </w:r>
      <w:r>
        <w:t>9</w:t>
      </w:r>
      <w:r>
        <w:fldChar w:fldCharType="end"/>
      </w:r>
      <w:r>
        <w:rPr>
          <w:color w:val="000000"/>
        </w:rPr>
        <w:fldChar w:fldCharType="end"/>
      </w:r>
    </w:p>
    <w:p w14:paraId="02D1A8EC">
      <w:pPr>
        <w:pStyle w:val="14"/>
        <w:tabs>
          <w:tab w:val="right" w:leader="dot" w:pos="9502"/>
          <w:tab w:val="clear" w:pos="9639"/>
        </w:tabs>
      </w:pPr>
      <w:r>
        <w:rPr>
          <w:color w:val="000000"/>
        </w:rPr>
        <w:fldChar w:fldCharType="begin"/>
      </w:r>
      <w:r>
        <w:instrText xml:space="preserve"> HYPERLINK \l _Toc25494 </w:instrText>
      </w:r>
      <w:r>
        <w:fldChar w:fldCharType="separate"/>
      </w:r>
      <w:r>
        <w:rPr>
          <w:rFonts w:hint="eastAsia" w:ascii="微软雅黑" w:hAnsi="微软雅黑" w:eastAsia="微软雅黑"/>
          <w:lang w:val="en-US"/>
        </w:rPr>
        <w:t xml:space="preserve">第二十四条 </w:t>
      </w:r>
      <w:r>
        <w:rPr>
          <w:rFonts w:hint="eastAsia" w:ascii="微软雅黑" w:hAnsi="微软雅黑" w:eastAsia="微软雅黑"/>
        </w:rPr>
        <w:t>中心城区农贸市场发展布局</w:t>
      </w:r>
      <w:r>
        <w:tab/>
      </w:r>
      <w:r>
        <w:fldChar w:fldCharType="begin"/>
      </w:r>
      <w:r>
        <w:instrText xml:space="preserve"> PAGEREF _Toc25494 \h </w:instrText>
      </w:r>
      <w:r>
        <w:fldChar w:fldCharType="separate"/>
      </w:r>
      <w:r>
        <w:t>9</w:t>
      </w:r>
      <w:r>
        <w:fldChar w:fldCharType="end"/>
      </w:r>
      <w:r>
        <w:rPr>
          <w:color w:val="000000"/>
        </w:rPr>
        <w:fldChar w:fldCharType="end"/>
      </w:r>
    </w:p>
    <w:p w14:paraId="512780F4">
      <w:pPr>
        <w:pStyle w:val="22"/>
        <w:tabs>
          <w:tab w:val="right" w:leader="dot" w:pos="9502"/>
          <w:tab w:val="clear" w:pos="9639"/>
        </w:tabs>
      </w:pPr>
      <w:r>
        <w:rPr>
          <w:color w:val="000000"/>
        </w:rPr>
        <w:fldChar w:fldCharType="begin"/>
      </w:r>
      <w:r>
        <w:instrText xml:space="preserve"> HYPERLINK \l _Toc21657 </w:instrText>
      </w:r>
      <w:r>
        <w:fldChar w:fldCharType="separate"/>
      </w:r>
      <w:r>
        <w:rPr>
          <w:rFonts w:hint="eastAsia" w:ascii="华文中宋" w:hAnsi="华文中宋" w:eastAsia="华文中宋"/>
        </w:rPr>
        <w:t>第</w:t>
      </w:r>
      <w:r>
        <w:rPr>
          <w:rFonts w:hint="eastAsia" w:ascii="华文中宋" w:hAnsi="华文中宋" w:eastAsia="华文中宋"/>
          <w:lang w:val="en-US" w:eastAsia="zh-CN"/>
        </w:rPr>
        <w:t>六</w:t>
      </w:r>
      <w:r>
        <w:rPr>
          <w:rFonts w:hint="eastAsia" w:ascii="华文中宋" w:hAnsi="华文中宋" w:eastAsia="华文中宋"/>
        </w:rPr>
        <w:t xml:space="preserve">章 </w:t>
      </w:r>
      <w:r>
        <w:rPr>
          <w:rFonts w:hint="eastAsia" w:ascii="华文中宋" w:hAnsi="华文中宋" w:eastAsia="华文中宋"/>
          <w:lang w:val="en-US" w:eastAsia="zh-CN"/>
        </w:rPr>
        <w:t>中心城区</w:t>
      </w:r>
      <w:r>
        <w:rPr>
          <w:rFonts w:hint="eastAsia" w:ascii="华文中宋" w:hAnsi="华文中宋" w:eastAsia="华文中宋"/>
        </w:rPr>
        <w:t>专业（交易）市场发展规划</w:t>
      </w:r>
      <w:r>
        <w:tab/>
      </w:r>
      <w:r>
        <w:fldChar w:fldCharType="begin"/>
      </w:r>
      <w:r>
        <w:instrText xml:space="preserve"> PAGEREF _Toc21657 \h </w:instrText>
      </w:r>
      <w:r>
        <w:fldChar w:fldCharType="separate"/>
      </w:r>
      <w:r>
        <w:t>10</w:t>
      </w:r>
      <w:r>
        <w:fldChar w:fldCharType="end"/>
      </w:r>
      <w:r>
        <w:rPr>
          <w:color w:val="000000"/>
        </w:rPr>
        <w:fldChar w:fldCharType="end"/>
      </w:r>
    </w:p>
    <w:p w14:paraId="6F43DA32">
      <w:pPr>
        <w:pStyle w:val="14"/>
        <w:tabs>
          <w:tab w:val="right" w:leader="dot" w:pos="9502"/>
          <w:tab w:val="clear" w:pos="9639"/>
        </w:tabs>
      </w:pPr>
      <w:r>
        <w:rPr>
          <w:color w:val="000000"/>
        </w:rPr>
        <w:fldChar w:fldCharType="begin"/>
      </w:r>
      <w:r>
        <w:instrText xml:space="preserve"> HYPERLINK \l _Toc32217 </w:instrText>
      </w:r>
      <w:r>
        <w:fldChar w:fldCharType="separate"/>
      </w:r>
      <w:r>
        <w:rPr>
          <w:rFonts w:hint="eastAsia" w:ascii="微软雅黑" w:hAnsi="微软雅黑" w:eastAsia="微软雅黑"/>
          <w:lang w:val="en-US"/>
        </w:rPr>
        <w:t xml:space="preserve">第二十五条 </w:t>
      </w:r>
      <w:r>
        <w:rPr>
          <w:rFonts w:hint="eastAsia" w:ascii="微软雅黑" w:hAnsi="微软雅黑" w:eastAsia="微软雅黑"/>
        </w:rPr>
        <w:t>中心城区专业（交易）市场布局体系</w:t>
      </w:r>
      <w:r>
        <w:tab/>
      </w:r>
      <w:r>
        <w:fldChar w:fldCharType="begin"/>
      </w:r>
      <w:r>
        <w:instrText xml:space="preserve"> PAGEREF _Toc32217 \h </w:instrText>
      </w:r>
      <w:r>
        <w:fldChar w:fldCharType="separate"/>
      </w:r>
      <w:r>
        <w:t>10</w:t>
      </w:r>
      <w:r>
        <w:fldChar w:fldCharType="end"/>
      </w:r>
      <w:r>
        <w:rPr>
          <w:color w:val="000000"/>
        </w:rPr>
        <w:fldChar w:fldCharType="end"/>
      </w:r>
    </w:p>
    <w:p w14:paraId="0AE50457">
      <w:pPr>
        <w:pStyle w:val="14"/>
        <w:tabs>
          <w:tab w:val="right" w:leader="dot" w:pos="9502"/>
          <w:tab w:val="clear" w:pos="9639"/>
        </w:tabs>
      </w:pPr>
      <w:r>
        <w:rPr>
          <w:color w:val="000000"/>
        </w:rPr>
        <w:fldChar w:fldCharType="begin"/>
      </w:r>
      <w:r>
        <w:instrText xml:space="preserve"> HYPERLINK \l _Toc19629 </w:instrText>
      </w:r>
      <w:r>
        <w:fldChar w:fldCharType="separate"/>
      </w:r>
      <w:r>
        <w:rPr>
          <w:rFonts w:hint="eastAsia" w:ascii="微软雅黑" w:hAnsi="微软雅黑" w:eastAsia="微软雅黑"/>
          <w:lang w:val="en-US"/>
        </w:rPr>
        <w:t xml:space="preserve">第二十六条 </w:t>
      </w:r>
      <w:r>
        <w:rPr>
          <w:rFonts w:hint="eastAsia" w:ascii="微软雅黑" w:hAnsi="微软雅黑" w:eastAsia="微软雅黑"/>
        </w:rPr>
        <w:t>中心城区专业（交易）市场规划布局指引</w:t>
      </w:r>
      <w:r>
        <w:tab/>
      </w:r>
      <w:r>
        <w:fldChar w:fldCharType="begin"/>
      </w:r>
      <w:r>
        <w:instrText xml:space="preserve"> PAGEREF _Toc19629 \h </w:instrText>
      </w:r>
      <w:r>
        <w:fldChar w:fldCharType="separate"/>
      </w:r>
      <w:r>
        <w:t>10</w:t>
      </w:r>
      <w:r>
        <w:fldChar w:fldCharType="end"/>
      </w:r>
      <w:r>
        <w:rPr>
          <w:color w:val="000000"/>
        </w:rPr>
        <w:fldChar w:fldCharType="end"/>
      </w:r>
    </w:p>
    <w:p w14:paraId="123B35D2">
      <w:pPr>
        <w:pStyle w:val="22"/>
        <w:tabs>
          <w:tab w:val="right" w:leader="dot" w:pos="9502"/>
          <w:tab w:val="clear" w:pos="9639"/>
        </w:tabs>
      </w:pPr>
      <w:r>
        <w:rPr>
          <w:color w:val="000000"/>
        </w:rPr>
        <w:fldChar w:fldCharType="begin"/>
      </w:r>
      <w:r>
        <w:instrText xml:space="preserve"> HYPERLINK \l _Toc548 </w:instrText>
      </w:r>
      <w:r>
        <w:fldChar w:fldCharType="separate"/>
      </w:r>
      <w:r>
        <w:rPr>
          <w:rFonts w:hint="eastAsia" w:ascii="华文中宋" w:hAnsi="华文中宋" w:eastAsia="华文中宋"/>
        </w:rPr>
        <w:t>第</w:t>
      </w:r>
      <w:r>
        <w:rPr>
          <w:rFonts w:hint="eastAsia" w:ascii="华文中宋" w:hAnsi="华文中宋" w:eastAsia="华文中宋"/>
          <w:lang w:val="en-US" w:eastAsia="zh-CN"/>
        </w:rPr>
        <w:t>七</w:t>
      </w:r>
      <w:r>
        <w:rPr>
          <w:rFonts w:hint="eastAsia" w:ascii="华文中宋" w:hAnsi="华文中宋" w:eastAsia="华文中宋"/>
        </w:rPr>
        <w:t>章 其他网点规划</w:t>
      </w:r>
      <w:r>
        <w:tab/>
      </w:r>
      <w:r>
        <w:fldChar w:fldCharType="begin"/>
      </w:r>
      <w:r>
        <w:instrText xml:space="preserve"> PAGEREF _Toc548 \h </w:instrText>
      </w:r>
      <w:r>
        <w:fldChar w:fldCharType="separate"/>
      </w:r>
      <w:r>
        <w:t>11</w:t>
      </w:r>
      <w:r>
        <w:fldChar w:fldCharType="end"/>
      </w:r>
      <w:r>
        <w:rPr>
          <w:color w:val="000000"/>
        </w:rPr>
        <w:fldChar w:fldCharType="end"/>
      </w:r>
    </w:p>
    <w:p w14:paraId="08D758C8">
      <w:pPr>
        <w:pStyle w:val="14"/>
        <w:tabs>
          <w:tab w:val="right" w:leader="dot" w:pos="9502"/>
          <w:tab w:val="clear" w:pos="9639"/>
        </w:tabs>
      </w:pPr>
      <w:r>
        <w:rPr>
          <w:color w:val="000000"/>
        </w:rPr>
        <w:fldChar w:fldCharType="begin"/>
      </w:r>
      <w:r>
        <w:instrText xml:space="preserve"> HYPERLINK \l _Toc14040 </w:instrText>
      </w:r>
      <w:r>
        <w:fldChar w:fldCharType="separate"/>
      </w:r>
      <w:r>
        <w:rPr>
          <w:rFonts w:hint="eastAsia" w:ascii="华文中宋" w:hAnsi="华文中宋" w:eastAsia="微软雅黑"/>
          <w:szCs w:val="36"/>
          <w:lang w:val="en-US"/>
        </w:rPr>
        <w:t xml:space="preserve">第二十七条 </w:t>
      </w:r>
      <w:r>
        <w:rPr>
          <w:rFonts w:hint="eastAsia" w:ascii="华文中宋" w:hAnsi="华文中宋" w:eastAsia="华文中宋"/>
          <w:szCs w:val="36"/>
        </w:rPr>
        <w:t>旅宿宾馆网点规划</w:t>
      </w:r>
      <w:r>
        <w:tab/>
      </w:r>
      <w:r>
        <w:fldChar w:fldCharType="begin"/>
      </w:r>
      <w:r>
        <w:instrText xml:space="preserve"> PAGEREF _Toc14040 \h </w:instrText>
      </w:r>
      <w:r>
        <w:fldChar w:fldCharType="separate"/>
      </w:r>
      <w:r>
        <w:t>11</w:t>
      </w:r>
      <w:r>
        <w:fldChar w:fldCharType="end"/>
      </w:r>
      <w:r>
        <w:rPr>
          <w:color w:val="000000"/>
        </w:rPr>
        <w:fldChar w:fldCharType="end"/>
      </w:r>
    </w:p>
    <w:p w14:paraId="004D2D1E">
      <w:pPr>
        <w:pStyle w:val="14"/>
        <w:tabs>
          <w:tab w:val="right" w:leader="dot" w:pos="9502"/>
          <w:tab w:val="clear" w:pos="9639"/>
        </w:tabs>
      </w:pPr>
      <w:r>
        <w:rPr>
          <w:color w:val="000000"/>
        </w:rPr>
        <w:fldChar w:fldCharType="begin"/>
      </w:r>
      <w:r>
        <w:instrText xml:space="preserve"> HYPERLINK \l _Toc10399 </w:instrText>
      </w:r>
      <w:r>
        <w:fldChar w:fldCharType="separate"/>
      </w:r>
      <w:r>
        <w:rPr>
          <w:rFonts w:hint="eastAsia" w:ascii="微软雅黑" w:hAnsi="微软雅黑" w:eastAsia="微软雅黑"/>
          <w:lang w:val="en-US"/>
        </w:rPr>
        <w:t xml:space="preserve">第二十八条 </w:t>
      </w:r>
      <w:r>
        <w:rPr>
          <w:rFonts w:hint="eastAsia" w:ascii="华文中宋" w:hAnsi="华文中宋" w:eastAsia="华文中宋"/>
          <w:szCs w:val="36"/>
        </w:rPr>
        <w:t>餐饮网点发展规划</w:t>
      </w:r>
      <w:r>
        <w:tab/>
      </w:r>
      <w:r>
        <w:fldChar w:fldCharType="begin"/>
      </w:r>
      <w:r>
        <w:instrText xml:space="preserve"> PAGEREF _Toc10399 \h </w:instrText>
      </w:r>
      <w:r>
        <w:fldChar w:fldCharType="separate"/>
      </w:r>
      <w:r>
        <w:t>11</w:t>
      </w:r>
      <w:r>
        <w:fldChar w:fldCharType="end"/>
      </w:r>
      <w:r>
        <w:rPr>
          <w:color w:val="000000"/>
        </w:rPr>
        <w:fldChar w:fldCharType="end"/>
      </w:r>
    </w:p>
    <w:p w14:paraId="1C1E896D">
      <w:pPr>
        <w:pStyle w:val="14"/>
        <w:tabs>
          <w:tab w:val="right" w:leader="dot" w:pos="9502"/>
          <w:tab w:val="clear" w:pos="9639"/>
        </w:tabs>
      </w:pPr>
      <w:r>
        <w:rPr>
          <w:color w:val="000000"/>
        </w:rPr>
        <w:fldChar w:fldCharType="begin"/>
      </w:r>
      <w:r>
        <w:instrText xml:space="preserve"> HYPERLINK \l _Toc13843 </w:instrText>
      </w:r>
      <w:r>
        <w:fldChar w:fldCharType="separate"/>
      </w:r>
      <w:r>
        <w:rPr>
          <w:rFonts w:hint="eastAsia" w:ascii="微软雅黑" w:hAnsi="微软雅黑" w:eastAsia="微软雅黑"/>
          <w:lang w:val="en-US"/>
        </w:rPr>
        <w:t xml:space="preserve">第二十九条 </w:t>
      </w:r>
      <w:r>
        <w:rPr>
          <w:rFonts w:hint="eastAsia" w:ascii="华文中宋" w:hAnsi="华文中宋" w:eastAsia="华文中宋"/>
          <w:szCs w:val="36"/>
        </w:rPr>
        <w:t>废旧物资回收网点发展规划</w:t>
      </w:r>
      <w:r>
        <w:tab/>
      </w:r>
      <w:r>
        <w:fldChar w:fldCharType="begin"/>
      </w:r>
      <w:r>
        <w:instrText xml:space="preserve"> PAGEREF _Toc13843 \h </w:instrText>
      </w:r>
      <w:r>
        <w:fldChar w:fldCharType="separate"/>
      </w:r>
      <w:r>
        <w:t>11</w:t>
      </w:r>
      <w:r>
        <w:fldChar w:fldCharType="end"/>
      </w:r>
      <w:r>
        <w:rPr>
          <w:color w:val="000000"/>
        </w:rPr>
        <w:fldChar w:fldCharType="end"/>
      </w:r>
    </w:p>
    <w:p w14:paraId="6010B2E6">
      <w:pPr>
        <w:pStyle w:val="14"/>
        <w:tabs>
          <w:tab w:val="right" w:leader="dot" w:pos="9502"/>
          <w:tab w:val="clear" w:pos="9639"/>
        </w:tabs>
      </w:pPr>
      <w:r>
        <w:rPr>
          <w:color w:val="000000"/>
        </w:rPr>
        <w:fldChar w:fldCharType="begin"/>
      </w:r>
      <w:r>
        <w:instrText xml:space="preserve"> HYPERLINK \l _Toc28168 </w:instrText>
      </w:r>
      <w:r>
        <w:fldChar w:fldCharType="separate"/>
      </w:r>
      <w:r>
        <w:rPr>
          <w:rFonts w:hint="eastAsia" w:ascii="微软雅黑" w:hAnsi="微软雅黑" w:eastAsia="微软雅黑"/>
          <w:lang w:val="en-US"/>
        </w:rPr>
        <w:t xml:space="preserve">第三十条 </w:t>
      </w:r>
      <w:r>
        <w:rPr>
          <w:rFonts w:hint="eastAsia" w:ascii="华文中宋" w:hAnsi="华文中宋" w:eastAsia="华文中宋"/>
          <w:szCs w:val="36"/>
        </w:rPr>
        <w:t>特色商业网点布局规划</w:t>
      </w:r>
      <w:r>
        <w:tab/>
      </w:r>
      <w:r>
        <w:fldChar w:fldCharType="begin"/>
      </w:r>
      <w:r>
        <w:instrText xml:space="preserve"> PAGEREF _Toc28168 \h </w:instrText>
      </w:r>
      <w:r>
        <w:fldChar w:fldCharType="separate"/>
      </w:r>
      <w:r>
        <w:t>11</w:t>
      </w:r>
      <w:r>
        <w:fldChar w:fldCharType="end"/>
      </w:r>
      <w:r>
        <w:rPr>
          <w:color w:val="000000"/>
        </w:rPr>
        <w:fldChar w:fldCharType="end"/>
      </w:r>
    </w:p>
    <w:p w14:paraId="6D06F6A3">
      <w:pPr>
        <w:pStyle w:val="22"/>
        <w:tabs>
          <w:tab w:val="right" w:leader="dot" w:pos="9502"/>
          <w:tab w:val="clear" w:pos="9639"/>
        </w:tabs>
      </w:pPr>
      <w:r>
        <w:rPr>
          <w:color w:val="000000"/>
        </w:rPr>
        <w:fldChar w:fldCharType="begin"/>
      </w:r>
      <w:r>
        <w:instrText xml:space="preserve"> HYPERLINK \l _Toc19240 </w:instrText>
      </w:r>
      <w:r>
        <w:fldChar w:fldCharType="separate"/>
      </w:r>
      <w:r>
        <w:rPr>
          <w:rFonts w:hint="eastAsia" w:ascii="华文中宋" w:hAnsi="华文中宋" w:eastAsia="华文中宋" w:cs="Times New Roman"/>
          <w:bCs/>
          <w:lang w:val="en-US" w:eastAsia="zh-CN"/>
        </w:rPr>
        <w:t xml:space="preserve">第八章 </w:t>
      </w:r>
      <w:r>
        <w:rPr>
          <w:rFonts w:hint="eastAsia" w:ascii="华文中宋" w:hAnsi="华文中宋" w:eastAsia="华文中宋" w:cs="Times New Roman"/>
          <w:bCs/>
          <w:highlight w:val="none"/>
          <w:lang w:val="en-US" w:eastAsia="zh-CN"/>
        </w:rPr>
        <w:t>各县（市、区）商圈规划指引</w:t>
      </w:r>
      <w:r>
        <w:tab/>
      </w:r>
      <w:r>
        <w:fldChar w:fldCharType="begin"/>
      </w:r>
      <w:r>
        <w:instrText xml:space="preserve"> PAGEREF _Toc19240 \h </w:instrText>
      </w:r>
      <w:r>
        <w:fldChar w:fldCharType="separate"/>
      </w:r>
      <w:r>
        <w:t>13</w:t>
      </w:r>
      <w:r>
        <w:fldChar w:fldCharType="end"/>
      </w:r>
      <w:r>
        <w:rPr>
          <w:color w:val="000000"/>
        </w:rPr>
        <w:fldChar w:fldCharType="end"/>
      </w:r>
    </w:p>
    <w:p w14:paraId="53117252">
      <w:pPr>
        <w:pStyle w:val="14"/>
        <w:tabs>
          <w:tab w:val="right" w:leader="dot" w:pos="9502"/>
          <w:tab w:val="clear" w:pos="9639"/>
        </w:tabs>
      </w:pPr>
      <w:r>
        <w:rPr>
          <w:color w:val="000000"/>
        </w:rPr>
        <w:fldChar w:fldCharType="begin"/>
      </w:r>
      <w:r>
        <w:instrText xml:space="preserve"> HYPERLINK \l _Toc29439 </w:instrText>
      </w:r>
      <w:r>
        <w:fldChar w:fldCharType="separate"/>
      </w:r>
      <w:r>
        <w:rPr>
          <w:rFonts w:hint="eastAsia" w:ascii="华文中宋" w:hAnsi="华文中宋" w:eastAsia="微软雅黑" w:cs="Times New Roman"/>
          <w:bCs/>
          <w:szCs w:val="36"/>
          <w:lang w:val="en-US" w:eastAsia="zh-CN"/>
        </w:rPr>
        <w:t xml:space="preserve">第三十一条 </w:t>
      </w:r>
      <w:r>
        <w:rPr>
          <w:rFonts w:hint="eastAsia" w:ascii="华文中宋" w:hAnsi="华文中宋" w:eastAsia="华文中宋" w:cs="Times New Roman"/>
          <w:bCs/>
          <w:szCs w:val="36"/>
          <w:lang w:val="en-US" w:eastAsia="zh-CN"/>
        </w:rPr>
        <w:t>陆丰市商圈规划指引</w:t>
      </w:r>
      <w:r>
        <w:tab/>
      </w:r>
      <w:r>
        <w:fldChar w:fldCharType="begin"/>
      </w:r>
      <w:r>
        <w:instrText xml:space="preserve"> PAGEREF _Toc29439 \h </w:instrText>
      </w:r>
      <w:r>
        <w:fldChar w:fldCharType="separate"/>
      </w:r>
      <w:r>
        <w:t>13</w:t>
      </w:r>
      <w:r>
        <w:fldChar w:fldCharType="end"/>
      </w:r>
      <w:r>
        <w:rPr>
          <w:color w:val="000000"/>
        </w:rPr>
        <w:fldChar w:fldCharType="end"/>
      </w:r>
    </w:p>
    <w:p w14:paraId="505A93A7">
      <w:pPr>
        <w:pStyle w:val="14"/>
        <w:tabs>
          <w:tab w:val="right" w:leader="dot" w:pos="9502"/>
          <w:tab w:val="clear" w:pos="9639"/>
        </w:tabs>
      </w:pPr>
      <w:r>
        <w:rPr>
          <w:color w:val="000000"/>
        </w:rPr>
        <w:fldChar w:fldCharType="begin"/>
      </w:r>
      <w:r>
        <w:instrText xml:space="preserve"> HYPERLINK \l _Toc4933 </w:instrText>
      </w:r>
      <w:r>
        <w:fldChar w:fldCharType="separate"/>
      </w:r>
      <w:r>
        <w:rPr>
          <w:rFonts w:hint="eastAsia" w:ascii="华文中宋" w:hAnsi="华文中宋" w:eastAsia="微软雅黑" w:cs="Times New Roman"/>
          <w:bCs/>
          <w:szCs w:val="36"/>
          <w:lang w:val="en-US" w:eastAsia="zh-CN"/>
        </w:rPr>
        <w:t xml:space="preserve">第三十二条 </w:t>
      </w:r>
      <w:r>
        <w:rPr>
          <w:rFonts w:hint="eastAsia" w:ascii="华文中宋" w:hAnsi="华文中宋" w:eastAsia="华文中宋" w:cs="Times New Roman"/>
          <w:bCs/>
          <w:szCs w:val="36"/>
          <w:lang w:val="en-US" w:eastAsia="zh-CN"/>
        </w:rPr>
        <w:t>海丰县商圈规划指引</w:t>
      </w:r>
      <w:r>
        <w:tab/>
      </w:r>
      <w:r>
        <w:fldChar w:fldCharType="begin"/>
      </w:r>
      <w:r>
        <w:instrText xml:space="preserve"> PAGEREF _Toc4933 \h </w:instrText>
      </w:r>
      <w:r>
        <w:fldChar w:fldCharType="separate"/>
      </w:r>
      <w:r>
        <w:t>13</w:t>
      </w:r>
      <w:r>
        <w:fldChar w:fldCharType="end"/>
      </w:r>
      <w:r>
        <w:rPr>
          <w:color w:val="000000"/>
        </w:rPr>
        <w:fldChar w:fldCharType="end"/>
      </w:r>
    </w:p>
    <w:p w14:paraId="49A03B03">
      <w:pPr>
        <w:pStyle w:val="14"/>
        <w:tabs>
          <w:tab w:val="right" w:leader="dot" w:pos="9502"/>
          <w:tab w:val="clear" w:pos="9639"/>
        </w:tabs>
      </w:pPr>
      <w:r>
        <w:rPr>
          <w:color w:val="000000"/>
        </w:rPr>
        <w:fldChar w:fldCharType="begin"/>
      </w:r>
      <w:r>
        <w:instrText xml:space="preserve"> HYPERLINK \l _Toc10942 </w:instrText>
      </w:r>
      <w:r>
        <w:fldChar w:fldCharType="separate"/>
      </w:r>
      <w:r>
        <w:rPr>
          <w:rFonts w:hint="eastAsia" w:ascii="华文中宋" w:hAnsi="华文中宋" w:eastAsia="微软雅黑" w:cs="Times New Roman"/>
          <w:bCs/>
          <w:szCs w:val="36"/>
          <w:lang w:val="en-US" w:eastAsia="zh-CN"/>
        </w:rPr>
        <w:t xml:space="preserve">第三十三条 </w:t>
      </w:r>
      <w:r>
        <w:rPr>
          <w:rFonts w:hint="eastAsia" w:ascii="华文中宋" w:hAnsi="华文中宋" w:eastAsia="华文中宋" w:cs="Times New Roman"/>
          <w:bCs/>
          <w:szCs w:val="36"/>
          <w:lang w:val="en-US" w:eastAsia="zh-CN"/>
        </w:rPr>
        <w:t>陆河县商圈规划指引</w:t>
      </w:r>
      <w:r>
        <w:tab/>
      </w:r>
      <w:r>
        <w:fldChar w:fldCharType="begin"/>
      </w:r>
      <w:r>
        <w:instrText xml:space="preserve"> PAGEREF _Toc10942 \h </w:instrText>
      </w:r>
      <w:r>
        <w:fldChar w:fldCharType="separate"/>
      </w:r>
      <w:r>
        <w:t>13</w:t>
      </w:r>
      <w:r>
        <w:fldChar w:fldCharType="end"/>
      </w:r>
      <w:r>
        <w:rPr>
          <w:color w:val="000000"/>
        </w:rPr>
        <w:fldChar w:fldCharType="end"/>
      </w:r>
    </w:p>
    <w:p w14:paraId="72BD94B7">
      <w:pPr>
        <w:pStyle w:val="22"/>
        <w:tabs>
          <w:tab w:val="right" w:leader="dot" w:pos="9502"/>
          <w:tab w:val="clear" w:pos="9639"/>
        </w:tabs>
      </w:pPr>
      <w:r>
        <w:rPr>
          <w:color w:val="000000"/>
        </w:rPr>
        <w:fldChar w:fldCharType="begin"/>
      </w:r>
      <w:r>
        <w:instrText xml:space="preserve"> HYPERLINK \l _Toc31842 </w:instrText>
      </w:r>
      <w:r>
        <w:fldChar w:fldCharType="separate"/>
      </w:r>
      <w:r>
        <w:rPr>
          <w:rFonts w:hint="eastAsia" w:ascii="华文中宋" w:hAnsi="华文中宋" w:eastAsia="华文中宋"/>
        </w:rPr>
        <w:t>第</w:t>
      </w:r>
      <w:r>
        <w:rPr>
          <w:rFonts w:hint="eastAsia" w:ascii="华文中宋" w:hAnsi="华文中宋" w:eastAsia="华文中宋"/>
          <w:lang w:val="en-US" w:eastAsia="zh-CN"/>
        </w:rPr>
        <w:t>九</w:t>
      </w:r>
      <w:r>
        <w:rPr>
          <w:rFonts w:hint="eastAsia" w:ascii="华文中宋" w:hAnsi="华文中宋" w:eastAsia="华文中宋"/>
        </w:rPr>
        <w:t>章 物流网点布局规划</w:t>
      </w:r>
      <w:r>
        <w:tab/>
      </w:r>
      <w:r>
        <w:fldChar w:fldCharType="begin"/>
      </w:r>
      <w:r>
        <w:instrText xml:space="preserve"> PAGEREF _Toc31842 \h </w:instrText>
      </w:r>
      <w:r>
        <w:fldChar w:fldCharType="separate"/>
      </w:r>
      <w:r>
        <w:t>14</w:t>
      </w:r>
      <w:r>
        <w:fldChar w:fldCharType="end"/>
      </w:r>
      <w:r>
        <w:rPr>
          <w:color w:val="000000"/>
        </w:rPr>
        <w:fldChar w:fldCharType="end"/>
      </w:r>
    </w:p>
    <w:p w14:paraId="125A9F0A">
      <w:pPr>
        <w:pStyle w:val="28"/>
        <w:tabs>
          <w:tab w:val="right" w:leader="dot" w:pos="9502"/>
          <w:tab w:val="clear" w:pos="9639"/>
        </w:tabs>
      </w:pPr>
      <w:r>
        <w:rPr>
          <w:color w:val="000000"/>
        </w:rPr>
        <w:fldChar w:fldCharType="begin"/>
      </w:r>
      <w:r>
        <w:instrText xml:space="preserve"> HYPERLINK \l _Toc31870 </w:instrText>
      </w:r>
      <w:r>
        <w:fldChar w:fldCharType="separate"/>
      </w:r>
      <w:r>
        <w:rPr>
          <w:rFonts w:hint="eastAsia" w:ascii="华文中宋" w:hAnsi="华文中宋" w:eastAsia="华文中宋"/>
          <w:szCs w:val="36"/>
        </w:rPr>
        <w:t>第一节 物流体系规划</w:t>
      </w:r>
      <w:r>
        <w:tab/>
      </w:r>
      <w:r>
        <w:fldChar w:fldCharType="begin"/>
      </w:r>
      <w:r>
        <w:instrText xml:space="preserve"> PAGEREF _Toc31870 \h </w:instrText>
      </w:r>
      <w:r>
        <w:fldChar w:fldCharType="separate"/>
      </w:r>
      <w:r>
        <w:t>14</w:t>
      </w:r>
      <w:r>
        <w:fldChar w:fldCharType="end"/>
      </w:r>
      <w:r>
        <w:rPr>
          <w:color w:val="000000"/>
        </w:rPr>
        <w:fldChar w:fldCharType="end"/>
      </w:r>
    </w:p>
    <w:p w14:paraId="58D14350">
      <w:pPr>
        <w:pStyle w:val="14"/>
        <w:tabs>
          <w:tab w:val="right" w:leader="dot" w:pos="9502"/>
          <w:tab w:val="clear" w:pos="9639"/>
        </w:tabs>
      </w:pPr>
      <w:r>
        <w:rPr>
          <w:color w:val="000000"/>
        </w:rPr>
        <w:fldChar w:fldCharType="begin"/>
      </w:r>
      <w:r>
        <w:instrText xml:space="preserve"> HYPERLINK \l _Toc9602 </w:instrText>
      </w:r>
      <w:r>
        <w:fldChar w:fldCharType="separate"/>
      </w:r>
      <w:r>
        <w:rPr>
          <w:rFonts w:hint="eastAsia" w:ascii="微软雅黑" w:hAnsi="微软雅黑" w:eastAsia="微软雅黑"/>
          <w:lang w:val="en-US"/>
        </w:rPr>
        <w:t xml:space="preserve">第三十四条 </w:t>
      </w:r>
      <w:r>
        <w:rPr>
          <w:rFonts w:hint="eastAsia" w:ascii="微软雅黑" w:hAnsi="微软雅黑" w:eastAsia="微软雅黑"/>
          <w:lang w:val="en-US" w:eastAsia="zh-CN"/>
        </w:rPr>
        <w:t>市域</w:t>
      </w:r>
      <w:r>
        <w:rPr>
          <w:rFonts w:hint="eastAsia" w:ascii="微软雅黑" w:hAnsi="微软雅黑" w:eastAsia="微软雅黑"/>
        </w:rPr>
        <w:t>物流体系规划</w:t>
      </w:r>
      <w:r>
        <w:tab/>
      </w:r>
      <w:r>
        <w:fldChar w:fldCharType="begin"/>
      </w:r>
      <w:r>
        <w:instrText xml:space="preserve"> PAGEREF _Toc9602 \h </w:instrText>
      </w:r>
      <w:r>
        <w:fldChar w:fldCharType="separate"/>
      </w:r>
      <w:r>
        <w:t>14</w:t>
      </w:r>
      <w:r>
        <w:fldChar w:fldCharType="end"/>
      </w:r>
      <w:r>
        <w:rPr>
          <w:color w:val="000000"/>
        </w:rPr>
        <w:fldChar w:fldCharType="end"/>
      </w:r>
    </w:p>
    <w:p w14:paraId="427A80A3">
      <w:pPr>
        <w:pStyle w:val="14"/>
        <w:tabs>
          <w:tab w:val="right" w:leader="dot" w:pos="9502"/>
          <w:tab w:val="clear" w:pos="9639"/>
        </w:tabs>
      </w:pPr>
      <w:r>
        <w:rPr>
          <w:color w:val="000000"/>
        </w:rPr>
        <w:fldChar w:fldCharType="begin"/>
      </w:r>
      <w:r>
        <w:instrText xml:space="preserve"> HYPERLINK \l _Toc21786 </w:instrText>
      </w:r>
      <w:r>
        <w:fldChar w:fldCharType="separate"/>
      </w:r>
      <w:r>
        <w:rPr>
          <w:rFonts w:hint="eastAsia" w:ascii="微软雅黑" w:hAnsi="微软雅黑" w:eastAsia="微软雅黑"/>
          <w:lang w:val="en-US"/>
        </w:rPr>
        <w:t xml:space="preserve">第三十五条 </w:t>
      </w:r>
      <w:r>
        <w:rPr>
          <w:rFonts w:hint="eastAsia" w:ascii="微软雅黑" w:hAnsi="微软雅黑" w:eastAsia="微软雅黑" w:cs="Times New Roman"/>
          <w:bCs/>
        </w:rPr>
        <w:t>中心城区物流</w:t>
      </w:r>
      <w:r>
        <w:rPr>
          <w:rFonts w:hint="eastAsia" w:ascii="微软雅黑" w:hAnsi="微软雅黑" w:eastAsia="微软雅黑"/>
        </w:rPr>
        <w:t>体系规划</w:t>
      </w:r>
      <w:r>
        <w:tab/>
      </w:r>
      <w:r>
        <w:fldChar w:fldCharType="begin"/>
      </w:r>
      <w:r>
        <w:instrText xml:space="preserve"> PAGEREF _Toc21786 \h </w:instrText>
      </w:r>
      <w:r>
        <w:fldChar w:fldCharType="separate"/>
      </w:r>
      <w:r>
        <w:t>14</w:t>
      </w:r>
      <w:r>
        <w:fldChar w:fldCharType="end"/>
      </w:r>
      <w:r>
        <w:rPr>
          <w:color w:val="000000"/>
        </w:rPr>
        <w:fldChar w:fldCharType="end"/>
      </w:r>
    </w:p>
    <w:p w14:paraId="6767D519">
      <w:pPr>
        <w:pStyle w:val="28"/>
        <w:tabs>
          <w:tab w:val="right" w:leader="dot" w:pos="9502"/>
          <w:tab w:val="clear" w:pos="9639"/>
        </w:tabs>
      </w:pPr>
      <w:r>
        <w:rPr>
          <w:color w:val="000000"/>
        </w:rPr>
        <w:fldChar w:fldCharType="begin"/>
      </w:r>
      <w:r>
        <w:instrText xml:space="preserve"> HYPERLINK \l _Toc4699 </w:instrText>
      </w:r>
      <w:r>
        <w:fldChar w:fldCharType="separate"/>
      </w:r>
      <w:r>
        <w:rPr>
          <w:rFonts w:hint="eastAsia" w:ascii="华文中宋" w:hAnsi="华文中宋" w:eastAsia="华文中宋"/>
          <w:szCs w:val="36"/>
        </w:rPr>
        <w:t>第二节 物流网点规划</w:t>
      </w:r>
      <w:r>
        <w:tab/>
      </w:r>
      <w:r>
        <w:fldChar w:fldCharType="begin"/>
      </w:r>
      <w:r>
        <w:instrText xml:space="preserve"> PAGEREF _Toc4699 \h </w:instrText>
      </w:r>
      <w:r>
        <w:fldChar w:fldCharType="separate"/>
      </w:r>
      <w:r>
        <w:t>14</w:t>
      </w:r>
      <w:r>
        <w:fldChar w:fldCharType="end"/>
      </w:r>
      <w:r>
        <w:rPr>
          <w:color w:val="000000"/>
        </w:rPr>
        <w:fldChar w:fldCharType="end"/>
      </w:r>
    </w:p>
    <w:p w14:paraId="7E53F608">
      <w:pPr>
        <w:pStyle w:val="14"/>
        <w:tabs>
          <w:tab w:val="right" w:leader="dot" w:pos="9502"/>
          <w:tab w:val="clear" w:pos="9639"/>
        </w:tabs>
      </w:pPr>
      <w:r>
        <w:rPr>
          <w:color w:val="000000"/>
        </w:rPr>
        <w:fldChar w:fldCharType="begin"/>
      </w:r>
      <w:r>
        <w:instrText xml:space="preserve"> HYPERLINK \l _Toc21163 </w:instrText>
      </w:r>
      <w:r>
        <w:fldChar w:fldCharType="separate"/>
      </w:r>
      <w:r>
        <w:rPr>
          <w:rFonts w:hint="eastAsia" w:ascii="微软雅黑" w:hAnsi="微软雅黑" w:eastAsia="微软雅黑"/>
          <w:lang w:val="en-US"/>
        </w:rPr>
        <w:t xml:space="preserve">第三十六条 </w:t>
      </w:r>
      <w:r>
        <w:rPr>
          <w:rFonts w:hint="eastAsia" w:ascii="微软雅黑" w:hAnsi="微软雅黑" w:eastAsia="微软雅黑"/>
        </w:rPr>
        <w:t>物流基地规划布局</w:t>
      </w:r>
      <w:r>
        <w:tab/>
      </w:r>
      <w:r>
        <w:fldChar w:fldCharType="begin"/>
      </w:r>
      <w:r>
        <w:instrText xml:space="preserve"> PAGEREF _Toc21163 \h </w:instrText>
      </w:r>
      <w:r>
        <w:fldChar w:fldCharType="separate"/>
      </w:r>
      <w:r>
        <w:t>14</w:t>
      </w:r>
      <w:r>
        <w:fldChar w:fldCharType="end"/>
      </w:r>
      <w:r>
        <w:rPr>
          <w:color w:val="000000"/>
        </w:rPr>
        <w:fldChar w:fldCharType="end"/>
      </w:r>
    </w:p>
    <w:p w14:paraId="2CDF0763">
      <w:pPr>
        <w:pStyle w:val="14"/>
        <w:tabs>
          <w:tab w:val="right" w:leader="dot" w:pos="9502"/>
          <w:tab w:val="clear" w:pos="9639"/>
        </w:tabs>
      </w:pPr>
      <w:r>
        <w:rPr>
          <w:color w:val="000000"/>
        </w:rPr>
        <w:fldChar w:fldCharType="begin"/>
      </w:r>
      <w:r>
        <w:instrText xml:space="preserve"> HYPERLINK \l _Toc21743 </w:instrText>
      </w:r>
      <w:r>
        <w:fldChar w:fldCharType="separate"/>
      </w:r>
      <w:r>
        <w:rPr>
          <w:rFonts w:hint="eastAsia" w:ascii="微软雅黑" w:hAnsi="微软雅黑" w:eastAsia="微软雅黑"/>
          <w:lang w:val="en-US"/>
        </w:rPr>
        <w:t xml:space="preserve">第三十七条 </w:t>
      </w:r>
      <w:r>
        <w:rPr>
          <w:rFonts w:hint="eastAsia" w:ascii="微软雅黑" w:hAnsi="微软雅黑" w:eastAsia="微软雅黑"/>
        </w:rPr>
        <w:t>物流中心规划布局</w:t>
      </w:r>
      <w:r>
        <w:tab/>
      </w:r>
      <w:r>
        <w:fldChar w:fldCharType="begin"/>
      </w:r>
      <w:r>
        <w:instrText xml:space="preserve"> PAGEREF _Toc21743 \h </w:instrText>
      </w:r>
      <w:r>
        <w:fldChar w:fldCharType="separate"/>
      </w:r>
      <w:r>
        <w:t>14</w:t>
      </w:r>
      <w:r>
        <w:fldChar w:fldCharType="end"/>
      </w:r>
      <w:r>
        <w:rPr>
          <w:color w:val="000000"/>
        </w:rPr>
        <w:fldChar w:fldCharType="end"/>
      </w:r>
    </w:p>
    <w:p w14:paraId="4BBFDD33">
      <w:pPr>
        <w:pStyle w:val="14"/>
        <w:tabs>
          <w:tab w:val="right" w:leader="dot" w:pos="9502"/>
          <w:tab w:val="clear" w:pos="9639"/>
        </w:tabs>
      </w:pPr>
      <w:r>
        <w:rPr>
          <w:color w:val="000000"/>
        </w:rPr>
        <w:fldChar w:fldCharType="begin"/>
      </w:r>
      <w:r>
        <w:instrText xml:space="preserve"> HYPERLINK \l _Toc16953 </w:instrText>
      </w:r>
      <w:r>
        <w:fldChar w:fldCharType="separate"/>
      </w:r>
      <w:r>
        <w:rPr>
          <w:rFonts w:hint="eastAsia" w:ascii="微软雅黑" w:hAnsi="微软雅黑" w:eastAsia="微软雅黑"/>
          <w:lang w:val="en-US"/>
        </w:rPr>
        <w:t xml:space="preserve">第三十八条 </w:t>
      </w:r>
      <w:r>
        <w:rPr>
          <w:rFonts w:hint="eastAsia" w:ascii="微软雅黑" w:hAnsi="微软雅黑" w:eastAsia="微软雅黑"/>
        </w:rPr>
        <w:t>配送中心规划布局</w:t>
      </w:r>
      <w:r>
        <w:tab/>
      </w:r>
      <w:r>
        <w:fldChar w:fldCharType="begin"/>
      </w:r>
      <w:r>
        <w:instrText xml:space="preserve"> PAGEREF _Toc16953 \h </w:instrText>
      </w:r>
      <w:r>
        <w:fldChar w:fldCharType="separate"/>
      </w:r>
      <w:r>
        <w:t>15</w:t>
      </w:r>
      <w:r>
        <w:fldChar w:fldCharType="end"/>
      </w:r>
      <w:r>
        <w:rPr>
          <w:color w:val="000000"/>
        </w:rPr>
        <w:fldChar w:fldCharType="end"/>
      </w:r>
    </w:p>
    <w:p w14:paraId="14EF09F2">
      <w:pPr>
        <w:pStyle w:val="22"/>
        <w:tabs>
          <w:tab w:val="right" w:leader="dot" w:pos="9502"/>
          <w:tab w:val="clear" w:pos="9639"/>
        </w:tabs>
      </w:pPr>
      <w:r>
        <w:rPr>
          <w:color w:val="000000"/>
        </w:rPr>
        <w:fldChar w:fldCharType="begin"/>
      </w:r>
      <w:r>
        <w:instrText xml:space="preserve"> HYPERLINK \l _Toc9484 </w:instrText>
      </w:r>
      <w:r>
        <w:fldChar w:fldCharType="separate"/>
      </w:r>
      <w:r>
        <w:rPr>
          <w:rFonts w:hint="eastAsia" w:ascii="华文中宋" w:hAnsi="华文中宋" w:eastAsia="华文中宋"/>
        </w:rPr>
        <w:t>第</w:t>
      </w:r>
      <w:r>
        <w:rPr>
          <w:rFonts w:hint="eastAsia" w:ascii="华文中宋" w:hAnsi="华文中宋" w:eastAsia="华文中宋"/>
          <w:lang w:val="en-US" w:eastAsia="zh-CN"/>
        </w:rPr>
        <w:t>十</w:t>
      </w:r>
      <w:r>
        <w:rPr>
          <w:rFonts w:hint="eastAsia" w:ascii="华文中宋" w:hAnsi="华文中宋" w:eastAsia="华文中宋"/>
        </w:rPr>
        <w:t>章 实施建议与实施措施</w:t>
      </w:r>
      <w:r>
        <w:tab/>
      </w:r>
      <w:r>
        <w:fldChar w:fldCharType="begin"/>
      </w:r>
      <w:r>
        <w:instrText xml:space="preserve"> PAGEREF _Toc9484 \h </w:instrText>
      </w:r>
      <w:r>
        <w:fldChar w:fldCharType="separate"/>
      </w:r>
      <w:r>
        <w:t>16</w:t>
      </w:r>
      <w:r>
        <w:fldChar w:fldCharType="end"/>
      </w:r>
      <w:r>
        <w:rPr>
          <w:color w:val="000000"/>
        </w:rPr>
        <w:fldChar w:fldCharType="end"/>
      </w:r>
    </w:p>
    <w:p w14:paraId="09445C22">
      <w:pPr>
        <w:pStyle w:val="14"/>
        <w:tabs>
          <w:tab w:val="right" w:leader="dot" w:pos="9502"/>
          <w:tab w:val="clear" w:pos="9639"/>
        </w:tabs>
      </w:pPr>
      <w:r>
        <w:rPr>
          <w:color w:val="000000"/>
        </w:rPr>
        <w:fldChar w:fldCharType="begin"/>
      </w:r>
      <w:r>
        <w:instrText xml:space="preserve"> HYPERLINK \l _Toc10160 </w:instrText>
      </w:r>
      <w:r>
        <w:fldChar w:fldCharType="separate"/>
      </w:r>
      <w:r>
        <w:rPr>
          <w:rFonts w:hint="eastAsia" w:ascii="微软雅黑" w:hAnsi="微软雅黑" w:eastAsia="微软雅黑"/>
          <w:lang w:val="en-US"/>
        </w:rPr>
        <w:t xml:space="preserve">第三十九条 </w:t>
      </w:r>
      <w:r>
        <w:rPr>
          <w:rFonts w:hint="eastAsia" w:ascii="微软雅黑" w:hAnsi="微软雅黑" w:eastAsia="微软雅黑"/>
        </w:rPr>
        <w:t>近期建设目标</w:t>
      </w:r>
      <w:r>
        <w:tab/>
      </w:r>
      <w:r>
        <w:fldChar w:fldCharType="begin"/>
      </w:r>
      <w:r>
        <w:instrText xml:space="preserve"> PAGEREF _Toc10160 \h </w:instrText>
      </w:r>
      <w:r>
        <w:fldChar w:fldCharType="separate"/>
      </w:r>
      <w:r>
        <w:t>16</w:t>
      </w:r>
      <w:r>
        <w:fldChar w:fldCharType="end"/>
      </w:r>
      <w:r>
        <w:rPr>
          <w:color w:val="000000"/>
        </w:rPr>
        <w:fldChar w:fldCharType="end"/>
      </w:r>
    </w:p>
    <w:p w14:paraId="0365CA66">
      <w:pPr>
        <w:pStyle w:val="14"/>
        <w:tabs>
          <w:tab w:val="right" w:leader="dot" w:pos="9502"/>
          <w:tab w:val="clear" w:pos="9639"/>
        </w:tabs>
      </w:pPr>
      <w:r>
        <w:rPr>
          <w:color w:val="000000"/>
        </w:rPr>
        <w:fldChar w:fldCharType="begin"/>
      </w:r>
      <w:r>
        <w:instrText xml:space="preserve"> HYPERLINK \l _Toc23774 </w:instrText>
      </w:r>
      <w:r>
        <w:fldChar w:fldCharType="separate"/>
      </w:r>
      <w:r>
        <w:rPr>
          <w:rFonts w:hint="eastAsia" w:ascii="微软雅黑" w:hAnsi="微软雅黑" w:eastAsia="微软雅黑"/>
          <w:lang w:val="en-US"/>
        </w:rPr>
        <w:t xml:space="preserve">第四十条 </w:t>
      </w:r>
      <w:r>
        <w:rPr>
          <w:rFonts w:hint="eastAsia" w:ascii="微软雅黑" w:hAnsi="微软雅黑" w:eastAsia="微软雅黑"/>
        </w:rPr>
        <w:t>近期实施重点</w:t>
      </w:r>
      <w:r>
        <w:tab/>
      </w:r>
      <w:r>
        <w:fldChar w:fldCharType="begin"/>
      </w:r>
      <w:r>
        <w:instrText xml:space="preserve"> PAGEREF _Toc23774 \h </w:instrText>
      </w:r>
      <w:r>
        <w:fldChar w:fldCharType="separate"/>
      </w:r>
      <w:r>
        <w:t>16</w:t>
      </w:r>
      <w:r>
        <w:fldChar w:fldCharType="end"/>
      </w:r>
      <w:r>
        <w:rPr>
          <w:color w:val="000000"/>
        </w:rPr>
        <w:fldChar w:fldCharType="end"/>
      </w:r>
    </w:p>
    <w:p w14:paraId="67654C2F">
      <w:pPr>
        <w:pStyle w:val="14"/>
        <w:tabs>
          <w:tab w:val="right" w:leader="dot" w:pos="9502"/>
          <w:tab w:val="clear" w:pos="9639"/>
        </w:tabs>
      </w:pPr>
      <w:r>
        <w:rPr>
          <w:color w:val="000000"/>
        </w:rPr>
        <w:fldChar w:fldCharType="begin"/>
      </w:r>
      <w:r>
        <w:instrText xml:space="preserve"> HYPERLINK \l _Toc2743 </w:instrText>
      </w:r>
      <w:r>
        <w:fldChar w:fldCharType="separate"/>
      </w:r>
      <w:r>
        <w:rPr>
          <w:rFonts w:hint="eastAsia" w:ascii="微软雅黑" w:hAnsi="微软雅黑" w:eastAsia="微软雅黑"/>
          <w:lang w:val="en-US"/>
        </w:rPr>
        <w:t xml:space="preserve">第四十一条 </w:t>
      </w:r>
      <w:r>
        <w:rPr>
          <w:rFonts w:hint="eastAsia" w:ascii="微软雅黑" w:hAnsi="微软雅黑" w:eastAsia="微软雅黑"/>
          <w:highlight w:val="none"/>
          <w:lang w:val="en-US" w:eastAsia="zh-CN"/>
        </w:rPr>
        <w:t>近期重点工程</w:t>
      </w:r>
      <w:r>
        <w:tab/>
      </w:r>
      <w:r>
        <w:fldChar w:fldCharType="begin"/>
      </w:r>
      <w:r>
        <w:instrText xml:space="preserve"> PAGEREF _Toc2743 \h </w:instrText>
      </w:r>
      <w:r>
        <w:fldChar w:fldCharType="separate"/>
      </w:r>
      <w:r>
        <w:t>16</w:t>
      </w:r>
      <w:r>
        <w:fldChar w:fldCharType="end"/>
      </w:r>
      <w:r>
        <w:rPr>
          <w:color w:val="000000"/>
        </w:rPr>
        <w:fldChar w:fldCharType="end"/>
      </w:r>
    </w:p>
    <w:p w14:paraId="5F9094CC">
      <w:pPr>
        <w:pStyle w:val="14"/>
        <w:tabs>
          <w:tab w:val="right" w:leader="dot" w:pos="9502"/>
          <w:tab w:val="clear" w:pos="9639"/>
        </w:tabs>
      </w:pPr>
      <w:r>
        <w:rPr>
          <w:color w:val="000000"/>
        </w:rPr>
        <w:fldChar w:fldCharType="begin"/>
      </w:r>
      <w:r>
        <w:instrText xml:space="preserve"> HYPERLINK \l _Toc19184 </w:instrText>
      </w:r>
      <w:r>
        <w:fldChar w:fldCharType="separate"/>
      </w:r>
      <w:r>
        <w:rPr>
          <w:rFonts w:hint="eastAsia" w:ascii="微软雅黑" w:hAnsi="微软雅黑" w:eastAsia="微软雅黑"/>
          <w:lang w:val="en-US"/>
        </w:rPr>
        <w:t xml:space="preserve">第四十二条 </w:t>
      </w:r>
      <w:r>
        <w:rPr>
          <w:rFonts w:hint="eastAsia" w:ascii="微软雅黑" w:hAnsi="微软雅黑" w:eastAsia="微软雅黑"/>
        </w:rPr>
        <w:t>规划实施措施</w:t>
      </w:r>
      <w:r>
        <w:tab/>
      </w:r>
      <w:r>
        <w:fldChar w:fldCharType="begin"/>
      </w:r>
      <w:r>
        <w:instrText xml:space="preserve"> PAGEREF _Toc19184 \h </w:instrText>
      </w:r>
      <w:r>
        <w:fldChar w:fldCharType="separate"/>
      </w:r>
      <w:r>
        <w:t>16</w:t>
      </w:r>
      <w:r>
        <w:fldChar w:fldCharType="end"/>
      </w:r>
      <w:r>
        <w:rPr>
          <w:color w:val="000000"/>
        </w:rPr>
        <w:fldChar w:fldCharType="end"/>
      </w:r>
    </w:p>
    <w:p w14:paraId="7B82F19D">
      <w:pPr>
        <w:pStyle w:val="22"/>
        <w:tabs>
          <w:tab w:val="right" w:leader="dot" w:pos="9502"/>
          <w:tab w:val="clear" w:pos="9639"/>
        </w:tabs>
      </w:pPr>
      <w:r>
        <w:rPr>
          <w:color w:val="000000"/>
        </w:rPr>
        <w:fldChar w:fldCharType="begin"/>
      </w:r>
      <w:r>
        <w:instrText xml:space="preserve"> HYPERLINK \l _Toc22310 </w:instrText>
      </w:r>
      <w:r>
        <w:fldChar w:fldCharType="separate"/>
      </w:r>
      <w:r>
        <w:rPr>
          <w:rFonts w:hint="eastAsia" w:ascii="华文中宋" w:hAnsi="华文中宋" w:eastAsia="华文中宋"/>
        </w:rPr>
        <w:t>附表</w:t>
      </w:r>
      <w:r>
        <w:tab/>
      </w:r>
      <w:r>
        <w:fldChar w:fldCharType="begin"/>
      </w:r>
      <w:r>
        <w:instrText xml:space="preserve"> PAGEREF _Toc22310 \h </w:instrText>
      </w:r>
      <w:r>
        <w:fldChar w:fldCharType="separate"/>
      </w:r>
      <w:r>
        <w:t>18</w:t>
      </w:r>
      <w:r>
        <w:fldChar w:fldCharType="end"/>
      </w:r>
      <w:r>
        <w:rPr>
          <w:color w:val="000000"/>
        </w:rPr>
        <w:fldChar w:fldCharType="end"/>
      </w:r>
    </w:p>
    <w:p w14:paraId="684582CF">
      <w:pPr>
        <w:pStyle w:val="28"/>
        <w:tabs>
          <w:tab w:val="right" w:leader="dot" w:pos="9502"/>
          <w:tab w:val="clear" w:pos="9639"/>
        </w:tabs>
      </w:pPr>
      <w:r>
        <w:rPr>
          <w:color w:val="000000"/>
        </w:rPr>
        <w:fldChar w:fldCharType="begin"/>
      </w:r>
      <w:r>
        <w:instrText xml:space="preserve"> HYPERLINK \l _Toc3407 </w:instrText>
      </w:r>
      <w:r>
        <w:fldChar w:fldCharType="separate"/>
      </w:r>
      <w:r>
        <w:rPr>
          <w:rFonts w:hint="eastAsia" w:ascii="华文中宋" w:hAnsi="华文中宋" w:eastAsia="华文中宋"/>
          <w:szCs w:val="36"/>
        </w:rPr>
        <w:t>附表1：中心城区城市商业中心规划指引</w:t>
      </w:r>
      <w:r>
        <w:tab/>
      </w:r>
      <w:r>
        <w:fldChar w:fldCharType="begin"/>
      </w:r>
      <w:r>
        <w:instrText xml:space="preserve"> PAGEREF _Toc3407 \h </w:instrText>
      </w:r>
      <w:r>
        <w:fldChar w:fldCharType="separate"/>
      </w:r>
      <w:r>
        <w:t>18</w:t>
      </w:r>
      <w:r>
        <w:fldChar w:fldCharType="end"/>
      </w:r>
      <w:r>
        <w:rPr>
          <w:color w:val="000000"/>
        </w:rPr>
        <w:fldChar w:fldCharType="end"/>
      </w:r>
    </w:p>
    <w:p w14:paraId="3211354D">
      <w:pPr>
        <w:pStyle w:val="28"/>
        <w:tabs>
          <w:tab w:val="right" w:leader="dot" w:pos="9502"/>
          <w:tab w:val="clear" w:pos="9639"/>
        </w:tabs>
      </w:pPr>
      <w:r>
        <w:rPr>
          <w:color w:val="000000"/>
        </w:rPr>
        <w:fldChar w:fldCharType="begin"/>
      </w:r>
      <w:r>
        <w:instrText xml:space="preserve"> HYPERLINK \l _Toc22050 </w:instrText>
      </w:r>
      <w:r>
        <w:fldChar w:fldCharType="separate"/>
      </w:r>
      <w:r>
        <w:rPr>
          <w:rFonts w:hint="eastAsia" w:ascii="华文中宋" w:hAnsi="华文中宋" w:eastAsia="华文中宋"/>
          <w:szCs w:val="36"/>
        </w:rPr>
        <w:t>附表2：中心城区组团商业中心规划指引</w:t>
      </w:r>
      <w:r>
        <w:tab/>
      </w:r>
      <w:r>
        <w:fldChar w:fldCharType="begin"/>
      </w:r>
      <w:r>
        <w:instrText xml:space="preserve"> PAGEREF _Toc22050 \h </w:instrText>
      </w:r>
      <w:r>
        <w:fldChar w:fldCharType="separate"/>
      </w:r>
      <w:r>
        <w:t>20</w:t>
      </w:r>
      <w:r>
        <w:fldChar w:fldCharType="end"/>
      </w:r>
      <w:r>
        <w:rPr>
          <w:color w:val="000000"/>
        </w:rPr>
        <w:fldChar w:fldCharType="end"/>
      </w:r>
    </w:p>
    <w:p w14:paraId="2F4749EC">
      <w:pPr>
        <w:pStyle w:val="28"/>
        <w:tabs>
          <w:tab w:val="right" w:leader="dot" w:pos="9502"/>
          <w:tab w:val="clear" w:pos="9639"/>
        </w:tabs>
      </w:pPr>
      <w:r>
        <w:rPr>
          <w:color w:val="000000"/>
        </w:rPr>
        <w:fldChar w:fldCharType="begin"/>
      </w:r>
      <w:r>
        <w:instrText xml:space="preserve"> HYPERLINK \l _Toc1710 </w:instrText>
      </w:r>
      <w:r>
        <w:fldChar w:fldCharType="separate"/>
      </w:r>
      <w:r>
        <w:rPr>
          <w:rFonts w:hint="eastAsia" w:ascii="华文中宋" w:hAnsi="华文中宋" w:eastAsia="华文中宋"/>
          <w:szCs w:val="36"/>
        </w:rPr>
        <w:t>附表3：中心城区社区划分及编码</w:t>
      </w:r>
      <w:r>
        <w:tab/>
      </w:r>
      <w:r>
        <w:fldChar w:fldCharType="begin"/>
      </w:r>
      <w:r>
        <w:instrText xml:space="preserve"> PAGEREF _Toc1710 \h </w:instrText>
      </w:r>
      <w:r>
        <w:fldChar w:fldCharType="separate"/>
      </w:r>
      <w:r>
        <w:t>21</w:t>
      </w:r>
      <w:r>
        <w:fldChar w:fldCharType="end"/>
      </w:r>
      <w:r>
        <w:rPr>
          <w:color w:val="000000"/>
        </w:rPr>
        <w:fldChar w:fldCharType="end"/>
      </w:r>
    </w:p>
    <w:p w14:paraId="45C13641">
      <w:pPr>
        <w:pStyle w:val="28"/>
        <w:tabs>
          <w:tab w:val="right" w:leader="dot" w:pos="9502"/>
          <w:tab w:val="clear" w:pos="9639"/>
        </w:tabs>
      </w:pPr>
      <w:r>
        <w:rPr>
          <w:color w:val="000000"/>
        </w:rPr>
        <w:fldChar w:fldCharType="begin"/>
      </w:r>
      <w:r>
        <w:instrText xml:space="preserve"> HYPERLINK \l _Toc11566 </w:instrText>
      </w:r>
      <w:r>
        <w:fldChar w:fldCharType="separate"/>
      </w:r>
      <w:r>
        <w:rPr>
          <w:rFonts w:hint="eastAsia" w:ascii="华文中宋" w:hAnsi="华文中宋" w:eastAsia="华文中宋"/>
          <w:szCs w:val="36"/>
        </w:rPr>
        <w:t>附表</w:t>
      </w:r>
      <w:r>
        <w:rPr>
          <w:rFonts w:hint="eastAsia" w:ascii="华文中宋" w:hAnsi="华文中宋" w:eastAsia="华文中宋" w:cs="Times New Roman"/>
          <w:bCs/>
          <w:szCs w:val="36"/>
        </w:rPr>
        <w:t>4：社区商业中心规划指引</w:t>
      </w:r>
      <w:r>
        <w:tab/>
      </w:r>
      <w:r>
        <w:fldChar w:fldCharType="begin"/>
      </w:r>
      <w:r>
        <w:instrText xml:space="preserve"> PAGEREF _Toc11566 \h </w:instrText>
      </w:r>
      <w:r>
        <w:fldChar w:fldCharType="separate"/>
      </w:r>
      <w:r>
        <w:t>22</w:t>
      </w:r>
      <w:r>
        <w:fldChar w:fldCharType="end"/>
      </w:r>
      <w:r>
        <w:rPr>
          <w:color w:val="000000"/>
        </w:rPr>
        <w:fldChar w:fldCharType="end"/>
      </w:r>
    </w:p>
    <w:p w14:paraId="40281EC8">
      <w:pPr>
        <w:pStyle w:val="28"/>
        <w:tabs>
          <w:tab w:val="right" w:leader="dot" w:pos="9502"/>
          <w:tab w:val="clear" w:pos="9639"/>
        </w:tabs>
      </w:pPr>
      <w:r>
        <w:rPr>
          <w:color w:val="000000"/>
        </w:rPr>
        <w:fldChar w:fldCharType="begin"/>
      </w:r>
      <w:r>
        <w:instrText xml:space="preserve"> HYPERLINK \l _Toc17847 </w:instrText>
      </w:r>
      <w:r>
        <w:fldChar w:fldCharType="separate"/>
      </w:r>
      <w:r>
        <w:rPr>
          <w:rFonts w:hint="eastAsia" w:ascii="华文中宋" w:hAnsi="华文中宋" w:eastAsia="华文中宋"/>
          <w:szCs w:val="36"/>
        </w:rPr>
        <w:t>附表5：社区商业网点基本配置标准</w:t>
      </w:r>
      <w:r>
        <w:tab/>
      </w:r>
      <w:r>
        <w:fldChar w:fldCharType="begin"/>
      </w:r>
      <w:r>
        <w:instrText xml:space="preserve"> PAGEREF _Toc17847 \h </w:instrText>
      </w:r>
      <w:r>
        <w:fldChar w:fldCharType="separate"/>
      </w:r>
      <w:r>
        <w:t>23</w:t>
      </w:r>
      <w:r>
        <w:fldChar w:fldCharType="end"/>
      </w:r>
      <w:r>
        <w:rPr>
          <w:color w:val="000000"/>
        </w:rPr>
        <w:fldChar w:fldCharType="end"/>
      </w:r>
    </w:p>
    <w:p w14:paraId="28BF96FF">
      <w:pPr>
        <w:pStyle w:val="28"/>
        <w:tabs>
          <w:tab w:val="right" w:leader="dot" w:pos="9502"/>
          <w:tab w:val="clear" w:pos="9639"/>
        </w:tabs>
      </w:pPr>
      <w:r>
        <w:rPr>
          <w:color w:val="000000"/>
        </w:rPr>
        <w:fldChar w:fldCharType="begin"/>
      </w:r>
      <w:r>
        <w:instrText xml:space="preserve"> HYPERLINK \l _Toc31407 </w:instrText>
      </w:r>
      <w:r>
        <w:fldChar w:fldCharType="separate"/>
      </w:r>
      <w:r>
        <w:rPr>
          <w:rFonts w:hint="eastAsia" w:ascii="华文中宋" w:hAnsi="华文中宋" w:eastAsia="华文中宋"/>
          <w:szCs w:val="36"/>
        </w:rPr>
        <w:t>附表6：各级商业综合体建设控制要求</w:t>
      </w:r>
      <w:r>
        <w:tab/>
      </w:r>
      <w:r>
        <w:fldChar w:fldCharType="begin"/>
      </w:r>
      <w:r>
        <w:instrText xml:space="preserve"> PAGEREF _Toc31407 \h </w:instrText>
      </w:r>
      <w:r>
        <w:fldChar w:fldCharType="separate"/>
      </w:r>
      <w:r>
        <w:t>24</w:t>
      </w:r>
      <w:r>
        <w:fldChar w:fldCharType="end"/>
      </w:r>
      <w:r>
        <w:rPr>
          <w:color w:val="000000"/>
        </w:rPr>
        <w:fldChar w:fldCharType="end"/>
      </w:r>
    </w:p>
    <w:p w14:paraId="67B282D7">
      <w:pPr>
        <w:pStyle w:val="28"/>
        <w:tabs>
          <w:tab w:val="right" w:leader="dot" w:pos="9502"/>
          <w:tab w:val="clear" w:pos="9639"/>
        </w:tabs>
      </w:pPr>
      <w:r>
        <w:rPr>
          <w:color w:val="000000"/>
        </w:rPr>
        <w:fldChar w:fldCharType="begin"/>
      </w:r>
      <w:r>
        <w:instrText xml:space="preserve"> HYPERLINK \l _Toc14328 </w:instrText>
      </w:r>
      <w:r>
        <w:fldChar w:fldCharType="separate"/>
      </w:r>
      <w:r>
        <w:rPr>
          <w:rFonts w:hint="eastAsia" w:ascii="华文中宋" w:hAnsi="华文中宋" w:eastAsia="华文中宋"/>
          <w:szCs w:val="36"/>
        </w:rPr>
        <w:t>附表</w:t>
      </w:r>
      <w:r>
        <w:rPr>
          <w:rFonts w:hint="eastAsia" w:ascii="华文中宋" w:hAnsi="华文中宋" w:eastAsia="华文中宋"/>
          <w:szCs w:val="36"/>
          <w:lang w:val="en-US" w:eastAsia="zh-CN"/>
        </w:rPr>
        <w:t>7</w:t>
      </w:r>
      <w:r>
        <w:rPr>
          <w:rFonts w:hint="eastAsia" w:ascii="华文中宋" w:hAnsi="华文中宋" w:eastAsia="华文中宋"/>
          <w:szCs w:val="36"/>
        </w:rPr>
        <w:t>：大中型商超网点规划指引</w:t>
      </w:r>
      <w:r>
        <w:tab/>
      </w:r>
      <w:r>
        <w:fldChar w:fldCharType="begin"/>
      </w:r>
      <w:r>
        <w:instrText xml:space="preserve"> PAGEREF _Toc14328 \h </w:instrText>
      </w:r>
      <w:r>
        <w:fldChar w:fldCharType="separate"/>
      </w:r>
      <w:r>
        <w:t>25</w:t>
      </w:r>
      <w:r>
        <w:fldChar w:fldCharType="end"/>
      </w:r>
      <w:r>
        <w:rPr>
          <w:color w:val="000000"/>
        </w:rPr>
        <w:fldChar w:fldCharType="end"/>
      </w:r>
    </w:p>
    <w:p w14:paraId="5D317844">
      <w:pPr>
        <w:pStyle w:val="28"/>
        <w:tabs>
          <w:tab w:val="right" w:leader="dot" w:pos="9502"/>
          <w:tab w:val="clear" w:pos="9639"/>
        </w:tabs>
      </w:pPr>
      <w:r>
        <w:rPr>
          <w:color w:val="000000"/>
        </w:rPr>
        <w:fldChar w:fldCharType="begin"/>
      </w:r>
      <w:r>
        <w:instrText xml:space="preserve"> HYPERLINK \l _Toc9149 </w:instrText>
      </w:r>
      <w:r>
        <w:fldChar w:fldCharType="separate"/>
      </w:r>
      <w:r>
        <w:rPr>
          <w:rFonts w:hint="eastAsia" w:ascii="华文中宋" w:hAnsi="华文中宋" w:eastAsia="华文中宋"/>
          <w:szCs w:val="36"/>
        </w:rPr>
        <w:t>附表</w:t>
      </w:r>
      <w:r>
        <w:rPr>
          <w:rFonts w:hint="eastAsia" w:ascii="华文中宋" w:hAnsi="华文中宋" w:eastAsia="华文中宋"/>
          <w:szCs w:val="36"/>
          <w:lang w:val="en-US" w:eastAsia="zh-CN"/>
        </w:rPr>
        <w:t>8</w:t>
      </w:r>
      <w:r>
        <w:rPr>
          <w:rFonts w:hint="eastAsia" w:ascii="华文中宋" w:hAnsi="华文中宋" w:eastAsia="华文中宋"/>
          <w:szCs w:val="36"/>
        </w:rPr>
        <w:t>：商业街规划指引</w:t>
      </w:r>
      <w:r>
        <w:tab/>
      </w:r>
      <w:r>
        <w:fldChar w:fldCharType="begin"/>
      </w:r>
      <w:r>
        <w:instrText xml:space="preserve"> PAGEREF _Toc9149 \h </w:instrText>
      </w:r>
      <w:r>
        <w:fldChar w:fldCharType="separate"/>
      </w:r>
      <w:r>
        <w:t>26</w:t>
      </w:r>
      <w:r>
        <w:fldChar w:fldCharType="end"/>
      </w:r>
      <w:r>
        <w:rPr>
          <w:color w:val="000000"/>
        </w:rPr>
        <w:fldChar w:fldCharType="end"/>
      </w:r>
    </w:p>
    <w:p w14:paraId="52951094">
      <w:pPr>
        <w:pStyle w:val="28"/>
        <w:tabs>
          <w:tab w:val="right" w:leader="dot" w:pos="9502"/>
          <w:tab w:val="clear" w:pos="9639"/>
        </w:tabs>
      </w:pPr>
      <w:r>
        <w:rPr>
          <w:color w:val="000000"/>
        </w:rPr>
        <w:fldChar w:fldCharType="begin"/>
      </w:r>
      <w:r>
        <w:instrText xml:space="preserve"> HYPERLINK \l _Toc3329 </w:instrText>
      </w:r>
      <w:r>
        <w:fldChar w:fldCharType="separate"/>
      </w:r>
      <w:r>
        <w:rPr>
          <w:rFonts w:hint="eastAsia" w:ascii="华文中宋" w:hAnsi="华文中宋" w:eastAsia="华文中宋"/>
          <w:szCs w:val="36"/>
        </w:rPr>
        <w:t>附表</w:t>
      </w:r>
      <w:r>
        <w:rPr>
          <w:rFonts w:hint="eastAsia" w:ascii="华文中宋" w:hAnsi="华文中宋" w:eastAsia="华文中宋"/>
          <w:szCs w:val="36"/>
          <w:lang w:val="en-US" w:eastAsia="zh-CN"/>
        </w:rPr>
        <w:t>9</w:t>
      </w:r>
      <w:r>
        <w:rPr>
          <w:rFonts w:hint="eastAsia" w:ascii="华文中宋" w:hAnsi="华文中宋" w:eastAsia="华文中宋"/>
          <w:szCs w:val="36"/>
        </w:rPr>
        <w:t>：中心城区农贸市场规划指引</w:t>
      </w:r>
      <w:r>
        <w:tab/>
      </w:r>
      <w:r>
        <w:fldChar w:fldCharType="begin"/>
      </w:r>
      <w:r>
        <w:instrText xml:space="preserve"> PAGEREF _Toc3329 \h </w:instrText>
      </w:r>
      <w:r>
        <w:fldChar w:fldCharType="separate"/>
      </w:r>
      <w:r>
        <w:t>30</w:t>
      </w:r>
      <w:r>
        <w:fldChar w:fldCharType="end"/>
      </w:r>
      <w:r>
        <w:rPr>
          <w:color w:val="000000"/>
        </w:rPr>
        <w:fldChar w:fldCharType="end"/>
      </w:r>
    </w:p>
    <w:p w14:paraId="35C29BD6">
      <w:pPr>
        <w:pStyle w:val="28"/>
        <w:tabs>
          <w:tab w:val="right" w:leader="dot" w:pos="9502"/>
          <w:tab w:val="clear" w:pos="9639"/>
        </w:tabs>
      </w:pPr>
      <w:r>
        <w:rPr>
          <w:color w:val="000000"/>
        </w:rPr>
        <w:fldChar w:fldCharType="begin"/>
      </w:r>
      <w:r>
        <w:instrText xml:space="preserve"> HYPERLINK \l _Toc17708 </w:instrText>
      </w:r>
      <w:r>
        <w:fldChar w:fldCharType="separate"/>
      </w:r>
      <w:r>
        <w:rPr>
          <w:rFonts w:hint="eastAsia" w:ascii="华文中宋" w:hAnsi="华文中宋" w:eastAsia="华文中宋"/>
          <w:szCs w:val="36"/>
        </w:rPr>
        <w:t>附表</w:t>
      </w:r>
      <w:r>
        <w:rPr>
          <w:rFonts w:hint="eastAsia" w:ascii="华文中宋" w:hAnsi="华文中宋" w:eastAsia="华文中宋"/>
          <w:szCs w:val="36"/>
          <w:lang w:val="en-US" w:eastAsia="zh-CN"/>
        </w:rPr>
        <w:t>10</w:t>
      </w:r>
      <w:r>
        <w:rPr>
          <w:rFonts w:hint="eastAsia" w:ascii="华文中宋" w:hAnsi="华文中宋" w:eastAsia="华文中宋"/>
          <w:szCs w:val="36"/>
        </w:rPr>
        <w:t>：</w:t>
      </w:r>
      <w:r>
        <w:rPr>
          <w:rFonts w:hint="eastAsia" w:ascii="华文中宋" w:hAnsi="华文中宋" w:eastAsia="华文中宋"/>
          <w:szCs w:val="36"/>
          <w:lang w:val="en-US" w:eastAsia="zh-CN"/>
        </w:rPr>
        <w:t>中心城区</w:t>
      </w:r>
      <w:r>
        <w:rPr>
          <w:rFonts w:hint="eastAsia" w:ascii="华文中宋" w:hAnsi="华文中宋" w:eastAsia="华文中宋"/>
          <w:szCs w:val="36"/>
        </w:rPr>
        <w:t>专业（交易）市场</w:t>
      </w:r>
      <w:r>
        <w:rPr>
          <w:rFonts w:hint="eastAsia" w:ascii="华文中宋" w:hAnsi="华文中宋" w:eastAsia="华文中宋"/>
          <w:szCs w:val="36"/>
          <w:lang w:val="en-US" w:eastAsia="zh-CN"/>
        </w:rPr>
        <w:t>布局体系</w:t>
      </w:r>
      <w:r>
        <w:rPr>
          <w:rFonts w:hint="eastAsia" w:ascii="华文中宋" w:hAnsi="华文中宋" w:eastAsia="华文中宋"/>
          <w:szCs w:val="36"/>
        </w:rPr>
        <w:t>规划指引</w:t>
      </w:r>
      <w:r>
        <w:tab/>
      </w:r>
      <w:r>
        <w:fldChar w:fldCharType="begin"/>
      </w:r>
      <w:r>
        <w:instrText xml:space="preserve"> PAGEREF _Toc17708 \h </w:instrText>
      </w:r>
      <w:r>
        <w:fldChar w:fldCharType="separate"/>
      </w:r>
      <w:r>
        <w:t>31</w:t>
      </w:r>
      <w:r>
        <w:fldChar w:fldCharType="end"/>
      </w:r>
      <w:r>
        <w:rPr>
          <w:color w:val="000000"/>
        </w:rPr>
        <w:fldChar w:fldCharType="end"/>
      </w:r>
    </w:p>
    <w:p w14:paraId="092D798D">
      <w:pPr>
        <w:pStyle w:val="28"/>
        <w:tabs>
          <w:tab w:val="right" w:leader="dot" w:pos="9502"/>
          <w:tab w:val="clear" w:pos="9639"/>
        </w:tabs>
      </w:pPr>
      <w:r>
        <w:rPr>
          <w:color w:val="000000"/>
        </w:rPr>
        <w:fldChar w:fldCharType="begin"/>
      </w:r>
      <w:r>
        <w:instrText xml:space="preserve"> HYPERLINK \l _Toc5043 </w:instrText>
      </w:r>
      <w:r>
        <w:fldChar w:fldCharType="separate"/>
      </w:r>
      <w:r>
        <w:rPr>
          <w:rFonts w:hint="eastAsia" w:ascii="华文中宋" w:hAnsi="华文中宋" w:eastAsia="华文中宋"/>
          <w:szCs w:val="36"/>
        </w:rPr>
        <w:t>附表1</w:t>
      </w:r>
      <w:r>
        <w:rPr>
          <w:rFonts w:hint="eastAsia" w:ascii="华文中宋" w:hAnsi="华文中宋" w:eastAsia="华文中宋"/>
          <w:szCs w:val="36"/>
          <w:lang w:val="en-US" w:eastAsia="zh-CN"/>
        </w:rPr>
        <w:t>1</w:t>
      </w:r>
      <w:r>
        <w:rPr>
          <w:rFonts w:hint="eastAsia" w:ascii="华文中宋" w:hAnsi="华文中宋" w:eastAsia="华文中宋"/>
          <w:szCs w:val="36"/>
        </w:rPr>
        <w:t>：中心城区专业（交易）市场布局规划指引</w:t>
      </w:r>
      <w:r>
        <w:tab/>
      </w:r>
      <w:r>
        <w:fldChar w:fldCharType="begin"/>
      </w:r>
      <w:r>
        <w:instrText xml:space="preserve"> PAGEREF _Toc5043 \h </w:instrText>
      </w:r>
      <w:r>
        <w:fldChar w:fldCharType="separate"/>
      </w:r>
      <w:r>
        <w:t>32</w:t>
      </w:r>
      <w:r>
        <w:fldChar w:fldCharType="end"/>
      </w:r>
      <w:r>
        <w:rPr>
          <w:color w:val="000000"/>
        </w:rPr>
        <w:fldChar w:fldCharType="end"/>
      </w:r>
    </w:p>
    <w:p w14:paraId="34A30F68">
      <w:pPr>
        <w:pStyle w:val="28"/>
        <w:tabs>
          <w:tab w:val="right" w:leader="dot" w:pos="9502"/>
          <w:tab w:val="clear" w:pos="9639"/>
        </w:tabs>
      </w:pPr>
      <w:r>
        <w:rPr>
          <w:color w:val="000000"/>
        </w:rPr>
        <w:fldChar w:fldCharType="begin"/>
      </w:r>
      <w:r>
        <w:instrText xml:space="preserve"> HYPERLINK \l _Toc2615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12</w:t>
      </w:r>
      <w:r>
        <w:rPr>
          <w:rFonts w:hint="eastAsia" w:ascii="华文中宋" w:hAnsi="华文中宋" w:eastAsia="华文中宋" w:cs="Times New Roman"/>
          <w:bCs/>
          <w:szCs w:val="36"/>
        </w:rPr>
        <w:t>：中心城区餐饮集聚区</w:t>
      </w:r>
      <w:r>
        <w:rPr>
          <w:rFonts w:hint="eastAsia" w:ascii="华文中宋" w:hAnsi="华文中宋" w:eastAsia="华文中宋" w:cs="Times New Roman"/>
          <w:bCs/>
          <w:szCs w:val="36"/>
          <w:lang w:val="en-US" w:eastAsia="zh-CN"/>
        </w:rPr>
        <w:t>及</w:t>
      </w:r>
      <w:r>
        <w:rPr>
          <w:rFonts w:hint="eastAsia" w:ascii="华文中宋" w:hAnsi="华文中宋" w:eastAsia="华文中宋" w:cs="Times New Roman"/>
          <w:bCs/>
          <w:szCs w:val="36"/>
        </w:rPr>
        <w:t>特色美食街规划指引</w:t>
      </w:r>
      <w:r>
        <w:tab/>
      </w:r>
      <w:r>
        <w:fldChar w:fldCharType="begin"/>
      </w:r>
      <w:r>
        <w:instrText xml:space="preserve"> PAGEREF _Toc2615 \h </w:instrText>
      </w:r>
      <w:r>
        <w:fldChar w:fldCharType="separate"/>
      </w:r>
      <w:r>
        <w:t>34</w:t>
      </w:r>
      <w:r>
        <w:fldChar w:fldCharType="end"/>
      </w:r>
      <w:r>
        <w:rPr>
          <w:color w:val="000000"/>
        </w:rPr>
        <w:fldChar w:fldCharType="end"/>
      </w:r>
    </w:p>
    <w:p w14:paraId="2FCAC09E">
      <w:pPr>
        <w:pStyle w:val="28"/>
        <w:tabs>
          <w:tab w:val="right" w:leader="dot" w:pos="9502"/>
          <w:tab w:val="clear" w:pos="9639"/>
        </w:tabs>
      </w:pPr>
      <w:r>
        <w:rPr>
          <w:color w:val="000000"/>
        </w:rPr>
        <w:fldChar w:fldCharType="begin"/>
      </w:r>
      <w:r>
        <w:instrText xml:space="preserve"> HYPERLINK \l _Toc27347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13</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陆丰市市域商圈规划指引</w:t>
      </w:r>
      <w:r>
        <w:tab/>
      </w:r>
      <w:r>
        <w:fldChar w:fldCharType="begin"/>
      </w:r>
      <w:r>
        <w:instrText xml:space="preserve"> PAGEREF _Toc27347 \h </w:instrText>
      </w:r>
      <w:r>
        <w:fldChar w:fldCharType="separate"/>
      </w:r>
      <w:r>
        <w:t>35</w:t>
      </w:r>
      <w:r>
        <w:fldChar w:fldCharType="end"/>
      </w:r>
      <w:r>
        <w:rPr>
          <w:color w:val="000000"/>
        </w:rPr>
        <w:fldChar w:fldCharType="end"/>
      </w:r>
    </w:p>
    <w:p w14:paraId="508A8128">
      <w:pPr>
        <w:pStyle w:val="28"/>
        <w:tabs>
          <w:tab w:val="right" w:leader="dot" w:pos="9502"/>
          <w:tab w:val="clear" w:pos="9639"/>
        </w:tabs>
      </w:pPr>
      <w:r>
        <w:rPr>
          <w:color w:val="000000"/>
        </w:rPr>
        <w:fldChar w:fldCharType="begin"/>
      </w:r>
      <w:r>
        <w:instrText xml:space="preserve"> HYPERLINK \l _Toc32054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14</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陆丰市重点镇域商圈规划指引</w:t>
      </w:r>
      <w:r>
        <w:tab/>
      </w:r>
      <w:r>
        <w:fldChar w:fldCharType="begin"/>
      </w:r>
      <w:r>
        <w:instrText xml:space="preserve"> PAGEREF _Toc32054 \h </w:instrText>
      </w:r>
      <w:r>
        <w:fldChar w:fldCharType="separate"/>
      </w:r>
      <w:r>
        <w:t>36</w:t>
      </w:r>
      <w:r>
        <w:fldChar w:fldCharType="end"/>
      </w:r>
      <w:r>
        <w:rPr>
          <w:color w:val="000000"/>
        </w:rPr>
        <w:fldChar w:fldCharType="end"/>
      </w:r>
    </w:p>
    <w:p w14:paraId="4AD5E878">
      <w:pPr>
        <w:pStyle w:val="28"/>
        <w:tabs>
          <w:tab w:val="right" w:leader="dot" w:pos="9502"/>
          <w:tab w:val="clear" w:pos="9639"/>
        </w:tabs>
      </w:pPr>
      <w:r>
        <w:rPr>
          <w:color w:val="000000"/>
        </w:rPr>
        <w:fldChar w:fldCharType="begin"/>
      </w:r>
      <w:r>
        <w:instrText xml:space="preserve"> HYPERLINK \l _Toc26456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15</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陆丰市一般镇域商圈规划指引</w:t>
      </w:r>
      <w:r>
        <w:tab/>
      </w:r>
      <w:r>
        <w:fldChar w:fldCharType="begin"/>
      </w:r>
      <w:r>
        <w:instrText xml:space="preserve"> PAGEREF _Toc26456 \h </w:instrText>
      </w:r>
      <w:r>
        <w:fldChar w:fldCharType="separate"/>
      </w:r>
      <w:r>
        <w:t>37</w:t>
      </w:r>
      <w:r>
        <w:fldChar w:fldCharType="end"/>
      </w:r>
      <w:r>
        <w:rPr>
          <w:color w:val="000000"/>
        </w:rPr>
        <w:fldChar w:fldCharType="end"/>
      </w:r>
    </w:p>
    <w:p w14:paraId="01A9BA04">
      <w:pPr>
        <w:pStyle w:val="28"/>
        <w:tabs>
          <w:tab w:val="right" w:leader="dot" w:pos="9502"/>
          <w:tab w:val="clear" w:pos="9639"/>
        </w:tabs>
      </w:pPr>
      <w:r>
        <w:rPr>
          <w:color w:val="000000"/>
        </w:rPr>
        <w:fldChar w:fldCharType="begin"/>
      </w:r>
      <w:r>
        <w:instrText xml:space="preserve"> HYPERLINK \l _Toc19264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16</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海丰县县域商圈规划指引</w:t>
      </w:r>
      <w:r>
        <w:tab/>
      </w:r>
      <w:r>
        <w:fldChar w:fldCharType="begin"/>
      </w:r>
      <w:r>
        <w:instrText xml:space="preserve"> PAGEREF _Toc19264 \h </w:instrText>
      </w:r>
      <w:r>
        <w:fldChar w:fldCharType="separate"/>
      </w:r>
      <w:r>
        <w:t>39</w:t>
      </w:r>
      <w:r>
        <w:fldChar w:fldCharType="end"/>
      </w:r>
      <w:r>
        <w:rPr>
          <w:color w:val="000000"/>
        </w:rPr>
        <w:fldChar w:fldCharType="end"/>
      </w:r>
    </w:p>
    <w:p w14:paraId="2273461C">
      <w:pPr>
        <w:pStyle w:val="28"/>
        <w:tabs>
          <w:tab w:val="right" w:leader="dot" w:pos="9502"/>
          <w:tab w:val="clear" w:pos="9639"/>
        </w:tabs>
      </w:pPr>
      <w:r>
        <w:rPr>
          <w:color w:val="000000"/>
        </w:rPr>
        <w:fldChar w:fldCharType="begin"/>
      </w:r>
      <w:r>
        <w:instrText xml:space="preserve"> HYPERLINK \l _Toc26130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17</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海丰县重点镇域商圈规划指引</w:t>
      </w:r>
      <w:r>
        <w:tab/>
      </w:r>
      <w:r>
        <w:fldChar w:fldCharType="begin"/>
      </w:r>
      <w:r>
        <w:instrText xml:space="preserve"> PAGEREF _Toc26130 \h </w:instrText>
      </w:r>
      <w:r>
        <w:fldChar w:fldCharType="separate"/>
      </w:r>
      <w:r>
        <w:t>40</w:t>
      </w:r>
      <w:r>
        <w:fldChar w:fldCharType="end"/>
      </w:r>
      <w:r>
        <w:rPr>
          <w:color w:val="000000"/>
        </w:rPr>
        <w:fldChar w:fldCharType="end"/>
      </w:r>
    </w:p>
    <w:p w14:paraId="11DFC4D9">
      <w:pPr>
        <w:pStyle w:val="28"/>
        <w:tabs>
          <w:tab w:val="right" w:leader="dot" w:pos="9502"/>
          <w:tab w:val="clear" w:pos="9639"/>
        </w:tabs>
      </w:pPr>
      <w:r>
        <w:rPr>
          <w:color w:val="000000"/>
        </w:rPr>
        <w:fldChar w:fldCharType="begin"/>
      </w:r>
      <w:r>
        <w:instrText xml:space="preserve"> HYPERLINK \l _Toc31148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18</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海丰县一般镇域商圈规划指引</w:t>
      </w:r>
      <w:r>
        <w:tab/>
      </w:r>
      <w:r>
        <w:fldChar w:fldCharType="begin"/>
      </w:r>
      <w:r>
        <w:instrText xml:space="preserve"> PAGEREF _Toc31148 \h </w:instrText>
      </w:r>
      <w:r>
        <w:fldChar w:fldCharType="separate"/>
      </w:r>
      <w:r>
        <w:t>41</w:t>
      </w:r>
      <w:r>
        <w:fldChar w:fldCharType="end"/>
      </w:r>
      <w:r>
        <w:rPr>
          <w:color w:val="000000"/>
        </w:rPr>
        <w:fldChar w:fldCharType="end"/>
      </w:r>
    </w:p>
    <w:p w14:paraId="38BD1137">
      <w:pPr>
        <w:pStyle w:val="28"/>
        <w:tabs>
          <w:tab w:val="right" w:leader="dot" w:pos="9502"/>
          <w:tab w:val="clear" w:pos="9639"/>
        </w:tabs>
      </w:pPr>
      <w:r>
        <w:rPr>
          <w:color w:val="000000"/>
        </w:rPr>
        <w:fldChar w:fldCharType="begin"/>
      </w:r>
      <w:r>
        <w:instrText xml:space="preserve"> HYPERLINK \l _Toc11162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19</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陆河县县域商圈规划指引</w:t>
      </w:r>
      <w:r>
        <w:tab/>
      </w:r>
      <w:r>
        <w:fldChar w:fldCharType="begin"/>
      </w:r>
      <w:r>
        <w:instrText xml:space="preserve"> PAGEREF _Toc11162 \h </w:instrText>
      </w:r>
      <w:r>
        <w:fldChar w:fldCharType="separate"/>
      </w:r>
      <w:r>
        <w:t>42</w:t>
      </w:r>
      <w:r>
        <w:fldChar w:fldCharType="end"/>
      </w:r>
      <w:r>
        <w:rPr>
          <w:color w:val="000000"/>
        </w:rPr>
        <w:fldChar w:fldCharType="end"/>
      </w:r>
    </w:p>
    <w:p w14:paraId="6C905218">
      <w:pPr>
        <w:pStyle w:val="28"/>
        <w:tabs>
          <w:tab w:val="right" w:leader="dot" w:pos="9502"/>
          <w:tab w:val="clear" w:pos="9639"/>
        </w:tabs>
      </w:pPr>
      <w:r>
        <w:rPr>
          <w:color w:val="000000"/>
        </w:rPr>
        <w:fldChar w:fldCharType="begin"/>
      </w:r>
      <w:r>
        <w:instrText xml:space="preserve"> HYPERLINK \l _Toc17615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20</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陆河县重点镇域商圈规划指引</w:t>
      </w:r>
      <w:r>
        <w:tab/>
      </w:r>
      <w:r>
        <w:fldChar w:fldCharType="begin"/>
      </w:r>
      <w:r>
        <w:instrText xml:space="preserve"> PAGEREF _Toc17615 \h </w:instrText>
      </w:r>
      <w:r>
        <w:fldChar w:fldCharType="separate"/>
      </w:r>
      <w:r>
        <w:t>43</w:t>
      </w:r>
      <w:r>
        <w:fldChar w:fldCharType="end"/>
      </w:r>
      <w:r>
        <w:rPr>
          <w:color w:val="000000"/>
        </w:rPr>
        <w:fldChar w:fldCharType="end"/>
      </w:r>
    </w:p>
    <w:p w14:paraId="5B9B99A7">
      <w:pPr>
        <w:pStyle w:val="28"/>
        <w:tabs>
          <w:tab w:val="right" w:leader="dot" w:pos="9502"/>
          <w:tab w:val="clear" w:pos="9639"/>
        </w:tabs>
      </w:pPr>
      <w:r>
        <w:rPr>
          <w:color w:val="000000"/>
        </w:rPr>
        <w:fldChar w:fldCharType="begin"/>
      </w:r>
      <w:r>
        <w:instrText xml:space="preserve"> HYPERLINK \l _Toc19624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21</w:t>
      </w:r>
      <w:r>
        <w:rPr>
          <w:rFonts w:hint="eastAsia" w:ascii="华文中宋" w:hAnsi="华文中宋" w:eastAsia="华文中宋" w:cs="Times New Roman"/>
          <w:bCs/>
          <w:szCs w:val="36"/>
        </w:rPr>
        <w:t>：</w:t>
      </w:r>
      <w:r>
        <w:rPr>
          <w:rFonts w:hint="eastAsia" w:ascii="华文中宋" w:hAnsi="华文中宋" w:eastAsia="华文中宋" w:cs="Times New Roman"/>
          <w:bCs/>
          <w:szCs w:val="36"/>
          <w:lang w:val="en-US" w:eastAsia="zh-CN"/>
        </w:rPr>
        <w:t>陆河县一般镇域商圈规划指引</w:t>
      </w:r>
      <w:r>
        <w:tab/>
      </w:r>
      <w:r>
        <w:fldChar w:fldCharType="begin"/>
      </w:r>
      <w:r>
        <w:instrText xml:space="preserve"> PAGEREF _Toc19624 \h </w:instrText>
      </w:r>
      <w:r>
        <w:fldChar w:fldCharType="separate"/>
      </w:r>
      <w:r>
        <w:t>44</w:t>
      </w:r>
      <w:r>
        <w:fldChar w:fldCharType="end"/>
      </w:r>
      <w:r>
        <w:rPr>
          <w:color w:val="000000"/>
        </w:rPr>
        <w:fldChar w:fldCharType="end"/>
      </w:r>
    </w:p>
    <w:p w14:paraId="55670189">
      <w:pPr>
        <w:pStyle w:val="28"/>
        <w:tabs>
          <w:tab w:val="right" w:leader="dot" w:pos="9502"/>
          <w:tab w:val="clear" w:pos="9639"/>
        </w:tabs>
      </w:pPr>
      <w:r>
        <w:rPr>
          <w:color w:val="000000"/>
        </w:rPr>
        <w:fldChar w:fldCharType="begin"/>
      </w:r>
      <w:r>
        <w:instrText xml:space="preserve"> HYPERLINK \l _Toc22884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2</w:t>
      </w:r>
      <w:r>
        <w:rPr>
          <w:rFonts w:hint="eastAsia" w:ascii="华文中宋" w:hAnsi="华文中宋" w:eastAsia="华文中宋" w:cs="Times New Roman"/>
          <w:bCs/>
          <w:szCs w:val="36"/>
        </w:rPr>
        <w:t>2：物流中心规</w:t>
      </w:r>
      <w:r>
        <w:rPr>
          <w:rFonts w:hint="eastAsia" w:ascii="华文中宋" w:hAnsi="华文中宋" w:eastAsia="华文中宋"/>
          <w:szCs w:val="36"/>
        </w:rPr>
        <w:t>划指引</w:t>
      </w:r>
      <w:r>
        <w:tab/>
      </w:r>
      <w:r>
        <w:fldChar w:fldCharType="begin"/>
      </w:r>
      <w:r>
        <w:instrText xml:space="preserve"> PAGEREF _Toc22884 \h </w:instrText>
      </w:r>
      <w:r>
        <w:fldChar w:fldCharType="separate"/>
      </w:r>
      <w:r>
        <w:t>45</w:t>
      </w:r>
      <w:r>
        <w:fldChar w:fldCharType="end"/>
      </w:r>
      <w:r>
        <w:rPr>
          <w:color w:val="000000"/>
        </w:rPr>
        <w:fldChar w:fldCharType="end"/>
      </w:r>
    </w:p>
    <w:p w14:paraId="36B9995C">
      <w:pPr>
        <w:pStyle w:val="28"/>
        <w:tabs>
          <w:tab w:val="right" w:leader="dot" w:pos="9502"/>
          <w:tab w:val="clear" w:pos="9639"/>
        </w:tabs>
      </w:pPr>
      <w:r>
        <w:rPr>
          <w:color w:val="000000"/>
        </w:rPr>
        <w:fldChar w:fldCharType="begin"/>
      </w:r>
      <w:r>
        <w:instrText xml:space="preserve"> HYPERLINK \l _Toc10825 </w:instrText>
      </w:r>
      <w:r>
        <w:fldChar w:fldCharType="separate"/>
      </w:r>
      <w:r>
        <w:rPr>
          <w:rFonts w:hint="eastAsia" w:ascii="华文中宋" w:hAnsi="华文中宋" w:eastAsia="华文中宋"/>
          <w:szCs w:val="36"/>
        </w:rPr>
        <w:t>附</w:t>
      </w:r>
      <w:r>
        <w:rPr>
          <w:rFonts w:hint="eastAsia" w:ascii="华文中宋" w:hAnsi="华文中宋" w:eastAsia="华文中宋" w:cs="Times New Roman"/>
          <w:bCs/>
          <w:szCs w:val="36"/>
        </w:rPr>
        <w:t>表</w:t>
      </w:r>
      <w:r>
        <w:rPr>
          <w:rFonts w:hint="eastAsia" w:ascii="华文中宋" w:hAnsi="华文中宋" w:eastAsia="华文中宋" w:cs="Times New Roman"/>
          <w:bCs/>
          <w:szCs w:val="36"/>
          <w:lang w:val="en-US" w:eastAsia="zh-CN"/>
        </w:rPr>
        <w:t>23</w:t>
      </w:r>
      <w:r>
        <w:rPr>
          <w:rFonts w:hint="eastAsia" w:ascii="华文中宋" w:hAnsi="华文中宋" w:eastAsia="华文中宋" w:cs="Times New Roman"/>
          <w:bCs/>
          <w:szCs w:val="36"/>
        </w:rPr>
        <w:t>：配送中心规</w:t>
      </w:r>
      <w:r>
        <w:rPr>
          <w:rFonts w:hint="eastAsia" w:ascii="华文中宋" w:hAnsi="华文中宋" w:eastAsia="华文中宋"/>
          <w:szCs w:val="36"/>
        </w:rPr>
        <w:t>划指引</w:t>
      </w:r>
      <w:r>
        <w:tab/>
      </w:r>
      <w:r>
        <w:fldChar w:fldCharType="begin"/>
      </w:r>
      <w:r>
        <w:instrText xml:space="preserve"> PAGEREF _Toc10825 \h </w:instrText>
      </w:r>
      <w:r>
        <w:fldChar w:fldCharType="separate"/>
      </w:r>
      <w:r>
        <w:t>47</w:t>
      </w:r>
      <w:r>
        <w:fldChar w:fldCharType="end"/>
      </w:r>
      <w:r>
        <w:rPr>
          <w:color w:val="000000"/>
        </w:rPr>
        <w:fldChar w:fldCharType="end"/>
      </w:r>
    </w:p>
    <w:p w14:paraId="5CBF7E12">
      <w:pPr>
        <w:pStyle w:val="28"/>
        <w:tabs>
          <w:tab w:val="right" w:leader="dot" w:pos="9502"/>
          <w:tab w:val="clear" w:pos="9639"/>
        </w:tabs>
      </w:pPr>
      <w:r>
        <w:rPr>
          <w:color w:val="000000"/>
        </w:rPr>
        <w:fldChar w:fldCharType="begin"/>
      </w:r>
      <w:r>
        <w:instrText xml:space="preserve"> HYPERLINK \l _Toc26243 </w:instrText>
      </w:r>
      <w:r>
        <w:fldChar w:fldCharType="separate"/>
      </w:r>
      <w:r>
        <w:rPr>
          <w:rFonts w:hint="eastAsia" w:ascii="华文中宋" w:hAnsi="华文中宋" w:eastAsia="华文中宋"/>
          <w:szCs w:val="36"/>
        </w:rPr>
        <w:t>附表2</w:t>
      </w:r>
      <w:r>
        <w:rPr>
          <w:rFonts w:hint="eastAsia" w:ascii="华文中宋" w:hAnsi="华文中宋" w:eastAsia="华文中宋"/>
          <w:szCs w:val="36"/>
          <w:lang w:val="en-US" w:eastAsia="zh-CN"/>
        </w:rPr>
        <w:t>4</w:t>
      </w:r>
      <w:r>
        <w:rPr>
          <w:rFonts w:hint="eastAsia" w:ascii="华文中宋" w:hAnsi="华文中宋" w:eastAsia="华文中宋"/>
          <w:szCs w:val="36"/>
        </w:rPr>
        <w:t>：近期重点建设工程一览表</w:t>
      </w:r>
      <w:r>
        <w:tab/>
      </w:r>
      <w:r>
        <w:fldChar w:fldCharType="begin"/>
      </w:r>
      <w:r>
        <w:instrText xml:space="preserve"> PAGEREF _Toc26243 \h </w:instrText>
      </w:r>
      <w:r>
        <w:fldChar w:fldCharType="separate"/>
      </w:r>
      <w:r>
        <w:t>48</w:t>
      </w:r>
      <w:r>
        <w:fldChar w:fldCharType="end"/>
      </w:r>
      <w:r>
        <w:rPr>
          <w:color w:val="000000"/>
        </w:rPr>
        <w:fldChar w:fldCharType="end"/>
      </w:r>
    </w:p>
    <w:p w14:paraId="5034E7AE">
      <w:pPr>
        <w:pStyle w:val="28"/>
        <w:ind w:firstLine="560"/>
        <w:rPr>
          <w:rFonts w:hint="eastAsia"/>
          <w:color w:val="000000"/>
        </w:rPr>
        <w:sectPr>
          <w:footerReference r:id="rId7" w:type="default"/>
          <w:footerReference r:id="rId8" w:type="even"/>
          <w:type w:val="oddPage"/>
          <w:pgSz w:w="23814" w:h="16840" w:orient="landscape"/>
          <w:pgMar w:top="1819" w:right="1985" w:bottom="1843" w:left="1985" w:header="851" w:footer="693" w:gutter="0"/>
          <w:pgNumType w:fmt="decimal" w:start="1"/>
          <w:cols w:space="840" w:num="2"/>
          <w:docGrid w:type="lines" w:linePitch="312" w:charSpace="0"/>
        </w:sectPr>
      </w:pPr>
      <w:r>
        <w:rPr>
          <w:color w:val="000000"/>
        </w:rPr>
        <w:fldChar w:fldCharType="end"/>
      </w:r>
    </w:p>
    <w:bookmarkEnd w:id="0"/>
    <w:bookmarkEnd w:id="1"/>
    <w:bookmarkEnd w:id="2"/>
    <w:p w14:paraId="37FE5103">
      <w:pPr>
        <w:pStyle w:val="2"/>
        <w:spacing w:before="240" w:after="240" w:line="360" w:lineRule="auto"/>
        <w:rPr>
          <w:rFonts w:ascii="华文中宋" w:hAnsi="华文中宋" w:eastAsia="华文中宋"/>
          <w:color w:val="000000"/>
        </w:rPr>
      </w:pPr>
      <w:bookmarkStart w:id="3" w:name="_Toc10113"/>
      <w:bookmarkStart w:id="4" w:name="_Toc80581958"/>
      <w:bookmarkStart w:id="5" w:name="_Toc80607895"/>
      <w:bookmarkStart w:id="6" w:name="_Toc80607438"/>
      <w:r>
        <w:rPr>
          <w:rFonts w:hint="eastAsia" w:ascii="华文中宋" w:hAnsi="华文中宋" w:eastAsia="华文中宋"/>
          <w:color w:val="000000"/>
        </w:rPr>
        <w:t>第一章 总则</w:t>
      </w:r>
      <w:bookmarkEnd w:id="3"/>
    </w:p>
    <w:p w14:paraId="77E12E9D">
      <w:pPr>
        <w:pStyle w:val="4"/>
        <w:numPr>
          <w:ilvl w:val="0"/>
          <w:numId w:val="1"/>
        </w:numPr>
        <w:spacing w:before="0" w:after="48" w:afterLines="20" w:line="288" w:lineRule="auto"/>
        <w:rPr>
          <w:rFonts w:hint="eastAsia" w:ascii="微软雅黑" w:hAnsi="微软雅黑" w:eastAsia="微软雅黑"/>
          <w:color w:val="000000"/>
        </w:rPr>
      </w:pPr>
      <w:bookmarkStart w:id="7" w:name="_Toc29794"/>
      <w:r>
        <w:rPr>
          <w:rFonts w:hint="eastAsia" w:ascii="微软雅黑" w:hAnsi="微软雅黑" w:eastAsia="微软雅黑"/>
          <w:color w:val="000000"/>
        </w:rPr>
        <w:t>规划目的</w:t>
      </w:r>
      <w:bookmarkEnd w:id="7"/>
    </w:p>
    <w:p w14:paraId="17ACC224">
      <w:pPr>
        <w:snapToGrid w:val="0"/>
        <w:spacing w:after="120" w:afterLines="50" w:line="300" w:lineRule="auto"/>
        <w:ind w:firstLine="482"/>
        <w:rPr>
          <w:rFonts w:hint="eastAsia" w:ascii="幼圆" w:hAnsi="宋体" w:eastAsia="幼圆"/>
          <w:color w:val="000000"/>
          <w:sz w:val="24"/>
        </w:rPr>
      </w:pPr>
      <w:r>
        <w:rPr>
          <w:rFonts w:hint="eastAsia" w:ascii="幼圆" w:hAnsi="宋体" w:eastAsia="幼圆"/>
          <w:color w:val="000000"/>
          <w:sz w:val="24"/>
        </w:rPr>
        <w:t>切合汕尾市</w:t>
      </w:r>
      <w:r>
        <w:rPr>
          <w:rFonts w:hint="eastAsia" w:ascii="幼圆" w:hAnsi="宋体" w:eastAsia="幼圆" w:cs="Times New Roman"/>
          <w:color w:val="000000"/>
          <w:sz w:val="24"/>
        </w:rPr>
        <w:t>建设</w:t>
      </w:r>
      <w:r>
        <w:rPr>
          <w:rFonts w:hint="eastAsia" w:ascii="幼圆" w:hAnsi="宋体" w:eastAsia="幼圆" w:cs="Times New Roman"/>
          <w:color w:val="000000"/>
          <w:sz w:val="24"/>
          <w:lang w:val="en-US" w:eastAsia="zh-CN"/>
        </w:rPr>
        <w:t>成为</w:t>
      </w:r>
      <w:r>
        <w:rPr>
          <w:rFonts w:hint="eastAsia" w:ascii="幼圆" w:hAnsi="宋体" w:eastAsia="幼圆" w:cs="Times New Roman"/>
          <w:color w:val="000000"/>
          <w:sz w:val="24"/>
        </w:rPr>
        <w:t>沿海经济带靓丽明珠和现代化滨海城市的发展</w:t>
      </w:r>
      <w:r>
        <w:rPr>
          <w:rFonts w:hint="eastAsia" w:ascii="幼圆" w:hAnsi="宋体" w:eastAsia="幼圆"/>
          <w:color w:val="000000"/>
          <w:sz w:val="24"/>
        </w:rPr>
        <w:t>需求，以《城市商业网点规划编制规范</w:t>
      </w:r>
      <w:r>
        <w:rPr>
          <w:rFonts w:hint="eastAsia" w:ascii="幼圆" w:hAnsi="宋体" w:eastAsia="幼圆"/>
          <w:color w:val="000000"/>
          <w:sz w:val="24"/>
          <w:lang w:eastAsia="zh-CN"/>
        </w:rPr>
        <w:t>》《</w:t>
      </w:r>
      <w:r>
        <w:rPr>
          <w:rFonts w:hint="eastAsia" w:ascii="幼圆" w:hAnsi="宋体" w:eastAsia="幼圆"/>
          <w:color w:val="000000"/>
          <w:sz w:val="24"/>
        </w:rPr>
        <w:t>汕尾市国土空间总体规划（2021-2035年）》为指引，编制本规划，加快推进汕尾市现代商贸物流产业发展，进一步优化城市功能结构，提升城市现代商业的综合服务能力。</w:t>
      </w:r>
    </w:p>
    <w:p w14:paraId="36EE369F">
      <w:pPr>
        <w:pStyle w:val="4"/>
        <w:numPr>
          <w:ilvl w:val="0"/>
          <w:numId w:val="1"/>
        </w:numPr>
        <w:spacing w:before="0" w:after="48" w:afterLines="20" w:line="288" w:lineRule="auto"/>
        <w:rPr>
          <w:rFonts w:hint="eastAsia" w:ascii="微软雅黑" w:hAnsi="微软雅黑" w:eastAsia="微软雅黑"/>
          <w:color w:val="000000"/>
        </w:rPr>
      </w:pPr>
      <w:bookmarkStart w:id="8" w:name="_Toc31062"/>
      <w:r>
        <w:rPr>
          <w:rFonts w:hint="eastAsia" w:ascii="微软雅黑" w:hAnsi="微软雅黑" w:eastAsia="微软雅黑"/>
          <w:color w:val="000000"/>
        </w:rPr>
        <w:t>规划范围</w:t>
      </w:r>
      <w:bookmarkEnd w:id="8"/>
    </w:p>
    <w:p w14:paraId="317EBE05">
      <w:pPr>
        <w:snapToGrid w:val="0"/>
        <w:spacing w:after="120" w:afterLines="50" w:line="300" w:lineRule="auto"/>
        <w:ind w:firstLine="482"/>
        <w:rPr>
          <w:rFonts w:hint="eastAsia" w:ascii="幼圆" w:hAnsi="宋体" w:eastAsia="幼圆"/>
          <w:color w:val="000000"/>
          <w:sz w:val="24"/>
        </w:rPr>
      </w:pPr>
      <w:r>
        <w:rPr>
          <w:rFonts w:hint="eastAsia" w:ascii="幼圆" w:hAnsi="宋体" w:eastAsia="幼圆"/>
          <w:color w:val="000000"/>
          <w:sz w:val="24"/>
        </w:rPr>
        <w:t>本次规划范围为汕尾市行政辖区内除深汕特别合作区外的全部陆域国土空间，陆域面积4396.26平方公里。其中：对中心城区（包括城区与红海湾经济开发区，总面积397.60平方公里）的商业网点进行深入规划；对市域其他地区的商业网点进行指引性规划。</w:t>
      </w:r>
    </w:p>
    <w:p w14:paraId="4C4E2782">
      <w:pPr>
        <w:pStyle w:val="4"/>
        <w:numPr>
          <w:ilvl w:val="0"/>
          <w:numId w:val="1"/>
        </w:numPr>
        <w:spacing w:before="0" w:after="48" w:afterLines="20" w:line="288" w:lineRule="auto"/>
        <w:rPr>
          <w:rFonts w:hint="eastAsia" w:ascii="微软雅黑" w:hAnsi="微软雅黑" w:eastAsia="微软雅黑"/>
          <w:color w:val="000000"/>
        </w:rPr>
      </w:pPr>
      <w:bookmarkStart w:id="9" w:name="_Toc12645"/>
      <w:r>
        <w:rPr>
          <w:rFonts w:hint="eastAsia" w:ascii="微软雅黑" w:hAnsi="微软雅黑" w:eastAsia="微软雅黑"/>
          <w:color w:val="000000"/>
        </w:rPr>
        <w:t>规划期限</w:t>
      </w:r>
      <w:bookmarkEnd w:id="9"/>
    </w:p>
    <w:p w14:paraId="699434F7">
      <w:pPr>
        <w:snapToGrid w:val="0"/>
        <w:spacing w:after="120" w:afterLines="50" w:line="300" w:lineRule="auto"/>
        <w:ind w:firstLine="482"/>
        <w:rPr>
          <w:rFonts w:hint="eastAsia" w:ascii="幼圆" w:eastAsia="幼圆"/>
          <w:color w:val="000000"/>
          <w:sz w:val="24"/>
        </w:rPr>
      </w:pPr>
      <w:r>
        <w:rPr>
          <w:rFonts w:hint="eastAsia" w:ascii="幼圆" w:eastAsia="幼圆"/>
          <w:color w:val="000000"/>
          <w:sz w:val="24"/>
        </w:rPr>
        <w:t>规划年限为202</w:t>
      </w:r>
      <w:r>
        <w:rPr>
          <w:rFonts w:hint="eastAsia" w:ascii="幼圆" w:eastAsia="幼圆"/>
          <w:color w:val="000000"/>
          <w:sz w:val="24"/>
          <w:lang w:val="en-US" w:eastAsia="zh-CN"/>
        </w:rPr>
        <w:t>5</w:t>
      </w:r>
      <w:r>
        <w:rPr>
          <w:rFonts w:hint="eastAsia" w:ascii="幼圆" w:eastAsia="幼圆"/>
          <w:color w:val="000000"/>
          <w:sz w:val="24"/>
        </w:rPr>
        <w:t>-2035年，基期年为202</w:t>
      </w:r>
      <w:r>
        <w:rPr>
          <w:rFonts w:hint="eastAsia" w:ascii="幼圆" w:eastAsia="幼圆"/>
          <w:color w:val="000000"/>
          <w:sz w:val="24"/>
          <w:lang w:val="en-US" w:eastAsia="zh-CN"/>
        </w:rPr>
        <w:t>4</w:t>
      </w:r>
      <w:r>
        <w:rPr>
          <w:rFonts w:hint="eastAsia" w:ascii="幼圆" w:eastAsia="幼圆"/>
          <w:color w:val="000000"/>
          <w:sz w:val="24"/>
        </w:rPr>
        <w:t>年，规划近期目标年2027年，规划目标年2035年。</w:t>
      </w:r>
    </w:p>
    <w:p w14:paraId="5455B4DA">
      <w:pPr>
        <w:pStyle w:val="4"/>
        <w:numPr>
          <w:ilvl w:val="0"/>
          <w:numId w:val="1"/>
        </w:numPr>
        <w:spacing w:before="0" w:after="48" w:afterLines="20" w:line="288" w:lineRule="auto"/>
        <w:rPr>
          <w:rFonts w:hint="eastAsia" w:ascii="微软雅黑" w:hAnsi="微软雅黑" w:eastAsia="微软雅黑"/>
          <w:color w:val="000000"/>
        </w:rPr>
      </w:pPr>
      <w:bookmarkStart w:id="10" w:name="_Toc22373"/>
      <w:r>
        <w:rPr>
          <w:rFonts w:hint="eastAsia" w:ascii="微软雅黑" w:hAnsi="微软雅黑" w:eastAsia="微软雅黑"/>
          <w:color w:val="000000"/>
        </w:rPr>
        <w:t>规划依据</w:t>
      </w:r>
      <w:bookmarkEnd w:id="10"/>
    </w:p>
    <w:p w14:paraId="0AA9223F">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《中华人民共和国城乡规划法》（2019年修编）</w:t>
      </w:r>
    </w:p>
    <w:p w14:paraId="65ACA9D8">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《中华人民共和国土地管理法》（2019年修编）</w:t>
      </w:r>
    </w:p>
    <w:p w14:paraId="4EC1DAFE">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《国务院办公厅关于加快发展流通促进商业消费的意见》（国办发〔2019〕42号）</w:t>
      </w:r>
    </w:p>
    <w:p w14:paraId="21BA5B6F">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《关于以新业态新模式引领新型消费加快发展的意见》（国办发〔2020〕32号）</w:t>
      </w:r>
    </w:p>
    <w:p w14:paraId="644F5603">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《关于完善现代商贸流通体系推动批发零售业高质量发展的行动计划》</w:t>
      </w:r>
    </w:p>
    <w:p w14:paraId="4BB3C606">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《提振消费专项行动方案》</w:t>
      </w:r>
    </w:p>
    <w:p w14:paraId="47791C30">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《广东省人民政府办公厅关于印发广东省扩大内需战略实施方案的通知》（粤府办〔2023〕14号）</w:t>
      </w:r>
    </w:p>
    <w:p w14:paraId="2689F04E">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广东省人民政府关于印发《广东省促进服务消费高质量发展若干措施》的通知（粤府函〔2025〕16号）</w:t>
      </w:r>
    </w:p>
    <w:p w14:paraId="3177B2A9">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《广东省商务厅等17部门关于加强县域商业体系建设 促进农村消费的实施意见》（粤商务建字〔2022〕18号）</w:t>
      </w:r>
    </w:p>
    <w:p w14:paraId="6DB716B6">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《广东省商务厅等8部门关于印发广东省加快建设农村物流服务体系工作方案的通知》（粤商务建字〔2021〕2号）</w:t>
      </w:r>
    </w:p>
    <w:p w14:paraId="5A9F9A30">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《广东省商务厅 广东省住房和城乡建设厅等18部门关于推进城乡一刻钟便民生活圈建设 加快品牌连锁便利店发展的实施意见》（粤商务建字〔2022〕14号）</w:t>
      </w:r>
    </w:p>
    <w:p w14:paraId="7F6D1E2D">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《城市商业网点规划编制规范》（商建发〔2004〕180号）</w:t>
      </w:r>
    </w:p>
    <w:p w14:paraId="7A543D0D">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《零售业态分类》（GB/T 18106-2021）</w:t>
      </w:r>
    </w:p>
    <w:p w14:paraId="54EEE2D4">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《商业街管理技术规范》（SB/T10517-2009）</w:t>
      </w:r>
    </w:p>
    <w:p w14:paraId="2A279C79">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《商业网点分类标准》（GB/T34401-2017）</w:t>
      </w:r>
    </w:p>
    <w:p w14:paraId="719D1D33">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《中华人民共和国国内贸易行业标准-特色商业街评价指南》（SB/T11011-2013）</w:t>
      </w:r>
    </w:p>
    <w:p w14:paraId="660CB675">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《商业网点规划术语》（GB/T34433-2017）</w:t>
      </w:r>
    </w:p>
    <w:p w14:paraId="647D0A08">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《“十四五”商务发展规划》</w:t>
      </w:r>
    </w:p>
    <w:p w14:paraId="22A877C7">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《“十四五”国内贸易发展规划》</w:t>
      </w:r>
    </w:p>
    <w:p w14:paraId="66196B68">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《“十四五”对外贸易高质量发展规划》</w:t>
      </w:r>
    </w:p>
    <w:p w14:paraId="2EC35260">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《“十四五”电子商务发展规划》</w:t>
      </w:r>
    </w:p>
    <w:p w14:paraId="7AD141ED">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《县域商业三年行动计划（2023-2025年）》</w:t>
      </w:r>
    </w:p>
    <w:p w14:paraId="2BA1BC19">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《广东省商务发展“十四五”规划》</w:t>
      </w:r>
    </w:p>
    <w:p w14:paraId="2F28D29D">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《汕尾市国土空间总体规划（2021-2035年）》</w:t>
      </w:r>
    </w:p>
    <w:p w14:paraId="33B95EA8">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《汕尾市国民经济和社会发展第十四个五年规划和二〇三五年远景目标纲要》</w:t>
      </w:r>
    </w:p>
    <w:p w14:paraId="666BE807">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《汕尾市商务发展第十四个五年规划》</w:t>
      </w:r>
    </w:p>
    <w:p w14:paraId="761BFF04">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《汕尾市物流专项规划（2021-2035年）》</w:t>
      </w:r>
    </w:p>
    <w:p w14:paraId="4D2DB567">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汕尾其他已编园区、港口等相关规划</w:t>
      </w:r>
    </w:p>
    <w:p w14:paraId="5D47E222">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汕尾市已</w:t>
      </w:r>
      <w:r>
        <w:rPr>
          <w:rFonts w:hint="eastAsia" w:ascii="幼圆" w:hAnsi="宋体" w:eastAsia="幼圆" w:cs="Times New Roman"/>
          <w:sz w:val="24"/>
          <w:lang w:eastAsia="zh-CN"/>
        </w:rPr>
        <w:t>编制</w:t>
      </w:r>
      <w:r>
        <w:rPr>
          <w:rFonts w:hint="eastAsia" w:ascii="幼圆" w:hAnsi="宋体" w:eastAsia="幼圆" w:cs="Times New Roman"/>
          <w:sz w:val="24"/>
        </w:rPr>
        <w:t>各片区控制性详细规划</w:t>
      </w:r>
    </w:p>
    <w:p w14:paraId="1F4B711A">
      <w:pPr>
        <w:numPr>
          <w:ilvl w:val="0"/>
          <w:numId w:val="2"/>
        </w:numPr>
        <w:spacing w:after="120" w:afterLines="50"/>
        <w:rPr>
          <w:rFonts w:hint="eastAsia" w:ascii="幼圆" w:hAnsi="宋体" w:eastAsia="幼圆" w:cs="Times New Roman"/>
          <w:sz w:val="24"/>
        </w:rPr>
      </w:pPr>
      <w:r>
        <w:rPr>
          <w:rFonts w:hint="eastAsia" w:ascii="幼圆" w:hAnsi="宋体" w:eastAsia="幼圆" w:cs="Times New Roman"/>
          <w:sz w:val="24"/>
        </w:rPr>
        <w:t>其他有关法规、规范、标准与政策</w:t>
      </w:r>
    </w:p>
    <w:p w14:paraId="4FE4D049">
      <w:pPr>
        <w:pStyle w:val="4"/>
        <w:numPr>
          <w:ilvl w:val="0"/>
          <w:numId w:val="1"/>
        </w:numPr>
        <w:spacing w:before="0" w:after="48" w:afterLines="20" w:line="288" w:lineRule="auto"/>
        <w:rPr>
          <w:rFonts w:hint="eastAsia" w:ascii="微软雅黑" w:hAnsi="微软雅黑" w:eastAsia="微软雅黑"/>
          <w:color w:val="000000"/>
        </w:rPr>
      </w:pPr>
      <w:bookmarkStart w:id="11" w:name="_Toc21008"/>
      <w:r>
        <w:rPr>
          <w:rFonts w:hint="eastAsia" w:ascii="微软雅黑" w:hAnsi="微软雅黑" w:eastAsia="微软雅黑"/>
          <w:color w:val="000000"/>
        </w:rPr>
        <w:t>规划原则</w:t>
      </w:r>
      <w:bookmarkEnd w:id="11"/>
    </w:p>
    <w:p w14:paraId="3FD5C4E4">
      <w:pPr>
        <w:numPr>
          <w:ilvl w:val="0"/>
          <w:numId w:val="3"/>
        </w:numPr>
        <w:spacing w:after="120" w:afterLines="50" w:line="300" w:lineRule="auto"/>
        <w:ind w:left="902"/>
        <w:rPr>
          <w:rFonts w:hint="eastAsia" w:ascii="幼圆" w:hAnsi="宋体" w:eastAsia="幼圆"/>
          <w:color w:val="000000"/>
          <w:sz w:val="24"/>
        </w:rPr>
      </w:pPr>
      <w:bookmarkStart w:id="12" w:name="_Toc345420050"/>
      <w:bookmarkStart w:id="13" w:name="_Toc389580527"/>
      <w:bookmarkStart w:id="14" w:name="_Toc514939789"/>
      <w:bookmarkStart w:id="15" w:name="_Toc498090119"/>
      <w:bookmarkStart w:id="16" w:name="_Toc345420052"/>
      <w:bookmarkStart w:id="17" w:name="_Toc342318081"/>
      <w:bookmarkStart w:id="18" w:name="_Toc341174482"/>
      <w:r>
        <w:rPr>
          <w:rFonts w:hint="eastAsia" w:ascii="幼圆" w:hAnsi="宋体" w:eastAsia="幼圆"/>
          <w:color w:val="000000"/>
          <w:sz w:val="24"/>
        </w:rPr>
        <w:t>科学规划，合理定位，</w:t>
      </w:r>
      <w:bookmarkEnd w:id="12"/>
      <w:r>
        <w:rPr>
          <w:rFonts w:hint="eastAsia" w:ascii="幼圆" w:hAnsi="宋体" w:eastAsia="幼圆"/>
          <w:color w:val="000000"/>
          <w:sz w:val="24"/>
        </w:rPr>
        <w:t>推动流通产业扩张</w:t>
      </w:r>
      <w:bookmarkEnd w:id="13"/>
      <w:bookmarkEnd w:id="14"/>
      <w:bookmarkEnd w:id="15"/>
      <w:r>
        <w:rPr>
          <w:rFonts w:hint="eastAsia" w:ascii="幼圆" w:hAnsi="宋体" w:eastAsia="幼圆"/>
          <w:color w:val="000000"/>
          <w:sz w:val="24"/>
        </w:rPr>
        <w:t>。</w:t>
      </w:r>
      <w:r>
        <w:rPr>
          <w:rFonts w:ascii="幼圆" w:eastAsia="幼圆"/>
          <w:sz w:val="24"/>
        </w:rPr>
        <w:t>贯彻落实科学发展观</w:t>
      </w:r>
      <w:r>
        <w:rPr>
          <w:rFonts w:hint="eastAsia" w:ascii="幼圆" w:eastAsia="幼圆"/>
          <w:sz w:val="24"/>
        </w:rPr>
        <w:t>，综合分析汕尾市的商贸发展基础和环境机遇，明确商贸</w:t>
      </w:r>
      <w:r>
        <w:rPr>
          <w:rFonts w:ascii="幼圆" w:eastAsia="幼圆"/>
          <w:sz w:val="24"/>
        </w:rPr>
        <w:t>产业</w:t>
      </w:r>
      <w:r>
        <w:rPr>
          <w:rFonts w:hint="eastAsia" w:ascii="幼圆" w:eastAsia="幼圆"/>
          <w:sz w:val="24"/>
        </w:rPr>
        <w:t>的发展</w:t>
      </w:r>
      <w:r>
        <w:rPr>
          <w:rFonts w:ascii="幼圆" w:eastAsia="幼圆"/>
          <w:sz w:val="24"/>
        </w:rPr>
        <w:t>目标和区域功能定位</w:t>
      </w:r>
      <w:r>
        <w:rPr>
          <w:rFonts w:hint="eastAsia" w:ascii="幼圆" w:eastAsia="幼圆"/>
          <w:sz w:val="24"/>
        </w:rPr>
        <w:t>，</w:t>
      </w:r>
      <w:r>
        <w:rPr>
          <w:rFonts w:ascii="幼圆" w:eastAsia="幼圆"/>
          <w:sz w:val="24"/>
        </w:rPr>
        <w:t>着力构建结构合理、功能齐全、竞争有序的现代商贸流通组织体系</w:t>
      </w:r>
      <w:r>
        <w:rPr>
          <w:rFonts w:hint="eastAsia" w:ascii="幼圆" w:eastAsia="幼圆"/>
          <w:sz w:val="24"/>
        </w:rPr>
        <w:t>，推动汕尾市商贸产业扩张。</w:t>
      </w:r>
    </w:p>
    <w:p w14:paraId="2C17C8C4">
      <w:pPr>
        <w:numPr>
          <w:ilvl w:val="0"/>
          <w:numId w:val="3"/>
        </w:numPr>
        <w:spacing w:after="120" w:afterLines="50" w:line="300" w:lineRule="auto"/>
        <w:ind w:left="902"/>
        <w:rPr>
          <w:rFonts w:hint="eastAsia" w:ascii="幼圆" w:hAnsi="宋体" w:eastAsia="幼圆"/>
          <w:color w:val="000000"/>
          <w:sz w:val="24"/>
        </w:rPr>
      </w:pPr>
      <w:bookmarkStart w:id="19" w:name="_Toc514939790"/>
      <w:bookmarkStart w:id="20" w:name="_Toc498090120"/>
      <w:bookmarkStart w:id="21" w:name="_Toc389580528"/>
      <w:r>
        <w:rPr>
          <w:rFonts w:hint="eastAsia" w:ascii="幼圆" w:hAnsi="宋体" w:eastAsia="幼圆"/>
          <w:color w:val="000000"/>
          <w:sz w:val="24"/>
        </w:rPr>
        <w:t>聚焦重点，兼顾一般，突出商贸流通发展</w:t>
      </w:r>
      <w:bookmarkEnd w:id="16"/>
      <w:bookmarkEnd w:id="17"/>
      <w:bookmarkEnd w:id="18"/>
      <w:bookmarkEnd w:id="19"/>
      <w:bookmarkEnd w:id="20"/>
      <w:bookmarkEnd w:id="21"/>
      <w:r>
        <w:rPr>
          <w:rFonts w:hint="eastAsia" w:ascii="幼圆" w:hAnsi="宋体" w:eastAsia="幼圆"/>
          <w:color w:val="000000"/>
          <w:sz w:val="24"/>
        </w:rPr>
        <w:t>。落实国家、省发展城市商业、社区商业及住宿业、餐饮业等各专项商贸流通业的政策要求，布局形成城市综合流通网点体系。同时，切合汕尾市的城市综合发展战略目标，突出支撑汕尾融珠战略发展布局，并以此作为组构汕尾市城市商贸流通网点体系的核心节点。</w:t>
      </w:r>
    </w:p>
    <w:p w14:paraId="0C55642B">
      <w:pPr>
        <w:numPr>
          <w:ilvl w:val="0"/>
          <w:numId w:val="3"/>
        </w:numPr>
        <w:spacing w:after="120" w:afterLines="50" w:line="300" w:lineRule="auto"/>
        <w:ind w:left="902"/>
        <w:rPr>
          <w:rFonts w:hint="eastAsia" w:ascii="幼圆" w:hAnsi="宋体" w:eastAsia="幼圆"/>
          <w:color w:val="000000"/>
          <w:sz w:val="24"/>
        </w:rPr>
      </w:pPr>
      <w:bookmarkStart w:id="22" w:name="_Toc345420049"/>
      <w:bookmarkStart w:id="23" w:name="_Toc389580529"/>
      <w:bookmarkStart w:id="24" w:name="_Toc498090121"/>
      <w:bookmarkStart w:id="25" w:name="_Toc514939791"/>
      <w:r>
        <w:rPr>
          <w:rFonts w:hint="eastAsia" w:ascii="幼圆" w:hAnsi="宋体" w:eastAsia="幼圆"/>
          <w:color w:val="000000"/>
          <w:sz w:val="24"/>
        </w:rPr>
        <w:t>以人为本，适度超前，</w:t>
      </w:r>
      <w:bookmarkEnd w:id="22"/>
      <w:r>
        <w:rPr>
          <w:rFonts w:hint="eastAsia" w:ascii="幼圆" w:hAnsi="宋体" w:eastAsia="幼圆"/>
          <w:color w:val="000000"/>
          <w:sz w:val="24"/>
        </w:rPr>
        <w:t>保障商贸供需平衡</w:t>
      </w:r>
      <w:bookmarkEnd w:id="23"/>
      <w:bookmarkEnd w:id="24"/>
      <w:bookmarkEnd w:id="25"/>
      <w:r>
        <w:rPr>
          <w:rFonts w:hint="eastAsia" w:ascii="幼圆" w:hAnsi="宋体" w:eastAsia="幼圆"/>
          <w:color w:val="000000"/>
          <w:sz w:val="24"/>
        </w:rPr>
        <w:t>。</w:t>
      </w:r>
      <w:r>
        <w:rPr>
          <w:rFonts w:hint="eastAsia" w:ascii="幼圆" w:eastAsia="幼圆"/>
          <w:sz w:val="24"/>
        </w:rPr>
        <w:t>将便捷居民日常生活购物作为一个重要规划目标，健全城市社区商业网点配置标准和配置要求，构建便捷、齐全、均衡的社区商业服务网络，同时尊重商业发展的市场规律，以详实的现状调研和区域分析为基础，科学预测未来的商业需求规模和供给规模，从不同空间范围尺度的商业发展规模供给与需求平衡视角出发，建立空间布局平衡有序的商业网点体系。</w:t>
      </w:r>
    </w:p>
    <w:p w14:paraId="70893037">
      <w:pPr>
        <w:numPr>
          <w:ilvl w:val="0"/>
          <w:numId w:val="3"/>
        </w:numPr>
        <w:spacing w:after="120" w:afterLines="50" w:line="300" w:lineRule="auto"/>
        <w:ind w:left="902"/>
        <w:rPr>
          <w:rFonts w:hint="eastAsia" w:ascii="幼圆" w:hAnsi="宋体" w:eastAsia="幼圆"/>
          <w:color w:val="000000"/>
          <w:sz w:val="24"/>
        </w:rPr>
      </w:pPr>
      <w:bookmarkStart w:id="26" w:name="_Toc498090122"/>
      <w:bookmarkStart w:id="27" w:name="_Toc514939792"/>
      <w:bookmarkStart w:id="28" w:name="_Toc389580530"/>
      <w:r>
        <w:rPr>
          <w:rFonts w:hint="eastAsia" w:ascii="幼圆" w:hAnsi="宋体" w:eastAsia="幼圆"/>
          <w:color w:val="000000"/>
          <w:sz w:val="24"/>
        </w:rPr>
        <w:t>以产育商，以商促产，</w:t>
      </w:r>
      <w:r>
        <w:rPr>
          <w:rFonts w:hint="eastAsia" w:ascii="幼圆" w:hAnsi="宋体" w:eastAsia="幼圆"/>
          <w:color w:val="000000"/>
          <w:sz w:val="24"/>
          <w:lang w:eastAsia="zh-CN"/>
        </w:rPr>
        <w:t>构建</w:t>
      </w:r>
      <w:r>
        <w:rPr>
          <w:rFonts w:hint="eastAsia" w:ascii="幼圆" w:hAnsi="宋体" w:eastAsia="幼圆"/>
          <w:color w:val="000000"/>
          <w:sz w:val="24"/>
        </w:rPr>
        <w:t>商产联动格局</w:t>
      </w:r>
      <w:bookmarkEnd w:id="26"/>
      <w:bookmarkEnd w:id="27"/>
      <w:bookmarkEnd w:id="28"/>
      <w:r>
        <w:rPr>
          <w:rFonts w:hint="eastAsia" w:ascii="幼圆" w:hAnsi="宋体" w:eastAsia="幼圆"/>
          <w:color w:val="000000"/>
          <w:sz w:val="24"/>
        </w:rPr>
        <w:t>。</w:t>
      </w:r>
      <w:r>
        <w:rPr>
          <w:rFonts w:hint="eastAsia" w:ascii="幼圆" w:eastAsia="幼圆"/>
          <w:sz w:val="24"/>
        </w:rPr>
        <w:t>发挥商贸流通的服务业本性，切合汕尾以信息技术、生物医药、新材料、节能环保等战略</w:t>
      </w:r>
      <w:r>
        <w:rPr>
          <w:rFonts w:hint="eastAsia" w:ascii="幼圆" w:eastAsia="幼圆"/>
          <w:sz w:val="24"/>
          <w:lang w:val="en-US" w:eastAsia="zh-CN"/>
        </w:rPr>
        <w:t>性</w:t>
      </w:r>
      <w:r>
        <w:rPr>
          <w:rFonts w:hint="eastAsia" w:ascii="幼圆" w:eastAsia="幼圆"/>
          <w:sz w:val="24"/>
        </w:rPr>
        <w:t>新兴产业为主导以及现代物流、金融、信息等服务业的产业发展要求，按照供应链一体化整合的要求，布局打造一批支撑特色产业发展的特色商业网点，通过建立与一、二产业相协调的现代商贸服务业，商产联动，促进汕尾市的产业发展活力。</w:t>
      </w:r>
    </w:p>
    <w:p w14:paraId="292D8F0A">
      <w:pPr>
        <w:numPr>
          <w:ilvl w:val="0"/>
          <w:numId w:val="3"/>
        </w:numPr>
        <w:spacing w:after="120" w:afterLines="50" w:line="300" w:lineRule="auto"/>
        <w:ind w:left="902"/>
        <w:rPr>
          <w:rFonts w:hint="eastAsia" w:ascii="幼圆" w:hAnsi="宋体" w:eastAsia="幼圆"/>
          <w:color w:val="000000"/>
          <w:sz w:val="24"/>
        </w:rPr>
      </w:pPr>
      <w:bookmarkStart w:id="29" w:name="_Toc345420053"/>
      <w:bookmarkStart w:id="30" w:name="_Toc514939793"/>
      <w:bookmarkStart w:id="31" w:name="_Toc498090123"/>
      <w:bookmarkStart w:id="32" w:name="_Toc389580531"/>
      <w:r>
        <w:rPr>
          <w:rFonts w:hint="eastAsia" w:ascii="幼圆" w:hAnsi="宋体" w:eastAsia="幼圆"/>
          <w:color w:val="000000"/>
          <w:sz w:val="24"/>
        </w:rPr>
        <w:t>立足市域，着眼城区，统筹城乡流通</w:t>
      </w:r>
      <w:bookmarkEnd w:id="29"/>
      <w:r>
        <w:rPr>
          <w:rFonts w:hint="eastAsia" w:ascii="幼圆" w:hAnsi="宋体" w:eastAsia="幼圆"/>
          <w:color w:val="000000"/>
          <w:sz w:val="24"/>
        </w:rPr>
        <w:t>网络</w:t>
      </w:r>
      <w:bookmarkEnd w:id="30"/>
      <w:bookmarkEnd w:id="31"/>
      <w:bookmarkEnd w:id="32"/>
      <w:r>
        <w:rPr>
          <w:rFonts w:hint="eastAsia" w:ascii="幼圆" w:hAnsi="宋体" w:eastAsia="幼圆"/>
          <w:color w:val="000000"/>
          <w:sz w:val="24"/>
        </w:rPr>
        <w:t>。</w:t>
      </w:r>
      <w:r>
        <w:rPr>
          <w:rFonts w:hint="eastAsia" w:ascii="幼圆" w:eastAsia="幼圆"/>
          <w:sz w:val="24"/>
        </w:rPr>
        <w:t>发挥中心城区的市场平台和物流设施优势，重点部署区域服务型商贸流通网点，同时贯彻城乡统筹战略，以城带乡，</w:t>
      </w:r>
      <w:r>
        <w:rPr>
          <w:rFonts w:ascii="幼圆" w:eastAsia="幼圆"/>
          <w:sz w:val="24"/>
        </w:rPr>
        <w:t>大力实施</w:t>
      </w:r>
      <w:r>
        <w:rPr>
          <w:rFonts w:hint="eastAsia" w:ascii="幼圆" w:eastAsia="幼圆"/>
          <w:sz w:val="24"/>
          <w:lang w:eastAsia="zh-CN"/>
        </w:rPr>
        <w:t>“百千万工程”</w:t>
      </w:r>
      <w:r>
        <w:rPr>
          <w:rFonts w:ascii="幼圆" w:eastAsia="幼圆"/>
          <w:sz w:val="24"/>
        </w:rPr>
        <w:t>，积极构筑</w:t>
      </w:r>
      <w:r>
        <w:rPr>
          <w:rFonts w:hint="eastAsia" w:ascii="幼圆" w:eastAsia="幼圆"/>
          <w:sz w:val="24"/>
        </w:rPr>
        <w:t>城乡</w:t>
      </w:r>
      <w:r>
        <w:rPr>
          <w:rFonts w:ascii="幼圆" w:eastAsia="幼圆"/>
          <w:sz w:val="24"/>
        </w:rPr>
        <w:t>连锁超市、</w:t>
      </w:r>
      <w:r>
        <w:rPr>
          <w:rFonts w:hint="eastAsia" w:ascii="幼圆" w:eastAsia="幼圆"/>
          <w:sz w:val="24"/>
        </w:rPr>
        <w:t>农家店、</w:t>
      </w:r>
      <w:r>
        <w:rPr>
          <w:rFonts w:ascii="幼圆" w:eastAsia="幼圆"/>
          <w:sz w:val="24"/>
        </w:rPr>
        <w:t>农资连锁配送</w:t>
      </w:r>
      <w:r>
        <w:rPr>
          <w:rFonts w:hint="eastAsia" w:ascii="幼圆" w:eastAsia="幼圆"/>
          <w:sz w:val="24"/>
        </w:rPr>
        <w:t>点等</w:t>
      </w:r>
      <w:r>
        <w:rPr>
          <w:rFonts w:ascii="幼圆" w:eastAsia="幼圆"/>
          <w:sz w:val="24"/>
        </w:rPr>
        <w:t>镇村服务网络，</w:t>
      </w:r>
      <w:r>
        <w:rPr>
          <w:rFonts w:hint="eastAsia" w:ascii="幼圆" w:eastAsia="幼圆"/>
          <w:sz w:val="24"/>
        </w:rPr>
        <w:t>构建城乡商贸流通网络体系。</w:t>
      </w:r>
    </w:p>
    <w:p w14:paraId="3CA47576">
      <w:pPr>
        <w:numPr>
          <w:ilvl w:val="0"/>
          <w:numId w:val="3"/>
        </w:numPr>
        <w:spacing w:after="120" w:afterLines="50" w:line="300" w:lineRule="auto"/>
        <w:ind w:left="902"/>
        <w:rPr>
          <w:rFonts w:hint="eastAsia" w:ascii="幼圆" w:hAnsi="宋体" w:eastAsia="幼圆"/>
          <w:color w:val="000000"/>
          <w:sz w:val="24"/>
        </w:rPr>
      </w:pPr>
      <w:r>
        <w:rPr>
          <w:rFonts w:hint="eastAsia" w:ascii="幼圆" w:hAnsi="Times New Roman" w:eastAsia="幼圆" w:cs="Times New Roman"/>
          <w:sz w:val="24"/>
        </w:rPr>
        <w:t>衔接国空，指导详规，对接双层规划体系</w:t>
      </w:r>
      <w:r>
        <w:rPr>
          <w:rFonts w:hint="eastAsia" w:ascii="幼圆" w:hAnsi="Times New Roman" w:eastAsia="幼圆" w:cs="Times New Roman"/>
          <w:sz w:val="24"/>
          <w:lang w:eastAsia="zh-CN"/>
        </w:rPr>
        <w:t>。</w:t>
      </w:r>
      <w:r>
        <w:rPr>
          <w:rFonts w:hint="eastAsia" w:ascii="幼圆" w:hAnsi="Times New Roman" w:eastAsia="幼圆" w:cs="Times New Roman"/>
          <w:sz w:val="24"/>
        </w:rPr>
        <w:t>以汕尾市国土空间总体规划为主要规划依据，将本次规划作为国土空间总体规划指导下的专项规划，落实国土空间总体规划中有关商贸物流发展与规划的重</w:t>
      </w:r>
      <w:r>
        <w:rPr>
          <w:rFonts w:hint="eastAsia" w:ascii="幼圆" w:eastAsia="幼圆"/>
          <w:sz w:val="24"/>
        </w:rPr>
        <w:t>要内容，对其进行深化完善；同时，考虑专项规划对下层次详细规划的指导功能，强化专项规划中重要商贸流通产业网点的用地规模、经营规模、建造模式等指引内容，强化与下层次详细规划的衔接。</w:t>
      </w:r>
    </w:p>
    <w:p w14:paraId="24292776">
      <w:pPr>
        <w:pStyle w:val="4"/>
        <w:numPr>
          <w:ilvl w:val="0"/>
          <w:numId w:val="1"/>
        </w:numPr>
        <w:spacing w:before="0" w:after="48" w:afterLines="20" w:line="288" w:lineRule="auto"/>
        <w:rPr>
          <w:rFonts w:hint="eastAsia" w:ascii="微软雅黑" w:hAnsi="微软雅黑" w:eastAsia="微软雅黑"/>
          <w:color w:val="000000"/>
        </w:rPr>
      </w:pPr>
      <w:bookmarkStart w:id="33" w:name="_Toc22138"/>
      <w:r>
        <w:rPr>
          <w:rFonts w:hint="eastAsia" w:ascii="微软雅黑" w:hAnsi="微软雅黑" w:eastAsia="微软雅黑"/>
          <w:color w:val="000000"/>
        </w:rPr>
        <w:t>适用范围</w:t>
      </w:r>
      <w:bookmarkEnd w:id="33"/>
    </w:p>
    <w:p w14:paraId="00763EBE">
      <w:pPr>
        <w:numPr>
          <w:ilvl w:val="0"/>
          <w:numId w:val="4"/>
        </w:numPr>
        <w:spacing w:after="120" w:afterLines="50" w:line="300" w:lineRule="auto"/>
        <w:rPr>
          <w:rFonts w:ascii="幼圆" w:hAnsi="宋体" w:eastAsia="幼圆"/>
          <w:color w:val="000000"/>
          <w:sz w:val="24"/>
        </w:rPr>
      </w:pPr>
      <w:r>
        <w:rPr>
          <w:rFonts w:hint="eastAsia" w:ascii="幼圆" w:hAnsi="宋体" w:eastAsia="幼圆"/>
          <w:color w:val="000000"/>
          <w:sz w:val="24"/>
        </w:rPr>
        <w:t>本规划是指导汕尾市商业网点规划布局的总体部署文件。市直、县直相关行政主管部门应依据本规划，结合部门和地方行政管理职能，深化有关专项商业和商业节点规划布局的有关内容。</w:t>
      </w:r>
    </w:p>
    <w:p w14:paraId="4E9A2855">
      <w:pPr>
        <w:numPr>
          <w:ilvl w:val="0"/>
          <w:numId w:val="4"/>
        </w:numPr>
        <w:spacing w:after="120" w:afterLines="50" w:line="300" w:lineRule="auto"/>
        <w:rPr>
          <w:rFonts w:hint="eastAsia" w:ascii="幼圆" w:hAnsi="宋体" w:eastAsia="幼圆"/>
          <w:color w:val="000000"/>
          <w:sz w:val="24"/>
        </w:rPr>
      </w:pPr>
      <w:r>
        <w:rPr>
          <w:rFonts w:hint="eastAsia" w:ascii="幼圆" w:hAnsi="宋体" w:eastAsia="幼圆"/>
          <w:color w:val="000000"/>
          <w:sz w:val="24"/>
        </w:rPr>
        <w:t>规划区域内的各级、各类商业网点和商业功能区的空间布局应以本规划为指导，结合相关片区城市控制性详细规划的要求予以深化、实施。</w:t>
      </w:r>
    </w:p>
    <w:p w14:paraId="513B85DD">
      <w:pPr>
        <w:snapToGrid w:val="0"/>
        <w:spacing w:after="120" w:afterLines="50" w:line="360" w:lineRule="auto"/>
        <w:ind w:firstLine="482"/>
        <w:rPr>
          <w:rFonts w:hint="eastAsia" w:ascii="幼圆" w:eastAsia="幼圆"/>
          <w:color w:val="000000"/>
          <w:sz w:val="24"/>
        </w:rPr>
      </w:pPr>
    </w:p>
    <w:bookmarkEnd w:id="4"/>
    <w:bookmarkEnd w:id="5"/>
    <w:bookmarkEnd w:id="6"/>
    <w:p w14:paraId="3DE3F052">
      <w:pPr>
        <w:pStyle w:val="2"/>
        <w:spacing w:before="240" w:after="240" w:line="360" w:lineRule="auto"/>
        <w:rPr>
          <w:rFonts w:hint="eastAsia" w:ascii="华文中宋" w:hAnsi="华文中宋" w:eastAsia="华文中宋"/>
          <w:color w:val="000000"/>
        </w:rPr>
        <w:sectPr>
          <w:headerReference r:id="rId9" w:type="first"/>
          <w:footerReference r:id="rId10" w:type="first"/>
          <w:pgSz w:w="23814" w:h="16840" w:orient="landscape"/>
          <w:pgMar w:top="1985" w:right="1985" w:bottom="1985" w:left="1985" w:header="851" w:footer="992" w:gutter="0"/>
          <w:pgNumType w:fmt="decimal" w:start="1"/>
          <w:cols w:space="630" w:num="2"/>
          <w:docGrid w:linePitch="312" w:charSpace="0"/>
        </w:sectPr>
      </w:pPr>
    </w:p>
    <w:p w14:paraId="65B3EE23">
      <w:pPr>
        <w:pStyle w:val="2"/>
        <w:spacing w:before="240" w:after="240" w:line="360" w:lineRule="auto"/>
        <w:rPr>
          <w:rFonts w:hint="eastAsia" w:ascii="华文中宋" w:hAnsi="华文中宋" w:eastAsia="华文中宋"/>
          <w:color w:val="000000"/>
        </w:rPr>
      </w:pPr>
      <w:bookmarkStart w:id="34" w:name="_Toc31911"/>
      <w:r>
        <w:rPr>
          <w:rFonts w:hint="eastAsia" w:ascii="华文中宋" w:hAnsi="华文中宋" w:eastAsia="华文中宋"/>
          <w:color w:val="000000"/>
        </w:rPr>
        <w:t>第二章 发展策略与目标定位</w:t>
      </w:r>
      <w:bookmarkEnd w:id="34"/>
    </w:p>
    <w:p w14:paraId="68FDD121">
      <w:pPr>
        <w:pStyle w:val="4"/>
        <w:numPr>
          <w:ilvl w:val="0"/>
          <w:numId w:val="1"/>
        </w:numPr>
        <w:spacing w:before="0" w:after="48" w:afterLines="20" w:line="288" w:lineRule="auto"/>
        <w:rPr>
          <w:rFonts w:hint="eastAsia" w:ascii="微软雅黑" w:hAnsi="微软雅黑" w:eastAsia="微软雅黑"/>
          <w:color w:val="000000"/>
        </w:rPr>
      </w:pPr>
      <w:bookmarkStart w:id="35" w:name="_Toc32209"/>
      <w:r>
        <w:rPr>
          <w:rFonts w:hint="eastAsia" w:ascii="微软雅黑" w:hAnsi="微软雅黑" w:eastAsia="微软雅黑"/>
          <w:color w:val="000000"/>
        </w:rPr>
        <w:t>发展策略</w:t>
      </w:r>
      <w:bookmarkEnd w:id="35"/>
    </w:p>
    <w:p w14:paraId="00873551">
      <w:pPr>
        <w:numPr>
          <w:ilvl w:val="0"/>
          <w:numId w:val="5"/>
        </w:numPr>
        <w:spacing w:after="120" w:afterLines="50" w:line="300" w:lineRule="auto"/>
        <w:ind w:left="902"/>
        <w:rPr>
          <w:rFonts w:hint="eastAsia" w:ascii="幼圆" w:hAnsi="宋体" w:eastAsia="幼圆" w:cs="Times New Roman"/>
          <w:color w:val="000000"/>
          <w:sz w:val="24"/>
        </w:rPr>
      </w:pPr>
      <w:r>
        <w:rPr>
          <w:rFonts w:hint="eastAsia" w:ascii="幼圆" w:hAnsi="宋体" w:eastAsia="幼圆"/>
          <w:color w:val="000000"/>
          <w:sz w:val="24"/>
        </w:rPr>
        <w:t>陆港联运驱动，培育大宗商贸，打造区域商贸流通平台。</w:t>
      </w:r>
      <w:r>
        <w:rPr>
          <w:rFonts w:hint="eastAsia" w:ascii="幼圆" w:eastAsia="幼圆"/>
          <w:sz w:val="24"/>
        </w:rPr>
        <w:t>汕尾毗邻粤港澳大湾区，衔接着大湾区经济板块、潮汕经济板块和粤东北经济板块三大经济板块，是广东省东部地区的重要交通走廊。未来汕尾市高快速交通条件将得到极大改善，区域交通枢纽的作用将得到充分</w:t>
      </w:r>
      <w:r>
        <w:rPr>
          <w:rFonts w:hint="eastAsia" w:ascii="幼圆" w:eastAsia="幼圆"/>
          <w:sz w:val="24"/>
          <w:lang w:eastAsia="zh-CN"/>
        </w:rPr>
        <w:t>地</w:t>
      </w:r>
      <w:r>
        <w:rPr>
          <w:rFonts w:hint="eastAsia" w:ascii="幼圆" w:eastAsia="幼圆"/>
          <w:sz w:val="24"/>
        </w:rPr>
        <w:t>体现，能够为汕尾市的商贸产业发展提供巨大的帮助。汕尾港作为广东省地区性重要港口之一，依托其紧邻粤港澳大湾区的区位优势，将成为承接大湾区港口运输功能外溢的桥头堡。随着</w:t>
      </w:r>
      <w:r>
        <w:rPr>
          <w:rFonts w:hint="eastAsia" w:ascii="幼圆" w:eastAsia="幼圆"/>
          <w:sz w:val="24"/>
          <w:lang w:eastAsia="zh-CN"/>
        </w:rPr>
        <w:t>深汕特别合作区</w:t>
      </w:r>
      <w:r>
        <w:rPr>
          <w:rFonts w:hint="eastAsia" w:ascii="幼圆" w:eastAsia="幼圆"/>
          <w:sz w:val="24"/>
        </w:rPr>
        <w:t>的加速推进，依托深圳港在国际的影响力以及汕尾市交通条件的改善，有利于推动汕尾市区域商贸产业的发</w:t>
      </w:r>
      <w:r>
        <w:rPr>
          <w:rFonts w:hint="eastAsia" w:ascii="幼圆" w:hAnsi="宋体" w:eastAsia="幼圆" w:cs="Times New Roman"/>
          <w:color w:val="000000"/>
          <w:sz w:val="24"/>
        </w:rPr>
        <w:t>展，使汕尾成为粤东地区重要的商贸流通平台。</w:t>
      </w:r>
    </w:p>
    <w:p w14:paraId="34D459A6">
      <w:pPr>
        <w:numPr>
          <w:ilvl w:val="0"/>
          <w:numId w:val="5"/>
        </w:numPr>
        <w:spacing w:after="120" w:afterLines="50" w:line="300" w:lineRule="auto"/>
        <w:ind w:left="902"/>
        <w:rPr>
          <w:rFonts w:hint="eastAsia" w:ascii="幼圆" w:hAnsi="宋体" w:eastAsia="幼圆"/>
          <w:color w:val="000000"/>
          <w:sz w:val="24"/>
        </w:rPr>
      </w:pPr>
      <w:r>
        <w:rPr>
          <w:rFonts w:hint="eastAsia" w:ascii="幼圆" w:hAnsi="宋体" w:eastAsia="幼圆" w:cs="Times New Roman"/>
          <w:color w:val="000000"/>
          <w:sz w:val="24"/>
        </w:rPr>
        <w:t>立足大湾区东部经济板块衔接点，服务、辐射大湾区。</w:t>
      </w:r>
      <w:r>
        <w:rPr>
          <w:rFonts w:hint="eastAsia" w:ascii="幼圆" w:eastAsia="幼圆"/>
          <w:sz w:val="24"/>
        </w:rPr>
        <w:t>依托地处大湾区东部经济板块衔接点的区位优势，以深汕合作和大湾区经济产业的对外辐射为重要契机，汕尾可以深入联动深圳，以地域优势弥补大湾区发展空间有限的局限，以大湾区东部衔接点为基点，大力发展服务大湾区东部外缘的商贸功能。</w:t>
      </w:r>
    </w:p>
    <w:p w14:paraId="2988B9D7">
      <w:pPr>
        <w:numPr>
          <w:ilvl w:val="0"/>
          <w:numId w:val="5"/>
        </w:numPr>
        <w:spacing w:after="120" w:afterLines="50" w:line="300" w:lineRule="auto"/>
        <w:ind w:left="902"/>
        <w:rPr>
          <w:rFonts w:hint="eastAsia" w:ascii="幼圆" w:hAnsi="Times New Roman" w:eastAsia="幼圆" w:cs="Times New Roman"/>
          <w:sz w:val="24"/>
        </w:rPr>
      </w:pPr>
      <w:r>
        <w:rPr>
          <w:rFonts w:hint="eastAsia" w:ascii="幼圆" w:hAnsi="Times New Roman" w:eastAsia="幼圆" w:cs="Times New Roman"/>
          <w:sz w:val="24"/>
        </w:rPr>
        <w:t>培育线上线下立体商业，完善新型末端商业物流融合网点。汕尾市应积极利用电商快速发展的契机，积极推动线上电子商务发展，尤其是大宗商品（燃油、煤矿、铁、钢材等）和跨境电商等的电子商务产业发展，实现实体商业与电子商务共同发展，在信息化交易时代继续抢占区域商贸物流的中心地位。即时零售正深刻重塑汕尾商业的格局与逻辑</w:t>
      </w:r>
      <w:r>
        <w:rPr>
          <w:rFonts w:hint="eastAsia" w:ascii="幼圆" w:hAnsi="Times New Roman" w:eastAsia="幼圆" w:cs="Times New Roman"/>
          <w:sz w:val="24"/>
          <w:lang w:eastAsia="zh-CN"/>
        </w:rPr>
        <w:t>；</w:t>
      </w:r>
      <w:r>
        <w:rPr>
          <w:rFonts w:hint="eastAsia" w:ascii="幼圆" w:hAnsi="Times New Roman" w:eastAsia="幼圆" w:cs="Times New Roman"/>
          <w:sz w:val="24"/>
        </w:rPr>
        <w:t>为支撑即时零售的健康发展，应将前置仓、配送站、智能快件箱等末端网点纳入城市民生服务设施体系，纳入城乡规划管理。</w:t>
      </w:r>
    </w:p>
    <w:p w14:paraId="6D3EE6C4">
      <w:pPr>
        <w:numPr>
          <w:ilvl w:val="0"/>
          <w:numId w:val="5"/>
        </w:numPr>
        <w:spacing w:after="120" w:afterLines="50" w:line="300" w:lineRule="auto"/>
        <w:ind w:left="902"/>
        <w:rPr>
          <w:rFonts w:hint="eastAsia" w:ascii="幼圆" w:hAnsi="Times New Roman" w:eastAsia="幼圆" w:cs="Times New Roman"/>
          <w:sz w:val="24"/>
        </w:rPr>
      </w:pPr>
      <w:r>
        <w:rPr>
          <w:rFonts w:hint="eastAsia" w:ascii="幼圆" w:hAnsi="Times New Roman" w:eastAsia="幼圆" w:cs="Times New Roman"/>
          <w:sz w:val="24"/>
        </w:rPr>
        <w:t>创新商业模式，培育体验式与服务式消费新场景</w:t>
      </w:r>
      <w:r>
        <w:rPr>
          <w:rFonts w:hint="eastAsia" w:ascii="幼圆" w:hAnsi="Times New Roman" w:eastAsia="幼圆" w:cs="Times New Roman"/>
          <w:sz w:val="24"/>
          <w:lang w:eastAsia="zh-CN"/>
        </w:rPr>
        <w:t>。</w:t>
      </w:r>
      <w:r>
        <w:rPr>
          <w:rFonts w:hint="eastAsia" w:ascii="幼圆" w:hAnsi="Times New Roman" w:eastAsia="幼圆" w:cs="Times New Roman"/>
          <w:sz w:val="24"/>
        </w:rPr>
        <w:t>顺应汕尾经济发展趋势，逐步引导商业网点向购物中心方向发展，建设立体商业，逐步提升零售商业产业的业态层</w:t>
      </w:r>
      <w:r>
        <w:rPr>
          <w:rFonts w:hint="eastAsia" w:ascii="幼圆" w:hAnsi="Times New Roman" w:eastAsia="幼圆" w:cs="Times New Roman"/>
          <w:sz w:val="24"/>
          <w:lang w:eastAsia="zh-CN"/>
        </w:rPr>
        <w:t>次和</w:t>
      </w:r>
      <w:r>
        <w:rPr>
          <w:rFonts w:hint="eastAsia" w:ascii="幼圆" w:hAnsi="Times New Roman" w:eastAsia="幼圆" w:cs="Times New Roman"/>
          <w:sz w:val="24"/>
        </w:rPr>
        <w:t>服务水平。首先，规划引导核心商业综合体转型，从单纯的购物场所升级为融合本土文化、滨海休闲、亲子娱乐、特色餐饮等元素的“社交目的地”与“微度假中心”</w:t>
      </w:r>
      <w:r>
        <w:rPr>
          <w:rFonts w:hint="eastAsia" w:ascii="幼圆" w:hAnsi="Times New Roman" w:eastAsia="幼圆" w:cs="Times New Roman"/>
          <w:sz w:val="24"/>
          <w:lang w:eastAsia="zh-CN"/>
        </w:rPr>
        <w:t>；</w:t>
      </w:r>
      <w:r>
        <w:rPr>
          <w:rFonts w:hint="eastAsia" w:ascii="幼圆" w:hAnsi="Times New Roman" w:eastAsia="幼圆" w:cs="Times New Roman"/>
          <w:sz w:val="24"/>
        </w:rPr>
        <w:t>其次，规划推动社区商业网点功能重塑，重点发展贴近市民日常生活的健康护理、技能培训、家庭服务、咖啡茶饮、社区食堂等高品质服务业态，构建“一刻钟便民生活圈”</w:t>
      </w:r>
      <w:r>
        <w:rPr>
          <w:rFonts w:hint="eastAsia" w:ascii="幼圆" w:hAnsi="Times New Roman" w:eastAsia="幼圆" w:cs="Times New Roman"/>
          <w:sz w:val="24"/>
          <w:lang w:eastAsia="zh-CN"/>
        </w:rPr>
        <w:t>。</w:t>
      </w:r>
    </w:p>
    <w:p w14:paraId="3F2640C9">
      <w:pPr>
        <w:numPr>
          <w:ilvl w:val="0"/>
          <w:numId w:val="5"/>
        </w:numPr>
        <w:spacing w:after="120" w:afterLines="50" w:line="300" w:lineRule="auto"/>
        <w:ind w:left="902"/>
        <w:rPr>
          <w:rFonts w:hint="eastAsia" w:ascii="幼圆" w:hAnsi="宋体" w:eastAsia="幼圆"/>
          <w:color w:val="000000"/>
          <w:sz w:val="24"/>
        </w:rPr>
      </w:pPr>
      <w:r>
        <w:rPr>
          <w:rFonts w:hint="eastAsia" w:ascii="幼圆" w:hAnsi="Times New Roman" w:eastAsia="幼圆" w:cs="Times New Roman"/>
          <w:sz w:val="24"/>
          <w:lang w:eastAsia="zh-CN"/>
        </w:rPr>
        <w:br w:type="column"/>
      </w:r>
      <w:r>
        <w:rPr>
          <w:rFonts w:hint="eastAsia" w:ascii="幼圆" w:hAnsi="宋体" w:eastAsia="幼圆"/>
          <w:color w:val="000000"/>
          <w:sz w:val="24"/>
        </w:rPr>
        <w:t>挖</w:t>
      </w:r>
      <w:r>
        <w:rPr>
          <w:rFonts w:hint="eastAsia" w:ascii="幼圆" w:hAnsi="Times New Roman" w:eastAsia="幼圆" w:cs="Times New Roman"/>
          <w:sz w:val="24"/>
        </w:rPr>
        <w:t>掘滨海资源，融合历史风貌，培育</w:t>
      </w:r>
      <w:r>
        <w:rPr>
          <w:rFonts w:hint="eastAsia" w:ascii="幼圆" w:hAnsi="Times New Roman" w:eastAsia="幼圆" w:cs="Times New Roman"/>
          <w:sz w:val="24"/>
          <w:lang w:eastAsia="zh-CN"/>
        </w:rPr>
        <w:t>“</w:t>
      </w:r>
      <w:r>
        <w:rPr>
          <w:rFonts w:hint="eastAsia" w:ascii="幼圆" w:hAnsi="Times New Roman" w:eastAsia="幼圆" w:cs="Times New Roman"/>
          <w:sz w:val="24"/>
          <w:lang w:val="en-US" w:eastAsia="zh-CN"/>
        </w:rPr>
        <w:t>商业+</w:t>
      </w:r>
      <w:r>
        <w:rPr>
          <w:rFonts w:hint="eastAsia" w:ascii="幼圆" w:hAnsi="Times New Roman" w:eastAsia="幼圆" w:cs="Times New Roman"/>
          <w:sz w:val="24"/>
          <w:lang w:eastAsia="zh-CN"/>
        </w:rPr>
        <w:t>”</w:t>
      </w:r>
      <w:r>
        <w:rPr>
          <w:rFonts w:hint="eastAsia" w:ascii="幼圆" w:hAnsi="Times New Roman" w:eastAsia="幼圆" w:cs="Times New Roman"/>
          <w:sz w:val="24"/>
          <w:lang w:val="en-US" w:eastAsia="zh-CN"/>
        </w:rPr>
        <w:t>融合业态</w:t>
      </w:r>
      <w:r>
        <w:rPr>
          <w:rFonts w:hint="eastAsia" w:ascii="幼圆" w:hAnsi="Times New Roman" w:eastAsia="幼圆" w:cs="Times New Roman"/>
          <w:sz w:val="24"/>
        </w:rPr>
        <w:t>。充分利用汕尾红海湾、环品清湖以及</w:t>
      </w:r>
      <w:r>
        <w:rPr>
          <w:rFonts w:hint="eastAsia" w:ascii="幼圆" w:hAnsi="Times New Roman" w:eastAsia="幼圆" w:cs="Times New Roman"/>
          <w:sz w:val="24"/>
          <w:lang w:val="en-US" w:eastAsia="zh-CN"/>
        </w:rPr>
        <w:t>马宫</w:t>
      </w:r>
      <w:r>
        <w:rPr>
          <w:rFonts w:hint="eastAsia" w:ascii="幼圆" w:hAnsi="Times New Roman" w:eastAsia="幼圆" w:cs="Times New Roman"/>
          <w:sz w:val="24"/>
        </w:rPr>
        <w:t>渔港、屿仔岛等滨海资源</w:t>
      </w:r>
      <w:r>
        <w:rPr>
          <w:rFonts w:hint="eastAsia" w:ascii="幼圆" w:hAnsi="Times New Roman" w:eastAsia="幼圆" w:cs="Times New Roman"/>
          <w:sz w:val="24"/>
          <w:lang w:eastAsia="zh-CN"/>
        </w:rPr>
        <w:t>，</w:t>
      </w:r>
      <w:r>
        <w:rPr>
          <w:rFonts w:hint="eastAsia" w:ascii="幼圆" w:hAnsi="Times New Roman" w:eastAsia="幼圆" w:cs="Times New Roman"/>
          <w:sz w:val="24"/>
          <w:lang w:val="en-US" w:eastAsia="zh-CN"/>
        </w:rPr>
        <w:t>以及老城区的历史文化资源，推动商业与文旅、体育、康养深度融合，培育</w:t>
      </w:r>
      <w:r>
        <w:rPr>
          <w:rFonts w:hint="eastAsia" w:ascii="幼圆" w:hAnsi="Times New Roman" w:eastAsia="幼圆" w:cs="Times New Roman"/>
          <w:sz w:val="24"/>
        </w:rPr>
        <w:t>滨海</w:t>
      </w:r>
      <w:r>
        <w:rPr>
          <w:rFonts w:hint="eastAsia" w:ascii="幼圆" w:hAnsi="Times New Roman" w:eastAsia="幼圆" w:cs="Times New Roman"/>
          <w:sz w:val="24"/>
          <w:lang w:val="en-US" w:eastAsia="zh-CN"/>
        </w:rPr>
        <w:t>旅游度假、老城文化旅游、海上运动体验、康养度假消费等多种“商业+”融合业态</w:t>
      </w:r>
      <w:r>
        <w:rPr>
          <w:rFonts w:hint="eastAsia" w:ascii="幼圆" w:hAnsi="Times New Roman" w:eastAsia="幼圆" w:cs="Times New Roman"/>
          <w:sz w:val="24"/>
        </w:rPr>
        <w:t>。</w:t>
      </w:r>
    </w:p>
    <w:p w14:paraId="2C65BE93">
      <w:pPr>
        <w:numPr>
          <w:ilvl w:val="0"/>
          <w:numId w:val="5"/>
        </w:numPr>
        <w:spacing w:after="120" w:afterLines="50" w:line="300" w:lineRule="auto"/>
        <w:ind w:left="902"/>
        <w:rPr>
          <w:rFonts w:hint="eastAsia" w:ascii="幼圆" w:hAnsi="宋体" w:eastAsia="幼圆"/>
          <w:color w:val="000000"/>
          <w:sz w:val="24"/>
        </w:rPr>
      </w:pPr>
      <w:r>
        <w:rPr>
          <w:rFonts w:hint="eastAsia" w:ascii="幼圆" w:hAnsi="宋体" w:eastAsia="幼圆"/>
          <w:color w:val="000000"/>
          <w:sz w:val="24"/>
        </w:rPr>
        <w:t>协同城市布局，渐进疏旧扩新，架构商贸网点布局体系。顺应</w:t>
      </w:r>
      <w:r>
        <w:rPr>
          <w:rFonts w:hint="eastAsia" w:ascii="幼圆" w:hAnsi="宋体" w:eastAsia="幼圆"/>
          <w:color w:val="000000"/>
          <w:sz w:val="24"/>
          <w:lang w:val="en-US" w:eastAsia="zh-CN"/>
        </w:rPr>
        <w:t>国土空间规划</w:t>
      </w:r>
      <w:r>
        <w:rPr>
          <w:rFonts w:hint="eastAsia" w:ascii="幼圆" w:hAnsi="宋体" w:eastAsia="幼圆"/>
          <w:color w:val="000000"/>
          <w:sz w:val="24"/>
        </w:rPr>
        <w:t>的空间发展要求，</w:t>
      </w:r>
      <w:r>
        <w:rPr>
          <w:rFonts w:hint="eastAsia" w:ascii="幼圆" w:eastAsia="幼圆"/>
          <w:sz w:val="24"/>
        </w:rPr>
        <w:t>依托各大组团，布局新型现代化商业业态</w:t>
      </w:r>
      <w:r>
        <w:rPr>
          <w:rFonts w:hint="eastAsia" w:ascii="幼圆" w:hAnsi="宋体" w:eastAsia="幼圆"/>
          <w:color w:val="000000"/>
          <w:sz w:val="24"/>
        </w:rPr>
        <w:t>。</w:t>
      </w:r>
      <w:r>
        <w:rPr>
          <w:rFonts w:hint="eastAsia" w:ascii="幼圆" w:eastAsia="幼圆"/>
          <w:color w:val="000000"/>
          <w:sz w:val="24"/>
        </w:rPr>
        <w:t>分类分级配置商业网点体系，其中市域层面主要以主城区商贸向周边管辖县市联通协同，疏解老城旧区商贸空间混杂拥挤的局面，从而推动老城区扩容、升级提质；城区层面对部分商贸网点进行整合，从而形成一个较大的商贸联合体系，以此寻求建设商贸设施空间。</w:t>
      </w:r>
    </w:p>
    <w:p w14:paraId="5584C4D7">
      <w:pPr>
        <w:pStyle w:val="4"/>
        <w:numPr>
          <w:ilvl w:val="0"/>
          <w:numId w:val="1"/>
        </w:numPr>
        <w:spacing w:before="0" w:after="48" w:afterLines="20" w:line="288" w:lineRule="auto"/>
        <w:rPr>
          <w:rFonts w:hint="eastAsia" w:ascii="微软雅黑" w:hAnsi="微软雅黑" w:eastAsia="微软雅黑"/>
          <w:color w:val="000000"/>
        </w:rPr>
      </w:pPr>
      <w:bookmarkStart w:id="36" w:name="_Toc13684"/>
      <w:r>
        <w:rPr>
          <w:rFonts w:hint="eastAsia" w:ascii="微软雅黑" w:hAnsi="微软雅黑" w:eastAsia="微软雅黑"/>
          <w:color w:val="000000"/>
        </w:rPr>
        <w:t>发展目标</w:t>
      </w:r>
      <w:bookmarkEnd w:id="36"/>
    </w:p>
    <w:p w14:paraId="5A3A553A">
      <w:pPr>
        <w:snapToGrid w:val="0"/>
        <w:spacing w:after="120" w:afterLines="50" w:line="300" w:lineRule="auto"/>
        <w:ind w:firstLine="482"/>
        <w:rPr>
          <w:rFonts w:hint="eastAsia" w:ascii="幼圆" w:hAnsi="宋体" w:eastAsia="幼圆" w:cs="Times New Roman"/>
          <w:color w:val="000000"/>
          <w:sz w:val="24"/>
        </w:rPr>
      </w:pPr>
      <w:r>
        <w:rPr>
          <w:rFonts w:hint="eastAsia" w:ascii="幼圆" w:hAnsi="宋体" w:eastAsia="幼圆" w:cs="Times New Roman"/>
          <w:color w:val="000000"/>
          <w:sz w:val="24"/>
        </w:rPr>
        <w:t>融入“双区、双城”，辐射赣、粤、闽交汇区域，重点服务汕尾以及周边区域的广东省沿海经济带商贸城市</w:t>
      </w:r>
      <w:r>
        <w:rPr>
          <w:rFonts w:hint="eastAsia" w:ascii="幼圆" w:hAnsi="宋体" w:eastAsia="幼圆" w:cs="Times New Roman"/>
          <w:color w:val="000000"/>
          <w:sz w:val="24"/>
          <w:lang w:eastAsia="zh-CN"/>
        </w:rPr>
        <w:t>、</w:t>
      </w:r>
      <w:r>
        <w:rPr>
          <w:rFonts w:hint="eastAsia" w:ascii="幼圆" w:hAnsi="宋体" w:eastAsia="幼圆" w:cs="Times New Roman"/>
          <w:color w:val="000000"/>
          <w:sz w:val="24"/>
        </w:rPr>
        <w:t>粤港澳大湾区宝藏滨海度假城市</w:t>
      </w:r>
      <w:r>
        <w:rPr>
          <w:rFonts w:hint="eastAsia" w:ascii="幼圆" w:hAnsi="宋体" w:eastAsia="幼圆" w:cs="Times New Roman"/>
          <w:color w:val="000000"/>
          <w:sz w:val="24"/>
          <w:lang w:eastAsia="zh-CN"/>
        </w:rPr>
        <w:t>、</w:t>
      </w:r>
      <w:r>
        <w:rPr>
          <w:rFonts w:hint="eastAsia" w:ascii="幼圆" w:hAnsi="宋体" w:eastAsia="幼圆" w:cs="Times New Roman"/>
          <w:color w:val="000000"/>
          <w:sz w:val="24"/>
        </w:rPr>
        <w:t>地区性物流枢纽。</w:t>
      </w:r>
    </w:p>
    <w:p w14:paraId="5F353672">
      <w:pPr>
        <w:pStyle w:val="4"/>
        <w:numPr>
          <w:ilvl w:val="0"/>
          <w:numId w:val="1"/>
        </w:numPr>
        <w:spacing w:before="0" w:after="48" w:afterLines="20" w:line="288" w:lineRule="auto"/>
        <w:rPr>
          <w:rFonts w:hint="eastAsia" w:ascii="微软雅黑" w:hAnsi="微软雅黑" w:eastAsia="微软雅黑"/>
          <w:color w:val="000000"/>
        </w:rPr>
      </w:pPr>
      <w:bookmarkStart w:id="37" w:name="_Toc364716052"/>
      <w:bookmarkStart w:id="38" w:name="_Toc23192"/>
      <w:r>
        <w:rPr>
          <w:rFonts w:hint="eastAsia" w:ascii="微软雅黑" w:hAnsi="微软雅黑" w:eastAsia="微软雅黑"/>
          <w:color w:val="000000"/>
        </w:rPr>
        <w:t>发展规模</w:t>
      </w:r>
      <w:bookmarkEnd w:id="37"/>
      <w:bookmarkEnd w:id="38"/>
    </w:p>
    <w:p w14:paraId="31DBDC66">
      <w:pPr>
        <w:numPr>
          <w:ilvl w:val="0"/>
          <w:numId w:val="6"/>
        </w:numPr>
        <w:spacing w:after="120" w:afterLines="50" w:line="300" w:lineRule="auto"/>
        <w:rPr>
          <w:rFonts w:hint="eastAsia" w:ascii="幼圆" w:hAnsi="宋体" w:eastAsia="幼圆"/>
          <w:color w:val="000000"/>
          <w:sz w:val="24"/>
        </w:rPr>
      </w:pPr>
      <w:bookmarkStart w:id="39" w:name="_Toc364716053"/>
      <w:r>
        <w:rPr>
          <w:rFonts w:hint="eastAsia" w:ascii="幼圆" w:hAnsi="宋体" w:eastAsia="幼圆"/>
          <w:color w:val="000000"/>
          <w:sz w:val="24"/>
        </w:rPr>
        <w:t>零售商业发</w:t>
      </w:r>
      <w:r>
        <w:rPr>
          <w:rFonts w:hint="eastAsia" w:ascii="幼圆" w:hAnsi="Times New Roman" w:eastAsia="幼圆" w:cs="Times New Roman"/>
          <w:color w:val="000000"/>
          <w:sz w:val="24"/>
        </w:rPr>
        <w:t>展规模</w:t>
      </w:r>
      <w:bookmarkEnd w:id="39"/>
      <w:r>
        <w:rPr>
          <w:rFonts w:hint="eastAsia" w:ascii="幼圆" w:hAnsi="Times New Roman" w:eastAsia="幼圆" w:cs="Times New Roman"/>
          <w:color w:val="000000"/>
          <w:sz w:val="24"/>
        </w:rPr>
        <w:t>：预计汕尾市202</w:t>
      </w:r>
      <w:r>
        <w:rPr>
          <w:rFonts w:hint="eastAsia" w:ascii="幼圆" w:hAnsi="Times New Roman" w:eastAsia="幼圆" w:cs="Times New Roman"/>
          <w:color w:val="000000"/>
          <w:sz w:val="24"/>
          <w:lang w:val="en-US" w:eastAsia="zh-CN"/>
        </w:rPr>
        <w:t>7</w:t>
      </w:r>
      <w:r>
        <w:rPr>
          <w:rFonts w:hint="eastAsia" w:ascii="幼圆" w:hAnsi="Times New Roman" w:eastAsia="幼圆" w:cs="Times New Roman"/>
          <w:color w:val="000000"/>
          <w:sz w:val="24"/>
        </w:rPr>
        <w:t>年、203</w:t>
      </w:r>
      <w:r>
        <w:rPr>
          <w:rFonts w:hint="eastAsia" w:ascii="幼圆" w:hAnsi="Times New Roman" w:eastAsia="幼圆" w:cs="Times New Roman"/>
          <w:color w:val="000000"/>
          <w:sz w:val="24"/>
          <w:lang w:val="en-US" w:eastAsia="zh-CN"/>
        </w:rPr>
        <w:t>5</w:t>
      </w:r>
      <w:r>
        <w:rPr>
          <w:rFonts w:hint="eastAsia" w:ascii="幼圆" w:hAnsi="Times New Roman" w:eastAsia="幼圆" w:cs="Times New Roman"/>
          <w:color w:val="000000"/>
          <w:sz w:val="24"/>
        </w:rPr>
        <w:t>年社会消费品零售总额规模将分别达到</w:t>
      </w:r>
      <w:r>
        <w:rPr>
          <w:rFonts w:hint="eastAsia" w:ascii="幼圆" w:hAnsi="Times New Roman" w:eastAsia="幼圆" w:cs="Times New Roman"/>
          <w:color w:val="000000"/>
          <w:sz w:val="24"/>
          <w:lang w:val="en-US" w:eastAsia="zh-CN"/>
        </w:rPr>
        <w:t>560</w:t>
      </w:r>
      <w:r>
        <w:rPr>
          <w:rFonts w:hint="eastAsia" w:ascii="幼圆" w:hAnsi="Times New Roman" w:eastAsia="幼圆" w:cs="Times New Roman"/>
          <w:color w:val="000000"/>
          <w:sz w:val="24"/>
        </w:rPr>
        <w:t>亿元、</w:t>
      </w:r>
      <w:r>
        <w:rPr>
          <w:rFonts w:hint="eastAsia" w:ascii="幼圆" w:hAnsi="Times New Roman" w:eastAsia="幼圆" w:cs="Times New Roman"/>
          <w:color w:val="000000"/>
          <w:sz w:val="24"/>
          <w:lang w:val="en-US" w:eastAsia="zh-CN"/>
        </w:rPr>
        <w:t>1082</w:t>
      </w:r>
      <w:r>
        <w:rPr>
          <w:rFonts w:hint="eastAsia" w:ascii="幼圆" w:hAnsi="Times New Roman" w:eastAsia="幼圆" w:cs="Times New Roman"/>
          <w:color w:val="000000"/>
          <w:sz w:val="24"/>
        </w:rPr>
        <w:t>亿元。需零售商业营业面积分别约341万平方米、450万平方</w:t>
      </w:r>
      <w:r>
        <w:rPr>
          <w:rFonts w:hint="eastAsia" w:ascii="幼圆" w:eastAsia="幼圆"/>
          <w:color w:val="000000"/>
          <w:sz w:val="24"/>
        </w:rPr>
        <w:t>米。</w:t>
      </w:r>
    </w:p>
    <w:p w14:paraId="727AB7D7">
      <w:pPr>
        <w:numPr>
          <w:ilvl w:val="0"/>
          <w:numId w:val="6"/>
        </w:numPr>
        <w:spacing w:after="120" w:afterLines="50" w:line="300" w:lineRule="auto"/>
        <w:ind w:left="902"/>
        <w:rPr>
          <w:rFonts w:hint="eastAsia" w:ascii="幼圆" w:hAnsi="Times New Roman" w:eastAsia="幼圆" w:cs="Times New Roman"/>
          <w:color w:val="000000"/>
          <w:sz w:val="24"/>
        </w:rPr>
      </w:pPr>
      <w:bookmarkStart w:id="40" w:name="_Toc364716054"/>
      <w:r>
        <w:rPr>
          <w:rFonts w:hint="eastAsia" w:ascii="幼圆" w:hAnsi="宋体" w:eastAsia="幼圆"/>
          <w:color w:val="000000"/>
          <w:sz w:val="24"/>
        </w:rPr>
        <w:t>批发</w:t>
      </w:r>
      <w:r>
        <w:rPr>
          <w:rFonts w:hint="eastAsia" w:ascii="幼圆" w:hAnsi="Times New Roman" w:eastAsia="幼圆" w:cs="Times New Roman"/>
          <w:color w:val="000000"/>
          <w:sz w:val="24"/>
        </w:rPr>
        <w:t>市场发展规模</w:t>
      </w:r>
      <w:bookmarkEnd w:id="40"/>
      <w:r>
        <w:rPr>
          <w:rFonts w:hint="eastAsia" w:ascii="幼圆" w:hAnsi="Times New Roman" w:eastAsia="幼圆" w:cs="Times New Roman"/>
          <w:color w:val="000000"/>
          <w:sz w:val="24"/>
        </w:rPr>
        <w:t>：预计汕尾市202</w:t>
      </w:r>
      <w:r>
        <w:rPr>
          <w:rFonts w:hint="eastAsia" w:ascii="幼圆" w:hAnsi="Times New Roman" w:eastAsia="幼圆" w:cs="Times New Roman"/>
          <w:color w:val="000000"/>
          <w:sz w:val="24"/>
          <w:lang w:val="en-US" w:eastAsia="zh-CN"/>
        </w:rPr>
        <w:t>7</w:t>
      </w:r>
      <w:r>
        <w:rPr>
          <w:rFonts w:hint="eastAsia" w:ascii="幼圆" w:hAnsi="Times New Roman" w:eastAsia="幼圆" w:cs="Times New Roman"/>
          <w:color w:val="000000"/>
          <w:sz w:val="24"/>
        </w:rPr>
        <w:t>年、203</w:t>
      </w:r>
      <w:r>
        <w:rPr>
          <w:rFonts w:hint="eastAsia" w:ascii="幼圆" w:hAnsi="Times New Roman" w:eastAsia="幼圆" w:cs="Times New Roman"/>
          <w:color w:val="000000"/>
          <w:sz w:val="24"/>
          <w:lang w:val="en-US" w:eastAsia="zh-CN"/>
        </w:rPr>
        <w:t>5</w:t>
      </w:r>
      <w:r>
        <w:rPr>
          <w:rFonts w:hint="eastAsia" w:ascii="幼圆" w:hAnsi="Times New Roman" w:eastAsia="幼圆" w:cs="Times New Roman"/>
          <w:color w:val="000000"/>
          <w:sz w:val="24"/>
        </w:rPr>
        <w:t>年汕尾市批发销售额分别约为</w:t>
      </w:r>
      <w:r>
        <w:rPr>
          <w:rFonts w:hint="eastAsia" w:ascii="幼圆" w:hAnsi="Times New Roman" w:eastAsia="幼圆" w:cs="Times New Roman"/>
          <w:color w:val="000000"/>
          <w:sz w:val="24"/>
          <w:lang w:val="en-US" w:eastAsia="zh-CN"/>
        </w:rPr>
        <w:t>186</w:t>
      </w:r>
      <w:r>
        <w:rPr>
          <w:rFonts w:hint="eastAsia" w:ascii="幼圆" w:hAnsi="Times New Roman" w:eastAsia="幼圆" w:cs="Times New Roman"/>
          <w:color w:val="000000"/>
          <w:sz w:val="24"/>
        </w:rPr>
        <w:t>亿元、</w:t>
      </w:r>
      <w:r>
        <w:rPr>
          <w:rFonts w:hint="eastAsia" w:ascii="幼圆" w:hAnsi="Times New Roman" w:eastAsia="幼圆" w:cs="Times New Roman"/>
          <w:color w:val="000000"/>
          <w:sz w:val="24"/>
          <w:lang w:val="en-US" w:eastAsia="zh-CN"/>
        </w:rPr>
        <w:t>320</w:t>
      </w:r>
      <w:r>
        <w:rPr>
          <w:rFonts w:hint="eastAsia" w:ascii="幼圆" w:hAnsi="Times New Roman" w:eastAsia="幼圆" w:cs="Times New Roman"/>
          <w:color w:val="000000"/>
          <w:sz w:val="24"/>
        </w:rPr>
        <w:t>亿元。</w:t>
      </w:r>
      <w:r>
        <w:rPr>
          <w:rFonts w:ascii="幼圆" w:hAnsi="Times New Roman" w:eastAsia="幼圆" w:cs="Times New Roman"/>
          <w:color w:val="000000"/>
          <w:sz w:val="24"/>
        </w:rPr>
        <w:t>批发市场营业总面积预计约</w:t>
      </w:r>
      <w:r>
        <w:rPr>
          <w:rFonts w:hint="eastAsia" w:ascii="幼圆" w:hAnsi="Times New Roman" w:eastAsia="幼圆" w:cs="Times New Roman"/>
          <w:color w:val="000000"/>
          <w:sz w:val="24"/>
          <w:lang w:val="en-US" w:eastAsia="zh-CN"/>
        </w:rPr>
        <w:t>186</w:t>
      </w:r>
      <w:r>
        <w:rPr>
          <w:rFonts w:ascii="幼圆" w:hAnsi="Times New Roman" w:eastAsia="幼圆" w:cs="Times New Roman"/>
          <w:color w:val="000000"/>
          <w:sz w:val="24"/>
        </w:rPr>
        <w:t>万平方米</w:t>
      </w:r>
      <w:r>
        <w:rPr>
          <w:rFonts w:hint="eastAsia" w:ascii="幼圆" w:hAnsi="Times New Roman" w:eastAsia="幼圆" w:cs="Times New Roman"/>
          <w:color w:val="000000"/>
          <w:sz w:val="24"/>
        </w:rPr>
        <w:t>和</w:t>
      </w:r>
      <w:r>
        <w:rPr>
          <w:rFonts w:hint="eastAsia" w:ascii="幼圆" w:hAnsi="Times New Roman" w:eastAsia="幼圆" w:cs="Times New Roman"/>
          <w:color w:val="000000"/>
          <w:sz w:val="24"/>
          <w:lang w:val="en-US" w:eastAsia="zh-CN"/>
        </w:rPr>
        <w:t>213</w:t>
      </w:r>
      <w:r>
        <w:rPr>
          <w:rFonts w:ascii="幼圆" w:hAnsi="Times New Roman" w:eastAsia="幼圆" w:cs="Times New Roman"/>
          <w:color w:val="000000"/>
          <w:sz w:val="24"/>
        </w:rPr>
        <w:t>万平方米。</w:t>
      </w:r>
      <w:r>
        <w:rPr>
          <w:rFonts w:hint="eastAsia" w:ascii="幼圆" w:hAnsi="Times New Roman" w:eastAsia="幼圆" w:cs="Times New Roman"/>
          <w:color w:val="000000"/>
          <w:sz w:val="24"/>
        </w:rPr>
        <w:t>汕尾市中心城区</w:t>
      </w:r>
      <w:r>
        <w:rPr>
          <w:rFonts w:ascii="幼圆" w:hAnsi="Times New Roman" w:eastAsia="幼圆" w:cs="Times New Roman"/>
          <w:color w:val="000000"/>
          <w:sz w:val="24"/>
        </w:rPr>
        <w:t>批发市场</w:t>
      </w:r>
      <w:r>
        <w:rPr>
          <w:rFonts w:hint="eastAsia" w:ascii="幼圆" w:hAnsi="Times New Roman" w:eastAsia="幼圆" w:cs="Times New Roman"/>
          <w:color w:val="000000"/>
          <w:sz w:val="24"/>
        </w:rPr>
        <w:t>占地面积应分别控制在</w:t>
      </w:r>
      <w:r>
        <w:rPr>
          <w:rFonts w:hint="eastAsia" w:ascii="幼圆" w:hAnsi="Times New Roman" w:eastAsia="幼圆" w:cs="Times New Roman"/>
          <w:color w:val="000000"/>
          <w:sz w:val="24"/>
          <w:lang w:val="en-US" w:eastAsia="zh-CN"/>
        </w:rPr>
        <w:t>65-87</w:t>
      </w:r>
      <w:r>
        <w:rPr>
          <w:rFonts w:hint="eastAsia" w:ascii="幼圆" w:hAnsi="Times New Roman" w:eastAsia="幼圆" w:cs="Times New Roman"/>
          <w:color w:val="000000"/>
          <w:sz w:val="24"/>
        </w:rPr>
        <w:t>公顷、</w:t>
      </w:r>
      <w:r>
        <w:rPr>
          <w:rFonts w:hint="eastAsia" w:ascii="幼圆" w:hAnsi="Times New Roman" w:eastAsia="幼圆" w:cs="Times New Roman"/>
          <w:color w:val="000000"/>
          <w:sz w:val="24"/>
          <w:lang w:val="en-US" w:eastAsia="zh-CN"/>
        </w:rPr>
        <w:t>74-100</w:t>
      </w:r>
      <w:r>
        <w:rPr>
          <w:rFonts w:hint="eastAsia" w:ascii="幼圆" w:hAnsi="Times New Roman" w:eastAsia="幼圆" w:cs="Times New Roman"/>
          <w:color w:val="000000"/>
          <w:sz w:val="24"/>
        </w:rPr>
        <w:t>公顷。</w:t>
      </w:r>
    </w:p>
    <w:p w14:paraId="098FE30E">
      <w:pPr>
        <w:numPr>
          <w:ilvl w:val="0"/>
          <w:numId w:val="6"/>
        </w:numPr>
        <w:spacing w:after="120" w:afterLines="50" w:line="300" w:lineRule="auto"/>
        <w:ind w:left="902"/>
        <w:rPr>
          <w:rFonts w:hint="eastAsia" w:ascii="幼圆" w:eastAsia="幼圆"/>
          <w:color w:val="000000"/>
          <w:sz w:val="24"/>
        </w:rPr>
      </w:pPr>
      <w:bookmarkStart w:id="41" w:name="_Toc364716055"/>
      <w:r>
        <w:rPr>
          <w:rFonts w:hint="eastAsia" w:ascii="幼圆" w:eastAsia="幼圆"/>
          <w:color w:val="000000"/>
          <w:sz w:val="24"/>
        </w:rPr>
        <w:t>物流产业发展规模</w:t>
      </w:r>
      <w:bookmarkEnd w:id="41"/>
      <w:r>
        <w:rPr>
          <w:rFonts w:hint="eastAsia" w:ascii="幼圆" w:eastAsia="幼圆"/>
          <w:color w:val="000000"/>
          <w:sz w:val="24"/>
        </w:rPr>
        <w:t>：预计汕尾市202</w:t>
      </w:r>
      <w:r>
        <w:rPr>
          <w:rFonts w:hint="eastAsia" w:ascii="幼圆" w:eastAsia="幼圆"/>
          <w:color w:val="000000"/>
          <w:sz w:val="24"/>
          <w:lang w:val="en-US" w:eastAsia="zh-CN"/>
        </w:rPr>
        <w:t>7</w:t>
      </w:r>
      <w:r>
        <w:rPr>
          <w:rFonts w:hint="eastAsia" w:ascii="幼圆" w:eastAsia="幼圆"/>
          <w:color w:val="000000"/>
          <w:sz w:val="24"/>
        </w:rPr>
        <w:t>年和203</w:t>
      </w:r>
      <w:r>
        <w:rPr>
          <w:rFonts w:hint="eastAsia" w:ascii="幼圆" w:eastAsia="幼圆"/>
          <w:color w:val="000000"/>
          <w:sz w:val="24"/>
          <w:lang w:val="en-US" w:eastAsia="zh-CN"/>
        </w:rPr>
        <w:t>5</w:t>
      </w:r>
      <w:r>
        <w:rPr>
          <w:rFonts w:hint="eastAsia" w:ascii="幼圆" w:eastAsia="幼圆"/>
          <w:color w:val="000000"/>
          <w:sz w:val="24"/>
        </w:rPr>
        <w:t>年，汕尾市</w:t>
      </w:r>
      <w:r>
        <w:rPr>
          <w:rFonts w:hint="eastAsia" w:ascii="幼圆" w:eastAsia="幼圆"/>
          <w:sz w:val="24"/>
        </w:rPr>
        <w:t>物流货运规模</w:t>
      </w:r>
      <w:r>
        <w:rPr>
          <w:rFonts w:hint="eastAsia" w:ascii="幼圆" w:eastAsia="幼圆"/>
          <w:sz w:val="24"/>
          <w:lang w:eastAsia="zh-CN"/>
        </w:rPr>
        <w:t>约</w:t>
      </w:r>
      <w:r>
        <w:rPr>
          <w:rFonts w:hint="eastAsia" w:ascii="幼圆" w:eastAsia="幼圆"/>
          <w:color w:val="000000"/>
          <w:sz w:val="24"/>
        </w:rPr>
        <w:t>将达到</w:t>
      </w:r>
      <w:r>
        <w:rPr>
          <w:rFonts w:ascii="幼圆" w:eastAsia="幼圆"/>
          <w:sz w:val="24"/>
        </w:rPr>
        <w:t>2390</w:t>
      </w:r>
      <w:r>
        <w:rPr>
          <w:rFonts w:hint="eastAsia" w:ascii="幼圆" w:eastAsia="幼圆"/>
          <w:sz w:val="24"/>
        </w:rPr>
        <w:t>万吨</w:t>
      </w:r>
      <w:r>
        <w:rPr>
          <w:rFonts w:hint="eastAsia" w:ascii="幼圆" w:eastAsia="幼圆"/>
          <w:color w:val="000000"/>
          <w:sz w:val="24"/>
        </w:rPr>
        <w:t>和</w:t>
      </w:r>
      <w:r>
        <w:rPr>
          <w:rFonts w:hint="eastAsia" w:ascii="幼圆" w:eastAsia="幼圆"/>
          <w:sz w:val="24"/>
        </w:rPr>
        <w:t>4900</w:t>
      </w:r>
      <w:bookmarkStart w:id="42" w:name="OLE_LINK7"/>
      <w:bookmarkStart w:id="43" w:name="OLE_LINK8"/>
      <w:r>
        <w:rPr>
          <w:rFonts w:hint="eastAsia" w:ascii="幼圆" w:eastAsia="幼圆"/>
          <w:sz w:val="24"/>
        </w:rPr>
        <w:t>万吨</w:t>
      </w:r>
      <w:bookmarkEnd w:id="42"/>
      <w:bookmarkEnd w:id="43"/>
      <w:r>
        <w:rPr>
          <w:rFonts w:hint="eastAsia" w:ascii="幼圆" w:eastAsia="幼圆"/>
          <w:color w:val="000000"/>
          <w:sz w:val="24"/>
        </w:rPr>
        <w:t>。物流仓储用地规模控制在</w:t>
      </w:r>
      <w:r>
        <w:rPr>
          <w:rFonts w:ascii="幼圆" w:eastAsia="幼圆"/>
          <w:sz w:val="24"/>
        </w:rPr>
        <w:t>2.13</w:t>
      </w:r>
      <w:r>
        <w:rPr>
          <w:rFonts w:hint="eastAsia" w:ascii="幼圆" w:eastAsia="幼圆"/>
          <w:sz w:val="24"/>
        </w:rPr>
        <w:t>平方公里</w:t>
      </w:r>
      <w:r>
        <w:rPr>
          <w:rFonts w:hint="eastAsia" w:ascii="幼圆" w:eastAsia="幼圆"/>
          <w:color w:val="000000"/>
          <w:sz w:val="24"/>
        </w:rPr>
        <w:t>和</w:t>
      </w:r>
      <w:r>
        <w:rPr>
          <w:rFonts w:hint="eastAsia" w:ascii="幼圆" w:eastAsia="幼圆"/>
          <w:sz w:val="24"/>
        </w:rPr>
        <w:t>5.20平方公里内</w:t>
      </w:r>
      <w:r>
        <w:rPr>
          <w:rFonts w:hint="eastAsia" w:ascii="幼圆" w:eastAsia="幼圆"/>
          <w:color w:val="000000"/>
          <w:sz w:val="24"/>
        </w:rPr>
        <w:t>。</w:t>
      </w:r>
    </w:p>
    <w:p w14:paraId="5EA6722E">
      <w:pPr>
        <w:spacing w:after="120" w:afterLines="50" w:line="300" w:lineRule="auto"/>
        <w:rPr>
          <w:rFonts w:hint="eastAsia" w:ascii="幼圆" w:eastAsia="幼圆"/>
          <w:color w:val="000000"/>
          <w:sz w:val="24"/>
        </w:rPr>
        <w:sectPr>
          <w:footerReference r:id="rId11" w:type="default"/>
          <w:footerReference r:id="rId12" w:type="even"/>
          <w:pgSz w:w="23814" w:h="16840" w:orient="landscape"/>
          <w:pgMar w:top="1985" w:right="1985" w:bottom="1985" w:left="1985" w:header="851" w:footer="992" w:gutter="0"/>
          <w:pgNumType w:fmt="decimal"/>
          <w:cols w:space="630" w:num="2"/>
          <w:docGrid w:linePitch="312" w:charSpace="0"/>
        </w:sectPr>
      </w:pPr>
    </w:p>
    <w:p w14:paraId="72E53645">
      <w:pPr>
        <w:pStyle w:val="2"/>
        <w:spacing w:before="240" w:after="240" w:line="360" w:lineRule="auto"/>
        <w:rPr>
          <w:rFonts w:hint="eastAsia" w:ascii="华文中宋" w:hAnsi="华文中宋" w:eastAsia="华文中宋"/>
          <w:color w:val="000000"/>
        </w:rPr>
      </w:pPr>
      <w:bookmarkStart w:id="44" w:name="_Toc20146"/>
      <w:r>
        <w:rPr>
          <w:rFonts w:hint="eastAsia" w:ascii="华文中宋" w:hAnsi="华文中宋" w:eastAsia="华文中宋"/>
          <w:color w:val="000000"/>
        </w:rPr>
        <w:t>第三章 市域商业网点布局体系</w:t>
      </w:r>
      <w:bookmarkEnd w:id="44"/>
    </w:p>
    <w:p w14:paraId="20E6545C">
      <w:pPr>
        <w:pStyle w:val="4"/>
        <w:numPr>
          <w:ilvl w:val="0"/>
          <w:numId w:val="1"/>
        </w:numPr>
        <w:spacing w:before="0" w:after="48" w:afterLines="20" w:line="288" w:lineRule="auto"/>
        <w:rPr>
          <w:rFonts w:hint="eastAsia" w:ascii="微软雅黑" w:hAnsi="微软雅黑" w:eastAsia="微软雅黑"/>
          <w:color w:val="000000"/>
        </w:rPr>
      </w:pPr>
      <w:bookmarkStart w:id="45" w:name="_Toc12483"/>
      <w:r>
        <w:rPr>
          <w:rFonts w:hint="eastAsia" w:ascii="微软雅黑" w:hAnsi="微软雅黑" w:eastAsia="微软雅黑"/>
          <w:color w:val="000000"/>
        </w:rPr>
        <w:t>市域商业网点布局格局</w:t>
      </w:r>
      <w:bookmarkEnd w:id="45"/>
    </w:p>
    <w:p w14:paraId="591C0D01">
      <w:pPr>
        <w:snapToGrid w:val="0"/>
        <w:spacing w:after="120" w:afterLines="50" w:line="300" w:lineRule="auto"/>
        <w:ind w:firstLine="482"/>
        <w:rPr>
          <w:rFonts w:hint="eastAsia" w:ascii="幼圆" w:hAnsi="宋体" w:eastAsia="幼圆" w:cs="Times New Roman"/>
          <w:color w:val="000000"/>
          <w:sz w:val="24"/>
        </w:rPr>
      </w:pPr>
      <w:r>
        <w:rPr>
          <w:rFonts w:hint="eastAsia" w:ascii="幼圆" w:hAnsi="宋体" w:eastAsia="幼圆" w:cs="Times New Roman"/>
          <w:color w:val="000000"/>
          <w:sz w:val="24"/>
        </w:rPr>
        <w:t>规划形成“</w:t>
      </w:r>
      <w:r>
        <w:rPr>
          <w:rFonts w:hint="eastAsia" w:ascii="幼圆" w:hAnsi="宋体" w:eastAsia="幼圆" w:cs="Times New Roman"/>
          <w:b/>
          <w:bCs/>
          <w:color w:val="000000"/>
          <w:sz w:val="24"/>
        </w:rPr>
        <w:t>一核三心、三基地、一轴带、六通道</w:t>
      </w:r>
      <w:r>
        <w:rPr>
          <w:rFonts w:hint="eastAsia" w:ascii="幼圆" w:hAnsi="宋体" w:eastAsia="幼圆" w:cs="Times New Roman"/>
          <w:color w:val="000000"/>
          <w:sz w:val="24"/>
        </w:rPr>
        <w:t>”的商业网点布局体系。</w:t>
      </w:r>
    </w:p>
    <w:p w14:paraId="34661CE3">
      <w:pPr>
        <w:numPr>
          <w:ilvl w:val="0"/>
          <w:numId w:val="7"/>
        </w:numPr>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lang w:eastAsia="zh-CN"/>
        </w:rPr>
        <w:t>构建</w:t>
      </w:r>
      <w:r>
        <w:rPr>
          <w:rFonts w:hint="eastAsia" w:ascii="幼圆" w:hAnsi="Times New Roman" w:eastAsia="幼圆" w:cs="Times New Roman"/>
          <w:b/>
          <w:bCs/>
          <w:color w:val="000000"/>
          <w:sz w:val="24"/>
        </w:rPr>
        <w:t>以“一核三心”为主体的零售商业中心网络布局体系</w:t>
      </w:r>
      <w:r>
        <w:rPr>
          <w:rFonts w:hint="eastAsia" w:ascii="幼圆" w:hAnsi="Times New Roman" w:eastAsia="幼圆" w:cs="Times New Roman"/>
          <w:color w:val="000000"/>
          <w:sz w:val="24"/>
        </w:rPr>
        <w:t>，其中：结合汕尾中心城区，引入现代大中型商业业态，建设市级综合商业中心；优化海丰、陆丰和陆河三县（市）的商业网点布局体系，集聚提升商业业态，进一步提升三县（市）商业中心的综合服务能力，建设县级商业中心。</w:t>
      </w:r>
    </w:p>
    <w:p w14:paraId="5F74633C">
      <w:pPr>
        <w:numPr>
          <w:ilvl w:val="0"/>
          <w:numId w:val="7"/>
        </w:numPr>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培育汕尾新港物流基地、赤坑物流基地及大南海物流基地</w:t>
      </w:r>
      <w:r>
        <w:rPr>
          <w:rFonts w:hint="eastAsia" w:ascii="幼圆" w:hAnsi="Times New Roman" w:eastAsia="幼圆" w:cs="Times New Roman"/>
          <w:color w:val="000000"/>
          <w:sz w:val="24"/>
        </w:rPr>
        <w:t>，其中：充分发挥海港大进大出的物流集散功能，依托汕尾新港，培育汕尾新港物流基地；结合河源至汕尾铁路和沈海高速等陆路交通优势，培育赤坑物流基地；依托大南海石化产业园，培育大南海物流基地。</w:t>
      </w:r>
    </w:p>
    <w:p w14:paraId="5F0D80B2">
      <w:pPr>
        <w:numPr>
          <w:ilvl w:val="0"/>
          <w:numId w:val="7"/>
        </w:numPr>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建构“一轴带、六通道”的商贸流通轴带网络</w:t>
      </w:r>
      <w:r>
        <w:rPr>
          <w:rFonts w:hint="eastAsia" w:ascii="幼圆" w:hAnsi="Times New Roman" w:eastAsia="幼圆" w:cs="Times New Roman"/>
          <w:color w:val="000000"/>
          <w:sz w:val="24"/>
        </w:rPr>
        <w:t>，其中：“一轴带”为汕尾沿海商贸流通带，串联</w:t>
      </w:r>
      <w:r>
        <w:rPr>
          <w:rFonts w:hint="eastAsia" w:ascii="幼圆" w:hAnsi="Times New Roman" w:eastAsia="幼圆" w:cs="Times New Roman"/>
          <w:color w:val="000000"/>
          <w:sz w:val="24"/>
          <w:lang w:eastAsia="zh-CN"/>
        </w:rPr>
        <w:t>深汕特别合作区</w:t>
      </w:r>
      <w:r>
        <w:rPr>
          <w:rFonts w:hint="eastAsia" w:ascii="幼圆" w:hAnsi="Times New Roman" w:eastAsia="幼圆" w:cs="Times New Roman"/>
          <w:color w:val="000000"/>
          <w:sz w:val="24"/>
        </w:rPr>
        <w:t>、汕尾中心城区综合商业中心、汕尾新港物流基地及大南海物流基地，往东联系粤东四市，向西联系深圳、惠州。“六通道”为“一主五次”，“主通道”为深汕商贸物流流通主通道，“次通道”为一条粤东北商贸流通次通道、两条粤赣商贸流通次通道、一条海陆潮莞商贸流通次通道、一条潮汕商贸流通次通道。</w:t>
      </w:r>
    </w:p>
    <w:p w14:paraId="7954A58A">
      <w:pPr>
        <w:pStyle w:val="4"/>
        <w:numPr>
          <w:ilvl w:val="0"/>
          <w:numId w:val="1"/>
        </w:numPr>
        <w:spacing w:before="0" w:after="48" w:afterLines="20" w:line="288" w:lineRule="auto"/>
        <w:rPr>
          <w:rFonts w:hint="eastAsia" w:ascii="微软雅黑" w:hAnsi="微软雅黑" w:eastAsia="微软雅黑"/>
          <w:color w:val="000000"/>
        </w:rPr>
      </w:pPr>
      <w:bookmarkStart w:id="46" w:name="_Toc21665"/>
      <w:r>
        <w:rPr>
          <w:rFonts w:hint="eastAsia" w:ascii="微软雅黑" w:hAnsi="微软雅黑" w:eastAsia="微软雅黑"/>
          <w:color w:val="000000"/>
          <w:lang w:val="en-US" w:eastAsia="zh-CN"/>
        </w:rPr>
        <w:t>中心城区</w:t>
      </w:r>
      <w:r>
        <w:rPr>
          <w:rFonts w:hint="eastAsia" w:ascii="微软雅黑" w:hAnsi="微软雅黑" w:eastAsia="微软雅黑"/>
          <w:color w:val="000000"/>
        </w:rPr>
        <w:t>商业网点布局格局</w:t>
      </w:r>
      <w:bookmarkEnd w:id="46"/>
    </w:p>
    <w:p w14:paraId="5717E5FC">
      <w:pPr>
        <w:snapToGrid w:val="0"/>
        <w:spacing w:after="120" w:afterLines="50" w:line="300" w:lineRule="auto"/>
        <w:ind w:firstLine="482"/>
        <w:rPr>
          <w:rFonts w:hint="eastAsia" w:ascii="幼圆" w:hAnsi="宋体" w:eastAsia="幼圆" w:cs="Times New Roman"/>
          <w:color w:val="000000"/>
          <w:sz w:val="24"/>
        </w:rPr>
      </w:pPr>
      <w:r>
        <w:rPr>
          <w:rFonts w:hint="eastAsia" w:ascii="幼圆" w:hAnsi="宋体" w:eastAsia="幼圆" w:cs="Times New Roman"/>
          <w:color w:val="000000"/>
          <w:sz w:val="24"/>
        </w:rPr>
        <w:t>规划在中心城区内构建“</w:t>
      </w:r>
      <w:r>
        <w:rPr>
          <w:rFonts w:hint="eastAsia" w:ascii="幼圆" w:hAnsi="宋体" w:eastAsia="幼圆" w:cs="Times New Roman"/>
          <w:b/>
          <w:bCs/>
          <w:color w:val="000000"/>
          <w:sz w:val="24"/>
        </w:rPr>
        <w:t>三心七点、一基地，一带、一轴、一环</w:t>
      </w:r>
      <w:r>
        <w:rPr>
          <w:rFonts w:hint="eastAsia" w:ascii="幼圆" w:hAnsi="宋体" w:eastAsia="幼圆" w:cs="Times New Roman"/>
          <w:color w:val="000000"/>
          <w:sz w:val="24"/>
        </w:rPr>
        <w:t>”的中心城区商业网点布局体系。</w:t>
      </w:r>
    </w:p>
    <w:p w14:paraId="25345608">
      <w:pPr>
        <w:numPr>
          <w:ilvl w:val="0"/>
          <w:numId w:val="8"/>
        </w:numPr>
        <w:spacing w:after="120" w:afterLines="50" w:line="300" w:lineRule="auto"/>
        <w:jc w:val="left"/>
        <w:rPr>
          <w:rFonts w:hint="eastAsia" w:ascii="幼圆" w:hAnsi="宋体" w:eastAsia="幼圆" w:cs="Times New Roman"/>
          <w:color w:val="000000"/>
          <w:sz w:val="24"/>
        </w:rPr>
      </w:pPr>
      <w:r>
        <w:rPr>
          <w:rFonts w:hint="eastAsia" w:ascii="幼圆" w:hAnsi="华文宋体" w:eastAsia="幼圆"/>
          <w:b/>
          <w:sz w:val="24"/>
        </w:rPr>
        <w:t>打造三个城市级综合商业中心，</w:t>
      </w:r>
      <w:r>
        <w:rPr>
          <w:rFonts w:hint="eastAsia" w:ascii="幼圆" w:hAnsi="华文宋体" w:eastAsia="幼圆"/>
          <w:sz w:val="24"/>
        </w:rPr>
        <w:t>其中：优化提升老城综合商业中心，积极发展建设</w:t>
      </w:r>
      <w:r>
        <w:rPr>
          <w:rFonts w:hint="eastAsia" w:ascii="幼圆" w:hAnsi="华文宋体" w:eastAsia="幼圆"/>
          <w:sz w:val="24"/>
          <w:highlight w:val="none"/>
          <w:lang w:val="en-US" w:eastAsia="zh-CN"/>
        </w:rPr>
        <w:t>马宫海洋活力商业中心</w:t>
      </w:r>
      <w:r>
        <w:rPr>
          <w:rFonts w:hint="eastAsia" w:ascii="幼圆" w:hAnsi="华文宋体" w:eastAsia="幼圆"/>
          <w:sz w:val="24"/>
        </w:rPr>
        <w:t>，建设</w:t>
      </w:r>
      <w:r>
        <w:rPr>
          <w:rFonts w:hint="eastAsia" w:ascii="幼圆" w:hAnsi="华文宋体" w:eastAsia="幼圆"/>
          <w:sz w:val="24"/>
          <w:lang w:val="en-US" w:eastAsia="zh-CN"/>
        </w:rPr>
        <w:t>完善</w:t>
      </w:r>
      <w:r>
        <w:rPr>
          <w:rFonts w:hint="eastAsia" w:ascii="幼圆" w:hAnsi="华文宋体" w:eastAsia="幼圆"/>
          <w:sz w:val="24"/>
          <w:highlight w:val="none"/>
        </w:rPr>
        <w:t>火车站新城商业中心</w:t>
      </w:r>
      <w:r>
        <w:rPr>
          <w:rFonts w:hint="eastAsia" w:ascii="幼圆" w:hAnsi="华文宋体" w:eastAsia="幼圆"/>
          <w:sz w:val="24"/>
        </w:rPr>
        <w:t>。</w:t>
      </w:r>
    </w:p>
    <w:p w14:paraId="1602B542">
      <w:pPr>
        <w:numPr>
          <w:ilvl w:val="0"/>
          <w:numId w:val="8"/>
        </w:numPr>
        <w:spacing w:after="120" w:afterLines="50" w:line="300" w:lineRule="auto"/>
        <w:jc w:val="left"/>
        <w:rPr>
          <w:rFonts w:hint="eastAsia" w:ascii="幼圆" w:hAnsi="宋体" w:eastAsia="幼圆" w:cs="Times New Roman"/>
          <w:color w:val="000000"/>
          <w:sz w:val="24"/>
        </w:rPr>
      </w:pPr>
      <w:r>
        <w:rPr>
          <w:rFonts w:hint="eastAsia" w:ascii="幼圆" w:hAnsi="华文宋体" w:eastAsia="幼圆"/>
          <w:b/>
          <w:sz w:val="24"/>
        </w:rPr>
        <w:t>培育七个组团商业中心，</w:t>
      </w:r>
      <w:r>
        <w:rPr>
          <w:rFonts w:hint="eastAsia" w:ascii="幼圆" w:hAnsi="华文宋体" w:eastAsia="幼圆"/>
          <w:bCs/>
          <w:sz w:val="24"/>
        </w:rPr>
        <w:t>其中：结合中心城区国土空间总体规划空间布局，分别在红草组团、</w:t>
      </w:r>
      <w:r>
        <w:rPr>
          <w:rFonts w:hint="eastAsia" w:ascii="幼圆" w:hAnsi="华文宋体" w:eastAsia="幼圆"/>
          <w:bCs/>
          <w:sz w:val="24"/>
          <w:highlight w:val="none"/>
          <w:lang w:val="en-US" w:eastAsia="zh-CN"/>
        </w:rPr>
        <w:t>品清湖组团</w:t>
      </w:r>
      <w:r>
        <w:rPr>
          <w:rFonts w:hint="eastAsia" w:ascii="幼圆" w:hAnsi="华文宋体" w:eastAsia="幼圆"/>
          <w:bCs/>
          <w:sz w:val="24"/>
        </w:rPr>
        <w:t>、金町湾组团、石洲组团、捷胜组团、田墘组团、遮浪组团培育发展七个组团商业中心，</w:t>
      </w:r>
      <w:r>
        <w:rPr>
          <w:rFonts w:hint="eastAsia" w:ascii="幼圆" w:hAnsi="华文宋体" w:eastAsia="幼圆"/>
          <w:sz w:val="24"/>
        </w:rPr>
        <w:t>承担组团内的商业服务职能。</w:t>
      </w:r>
    </w:p>
    <w:p w14:paraId="2BAD4EFF">
      <w:pPr>
        <w:numPr>
          <w:ilvl w:val="0"/>
          <w:numId w:val="8"/>
        </w:numPr>
        <w:spacing w:after="120" w:afterLines="50" w:line="300" w:lineRule="auto"/>
        <w:jc w:val="left"/>
        <w:rPr>
          <w:rFonts w:hint="eastAsia" w:ascii="幼圆" w:hAnsi="宋体" w:eastAsia="幼圆" w:cs="Times New Roman"/>
          <w:color w:val="000000"/>
          <w:sz w:val="24"/>
        </w:rPr>
      </w:pPr>
      <w:r>
        <w:rPr>
          <w:rFonts w:hint="eastAsia" w:ascii="幼圆" w:hAnsi="华文宋体" w:eastAsia="幼圆"/>
          <w:b/>
          <w:sz w:val="24"/>
        </w:rPr>
        <w:t>建设汕尾新港物流基地，</w:t>
      </w:r>
      <w:r>
        <w:rPr>
          <w:rFonts w:hint="eastAsia" w:ascii="幼圆" w:hAnsi="华文宋体" w:eastAsia="幼圆"/>
          <w:bCs/>
          <w:sz w:val="24"/>
        </w:rPr>
        <w:t>充分发挥海港大进大出的物流集散功能，打造成为粤东地区的枢纽海港物流基地。</w:t>
      </w:r>
    </w:p>
    <w:p w14:paraId="33CED77C">
      <w:pPr>
        <w:numPr>
          <w:ilvl w:val="0"/>
          <w:numId w:val="8"/>
        </w:numPr>
        <w:spacing w:after="120" w:afterLines="50" w:line="300" w:lineRule="auto"/>
        <w:jc w:val="left"/>
        <w:rPr>
          <w:rFonts w:hint="eastAsia" w:ascii="幼圆" w:hAnsi="宋体" w:eastAsia="幼圆" w:cs="Times New Roman"/>
          <w:color w:val="000000"/>
          <w:sz w:val="24"/>
        </w:rPr>
      </w:pPr>
      <w:r>
        <w:rPr>
          <w:rFonts w:hint="eastAsia" w:ascii="幼圆" w:hAnsi="华文宋体" w:eastAsia="幼圆"/>
          <w:b/>
          <w:sz w:val="24"/>
        </w:rPr>
        <w:t>强化两条商贸、商业轴带</w:t>
      </w:r>
      <w:r>
        <w:rPr>
          <w:rFonts w:hint="eastAsia" w:ascii="幼圆" w:hAnsi="华文宋体" w:eastAsia="幼圆"/>
          <w:sz w:val="24"/>
        </w:rPr>
        <w:t>，其中：充分发掘滨海生态景观资源优势，沿线布局商业服务游憩设施，打造滨海商业发展带；依托汕尾大道及红海湾大道，打造城市商贸发展轴，串联红草组团商业中心、火车站商贸综合商业中心、</w:t>
      </w:r>
      <w:r>
        <w:rPr>
          <w:rFonts w:hint="eastAsia" w:ascii="幼圆" w:hAnsi="华文宋体" w:eastAsia="幼圆"/>
          <w:bCs/>
          <w:sz w:val="24"/>
        </w:rPr>
        <w:t>石洲</w:t>
      </w:r>
      <w:r>
        <w:rPr>
          <w:rFonts w:hint="eastAsia" w:ascii="幼圆" w:hAnsi="华文宋体" w:eastAsia="幼圆"/>
          <w:sz w:val="24"/>
        </w:rPr>
        <w:t>组团商业中心、田墘组团商业中心、汕尾新港物流基地、遮浪组团商业中心，强化陆港铁联运。</w:t>
      </w:r>
    </w:p>
    <w:p w14:paraId="0C367CB5">
      <w:pPr>
        <w:numPr>
          <w:ilvl w:val="0"/>
          <w:numId w:val="8"/>
        </w:numPr>
        <w:spacing w:after="120" w:afterLines="50" w:line="300" w:lineRule="auto"/>
        <w:jc w:val="left"/>
        <w:rPr>
          <w:rFonts w:hint="eastAsia" w:ascii="幼圆" w:hAnsi="宋体" w:eastAsia="幼圆" w:cs="Times New Roman"/>
          <w:color w:val="000000"/>
          <w:sz w:val="24"/>
        </w:rPr>
      </w:pPr>
      <w:r>
        <w:rPr>
          <w:rFonts w:hint="eastAsia" w:ascii="幼圆" w:hAnsi="华文宋体" w:eastAsia="幼圆"/>
          <w:b/>
          <w:color w:val="000000"/>
          <w:sz w:val="24"/>
        </w:rPr>
        <w:t>塑造品清湖休闲商业环，</w:t>
      </w:r>
      <w:r>
        <w:rPr>
          <w:rFonts w:hint="eastAsia" w:ascii="幼圆" w:hAnsi="华文宋体" w:eastAsia="幼圆"/>
          <w:color w:val="000000"/>
          <w:sz w:val="24"/>
        </w:rPr>
        <w:t>围绕品清湖，结合滨水资源环境，打造特色休闲商业环。</w:t>
      </w:r>
    </w:p>
    <w:p w14:paraId="7C13A1A5">
      <w:pPr>
        <w:pStyle w:val="4"/>
        <w:numPr>
          <w:ilvl w:val="0"/>
          <w:numId w:val="1"/>
        </w:numPr>
        <w:spacing w:before="0" w:after="48" w:afterLines="20" w:line="288" w:lineRule="auto"/>
        <w:rPr>
          <w:rFonts w:hint="eastAsia" w:ascii="微软雅黑" w:hAnsi="微软雅黑" w:eastAsia="微软雅黑" w:cs="Times New Roman"/>
          <w:b/>
          <w:bCs/>
          <w:color w:val="000000"/>
          <w:lang w:val="en-US" w:eastAsia="zh-CN"/>
        </w:rPr>
      </w:pPr>
      <w:bookmarkStart w:id="47" w:name="_Toc15172"/>
      <w:r>
        <w:rPr>
          <w:rFonts w:hint="eastAsia" w:ascii="微软雅黑" w:hAnsi="微软雅黑" w:eastAsia="微软雅黑" w:cs="Times New Roman"/>
          <w:b/>
          <w:bCs/>
          <w:color w:val="000000"/>
          <w:lang w:val="en-US" w:eastAsia="zh-CN"/>
        </w:rPr>
        <w:t>陆丰市商业网点布局体系</w:t>
      </w:r>
      <w:bookmarkEnd w:id="47"/>
    </w:p>
    <w:p w14:paraId="333B0F10">
      <w:pPr>
        <w:numPr>
          <w:ilvl w:val="0"/>
          <w:numId w:val="9"/>
        </w:numPr>
        <w:spacing w:after="120" w:afterLines="50" w:line="300" w:lineRule="auto"/>
        <w:rPr>
          <w:rFonts w:hint="eastAsia" w:ascii="幼圆" w:hAnsi="Times New Roman" w:eastAsia="幼圆" w:cs="Times New Roman"/>
          <w:b/>
          <w:bCs/>
          <w:color w:val="000000"/>
          <w:sz w:val="24"/>
          <w:lang w:val="en-US" w:eastAsia="zh-CN"/>
        </w:rPr>
      </w:pPr>
      <w:r>
        <w:rPr>
          <w:rFonts w:hint="eastAsia" w:ascii="幼圆" w:hAnsi="Times New Roman" w:eastAsia="幼圆" w:cs="Times New Roman"/>
          <w:b/>
          <w:bCs/>
          <w:color w:val="000000"/>
          <w:sz w:val="24"/>
          <w:lang w:val="en-US" w:eastAsia="zh-CN"/>
        </w:rPr>
        <w:t>规划</w:t>
      </w:r>
      <w:r>
        <w:rPr>
          <w:rFonts w:hint="eastAsia" w:ascii="幼圆" w:hAnsi="Times New Roman" w:eastAsia="幼圆" w:cs="Times New Roman"/>
          <w:b/>
          <w:bCs/>
          <w:color w:val="000000"/>
          <w:sz w:val="24"/>
        </w:rPr>
        <w:t>陆丰市</w:t>
      </w:r>
      <w:r>
        <w:rPr>
          <w:rFonts w:hint="eastAsia" w:ascii="幼圆" w:hAnsi="Times New Roman" w:eastAsia="幼圆" w:cs="Times New Roman"/>
          <w:b/>
          <w:bCs/>
          <w:color w:val="000000"/>
          <w:sz w:val="24"/>
        </w:rPr>
        <w:t>构建“</w:t>
      </w:r>
      <w:r>
        <w:rPr>
          <w:rFonts w:hint="eastAsia" w:ascii="幼圆" w:hAnsi="Times New Roman" w:eastAsia="幼圆" w:cs="Times New Roman"/>
          <w:b/>
          <w:bCs/>
          <w:color w:val="000000"/>
          <w:sz w:val="24"/>
          <w:lang w:val="en-US" w:eastAsia="zh-CN"/>
        </w:rPr>
        <w:t>一核四心一基地，轴带联动</w:t>
      </w:r>
      <w:r>
        <w:rPr>
          <w:rFonts w:hint="eastAsia" w:ascii="幼圆" w:hAnsi="Times New Roman" w:eastAsia="幼圆" w:cs="Times New Roman"/>
          <w:b/>
          <w:bCs/>
          <w:color w:val="000000"/>
          <w:sz w:val="24"/>
        </w:rPr>
        <w:t>”的陆丰</w:t>
      </w:r>
      <w:r>
        <w:rPr>
          <w:rFonts w:hint="eastAsia" w:ascii="幼圆" w:hAnsi="Times New Roman" w:eastAsia="幼圆" w:cs="Times New Roman"/>
          <w:b/>
          <w:bCs/>
          <w:color w:val="000000"/>
          <w:sz w:val="24"/>
        </w:rPr>
        <w:t>市商业网点布局体系。</w:t>
      </w:r>
    </w:p>
    <w:p w14:paraId="4DA35440">
      <w:pPr>
        <w:snapToGrid w:val="0"/>
        <w:spacing w:after="120" w:afterLines="50" w:line="300" w:lineRule="auto"/>
        <w:ind w:firstLine="482"/>
        <w:rPr>
          <w:rFonts w:hint="default" w:ascii="幼圆" w:hAnsi="Times New Roman" w:eastAsia="幼圆" w:cs="Times New Roman"/>
          <w:sz w:val="24"/>
          <w:lang w:val="en-US" w:eastAsia="zh-CN"/>
        </w:rPr>
      </w:pPr>
      <w:r>
        <w:rPr>
          <w:rFonts w:hint="eastAsia" w:ascii="幼圆" w:hAnsi="Times New Roman" w:eastAsia="幼圆" w:cs="Times New Roman"/>
          <w:sz w:val="24"/>
          <w:lang w:val="en-US" w:eastAsia="zh-CN"/>
        </w:rPr>
        <w:t>打造陆丰综合商业核心。</w:t>
      </w:r>
      <w:r>
        <w:rPr>
          <w:rFonts w:hint="eastAsia" w:ascii="幼圆" w:hAnsi="华文宋体" w:eastAsia="幼圆" w:cs="Times New Roman"/>
          <w:sz w:val="24"/>
          <w:highlight w:val="none"/>
          <w:lang w:val="en-US" w:eastAsia="zh-CN"/>
        </w:rPr>
        <w:t>围绕</w:t>
      </w:r>
      <w:r>
        <w:rPr>
          <w:rFonts w:hint="default" w:ascii="幼圆" w:hAnsi="华文宋体" w:eastAsia="幼圆" w:cs="Times New Roman"/>
          <w:sz w:val="24"/>
          <w:highlight w:val="none"/>
          <w:lang w:val="en-US" w:eastAsia="zh-CN"/>
        </w:rPr>
        <w:t>新城产城融合商圈</w:t>
      </w:r>
      <w:r>
        <w:rPr>
          <w:rFonts w:hint="eastAsia" w:ascii="幼圆" w:hAnsi="华文宋体" w:eastAsia="幼圆" w:cs="Times New Roman"/>
          <w:sz w:val="24"/>
          <w:highlight w:val="none"/>
          <w:lang w:val="en-US" w:eastAsia="zh-CN"/>
        </w:rPr>
        <w:t>和</w:t>
      </w:r>
      <w:r>
        <w:rPr>
          <w:rFonts w:hint="default" w:ascii="幼圆" w:hAnsi="华文宋体" w:eastAsia="幼圆" w:cs="Times New Roman"/>
          <w:sz w:val="24"/>
          <w:highlight w:val="none"/>
          <w:lang w:val="en-US" w:eastAsia="zh-CN"/>
        </w:rPr>
        <w:t>滨海科创商贸</w:t>
      </w:r>
      <w:r>
        <w:rPr>
          <w:rFonts w:hint="eastAsia" w:ascii="幼圆" w:hAnsi="华文宋体" w:eastAsia="幼圆" w:cs="Times New Roman"/>
          <w:sz w:val="24"/>
          <w:highlight w:val="none"/>
          <w:lang w:val="en-US" w:eastAsia="zh-CN"/>
        </w:rPr>
        <w:t>商圈两大县域商圈，打造陆丰市综合商业核心。</w:t>
      </w:r>
    </w:p>
    <w:p w14:paraId="146468C7">
      <w:pPr>
        <w:snapToGrid w:val="0"/>
        <w:spacing w:after="120" w:afterLines="50" w:line="300" w:lineRule="auto"/>
        <w:ind w:firstLine="482"/>
        <w:rPr>
          <w:rFonts w:hint="eastAsia" w:ascii="幼圆" w:hAnsi="Times New Roman" w:eastAsia="幼圆" w:cs="Times New Roman"/>
          <w:sz w:val="24"/>
          <w:lang w:val="en-US" w:eastAsia="zh-CN"/>
        </w:rPr>
      </w:pPr>
      <w:r>
        <w:rPr>
          <w:rFonts w:hint="eastAsia" w:ascii="幼圆" w:hAnsi="Times New Roman" w:eastAsia="幼圆" w:cs="Times New Roman"/>
          <w:sz w:val="24"/>
          <w:lang w:val="en-US" w:eastAsia="zh-CN"/>
        </w:rPr>
        <w:t>培育四个商业副中心。</w:t>
      </w:r>
      <w:r>
        <w:rPr>
          <w:rFonts w:hint="eastAsia" w:ascii="幼圆" w:hAnsi="华文宋体" w:eastAsia="幼圆" w:cs="Times New Roman"/>
          <w:b w:val="0"/>
          <w:bCs/>
          <w:sz w:val="24"/>
          <w:highlight w:val="none"/>
          <w:lang w:val="en-US" w:eastAsia="zh-CN"/>
        </w:rPr>
        <w:t>重点发展滨海旅游服务、特色餐饮、文化体验和民宿集群，专业交易市场等，打造“文旅商旅一体化”消费核心区；构建“产城融合型供应链服务中心”，打造星都产业商贸副中心；发展水产品交易、渔需物资供应，并利用产业基础发展五金塑料等工业品展销，建设成为服务三甲地区的渔港商贸中心；依托农产品物流、销售，打造市域东南部农副产品流通枢纽。</w:t>
      </w:r>
    </w:p>
    <w:p w14:paraId="3F4C1F6A">
      <w:pPr>
        <w:snapToGrid w:val="0"/>
        <w:spacing w:after="120" w:afterLines="50" w:line="300" w:lineRule="auto"/>
        <w:ind w:firstLine="482"/>
        <w:rPr>
          <w:rFonts w:hint="eastAsia" w:ascii="幼圆" w:hAnsi="Times New Roman" w:eastAsia="幼圆" w:cs="Times New Roman"/>
          <w:sz w:val="24"/>
          <w:lang w:val="en-US" w:eastAsia="zh-CN"/>
        </w:rPr>
      </w:pPr>
      <w:r>
        <w:rPr>
          <w:rFonts w:hint="eastAsia" w:ascii="幼圆" w:hAnsi="Times New Roman" w:eastAsia="幼圆" w:cs="Times New Roman"/>
          <w:sz w:val="24"/>
          <w:lang w:val="en-US" w:eastAsia="zh-CN"/>
        </w:rPr>
        <w:t>建设大南海物流基地。为服务揭阳大南海石化产业基地及汕尾市新材料产业园，建设大南海物流基地，强化港口-铁路-公路联动。</w:t>
      </w:r>
    </w:p>
    <w:p w14:paraId="3D7EF71D">
      <w:pPr>
        <w:numPr>
          <w:ilvl w:val="0"/>
          <w:numId w:val="9"/>
        </w:numPr>
        <w:spacing w:after="120" w:afterLines="50" w:line="300" w:lineRule="auto"/>
        <w:rPr>
          <w:rFonts w:hint="eastAsia" w:ascii="幼圆" w:hAnsi="Times New Roman" w:eastAsia="幼圆" w:cs="Times New Roman"/>
          <w:b/>
          <w:bCs/>
          <w:color w:val="000000"/>
          <w:sz w:val="24"/>
          <w:lang w:val="en-US" w:eastAsia="zh-CN"/>
        </w:rPr>
      </w:pPr>
      <w:r>
        <w:rPr>
          <w:rFonts w:hint="eastAsia" w:ascii="幼圆" w:hAnsi="Times New Roman" w:eastAsia="幼圆" w:cs="Times New Roman"/>
          <w:b/>
          <w:bCs/>
          <w:color w:val="000000"/>
          <w:sz w:val="24"/>
          <w:lang w:val="en-US" w:eastAsia="zh-CN"/>
        </w:rPr>
        <w:t>规划重点提出三大规划指引。</w:t>
      </w:r>
    </w:p>
    <w:p w14:paraId="1B623884">
      <w:pPr>
        <w:adjustRightInd w:val="0"/>
        <w:snapToGrid w:val="0"/>
        <w:spacing w:after="156" w:afterLines="50" w:line="360" w:lineRule="auto"/>
        <w:ind w:firstLine="480" w:firstLineChars="200"/>
        <w:rPr>
          <w:rFonts w:hint="eastAsia" w:ascii="幼圆" w:hAnsi="华文宋体" w:eastAsia="幼圆"/>
          <w:color w:val="000000"/>
          <w:sz w:val="24"/>
          <w:highlight w:val="none"/>
          <w:lang w:val="en-US" w:eastAsia="zh-CN"/>
        </w:rPr>
      </w:pPr>
      <w:r>
        <w:rPr>
          <w:rFonts w:hint="eastAsia" w:ascii="幼圆" w:hAnsi="华文宋体" w:eastAsia="幼圆"/>
          <w:color w:val="000000"/>
          <w:sz w:val="24"/>
          <w:highlight w:val="none"/>
        </w:rPr>
        <w:t>重点推动东海大街步行街改造</w:t>
      </w:r>
      <w:r>
        <w:rPr>
          <w:rFonts w:hint="eastAsia" w:ascii="幼圆" w:hAnsi="华文宋体" w:eastAsia="幼圆"/>
          <w:color w:val="000000"/>
          <w:sz w:val="24"/>
          <w:highlight w:val="none"/>
          <w:lang w:eastAsia="zh-CN"/>
        </w:rPr>
        <w:t>，</w:t>
      </w:r>
      <w:r>
        <w:rPr>
          <w:rFonts w:hint="eastAsia" w:ascii="幼圆" w:hAnsi="华文宋体" w:eastAsia="幼圆"/>
          <w:color w:val="000000"/>
          <w:sz w:val="24"/>
          <w:highlight w:val="none"/>
          <w:lang w:val="en-US" w:eastAsia="zh-CN"/>
        </w:rPr>
        <w:t>融入文化、滨海风情等元素，发展新型商业业态。</w:t>
      </w:r>
    </w:p>
    <w:p w14:paraId="021296BF">
      <w:pPr>
        <w:adjustRightInd w:val="0"/>
        <w:snapToGrid w:val="0"/>
        <w:spacing w:after="156" w:afterLines="50" w:line="360" w:lineRule="auto"/>
        <w:ind w:firstLine="480" w:firstLineChars="200"/>
        <w:rPr>
          <w:rFonts w:hint="eastAsia" w:ascii="幼圆" w:hAnsi="华文宋体" w:eastAsia="幼圆"/>
          <w:color w:val="000000"/>
          <w:sz w:val="24"/>
          <w:highlight w:val="none"/>
          <w:lang w:val="en-US" w:eastAsia="zh-CN"/>
        </w:rPr>
      </w:pPr>
      <w:r>
        <w:rPr>
          <w:rFonts w:hint="eastAsia" w:ascii="幼圆" w:hAnsi="华文宋体" w:eastAsia="幼圆"/>
          <w:color w:val="000000"/>
          <w:sz w:val="24"/>
          <w:highlight w:val="none"/>
        </w:rPr>
        <w:t>依托金厢滩、玄武山等资源发展滨海消费，</w:t>
      </w:r>
      <w:r>
        <w:rPr>
          <w:rFonts w:hint="eastAsia" w:ascii="幼圆" w:hAnsi="华文宋体" w:eastAsia="幼圆"/>
          <w:color w:val="000000"/>
          <w:sz w:val="24"/>
          <w:highlight w:val="none"/>
          <w:lang w:val="en-US" w:eastAsia="zh-CN"/>
        </w:rPr>
        <w:t>打造滨海消费廊道。</w:t>
      </w:r>
    </w:p>
    <w:p w14:paraId="438E40D2">
      <w:pPr>
        <w:adjustRightInd w:val="0"/>
        <w:snapToGrid w:val="0"/>
        <w:spacing w:after="156" w:afterLines="50" w:line="360" w:lineRule="auto"/>
        <w:ind w:firstLine="480" w:firstLineChars="200"/>
        <w:rPr>
          <w:rFonts w:hint="eastAsia" w:ascii="幼圆" w:hAnsi="华文宋体" w:eastAsia="幼圆"/>
          <w:color w:val="000000"/>
          <w:sz w:val="24"/>
          <w:highlight w:val="none"/>
        </w:rPr>
      </w:pPr>
      <w:r>
        <w:rPr>
          <w:rFonts w:hint="eastAsia" w:ascii="幼圆" w:hAnsi="华文宋体" w:eastAsia="幼圆"/>
          <w:color w:val="000000"/>
          <w:sz w:val="24"/>
          <w:highlight w:val="none"/>
        </w:rPr>
        <w:t>建设服务石化产业的大南海物流基地。</w:t>
      </w:r>
    </w:p>
    <w:p w14:paraId="21993C6D">
      <w:pPr>
        <w:pStyle w:val="4"/>
        <w:numPr>
          <w:ilvl w:val="0"/>
          <w:numId w:val="1"/>
        </w:numPr>
        <w:spacing w:before="0" w:after="48" w:afterLines="20" w:line="288" w:lineRule="auto"/>
        <w:rPr>
          <w:rFonts w:hint="eastAsia" w:ascii="微软雅黑" w:hAnsi="微软雅黑" w:eastAsia="微软雅黑" w:cs="Times New Roman"/>
          <w:b/>
          <w:bCs/>
          <w:color w:val="000000"/>
          <w:lang w:val="en-US" w:eastAsia="zh-CN"/>
        </w:rPr>
      </w:pPr>
      <w:bookmarkStart w:id="48" w:name="_Toc16215"/>
      <w:r>
        <w:rPr>
          <w:rFonts w:hint="eastAsia" w:ascii="微软雅黑" w:hAnsi="微软雅黑" w:eastAsia="微软雅黑" w:cs="Times New Roman"/>
          <w:b/>
          <w:bCs/>
          <w:color w:val="000000"/>
          <w:lang w:val="en-US" w:eastAsia="zh-CN"/>
        </w:rPr>
        <w:t>海丰县商业网点布局体系</w:t>
      </w:r>
      <w:bookmarkEnd w:id="48"/>
    </w:p>
    <w:p w14:paraId="10E88F1A">
      <w:pPr>
        <w:numPr>
          <w:ilvl w:val="0"/>
          <w:numId w:val="10"/>
        </w:numPr>
        <w:spacing w:after="120" w:afterLines="50" w:line="300" w:lineRule="auto"/>
        <w:rPr>
          <w:rFonts w:hint="eastAsia" w:ascii="幼圆" w:hAnsi="Times New Roman" w:eastAsia="幼圆" w:cs="Times New Roman"/>
          <w:b/>
          <w:bCs/>
          <w:color w:val="000000"/>
          <w:sz w:val="24"/>
          <w:lang w:val="en-US" w:eastAsia="zh-CN"/>
        </w:rPr>
      </w:pPr>
      <w:r>
        <w:rPr>
          <w:rFonts w:hint="eastAsia" w:ascii="幼圆" w:hAnsi="Times New Roman" w:eastAsia="幼圆" w:cs="Times New Roman"/>
          <w:b/>
          <w:bCs/>
          <w:color w:val="000000"/>
          <w:sz w:val="24"/>
          <w:lang w:val="en-US" w:eastAsia="zh-CN"/>
        </w:rPr>
        <w:t>规划</w:t>
      </w:r>
      <w:r>
        <w:rPr>
          <w:rFonts w:hint="eastAsia" w:ascii="幼圆" w:hAnsi="Times New Roman" w:eastAsia="幼圆" w:cs="Times New Roman"/>
          <w:b/>
          <w:bCs/>
          <w:color w:val="000000"/>
          <w:sz w:val="24"/>
        </w:rPr>
        <w:t>在海</w:t>
      </w:r>
      <w:r>
        <w:rPr>
          <w:rFonts w:hint="eastAsia" w:ascii="幼圆" w:hAnsi="Times New Roman" w:eastAsia="幼圆" w:cs="Times New Roman"/>
          <w:b/>
          <w:bCs/>
          <w:color w:val="000000"/>
          <w:sz w:val="24"/>
          <w:lang w:val="en-US" w:eastAsia="zh-CN"/>
        </w:rPr>
        <w:t>丰县构建“一核三心一基地，区域协同”的</w:t>
      </w:r>
      <w:r>
        <w:rPr>
          <w:rFonts w:hint="eastAsia" w:ascii="幼圆" w:hAnsi="Times New Roman" w:eastAsia="幼圆" w:cs="Times New Roman"/>
          <w:b/>
          <w:bCs/>
          <w:color w:val="000000"/>
          <w:sz w:val="24"/>
        </w:rPr>
        <w:t>海丰县商业网点布局体系。</w:t>
      </w:r>
    </w:p>
    <w:p w14:paraId="0858CD8E">
      <w:pPr>
        <w:adjustRightInd w:val="0"/>
        <w:snapToGrid w:val="0"/>
        <w:spacing w:after="156" w:afterLines="50" w:line="360" w:lineRule="auto"/>
        <w:ind w:firstLine="480" w:firstLineChars="200"/>
        <w:rPr>
          <w:rFonts w:hint="eastAsia" w:ascii="幼圆" w:hAnsi="华文宋体" w:eastAsia="幼圆" w:cs="Times New Roman"/>
          <w:sz w:val="24"/>
          <w:highlight w:val="none"/>
          <w:lang w:val="en-US" w:eastAsia="zh-CN"/>
        </w:rPr>
      </w:pPr>
      <w:r>
        <w:rPr>
          <w:rFonts w:hint="eastAsia" w:ascii="幼圆" w:hAnsi="华文宋体" w:eastAsia="幼圆" w:cs="Times New Roman"/>
          <w:sz w:val="24"/>
          <w:highlight w:val="none"/>
          <w:lang w:val="en-US" w:eastAsia="zh-CN"/>
        </w:rPr>
        <w:t>围绕海丰县县城和</w:t>
      </w:r>
      <w:r>
        <w:rPr>
          <w:rFonts w:hint="default" w:ascii="幼圆" w:hAnsi="华文宋体" w:eastAsia="幼圆" w:cs="Times New Roman"/>
          <w:sz w:val="24"/>
          <w:highlight w:val="none"/>
          <w:lang w:val="en-US" w:eastAsia="zh-CN"/>
        </w:rPr>
        <w:t>生态科技城</w:t>
      </w:r>
      <w:r>
        <w:rPr>
          <w:rFonts w:hint="eastAsia" w:ascii="幼圆" w:hAnsi="华文宋体" w:eastAsia="幼圆" w:cs="Times New Roman"/>
          <w:sz w:val="24"/>
          <w:highlight w:val="none"/>
          <w:lang w:val="en-US" w:eastAsia="zh-CN"/>
        </w:rPr>
        <w:t>，打造海丰综合商业核心。对海丰县县城商圈商业分类进行规划指引，老街区商业重点提质增效，新城商业重点创新引领。对</w:t>
      </w:r>
      <w:r>
        <w:rPr>
          <w:rFonts w:hint="default" w:ascii="幼圆" w:hAnsi="华文宋体" w:eastAsia="幼圆" w:cs="Times New Roman"/>
          <w:sz w:val="24"/>
          <w:highlight w:val="none"/>
          <w:lang w:val="en-US" w:eastAsia="zh-CN"/>
        </w:rPr>
        <w:t>生态科技城产城融合商圈</w:t>
      </w:r>
      <w:r>
        <w:rPr>
          <w:rFonts w:hint="eastAsia" w:ascii="幼圆" w:hAnsi="华文宋体" w:eastAsia="幼圆" w:cs="Times New Roman"/>
          <w:sz w:val="24"/>
          <w:highlight w:val="none"/>
          <w:lang w:val="en-US" w:eastAsia="zh-CN"/>
        </w:rPr>
        <w:t>，重点围绕产业配套商业服务，构建“15分钟产业生活圈”。</w:t>
      </w:r>
    </w:p>
    <w:p w14:paraId="44D56751">
      <w:pPr>
        <w:adjustRightInd w:val="0"/>
        <w:snapToGrid w:val="0"/>
        <w:spacing w:after="156" w:afterLines="50" w:line="360" w:lineRule="auto"/>
        <w:ind w:firstLine="480" w:firstLineChars="200"/>
        <w:rPr>
          <w:rFonts w:hint="eastAsia" w:ascii="幼圆" w:hAnsi="华文宋体" w:eastAsia="幼圆" w:cs="Times New Roman"/>
          <w:sz w:val="24"/>
          <w:highlight w:val="none"/>
          <w:lang w:val="en-US" w:eastAsia="zh-CN"/>
        </w:rPr>
      </w:pPr>
      <w:r>
        <w:rPr>
          <w:rFonts w:hint="eastAsia" w:ascii="幼圆" w:hAnsi="华文宋体" w:eastAsia="幼圆" w:cs="Times New Roman"/>
          <w:sz w:val="24"/>
          <w:highlight w:val="none"/>
          <w:lang w:val="en-US" w:eastAsia="zh-CN"/>
        </w:rPr>
        <w:t>培育三个商业副中心。分别依托三个产业发展程度高、专业性强的重点镇，打造三个商业副中心，包括</w:t>
      </w:r>
      <w:r>
        <w:rPr>
          <w:rFonts w:hint="default" w:ascii="幼圆" w:hAnsi="华文宋体" w:eastAsia="幼圆" w:cs="Times New Roman"/>
          <w:sz w:val="24"/>
          <w:highlight w:val="none"/>
          <w:lang w:val="en-US" w:eastAsia="zh-CN"/>
        </w:rPr>
        <w:t>梅陇镇</w:t>
      </w:r>
      <w:r>
        <w:rPr>
          <w:rFonts w:hint="eastAsia" w:ascii="幼圆" w:hAnsi="华文宋体" w:eastAsia="幼圆" w:cs="Times New Roman"/>
          <w:sz w:val="24"/>
          <w:highlight w:val="none"/>
          <w:lang w:val="en-US" w:eastAsia="zh-CN"/>
        </w:rPr>
        <w:t>综合</w:t>
      </w:r>
      <w:r>
        <w:rPr>
          <w:rFonts w:hint="default" w:ascii="幼圆" w:hAnsi="华文宋体" w:eastAsia="幼圆" w:cs="Times New Roman"/>
          <w:sz w:val="24"/>
          <w:highlight w:val="none"/>
          <w:lang w:val="en-US" w:eastAsia="zh-CN"/>
        </w:rPr>
        <w:t>商贸</w:t>
      </w:r>
      <w:r>
        <w:rPr>
          <w:rFonts w:hint="eastAsia" w:ascii="幼圆" w:hAnsi="华文宋体" w:eastAsia="幼圆" w:cs="Times New Roman"/>
          <w:sz w:val="24"/>
          <w:highlight w:val="none"/>
          <w:lang w:val="en-US" w:eastAsia="zh-CN"/>
        </w:rPr>
        <w:t>副中心、公平镇纺织服装</w:t>
      </w:r>
      <w:r>
        <w:rPr>
          <w:rFonts w:hint="default" w:ascii="幼圆" w:hAnsi="华文宋体" w:eastAsia="幼圆" w:cs="Times New Roman"/>
          <w:sz w:val="24"/>
          <w:highlight w:val="none"/>
          <w:lang w:val="en-US" w:eastAsia="zh-CN"/>
        </w:rPr>
        <w:t>商贸</w:t>
      </w:r>
      <w:r>
        <w:rPr>
          <w:rFonts w:hint="eastAsia" w:ascii="幼圆" w:hAnsi="华文宋体" w:eastAsia="幼圆" w:cs="Times New Roman"/>
          <w:sz w:val="24"/>
          <w:highlight w:val="none"/>
          <w:lang w:val="en-US" w:eastAsia="zh-CN"/>
        </w:rPr>
        <w:t>副中心和可塘镇</w:t>
      </w:r>
      <w:r>
        <w:rPr>
          <w:rFonts w:hint="default" w:ascii="幼圆" w:hAnsi="华文宋体" w:eastAsia="幼圆" w:cs="Times New Roman"/>
          <w:sz w:val="24"/>
          <w:highlight w:val="none"/>
          <w:lang w:val="en-US" w:eastAsia="zh-CN"/>
        </w:rPr>
        <w:t>首饰商贸</w:t>
      </w:r>
      <w:r>
        <w:rPr>
          <w:rFonts w:hint="eastAsia" w:ascii="幼圆" w:hAnsi="华文宋体" w:eastAsia="幼圆" w:cs="Times New Roman"/>
          <w:sz w:val="24"/>
          <w:highlight w:val="none"/>
          <w:lang w:val="en-US" w:eastAsia="zh-CN"/>
        </w:rPr>
        <w:t>副中心。</w:t>
      </w:r>
    </w:p>
    <w:p w14:paraId="23486A0B">
      <w:pPr>
        <w:adjustRightInd w:val="0"/>
        <w:snapToGrid w:val="0"/>
        <w:spacing w:after="156" w:afterLines="50" w:line="360" w:lineRule="auto"/>
        <w:ind w:firstLine="480" w:firstLineChars="200"/>
        <w:rPr>
          <w:rFonts w:hint="eastAsia" w:ascii="幼圆" w:hAnsi="华文宋体" w:eastAsia="幼圆" w:cs="Times New Roman"/>
          <w:color w:val="000000"/>
          <w:sz w:val="24"/>
          <w:highlight w:val="none"/>
          <w:lang w:val="en-US" w:eastAsia="zh-CN"/>
        </w:rPr>
      </w:pPr>
      <w:r>
        <w:rPr>
          <w:rFonts w:hint="eastAsia" w:ascii="幼圆" w:hAnsi="华文宋体" w:eastAsia="幼圆" w:cs="Times New Roman"/>
          <w:color w:val="000000"/>
          <w:sz w:val="24"/>
          <w:highlight w:val="none"/>
          <w:lang w:val="en-US" w:eastAsia="zh-CN"/>
        </w:rPr>
        <w:t>建设赤坑物流基地。赤坑物流基地作为服务汕尾乃至区域的</w:t>
      </w:r>
      <w:r>
        <w:rPr>
          <w:rFonts w:hint="default" w:ascii="幼圆" w:hAnsi="华文宋体" w:eastAsia="幼圆" w:cs="Times New Roman"/>
          <w:color w:val="000000"/>
          <w:sz w:val="24"/>
          <w:highlight w:val="none"/>
          <w:lang w:val="en-US" w:eastAsia="zh-CN"/>
        </w:rPr>
        <w:t>综合性物流基地，</w:t>
      </w:r>
      <w:r>
        <w:rPr>
          <w:rFonts w:hint="eastAsia" w:ascii="幼圆" w:hAnsi="华文宋体" w:eastAsia="幼圆" w:cs="Times New Roman"/>
          <w:color w:val="000000"/>
          <w:sz w:val="24"/>
          <w:highlight w:val="none"/>
          <w:lang w:val="en-US" w:eastAsia="zh-CN"/>
        </w:rPr>
        <w:t>承担农产品、粮食、能源、矿石等大宗散杂货的物流服务，并着力打造区域性大宗商品的仓储、转运、分拨中心。</w:t>
      </w:r>
    </w:p>
    <w:p w14:paraId="37AB6BCB">
      <w:pPr>
        <w:numPr>
          <w:ilvl w:val="0"/>
          <w:numId w:val="10"/>
        </w:numPr>
        <w:spacing w:after="120" w:afterLines="50" w:line="300" w:lineRule="auto"/>
        <w:rPr>
          <w:rFonts w:hint="eastAsia" w:ascii="幼圆" w:hAnsi="Times New Roman" w:eastAsia="幼圆" w:cs="Times New Roman"/>
          <w:b/>
          <w:bCs/>
          <w:color w:val="000000"/>
          <w:sz w:val="24"/>
          <w:lang w:val="en-US" w:eastAsia="zh-CN"/>
        </w:rPr>
      </w:pPr>
      <w:r>
        <w:rPr>
          <w:rFonts w:hint="eastAsia" w:ascii="幼圆" w:hAnsi="Times New Roman" w:eastAsia="幼圆" w:cs="Times New Roman"/>
          <w:b/>
          <w:bCs/>
          <w:color w:val="000000"/>
          <w:sz w:val="24"/>
          <w:lang w:val="en-US" w:eastAsia="zh-CN"/>
        </w:rPr>
        <w:t>规划重点提出三大规划指引。</w:t>
      </w:r>
    </w:p>
    <w:p w14:paraId="16DD0210">
      <w:pPr>
        <w:adjustRightInd w:val="0"/>
        <w:snapToGrid w:val="0"/>
        <w:spacing w:after="156" w:afterLines="50" w:line="360" w:lineRule="auto"/>
        <w:ind w:firstLine="480" w:firstLineChars="200"/>
        <w:rPr>
          <w:rFonts w:hint="eastAsia" w:ascii="幼圆" w:hAnsi="华文宋体" w:eastAsia="幼圆" w:cs="Times New Roman"/>
          <w:sz w:val="24"/>
          <w:highlight w:val="none"/>
          <w:lang w:val="en-US" w:eastAsia="zh-CN"/>
        </w:rPr>
      </w:pPr>
      <w:r>
        <w:rPr>
          <w:rFonts w:hint="eastAsia" w:ascii="幼圆" w:hAnsi="华文宋体" w:eastAsia="幼圆" w:cs="Times New Roman"/>
          <w:sz w:val="24"/>
          <w:highlight w:val="none"/>
          <w:lang w:val="en-US" w:eastAsia="zh-CN"/>
        </w:rPr>
        <w:t>侧重对接大湾区消费市场，</w:t>
      </w:r>
      <w:r>
        <w:rPr>
          <w:rFonts w:hint="default" w:ascii="幼圆" w:hAnsi="华文宋体" w:eastAsia="幼圆" w:cs="Times New Roman"/>
          <w:sz w:val="24"/>
          <w:highlight w:val="none"/>
          <w:lang w:val="en-US" w:eastAsia="zh-CN"/>
        </w:rPr>
        <w:t>打造大湾区优质农产品直供基地</w:t>
      </w:r>
      <w:r>
        <w:rPr>
          <w:rFonts w:hint="eastAsia" w:ascii="幼圆" w:hAnsi="华文宋体" w:eastAsia="幼圆" w:cs="Times New Roman"/>
          <w:sz w:val="24"/>
          <w:highlight w:val="none"/>
          <w:lang w:val="en-US" w:eastAsia="zh-CN"/>
        </w:rPr>
        <w:t>；</w:t>
      </w:r>
      <w:r>
        <w:rPr>
          <w:rFonts w:hint="default" w:ascii="幼圆" w:hAnsi="华文宋体" w:eastAsia="幼圆" w:cs="Times New Roman"/>
          <w:sz w:val="24"/>
          <w:highlight w:val="none"/>
          <w:lang w:val="en-US" w:eastAsia="zh-CN"/>
        </w:rPr>
        <w:t>发展面向大湾区的休闲消费与电商</w:t>
      </w:r>
      <w:r>
        <w:rPr>
          <w:rFonts w:hint="eastAsia" w:ascii="幼圆" w:hAnsi="华文宋体" w:eastAsia="幼圆" w:cs="Times New Roman"/>
          <w:sz w:val="24"/>
          <w:highlight w:val="none"/>
          <w:lang w:val="en-US" w:eastAsia="zh-CN"/>
        </w:rPr>
        <w:t>。</w:t>
      </w:r>
    </w:p>
    <w:p w14:paraId="3E7FE4E8">
      <w:pPr>
        <w:adjustRightInd w:val="0"/>
        <w:snapToGrid w:val="0"/>
        <w:spacing w:after="156" w:afterLines="50" w:line="360" w:lineRule="auto"/>
        <w:ind w:firstLine="480" w:firstLineChars="200"/>
        <w:rPr>
          <w:rFonts w:hint="eastAsia" w:ascii="幼圆" w:hAnsi="华文宋体" w:eastAsia="幼圆" w:cs="Times New Roman"/>
          <w:sz w:val="24"/>
          <w:highlight w:val="none"/>
          <w:lang w:val="en-US" w:eastAsia="zh-CN"/>
        </w:rPr>
      </w:pPr>
      <w:r>
        <w:rPr>
          <w:rFonts w:hint="default" w:ascii="幼圆" w:hAnsi="华文宋体" w:eastAsia="幼圆" w:cs="Times New Roman"/>
          <w:sz w:val="24"/>
          <w:highlight w:val="none"/>
          <w:lang w:val="en-US" w:eastAsia="zh-CN"/>
        </w:rPr>
        <w:t>以天虹购物中心为引擎发展现代商贸</w:t>
      </w:r>
      <w:r>
        <w:rPr>
          <w:rFonts w:hint="eastAsia" w:ascii="幼圆" w:hAnsi="华文宋体" w:eastAsia="幼圆" w:cs="Times New Roman"/>
          <w:sz w:val="24"/>
          <w:highlight w:val="none"/>
          <w:lang w:val="en-US" w:eastAsia="zh-CN"/>
        </w:rPr>
        <w:t>，</w:t>
      </w:r>
      <w:r>
        <w:rPr>
          <w:rFonts w:hint="default" w:ascii="幼圆" w:hAnsi="华文宋体" w:eastAsia="幼圆" w:cs="Times New Roman"/>
          <w:sz w:val="24"/>
          <w:highlight w:val="none"/>
          <w:lang w:val="en-US" w:eastAsia="zh-CN"/>
        </w:rPr>
        <w:t>培育区域级商业地标</w:t>
      </w:r>
      <w:r>
        <w:rPr>
          <w:rFonts w:hint="eastAsia" w:ascii="幼圆" w:hAnsi="华文宋体" w:eastAsia="幼圆" w:cs="Times New Roman"/>
          <w:sz w:val="24"/>
          <w:highlight w:val="none"/>
          <w:lang w:val="en-US" w:eastAsia="zh-CN"/>
        </w:rPr>
        <w:t>，与周边商业、绿地等联动发展；</w:t>
      </w:r>
      <w:r>
        <w:rPr>
          <w:rFonts w:hint="default" w:ascii="幼圆" w:hAnsi="华文宋体" w:eastAsia="幼圆" w:cs="Times New Roman"/>
          <w:sz w:val="24"/>
          <w:highlight w:val="none"/>
          <w:lang w:val="en-US" w:eastAsia="zh-CN"/>
        </w:rPr>
        <w:t>创新商业模式与消费场景</w:t>
      </w:r>
      <w:r>
        <w:rPr>
          <w:rFonts w:hint="eastAsia" w:ascii="幼圆" w:hAnsi="华文宋体" w:eastAsia="幼圆" w:cs="Times New Roman"/>
          <w:sz w:val="24"/>
          <w:highlight w:val="none"/>
          <w:lang w:val="en-US" w:eastAsia="zh-CN"/>
        </w:rPr>
        <w:t>。</w:t>
      </w:r>
    </w:p>
    <w:p w14:paraId="7F4237E3">
      <w:pPr>
        <w:adjustRightInd w:val="0"/>
        <w:snapToGrid w:val="0"/>
        <w:spacing w:after="156" w:afterLines="50" w:line="360" w:lineRule="auto"/>
        <w:ind w:firstLine="480" w:firstLineChars="200"/>
        <w:rPr>
          <w:rFonts w:hint="eastAsia" w:ascii="幼圆" w:hAnsi="华文宋体" w:eastAsia="幼圆" w:cs="Times New Roman"/>
          <w:sz w:val="24"/>
          <w:highlight w:val="none"/>
          <w:lang w:val="en-US" w:eastAsia="zh-CN"/>
        </w:rPr>
      </w:pPr>
      <w:r>
        <w:rPr>
          <w:rFonts w:hint="default" w:ascii="幼圆" w:hAnsi="华文宋体" w:eastAsia="幼圆" w:cs="Times New Roman"/>
          <w:sz w:val="24"/>
          <w:highlight w:val="none"/>
          <w:lang w:val="en-US" w:eastAsia="zh-CN"/>
        </w:rPr>
        <w:t>利用深汕合作拓展区机遇承接产业转移，发展高端商贸物流</w:t>
      </w:r>
      <w:r>
        <w:rPr>
          <w:rFonts w:hint="eastAsia" w:ascii="幼圆" w:hAnsi="华文宋体" w:eastAsia="幼圆" w:cs="Times New Roman"/>
          <w:sz w:val="24"/>
          <w:highlight w:val="none"/>
          <w:lang w:val="en-US" w:eastAsia="zh-CN"/>
        </w:rPr>
        <w:t>。</w:t>
      </w:r>
    </w:p>
    <w:p w14:paraId="37B58405">
      <w:pPr>
        <w:pStyle w:val="4"/>
        <w:numPr>
          <w:ilvl w:val="0"/>
          <w:numId w:val="1"/>
        </w:numPr>
        <w:spacing w:before="0" w:after="48" w:afterLines="20" w:line="288" w:lineRule="auto"/>
        <w:rPr>
          <w:rFonts w:hint="eastAsia" w:ascii="微软雅黑" w:hAnsi="微软雅黑" w:eastAsia="微软雅黑" w:cs="Times New Roman"/>
          <w:b/>
          <w:bCs/>
          <w:color w:val="000000"/>
          <w:lang w:val="en-US" w:eastAsia="zh-CN"/>
        </w:rPr>
      </w:pPr>
      <w:bookmarkStart w:id="49" w:name="_Toc16153"/>
      <w:r>
        <w:rPr>
          <w:rFonts w:hint="eastAsia" w:ascii="微软雅黑" w:hAnsi="微软雅黑" w:eastAsia="微软雅黑" w:cs="Times New Roman"/>
          <w:b/>
          <w:bCs/>
          <w:color w:val="000000"/>
          <w:lang w:val="en-US" w:eastAsia="zh-CN"/>
        </w:rPr>
        <w:t>陆河县商业网点布局体系</w:t>
      </w:r>
      <w:bookmarkEnd w:id="49"/>
    </w:p>
    <w:p w14:paraId="564D152E">
      <w:pPr>
        <w:numPr>
          <w:ilvl w:val="0"/>
          <w:numId w:val="11"/>
        </w:numPr>
        <w:spacing w:after="120" w:afterLines="50" w:line="300" w:lineRule="auto"/>
        <w:rPr>
          <w:rFonts w:hint="eastAsia" w:ascii="幼圆" w:hAnsi="Times New Roman" w:eastAsia="幼圆" w:cs="Times New Roman"/>
          <w:b/>
          <w:bCs/>
          <w:color w:val="000000"/>
          <w:sz w:val="24"/>
          <w:lang w:val="en-US" w:eastAsia="zh-CN"/>
        </w:rPr>
      </w:pPr>
      <w:r>
        <w:rPr>
          <w:rFonts w:hint="eastAsia" w:ascii="幼圆" w:hAnsi="Times New Roman" w:eastAsia="幼圆" w:cs="Times New Roman"/>
          <w:b/>
          <w:bCs/>
          <w:color w:val="000000"/>
          <w:sz w:val="24"/>
          <w:lang w:val="en-US" w:eastAsia="zh-CN"/>
        </w:rPr>
        <w:t>规划</w:t>
      </w:r>
      <w:r>
        <w:rPr>
          <w:rFonts w:hint="eastAsia" w:ascii="幼圆" w:hAnsi="Times New Roman" w:eastAsia="幼圆" w:cs="Times New Roman"/>
          <w:b/>
          <w:bCs/>
          <w:color w:val="000000"/>
          <w:sz w:val="24"/>
        </w:rPr>
        <w:t>陆河县</w:t>
      </w:r>
      <w:r>
        <w:rPr>
          <w:rFonts w:hint="eastAsia" w:ascii="幼圆" w:hAnsi="Times New Roman" w:eastAsia="幼圆" w:cs="Times New Roman"/>
          <w:b/>
          <w:bCs/>
          <w:color w:val="000000"/>
          <w:sz w:val="24"/>
          <w:lang w:val="en-US" w:eastAsia="zh-CN"/>
        </w:rPr>
        <w:t>构建“一心两副，产城融</w:t>
      </w:r>
      <w:r>
        <w:rPr>
          <w:rFonts w:hint="eastAsia" w:ascii="幼圆" w:hAnsi="Times New Roman" w:eastAsia="幼圆" w:cs="Times New Roman"/>
          <w:b/>
          <w:bCs/>
          <w:color w:val="000000"/>
          <w:sz w:val="24"/>
          <w:lang w:val="en-US" w:eastAsia="zh-CN"/>
        </w:rPr>
        <w:t>合</w:t>
      </w:r>
      <w:r>
        <w:rPr>
          <w:rFonts w:hint="eastAsia" w:ascii="幼圆" w:hAnsi="Times New Roman" w:eastAsia="幼圆" w:cs="Times New Roman"/>
          <w:b/>
          <w:bCs/>
          <w:color w:val="000000"/>
          <w:sz w:val="24"/>
        </w:rPr>
        <w:t>”的陆河县商业网点布局体系。</w:t>
      </w:r>
    </w:p>
    <w:p w14:paraId="4799C606">
      <w:pPr>
        <w:adjustRightInd w:val="0"/>
        <w:snapToGrid w:val="0"/>
        <w:spacing w:after="156" w:afterLines="50" w:line="360" w:lineRule="auto"/>
        <w:ind w:firstLine="480" w:firstLineChars="200"/>
        <w:rPr>
          <w:rFonts w:hint="default" w:ascii="幼圆" w:hAnsi="华文宋体" w:eastAsia="幼圆" w:cs="Times New Roman"/>
          <w:sz w:val="24"/>
          <w:highlight w:val="none"/>
          <w:lang w:val="en-US" w:eastAsia="zh-CN"/>
        </w:rPr>
      </w:pPr>
      <w:r>
        <w:rPr>
          <w:rFonts w:hint="eastAsia" w:ascii="幼圆" w:hAnsi="华文宋体" w:eastAsia="幼圆" w:cs="Times New Roman"/>
          <w:sz w:val="24"/>
          <w:highlight w:val="none"/>
          <w:lang w:val="en-US" w:eastAsia="zh-CN"/>
        </w:rPr>
        <w:t>打造陆河综合商业核心。完善购物、餐饮、休闲等基础商业服务。结合新能源、新材料等主导产业，适度</w:t>
      </w:r>
      <w:r>
        <w:rPr>
          <w:rFonts w:hint="eastAsia" w:ascii="幼圆" w:hAnsi="华文宋体" w:eastAsia="幼圆" w:cs="Times New Roman"/>
          <w:sz w:val="24"/>
          <w:highlight w:val="none"/>
          <w:lang w:val="en-US" w:eastAsia="zh-CN"/>
        </w:rPr>
        <w:t>发展产业展示、技术交流等生产性服务业。融合陆河生态资源，发展生态休闲商业。</w:t>
      </w:r>
    </w:p>
    <w:p w14:paraId="33D3EC1C">
      <w:pPr>
        <w:adjustRightInd w:val="0"/>
        <w:snapToGrid w:val="0"/>
        <w:spacing w:after="156" w:afterLines="50" w:line="360" w:lineRule="auto"/>
        <w:ind w:firstLine="480" w:firstLineChars="200"/>
        <w:rPr>
          <w:rFonts w:hint="default" w:ascii="幼圆" w:hAnsi="华文宋体" w:eastAsia="幼圆" w:cs="Times New Roman"/>
          <w:sz w:val="24"/>
          <w:highlight w:val="none"/>
          <w:lang w:val="en-US" w:eastAsia="zh-CN"/>
        </w:rPr>
      </w:pPr>
      <w:r>
        <w:rPr>
          <w:rFonts w:hint="eastAsia" w:ascii="幼圆" w:hAnsi="华文宋体" w:eastAsia="幼圆" w:cs="Times New Roman"/>
          <w:sz w:val="24"/>
          <w:highlight w:val="none"/>
          <w:lang w:val="en-US" w:eastAsia="zh-CN"/>
        </w:rPr>
        <w:t>培育两个商业副中心。依托河口重点镇的地位和陆河高新区，打造河口镇综合物流副中心，发展现代生产性商贸服务业、物流仓储产业等；依托水唇镇生态旅游资源，打造生态旅游副中心，重点配套丰富的旅游资源，发展“文商旅”融合产业。</w:t>
      </w:r>
    </w:p>
    <w:p w14:paraId="25F7FB4D">
      <w:pPr>
        <w:numPr>
          <w:ilvl w:val="0"/>
          <w:numId w:val="11"/>
        </w:numPr>
        <w:spacing w:after="120" w:afterLines="50" w:line="300" w:lineRule="auto"/>
        <w:rPr>
          <w:rFonts w:hint="eastAsia" w:ascii="幼圆" w:hAnsi="Times New Roman" w:eastAsia="幼圆" w:cs="Times New Roman"/>
          <w:b/>
          <w:bCs/>
          <w:color w:val="000000"/>
          <w:sz w:val="24"/>
          <w:lang w:val="en-US" w:eastAsia="zh-CN"/>
        </w:rPr>
      </w:pPr>
      <w:r>
        <w:rPr>
          <w:rFonts w:hint="eastAsia" w:ascii="幼圆" w:hAnsi="Times New Roman" w:eastAsia="幼圆" w:cs="Times New Roman"/>
          <w:b/>
          <w:bCs/>
          <w:color w:val="000000"/>
          <w:sz w:val="24"/>
          <w:lang w:val="en-US" w:eastAsia="zh-CN"/>
        </w:rPr>
        <w:t>规划重点提出两大规划指引。</w:t>
      </w:r>
    </w:p>
    <w:p w14:paraId="528BA516">
      <w:pPr>
        <w:adjustRightInd w:val="0"/>
        <w:snapToGrid w:val="0"/>
        <w:spacing w:after="156" w:afterLines="50" w:line="360" w:lineRule="auto"/>
        <w:ind w:firstLine="480" w:firstLineChars="200"/>
        <w:rPr>
          <w:rFonts w:hint="eastAsia" w:ascii="幼圆" w:hAnsi="华文宋体" w:eastAsia="幼圆" w:cs="Times New Roman"/>
          <w:color w:val="000000"/>
          <w:sz w:val="24"/>
          <w:highlight w:val="none"/>
          <w:lang w:val="en-US" w:eastAsia="zh-CN"/>
        </w:rPr>
      </w:pPr>
      <w:r>
        <w:rPr>
          <w:rFonts w:hint="eastAsia" w:ascii="幼圆" w:hAnsi="华文宋体" w:eastAsia="幼圆" w:cs="Times New Roman"/>
          <w:color w:val="000000"/>
          <w:sz w:val="24"/>
          <w:highlight w:val="none"/>
          <w:lang w:val="en-US" w:eastAsia="zh-CN"/>
        </w:rPr>
        <w:t>推动生态价值转化为商业价值</w:t>
      </w:r>
      <w:r>
        <w:rPr>
          <w:rFonts w:hint="default" w:ascii="幼圆" w:hAnsi="华文宋体" w:eastAsia="幼圆" w:cs="Times New Roman"/>
          <w:color w:val="000000"/>
          <w:sz w:val="24"/>
          <w:highlight w:val="none"/>
          <w:lang w:val="en-US" w:eastAsia="zh-CN"/>
        </w:rPr>
        <w:t>。</w:t>
      </w:r>
      <w:r>
        <w:rPr>
          <w:rFonts w:hint="eastAsia" w:ascii="幼圆" w:hAnsi="华文宋体" w:eastAsia="幼圆" w:cs="Times New Roman"/>
          <w:color w:val="000000"/>
          <w:sz w:val="24"/>
          <w:highlight w:val="none"/>
          <w:lang w:val="en-US" w:eastAsia="zh-CN"/>
        </w:rPr>
        <w:t>利用其作为“</w:t>
      </w:r>
      <w:r>
        <w:rPr>
          <w:rFonts w:hint="default" w:ascii="幼圆" w:hAnsi="华文宋体" w:eastAsia="幼圆" w:cs="Times New Roman"/>
          <w:color w:val="000000"/>
          <w:sz w:val="24"/>
          <w:highlight w:val="none"/>
          <w:lang w:val="en-US" w:eastAsia="zh-CN"/>
        </w:rPr>
        <w:t>中国生态养生之乡”和国家重点生态功能区的优势</w:t>
      </w:r>
      <w:r>
        <w:rPr>
          <w:rFonts w:hint="eastAsia" w:ascii="幼圆" w:hAnsi="华文宋体" w:eastAsia="幼圆" w:cs="Times New Roman"/>
          <w:color w:val="000000"/>
          <w:sz w:val="24"/>
          <w:highlight w:val="none"/>
          <w:lang w:val="en-US" w:eastAsia="zh-CN"/>
        </w:rPr>
        <w:t>将生态理念融入商业开发，鼓励商业设施采用绿色建筑标准，打造绿色文旅，打造“绿美陆河”的统一的商业形象。</w:t>
      </w:r>
    </w:p>
    <w:p w14:paraId="6D2BBC68">
      <w:pPr>
        <w:adjustRightInd w:val="0"/>
        <w:snapToGrid w:val="0"/>
        <w:spacing w:after="156" w:afterLines="50" w:line="360" w:lineRule="auto"/>
        <w:ind w:firstLine="480" w:firstLineChars="200"/>
        <w:rPr>
          <w:rFonts w:hint="eastAsia" w:ascii="幼圆" w:hAnsi="华文宋体" w:eastAsia="幼圆" w:cs="Times New Roman"/>
          <w:sz w:val="24"/>
          <w:highlight w:val="none"/>
          <w:lang w:val="en-US" w:eastAsia="zh-CN"/>
        </w:rPr>
        <w:sectPr>
          <w:footerReference r:id="rId13" w:type="default"/>
          <w:footerReference r:id="rId14" w:type="even"/>
          <w:pgSz w:w="23814" w:h="16840" w:orient="landscape"/>
          <w:pgMar w:top="1985" w:right="1985" w:bottom="1985" w:left="1985" w:header="851" w:footer="992" w:gutter="0"/>
          <w:pgNumType w:fmt="decimal"/>
          <w:cols w:space="630" w:num="2"/>
          <w:docGrid w:linePitch="312" w:charSpace="0"/>
        </w:sectPr>
      </w:pPr>
      <w:r>
        <w:rPr>
          <w:rFonts w:hint="default" w:ascii="幼圆" w:hAnsi="华文宋体" w:eastAsia="幼圆" w:cs="Times New Roman"/>
          <w:color w:val="000000"/>
          <w:sz w:val="24"/>
          <w:highlight w:val="none"/>
          <w:lang w:val="en-US" w:eastAsia="zh-CN"/>
        </w:rPr>
        <w:t>结合省级高新区发展产业服务商业</w:t>
      </w:r>
      <w:r>
        <w:rPr>
          <w:rFonts w:hint="eastAsia" w:ascii="幼圆" w:hAnsi="华文宋体" w:eastAsia="幼圆" w:cs="Times New Roman"/>
          <w:color w:val="000000"/>
          <w:sz w:val="24"/>
          <w:highlight w:val="none"/>
          <w:lang w:val="en-US" w:eastAsia="zh-CN"/>
        </w:rPr>
        <w:t>。</w:t>
      </w:r>
      <w:r>
        <w:rPr>
          <w:rFonts w:hint="default" w:ascii="幼圆" w:hAnsi="华文宋体" w:eastAsia="幼圆" w:cs="Times New Roman"/>
          <w:color w:val="000000"/>
          <w:sz w:val="24"/>
          <w:highlight w:val="none"/>
          <w:lang w:val="en-US" w:eastAsia="zh-CN"/>
        </w:rPr>
        <w:t>完善生产性服务业配套</w:t>
      </w:r>
      <w:r>
        <w:rPr>
          <w:rFonts w:hint="eastAsia" w:ascii="幼圆" w:hAnsi="华文宋体" w:eastAsia="幼圆" w:cs="Times New Roman"/>
          <w:color w:val="000000"/>
          <w:sz w:val="24"/>
          <w:highlight w:val="none"/>
          <w:lang w:val="en-US" w:eastAsia="zh-CN"/>
        </w:rPr>
        <w:t>，如物流、会展展销等；同时，</w:t>
      </w:r>
      <w:r>
        <w:rPr>
          <w:rFonts w:hint="default" w:ascii="幼圆" w:hAnsi="华文宋体" w:eastAsia="幼圆" w:cs="Times New Roman"/>
          <w:color w:val="000000"/>
          <w:sz w:val="24"/>
          <w:highlight w:val="none"/>
          <w:lang w:val="en-US" w:eastAsia="zh-CN"/>
        </w:rPr>
        <w:t>优化产业人才生活服务</w:t>
      </w:r>
      <w:r>
        <w:rPr>
          <w:rFonts w:hint="eastAsia" w:ascii="幼圆" w:hAnsi="华文宋体" w:eastAsia="幼圆" w:cs="Times New Roman"/>
          <w:color w:val="000000"/>
          <w:sz w:val="24"/>
          <w:highlight w:val="none"/>
          <w:lang w:val="en-US" w:eastAsia="zh-CN"/>
        </w:rPr>
        <w:t>，如</w:t>
      </w:r>
      <w:r>
        <w:rPr>
          <w:rFonts w:hint="default" w:ascii="幼圆" w:hAnsi="华文宋体" w:eastAsia="幼圆" w:cs="Times New Roman"/>
          <w:color w:val="000000"/>
          <w:sz w:val="24"/>
          <w:highlight w:val="none"/>
          <w:lang w:val="en-US" w:eastAsia="zh-CN"/>
        </w:rPr>
        <w:t>引进中高端酒店、品牌餐饮、咖啡茶饮、健身娱乐等业态</w:t>
      </w:r>
      <w:r>
        <w:rPr>
          <w:rFonts w:hint="eastAsia" w:ascii="幼圆" w:hAnsi="华文宋体" w:eastAsia="幼圆" w:cs="Times New Roman"/>
          <w:color w:val="000000"/>
          <w:sz w:val="24"/>
          <w:highlight w:val="none"/>
          <w:lang w:val="en-US" w:eastAsia="zh-CN"/>
        </w:rPr>
        <w:t>。</w:t>
      </w:r>
    </w:p>
    <w:p w14:paraId="1726EED4">
      <w:pPr>
        <w:pStyle w:val="2"/>
        <w:spacing w:before="240" w:after="240" w:line="360" w:lineRule="auto"/>
        <w:rPr>
          <w:rFonts w:hint="eastAsia" w:ascii="华文中宋" w:hAnsi="华文中宋" w:eastAsia="华文中宋"/>
          <w:color w:val="000000"/>
        </w:rPr>
      </w:pPr>
      <w:bookmarkStart w:id="50" w:name="_Toc16403"/>
      <w:r>
        <w:rPr>
          <w:rFonts w:hint="eastAsia" w:ascii="华文中宋" w:hAnsi="华文中宋" w:eastAsia="华文中宋"/>
          <w:color w:val="000000"/>
        </w:rPr>
        <w:t>第</w:t>
      </w:r>
      <w:r>
        <w:rPr>
          <w:rFonts w:hint="eastAsia" w:ascii="华文中宋" w:hAnsi="华文中宋" w:eastAsia="华文中宋"/>
          <w:color w:val="000000"/>
          <w:lang w:val="en-US" w:eastAsia="zh-CN"/>
        </w:rPr>
        <w:t>四</w:t>
      </w:r>
      <w:r>
        <w:rPr>
          <w:rFonts w:hint="eastAsia" w:ascii="华文中宋" w:hAnsi="华文中宋" w:eastAsia="华文中宋"/>
          <w:color w:val="000000"/>
        </w:rPr>
        <w:t xml:space="preserve">章 </w:t>
      </w:r>
      <w:r>
        <w:rPr>
          <w:rFonts w:hint="eastAsia" w:ascii="华文中宋" w:hAnsi="华文中宋" w:eastAsia="华文中宋"/>
          <w:color w:val="000000"/>
          <w:lang w:val="en-US" w:eastAsia="zh-CN"/>
        </w:rPr>
        <w:t>中心城区</w:t>
      </w:r>
      <w:r>
        <w:rPr>
          <w:rFonts w:hint="eastAsia" w:ascii="华文中宋" w:hAnsi="华文中宋" w:eastAsia="华文中宋"/>
          <w:color w:val="000000"/>
        </w:rPr>
        <w:t>城市商业网点规划</w:t>
      </w:r>
      <w:bookmarkEnd w:id="50"/>
    </w:p>
    <w:p w14:paraId="5D2B3ED1">
      <w:pPr>
        <w:pStyle w:val="3"/>
        <w:spacing w:before="120" w:beforeLines="50" w:after="120" w:afterLines="50" w:line="360" w:lineRule="auto"/>
        <w:rPr>
          <w:rFonts w:hint="eastAsia" w:ascii="华文中宋" w:hAnsi="华文中宋" w:eastAsia="华文中宋"/>
          <w:color w:val="000000"/>
          <w:sz w:val="36"/>
          <w:szCs w:val="36"/>
        </w:rPr>
      </w:pPr>
      <w:bookmarkStart w:id="51" w:name="_Toc4058"/>
      <w:r>
        <w:rPr>
          <w:rFonts w:hint="eastAsia" w:ascii="华文中宋" w:hAnsi="华文中宋" w:eastAsia="华文中宋"/>
          <w:color w:val="000000"/>
          <w:sz w:val="36"/>
          <w:szCs w:val="36"/>
        </w:rPr>
        <w:t>第一节 城市商业中心规划布局</w:t>
      </w:r>
      <w:bookmarkEnd w:id="51"/>
    </w:p>
    <w:p w14:paraId="40FF5CE4">
      <w:pPr>
        <w:pStyle w:val="4"/>
        <w:numPr>
          <w:ilvl w:val="0"/>
          <w:numId w:val="1"/>
        </w:numPr>
        <w:spacing w:before="0" w:after="48" w:afterLines="20" w:line="288" w:lineRule="auto"/>
        <w:rPr>
          <w:rFonts w:hint="eastAsia" w:ascii="微软雅黑" w:hAnsi="微软雅黑" w:eastAsia="微软雅黑"/>
          <w:color w:val="000000"/>
        </w:rPr>
      </w:pPr>
      <w:bookmarkStart w:id="52" w:name="_Toc28178"/>
      <w:r>
        <w:rPr>
          <w:rFonts w:hint="eastAsia" w:ascii="微软雅黑" w:hAnsi="微软雅黑" w:eastAsia="微软雅黑"/>
          <w:color w:val="000000"/>
        </w:rPr>
        <w:t>城市商业中心规划布局</w:t>
      </w:r>
      <w:bookmarkEnd w:id="52"/>
    </w:p>
    <w:p w14:paraId="47F4BDE0">
      <w:pPr>
        <w:snapToGrid w:val="0"/>
        <w:spacing w:after="120" w:afterLines="50" w:line="300" w:lineRule="auto"/>
        <w:ind w:firstLine="482"/>
        <w:rPr>
          <w:rFonts w:hint="eastAsia" w:ascii="幼圆" w:eastAsia="幼圆"/>
          <w:color w:val="000000"/>
          <w:sz w:val="24"/>
        </w:rPr>
      </w:pPr>
      <w:r>
        <w:rPr>
          <w:rFonts w:hint="eastAsia" w:ascii="幼圆" w:eastAsia="幼圆"/>
          <w:sz w:val="24"/>
          <w:highlight w:val="none"/>
        </w:rPr>
        <w:t>结合老城区、品清湖</w:t>
      </w:r>
      <w:r>
        <w:rPr>
          <w:rFonts w:hint="eastAsia" w:ascii="幼圆" w:eastAsia="幼圆"/>
          <w:sz w:val="24"/>
          <w:highlight w:val="none"/>
          <w:lang w:val="en-US" w:eastAsia="zh-CN"/>
        </w:rPr>
        <w:t>和</w:t>
      </w:r>
      <w:r>
        <w:rPr>
          <w:rFonts w:hint="eastAsia" w:ascii="幼圆" w:eastAsia="幼圆"/>
          <w:sz w:val="24"/>
          <w:highlight w:val="none"/>
        </w:rPr>
        <w:t>汕尾</w:t>
      </w:r>
      <w:r>
        <w:rPr>
          <w:rFonts w:hint="eastAsia" w:ascii="幼圆" w:hAnsi="Times New Roman" w:eastAsia="幼圆" w:cs="Times New Roman"/>
          <w:sz w:val="24"/>
          <w:highlight w:val="none"/>
        </w:rPr>
        <w:t>高铁站</w:t>
      </w:r>
      <w:r>
        <w:rPr>
          <w:rFonts w:hint="eastAsia" w:ascii="幼圆" w:hAnsi="Times New Roman" w:eastAsia="幼圆" w:cs="Times New Roman"/>
          <w:sz w:val="24"/>
          <w:highlight w:val="none"/>
          <w:lang w:eastAsia="zh-CN"/>
        </w:rPr>
        <w:t>、</w:t>
      </w:r>
      <w:r>
        <w:rPr>
          <w:rFonts w:hint="eastAsia" w:ascii="幼圆" w:hAnsi="Times New Roman" w:eastAsia="幼圆" w:cs="Times New Roman"/>
          <w:sz w:val="24"/>
          <w:highlight w:val="none"/>
        </w:rPr>
        <w:t>马宫渔港经济区的发展</w:t>
      </w:r>
      <w:r>
        <w:rPr>
          <w:rFonts w:hint="eastAsia" w:ascii="幼圆" w:eastAsia="幼圆"/>
          <w:sz w:val="24"/>
          <w:highlight w:val="none"/>
        </w:rPr>
        <w:t>和建设，同时</w:t>
      </w:r>
      <w:r>
        <w:rPr>
          <w:rFonts w:hint="eastAsia" w:ascii="幼圆" w:eastAsia="幼圆"/>
          <w:sz w:val="24"/>
          <w:highlight w:val="none"/>
          <w:lang w:eastAsia="zh-CN"/>
        </w:rPr>
        <w:t>，</w:t>
      </w:r>
      <w:r>
        <w:rPr>
          <w:rFonts w:hint="eastAsia" w:ascii="幼圆" w:eastAsia="幼圆"/>
          <w:sz w:val="24"/>
          <w:highlight w:val="none"/>
        </w:rPr>
        <w:t>依托</w:t>
      </w:r>
      <w:r>
        <w:rPr>
          <w:rFonts w:hint="eastAsia" w:ascii="幼圆" w:eastAsia="幼圆"/>
          <w:sz w:val="24"/>
          <w:highlight w:val="none"/>
          <w:lang w:val="en-US" w:eastAsia="zh-CN"/>
        </w:rPr>
        <w:t>老城区的历史人文风情、</w:t>
      </w:r>
      <w:r>
        <w:rPr>
          <w:rFonts w:hint="eastAsia" w:ascii="幼圆" w:eastAsia="幼圆"/>
          <w:sz w:val="24"/>
          <w:highlight w:val="none"/>
        </w:rPr>
        <w:t>品清湖</w:t>
      </w:r>
      <w:r>
        <w:rPr>
          <w:rFonts w:hint="eastAsia" w:ascii="幼圆" w:eastAsia="幼圆"/>
          <w:sz w:val="24"/>
          <w:highlight w:val="none"/>
          <w:lang w:val="en-US" w:eastAsia="zh-CN"/>
        </w:rPr>
        <w:t>和高铁站</w:t>
      </w:r>
      <w:r>
        <w:rPr>
          <w:rFonts w:hint="eastAsia" w:ascii="幼圆" w:eastAsia="幼圆"/>
          <w:sz w:val="24"/>
          <w:highlight w:val="none"/>
        </w:rPr>
        <w:t>的区位</w:t>
      </w:r>
      <w:r>
        <w:rPr>
          <w:rFonts w:hint="eastAsia" w:ascii="幼圆" w:eastAsia="幼圆"/>
          <w:sz w:val="24"/>
          <w:highlight w:val="none"/>
          <w:lang w:val="en-US" w:eastAsia="zh-CN"/>
        </w:rPr>
        <w:t>交通</w:t>
      </w:r>
      <w:r>
        <w:rPr>
          <w:rFonts w:hint="eastAsia" w:ascii="幼圆" w:eastAsia="幼圆"/>
          <w:sz w:val="24"/>
          <w:highlight w:val="none"/>
        </w:rPr>
        <w:t>优势</w:t>
      </w:r>
      <w:r>
        <w:rPr>
          <w:rFonts w:hint="eastAsia" w:ascii="幼圆" w:eastAsia="幼圆"/>
          <w:sz w:val="24"/>
          <w:highlight w:val="none"/>
          <w:lang w:eastAsia="zh-CN"/>
        </w:rPr>
        <w:t>、</w:t>
      </w:r>
      <w:r>
        <w:rPr>
          <w:rFonts w:hint="eastAsia" w:ascii="幼圆" w:eastAsia="幼圆"/>
          <w:sz w:val="24"/>
          <w:highlight w:val="none"/>
          <w:lang w:val="en-US" w:eastAsia="zh-CN"/>
        </w:rPr>
        <w:t>马宫的渔港发展趋势</w:t>
      </w:r>
      <w:r>
        <w:rPr>
          <w:rFonts w:hint="eastAsia" w:ascii="幼圆" w:eastAsia="幼圆"/>
          <w:sz w:val="24"/>
          <w:highlight w:val="none"/>
        </w:rPr>
        <w:t>，规划在汕尾中心城区构建三个城市商业中心，为城市居民及区域人流提供综合型商业服务</w:t>
      </w:r>
      <w:r>
        <w:rPr>
          <w:rFonts w:hint="eastAsia" w:ascii="幼圆" w:eastAsia="幼圆"/>
          <w:sz w:val="24"/>
          <w:highlight w:val="none"/>
          <w:lang w:eastAsia="zh-CN"/>
        </w:rPr>
        <w:t>，</w:t>
      </w:r>
      <w:r>
        <w:rPr>
          <w:rFonts w:hint="eastAsia" w:ascii="幼圆" w:hAnsi="宋体" w:eastAsia="幼圆"/>
          <w:color w:val="000000"/>
          <w:sz w:val="24"/>
        </w:rPr>
        <w:t>并按附表1进行规划布局</w:t>
      </w:r>
      <w:r>
        <w:rPr>
          <w:rFonts w:hint="eastAsia" w:ascii="幼圆" w:eastAsia="幼圆"/>
          <w:color w:val="000000"/>
          <w:sz w:val="24"/>
        </w:rPr>
        <w:t>。</w:t>
      </w:r>
    </w:p>
    <w:p w14:paraId="566B39AB">
      <w:pPr>
        <w:numPr>
          <w:ilvl w:val="0"/>
          <w:numId w:val="12"/>
        </w:numPr>
        <w:spacing w:after="120" w:afterLines="50" w:line="360" w:lineRule="auto"/>
        <w:rPr>
          <w:rFonts w:hint="eastAsia" w:ascii="幼圆" w:eastAsia="幼圆"/>
          <w:color w:val="000000"/>
          <w:sz w:val="24"/>
        </w:rPr>
      </w:pPr>
      <w:r>
        <w:rPr>
          <w:rFonts w:hint="eastAsia" w:ascii="幼圆" w:eastAsia="幼圆"/>
          <w:b/>
          <w:bCs/>
          <w:sz w:val="24"/>
        </w:rPr>
        <w:t>老城商业中心：</w:t>
      </w:r>
      <w:r>
        <w:rPr>
          <w:rFonts w:hint="eastAsia" w:ascii="幼圆" w:eastAsia="幼圆"/>
          <w:sz w:val="24"/>
        </w:rPr>
        <w:t>位于汕尾大道以东、四马路以南的汕尾老城区中。重点发展特色商业街、专业街，辅助发展商业综合体、大中型零售网点、酒店餐饮等类型商业网点，优化提升汕尾老城区的商业网点布局。</w:t>
      </w:r>
    </w:p>
    <w:p w14:paraId="4AE6A2F1">
      <w:pPr>
        <w:numPr>
          <w:ilvl w:val="0"/>
          <w:numId w:val="12"/>
        </w:numPr>
        <w:spacing w:after="120" w:afterLines="50" w:line="360" w:lineRule="auto"/>
        <w:rPr>
          <w:rFonts w:hint="eastAsia" w:ascii="幼圆" w:eastAsia="幼圆"/>
          <w:color w:val="000000"/>
          <w:sz w:val="24"/>
        </w:rPr>
      </w:pPr>
      <w:r>
        <w:rPr>
          <w:rFonts w:hint="eastAsia" w:ascii="幼圆" w:eastAsia="幼圆"/>
          <w:b/>
          <w:bCs/>
          <w:sz w:val="24"/>
          <w:highlight w:val="none"/>
        </w:rPr>
        <w:t>火车站新城商业中心</w:t>
      </w:r>
      <w:r>
        <w:rPr>
          <w:rFonts w:hint="eastAsia" w:ascii="幼圆" w:eastAsia="幼圆"/>
          <w:b/>
          <w:bCs/>
          <w:sz w:val="24"/>
        </w:rPr>
        <w:t>：</w:t>
      </w:r>
      <w:r>
        <w:rPr>
          <w:rFonts w:hint="eastAsia" w:ascii="幼圆" w:eastAsia="幼圆"/>
          <w:sz w:val="24"/>
          <w:highlight w:val="none"/>
        </w:rPr>
        <w:t>位于高铁站</w:t>
      </w:r>
      <w:r>
        <w:rPr>
          <w:rFonts w:hint="eastAsia" w:ascii="幼圆" w:eastAsia="幼圆"/>
          <w:sz w:val="24"/>
          <w:highlight w:val="none"/>
          <w:lang w:val="en-US" w:eastAsia="zh-CN"/>
        </w:rPr>
        <w:t>南北两</w:t>
      </w:r>
      <w:r>
        <w:rPr>
          <w:rFonts w:hint="eastAsia" w:ascii="幼圆" w:eastAsia="幼圆"/>
          <w:sz w:val="24"/>
          <w:highlight w:val="none"/>
        </w:rPr>
        <w:t>侧沿线区域</w:t>
      </w:r>
      <w:r>
        <w:rPr>
          <w:rFonts w:hint="eastAsia" w:ascii="幼圆" w:eastAsia="幼圆"/>
          <w:sz w:val="24"/>
          <w:highlight w:val="none"/>
          <w:lang w:val="en-US" w:eastAsia="zh-CN"/>
        </w:rPr>
        <w:t>及</w:t>
      </w:r>
      <w:r>
        <w:rPr>
          <w:rFonts w:hint="eastAsia" w:ascii="幼圆" w:eastAsia="幼圆"/>
          <w:sz w:val="24"/>
          <w:highlight w:val="none"/>
        </w:rPr>
        <w:t>品清湖城市中轴线</w:t>
      </w:r>
      <w:r>
        <w:rPr>
          <w:rFonts w:hint="eastAsia" w:ascii="幼圆" w:eastAsia="幼圆"/>
          <w:sz w:val="24"/>
          <w:highlight w:val="none"/>
          <w:lang w:val="en-US" w:eastAsia="zh-CN"/>
        </w:rPr>
        <w:t>区域。</w:t>
      </w:r>
      <w:r>
        <w:rPr>
          <w:rFonts w:hint="eastAsia" w:ascii="幼圆" w:eastAsia="幼圆"/>
          <w:sz w:val="24"/>
          <w:highlight w:val="none"/>
        </w:rPr>
        <w:t>依托</w:t>
      </w:r>
      <w:r>
        <w:rPr>
          <w:rFonts w:hint="eastAsia" w:ascii="幼圆" w:eastAsia="幼圆"/>
          <w:sz w:val="24"/>
          <w:highlight w:val="none"/>
          <w:lang w:val="en-US" w:eastAsia="zh-CN"/>
        </w:rPr>
        <w:t>火车</w:t>
      </w:r>
      <w:r>
        <w:rPr>
          <w:rFonts w:hint="eastAsia" w:ascii="幼圆" w:eastAsia="幼圆"/>
          <w:sz w:val="24"/>
          <w:highlight w:val="none"/>
        </w:rPr>
        <w:t>站</w:t>
      </w:r>
      <w:r>
        <w:rPr>
          <w:rFonts w:hint="eastAsia" w:ascii="幼圆" w:eastAsia="幼圆"/>
          <w:sz w:val="24"/>
          <w:highlight w:val="none"/>
          <w:lang w:val="en-US" w:eastAsia="zh-CN"/>
        </w:rPr>
        <w:t>及品清湖东岸现代城区，</w:t>
      </w:r>
      <w:r>
        <w:rPr>
          <w:rFonts w:hint="eastAsia" w:ascii="幼圆" w:eastAsia="幼圆"/>
          <w:sz w:val="24"/>
          <w:highlight w:val="none"/>
        </w:rPr>
        <w:t>着力发展大型现代化商业综合体</w:t>
      </w:r>
      <w:r>
        <w:rPr>
          <w:rFonts w:hint="eastAsia" w:ascii="幼圆" w:eastAsia="幼圆"/>
          <w:sz w:val="24"/>
          <w:highlight w:val="none"/>
          <w:lang w:eastAsia="zh-CN"/>
        </w:rPr>
        <w:t>、</w:t>
      </w:r>
      <w:r>
        <w:rPr>
          <w:rFonts w:hint="eastAsia" w:ascii="幼圆" w:eastAsia="幼圆"/>
          <w:sz w:val="24"/>
          <w:highlight w:val="none"/>
        </w:rPr>
        <w:t>商品批发交易</w:t>
      </w:r>
      <w:r>
        <w:rPr>
          <w:rFonts w:hint="eastAsia" w:ascii="幼圆" w:eastAsia="幼圆"/>
          <w:sz w:val="24"/>
          <w:highlight w:val="none"/>
          <w:lang w:val="en-US" w:eastAsia="zh-CN"/>
        </w:rPr>
        <w:t>市场</w:t>
      </w:r>
      <w:r>
        <w:rPr>
          <w:rFonts w:hint="eastAsia" w:ascii="幼圆" w:eastAsia="幼圆"/>
          <w:sz w:val="24"/>
          <w:highlight w:val="none"/>
        </w:rPr>
        <w:t>，以发展高端购物、休闲娱乐、酒店会议等类型商业设施为主</w:t>
      </w:r>
      <w:r>
        <w:rPr>
          <w:rFonts w:hint="eastAsia" w:ascii="幼圆" w:eastAsia="幼圆"/>
          <w:sz w:val="24"/>
          <w:highlight w:val="none"/>
          <w:lang w:eastAsia="zh-CN"/>
        </w:rPr>
        <w:t>，</w:t>
      </w:r>
      <w:r>
        <w:rPr>
          <w:rFonts w:hint="eastAsia" w:ascii="幼圆" w:eastAsia="幼圆"/>
          <w:sz w:val="24"/>
          <w:highlight w:val="none"/>
        </w:rPr>
        <w:t>构建现代化商业</w:t>
      </w:r>
      <w:r>
        <w:rPr>
          <w:rFonts w:hint="eastAsia" w:ascii="幼圆" w:eastAsia="幼圆"/>
          <w:sz w:val="24"/>
          <w:highlight w:val="none"/>
          <w:lang w:val="en-US" w:eastAsia="zh-CN"/>
        </w:rPr>
        <w:t>商贸</w:t>
      </w:r>
      <w:r>
        <w:rPr>
          <w:rFonts w:hint="eastAsia" w:ascii="幼圆" w:eastAsia="幼圆"/>
          <w:sz w:val="24"/>
          <w:highlight w:val="none"/>
        </w:rPr>
        <w:t>中心。</w:t>
      </w:r>
    </w:p>
    <w:p w14:paraId="0D7C3284">
      <w:pPr>
        <w:numPr>
          <w:ilvl w:val="0"/>
          <w:numId w:val="12"/>
        </w:numPr>
        <w:spacing w:after="120" w:afterLines="50" w:line="360" w:lineRule="auto"/>
        <w:rPr>
          <w:rFonts w:hint="eastAsia" w:ascii="幼圆" w:eastAsia="幼圆"/>
          <w:color w:val="000000"/>
          <w:sz w:val="24"/>
        </w:rPr>
      </w:pPr>
      <w:r>
        <w:rPr>
          <w:rFonts w:hint="eastAsia" w:ascii="幼圆" w:eastAsia="幼圆"/>
          <w:b/>
          <w:bCs/>
          <w:sz w:val="24"/>
          <w:highlight w:val="none"/>
        </w:rPr>
        <w:t>马宫海洋活力商业中心：</w:t>
      </w:r>
      <w:r>
        <w:rPr>
          <w:rFonts w:hint="eastAsia" w:ascii="幼圆" w:eastAsia="幼圆"/>
          <w:sz w:val="24"/>
          <w:highlight w:val="none"/>
        </w:rPr>
        <w:t>位于</w:t>
      </w:r>
      <w:r>
        <w:rPr>
          <w:rFonts w:hint="eastAsia" w:ascii="幼圆" w:eastAsia="幼圆"/>
          <w:sz w:val="24"/>
          <w:highlight w:val="none"/>
          <w:lang w:val="en-US" w:eastAsia="zh-CN"/>
        </w:rPr>
        <w:t>浪清湾中轴线两侧及马宫社区中心</w:t>
      </w:r>
      <w:r>
        <w:rPr>
          <w:rFonts w:hint="eastAsia" w:ascii="幼圆" w:eastAsia="幼圆"/>
          <w:sz w:val="24"/>
          <w:highlight w:val="none"/>
        </w:rPr>
        <w:t>。</w:t>
      </w:r>
      <w:r>
        <w:rPr>
          <w:rFonts w:hint="eastAsia" w:ascii="幼圆" w:eastAsia="幼圆"/>
          <w:sz w:val="24"/>
          <w:highlight w:val="none"/>
          <w:lang w:val="en-US" w:eastAsia="zh-CN"/>
        </w:rPr>
        <w:t>服务高校孵化的海洋科创企业，依托渔港产业，发展渔港商贸、渔港冷链物流等；依托渔港经济区和便捷的高速公路交通，积极融入海洋经济，布局海鲜大排档、帆船俱乐部、婚纱摄影基地等海洋旅游产业，升级长沙湾乡村旅游产业。打造海洋特色的活力商业中心。</w:t>
      </w:r>
    </w:p>
    <w:p w14:paraId="1DC371DF">
      <w:pPr>
        <w:pStyle w:val="4"/>
        <w:numPr>
          <w:ilvl w:val="0"/>
          <w:numId w:val="1"/>
        </w:numPr>
        <w:spacing w:before="0" w:after="48" w:afterLines="20" w:line="288" w:lineRule="auto"/>
        <w:rPr>
          <w:rFonts w:hint="eastAsia" w:ascii="微软雅黑" w:hAnsi="微软雅黑" w:eastAsia="微软雅黑"/>
          <w:color w:val="000000"/>
        </w:rPr>
      </w:pPr>
      <w:bookmarkStart w:id="53" w:name="_Toc22958"/>
      <w:r>
        <w:rPr>
          <w:rFonts w:hint="eastAsia" w:ascii="微软雅黑" w:hAnsi="微软雅黑" w:eastAsia="微软雅黑"/>
          <w:color w:val="000000"/>
        </w:rPr>
        <w:t>组团商业中心规划布局</w:t>
      </w:r>
      <w:bookmarkEnd w:id="53"/>
    </w:p>
    <w:p w14:paraId="28B1FA90">
      <w:pPr>
        <w:snapToGrid w:val="0"/>
        <w:spacing w:after="120" w:afterLines="50" w:line="300" w:lineRule="auto"/>
        <w:ind w:firstLine="482"/>
        <w:rPr>
          <w:rFonts w:hint="eastAsia" w:ascii="幼圆" w:eastAsia="幼圆"/>
          <w:color w:val="000000"/>
          <w:sz w:val="24"/>
        </w:rPr>
      </w:pPr>
      <w:r>
        <w:rPr>
          <w:rFonts w:hint="eastAsia" w:ascii="幼圆" w:eastAsia="幼圆"/>
          <w:color w:val="000000"/>
          <w:sz w:val="24"/>
        </w:rPr>
        <w:t>规划在汕尾中心城区划分</w:t>
      </w:r>
      <w:r>
        <w:rPr>
          <w:rFonts w:hint="eastAsia" w:ascii="幼圆" w:eastAsia="幼圆"/>
          <w:color w:val="000000"/>
          <w:sz w:val="24"/>
          <w:lang w:val="en-US" w:eastAsia="zh-CN"/>
        </w:rPr>
        <w:t>7</w:t>
      </w:r>
      <w:r>
        <w:rPr>
          <w:rFonts w:hint="eastAsia" w:ascii="幼圆" w:eastAsia="幼圆"/>
          <w:color w:val="000000"/>
          <w:sz w:val="24"/>
        </w:rPr>
        <w:t>个组团级商业服务中心，分别为</w:t>
      </w:r>
      <w:r>
        <w:rPr>
          <w:rFonts w:hint="eastAsia" w:ascii="幼圆" w:eastAsia="幼圆"/>
          <w:sz w:val="24"/>
          <w:highlight w:val="none"/>
          <w:lang w:val="en-US" w:eastAsia="zh-CN"/>
        </w:rPr>
        <w:t>品清湖</w:t>
      </w:r>
      <w:r>
        <w:rPr>
          <w:rFonts w:hint="eastAsia" w:ascii="幼圆" w:eastAsia="幼圆"/>
          <w:sz w:val="24"/>
          <w:highlight w:val="none"/>
        </w:rPr>
        <w:t>组团商业中心</w:t>
      </w:r>
      <w:r>
        <w:rPr>
          <w:rFonts w:hint="eastAsia" w:ascii="幼圆" w:eastAsia="幼圆"/>
          <w:sz w:val="24"/>
        </w:rPr>
        <w:t>、红草组团商业中心、金町湾组团商业中心、石洲组团商业中心、捷胜组团商业中心、田墘组团商业中心和遮浪组团商业中心</w:t>
      </w:r>
      <w:r>
        <w:rPr>
          <w:rFonts w:hint="eastAsia" w:ascii="幼圆" w:eastAsia="幼圆"/>
          <w:color w:val="000000"/>
          <w:sz w:val="24"/>
        </w:rPr>
        <w:t>，</w:t>
      </w:r>
      <w:r>
        <w:rPr>
          <w:rFonts w:hint="eastAsia" w:ascii="幼圆" w:hAnsi="宋体" w:eastAsia="幼圆"/>
          <w:color w:val="000000"/>
          <w:sz w:val="24"/>
        </w:rPr>
        <w:t>并按附表2进行规划布局。</w:t>
      </w:r>
    </w:p>
    <w:p w14:paraId="52898D74">
      <w:pPr>
        <w:pStyle w:val="4"/>
        <w:numPr>
          <w:ilvl w:val="0"/>
          <w:numId w:val="1"/>
        </w:numPr>
        <w:spacing w:before="0" w:after="48" w:afterLines="20" w:line="288" w:lineRule="auto"/>
        <w:rPr>
          <w:rFonts w:hint="eastAsia" w:ascii="微软雅黑" w:hAnsi="微软雅黑" w:eastAsia="微软雅黑"/>
          <w:color w:val="000000"/>
        </w:rPr>
      </w:pPr>
      <w:bookmarkStart w:id="54" w:name="_Toc30529"/>
      <w:r>
        <w:rPr>
          <w:rFonts w:hint="eastAsia" w:ascii="微软雅黑" w:hAnsi="微软雅黑" w:eastAsia="微软雅黑"/>
          <w:color w:val="000000"/>
        </w:rPr>
        <w:t>社区商业中心规划布局</w:t>
      </w:r>
      <w:bookmarkEnd w:id="54"/>
    </w:p>
    <w:p w14:paraId="0313952B">
      <w:pPr>
        <w:numPr>
          <w:ilvl w:val="0"/>
          <w:numId w:val="13"/>
        </w:numPr>
        <w:snapToGrid w:val="0"/>
        <w:spacing w:after="120" w:afterLines="50" w:line="300" w:lineRule="auto"/>
        <w:rPr>
          <w:rFonts w:hint="eastAsia" w:ascii="幼圆" w:hAnsi="宋体" w:eastAsia="幼圆"/>
          <w:color w:val="000000"/>
          <w:sz w:val="24"/>
        </w:rPr>
      </w:pPr>
      <w:bookmarkStart w:id="55" w:name="_Toc329959024"/>
      <w:r>
        <w:rPr>
          <w:rFonts w:hint="eastAsia" w:ascii="幼圆" w:eastAsia="幼圆"/>
          <w:color w:val="000000"/>
          <w:sz w:val="24"/>
        </w:rPr>
        <w:t>规划将中心城区各商业片区往下细分为</w:t>
      </w:r>
      <w:r>
        <w:rPr>
          <w:rFonts w:hint="eastAsia" w:ascii="幼圆" w:eastAsia="幼圆"/>
          <w:color w:val="000000"/>
          <w:sz w:val="24"/>
          <w:lang/>
        </w:rPr>
        <w:t>大型社区（</w:t>
      </w:r>
      <w:r>
        <w:rPr>
          <w:rFonts w:hint="eastAsia" w:ascii="幼圆" w:eastAsia="幼圆"/>
          <w:color w:val="000000"/>
          <w:sz w:val="24"/>
          <w:lang w:eastAsia="zh-CN"/>
        </w:rPr>
        <w:t>2.0万—5.0万</w:t>
      </w:r>
      <w:r>
        <w:rPr>
          <w:rFonts w:hint="eastAsia" w:ascii="幼圆" w:eastAsia="幼圆"/>
          <w:color w:val="000000"/>
          <w:sz w:val="24"/>
          <w:lang/>
        </w:rPr>
        <w:t>人）、小型社区（</w:t>
      </w:r>
      <w:r>
        <w:rPr>
          <w:rFonts w:hint="eastAsia" w:ascii="幼圆" w:eastAsia="幼圆"/>
          <w:color w:val="000000"/>
          <w:sz w:val="24"/>
          <w:lang w:eastAsia="zh-CN"/>
        </w:rPr>
        <w:t>1.0万—2.0万</w:t>
      </w:r>
      <w:r>
        <w:rPr>
          <w:rFonts w:hint="eastAsia" w:ascii="幼圆" w:eastAsia="幼圆"/>
          <w:color w:val="000000"/>
          <w:sz w:val="24"/>
          <w:lang/>
        </w:rPr>
        <w:t>人）两种社区类型</w:t>
      </w:r>
      <w:r>
        <w:rPr>
          <w:rFonts w:hint="eastAsia" w:ascii="幼圆" w:eastAsia="幼圆"/>
          <w:color w:val="000000"/>
          <w:sz w:val="24"/>
        </w:rPr>
        <w:t>，划分社区范围并进行编码，为社区级的商业网点配置提供基础。</w:t>
      </w:r>
    </w:p>
    <w:p w14:paraId="778C4C50">
      <w:pPr>
        <w:numPr>
          <w:ilvl w:val="0"/>
          <w:numId w:val="13"/>
        </w:numPr>
        <w:snapToGrid w:val="0"/>
        <w:spacing w:after="120" w:afterLines="50" w:line="300" w:lineRule="auto"/>
        <w:rPr>
          <w:rFonts w:hint="eastAsia" w:ascii="幼圆" w:hAnsi="宋体" w:eastAsia="幼圆"/>
          <w:color w:val="000000"/>
          <w:sz w:val="24"/>
        </w:rPr>
      </w:pPr>
      <w:r>
        <w:rPr>
          <w:rFonts w:hint="eastAsia" w:ascii="幼圆" w:eastAsia="幼圆"/>
          <w:color w:val="000000"/>
          <w:sz w:val="24"/>
        </w:rPr>
        <w:t>规划在中心城区范围共划分</w:t>
      </w:r>
      <w:r>
        <w:rPr>
          <w:rFonts w:hint="eastAsia" w:ascii="幼圆" w:eastAsia="幼圆"/>
          <w:color w:val="000000"/>
          <w:sz w:val="24"/>
          <w:lang w:val="en-US" w:eastAsia="zh-CN"/>
        </w:rPr>
        <w:t>31</w:t>
      </w:r>
      <w:r>
        <w:rPr>
          <w:rFonts w:hint="eastAsia" w:ascii="幼圆" w:eastAsia="幼圆"/>
          <w:color w:val="000000"/>
          <w:sz w:val="24"/>
        </w:rPr>
        <w:t>个社区，覆盖人口约</w:t>
      </w:r>
      <w:r>
        <w:rPr>
          <w:rFonts w:hint="eastAsia" w:ascii="幼圆" w:eastAsia="幼圆"/>
          <w:color w:val="000000"/>
          <w:sz w:val="24"/>
          <w:lang w:val="en-US" w:eastAsia="zh-CN"/>
        </w:rPr>
        <w:t>63</w:t>
      </w:r>
      <w:r>
        <w:rPr>
          <w:rFonts w:hint="eastAsia" w:ascii="幼圆" w:eastAsia="幼圆"/>
          <w:color w:val="000000"/>
          <w:sz w:val="24"/>
        </w:rPr>
        <w:t>万人,</w:t>
      </w:r>
      <w:r>
        <w:rPr>
          <w:rFonts w:hint="eastAsia" w:ascii="幼圆" w:hAnsi="宋体" w:eastAsia="幼圆"/>
          <w:color w:val="000000"/>
          <w:sz w:val="24"/>
        </w:rPr>
        <w:t>并按附表3进行社区划分和编码。</w:t>
      </w:r>
    </w:p>
    <w:bookmarkEnd w:id="55"/>
    <w:p w14:paraId="527030E2">
      <w:pPr>
        <w:numPr>
          <w:ilvl w:val="0"/>
          <w:numId w:val="13"/>
        </w:numPr>
        <w:snapToGrid w:val="0"/>
        <w:spacing w:after="120" w:afterLines="50" w:line="300" w:lineRule="auto"/>
        <w:rPr>
          <w:rFonts w:hint="eastAsia" w:ascii="幼圆" w:hAnsi="宋体" w:eastAsia="幼圆"/>
          <w:color w:val="000000"/>
          <w:sz w:val="24"/>
        </w:rPr>
      </w:pPr>
      <w:r>
        <w:rPr>
          <w:rFonts w:hint="eastAsia" w:ascii="幼圆" w:hAnsi="宋体" w:eastAsia="幼圆"/>
          <w:color w:val="000000"/>
          <w:sz w:val="24"/>
        </w:rPr>
        <w:t>以功能差异的视角，按照下表对中心城区内社区进行类型划分，进一步精细指引社区商业网点配置。</w:t>
      </w:r>
    </w:p>
    <w:p w14:paraId="03DD57A3">
      <w:pPr>
        <w:spacing w:after="120" w:afterLines="50"/>
        <w:jc w:val="center"/>
        <w:rPr>
          <w:rFonts w:ascii="幼圆" w:eastAsia="幼圆"/>
          <w:color w:val="000000"/>
          <w:sz w:val="24"/>
        </w:rPr>
      </w:pPr>
      <w:r>
        <w:rPr>
          <w:rFonts w:hint="eastAsia" w:ascii="幼圆" w:hAnsi="宋体" w:eastAsia="幼圆"/>
          <w:color w:val="000000"/>
          <w:sz w:val="24"/>
        </w:rPr>
        <w:t>表1：</w:t>
      </w:r>
      <w:r>
        <w:rPr>
          <w:rFonts w:hint="eastAsia" w:ascii="幼圆" w:eastAsia="幼圆"/>
          <w:color w:val="000000"/>
          <w:sz w:val="24"/>
        </w:rPr>
        <w:t>不同类型社区的特征及数量</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7939"/>
        <w:gridCol w:w="784"/>
      </w:tblGrid>
      <w:tr w14:paraId="4044F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560" w:type="pct"/>
            <w:noWrap w:val="0"/>
            <w:vAlign w:val="center"/>
          </w:tcPr>
          <w:p w14:paraId="72190BE8">
            <w:pPr>
              <w:pStyle w:val="18"/>
              <w:spacing w:after="0" w:line="240" w:lineRule="auto"/>
              <w:ind w:left="0" w:leftChars="0"/>
              <w:jc w:val="center"/>
              <w:rPr>
                <w:rFonts w:hint="eastAsia" w:ascii="幼圆" w:hAnsi="MS Gothic" w:eastAsia="幼圆"/>
                <w:b/>
                <w:color w:val="000000"/>
                <w:szCs w:val="21"/>
              </w:rPr>
            </w:pPr>
            <w:r>
              <w:rPr>
                <w:rFonts w:hint="eastAsia" w:ascii="幼圆" w:hAnsi="宋体" w:eastAsia="幼圆"/>
                <w:b/>
                <w:color w:val="000000"/>
                <w:szCs w:val="21"/>
              </w:rPr>
              <w:t>类</w:t>
            </w:r>
            <w:r>
              <w:rPr>
                <w:rFonts w:hint="eastAsia" w:ascii="幼圆" w:hAnsi="MS Gothic" w:eastAsia="幼圆"/>
                <w:b/>
                <w:color w:val="000000"/>
                <w:szCs w:val="21"/>
              </w:rPr>
              <w:t>型</w:t>
            </w:r>
          </w:p>
        </w:tc>
        <w:tc>
          <w:tcPr>
            <w:tcW w:w="4041" w:type="pct"/>
            <w:noWrap w:val="0"/>
            <w:vAlign w:val="center"/>
          </w:tcPr>
          <w:p w14:paraId="57672288">
            <w:pPr>
              <w:pStyle w:val="18"/>
              <w:spacing w:after="0" w:line="240" w:lineRule="auto"/>
              <w:ind w:left="0" w:leftChars="0"/>
              <w:jc w:val="center"/>
              <w:rPr>
                <w:rFonts w:hint="eastAsia" w:ascii="幼圆" w:hAnsi="MS Gothic" w:eastAsia="幼圆"/>
                <w:b/>
                <w:color w:val="000000"/>
                <w:szCs w:val="21"/>
              </w:rPr>
            </w:pPr>
            <w:r>
              <w:rPr>
                <w:rFonts w:hint="eastAsia" w:ascii="幼圆" w:hAnsi="MS Gothic" w:eastAsia="幼圆"/>
                <w:b/>
                <w:color w:val="000000"/>
                <w:szCs w:val="21"/>
              </w:rPr>
              <w:t>特征</w:t>
            </w:r>
          </w:p>
        </w:tc>
        <w:tc>
          <w:tcPr>
            <w:tcW w:w="399" w:type="pct"/>
            <w:noWrap w:val="0"/>
            <w:vAlign w:val="center"/>
          </w:tcPr>
          <w:p w14:paraId="392B4CDC">
            <w:pPr>
              <w:pStyle w:val="18"/>
              <w:spacing w:after="0" w:line="240" w:lineRule="auto"/>
              <w:ind w:left="0" w:leftChars="0"/>
              <w:jc w:val="center"/>
              <w:rPr>
                <w:rFonts w:hint="eastAsia" w:ascii="幼圆" w:hAnsi="MS Gothic" w:eastAsia="幼圆"/>
                <w:b/>
                <w:color w:val="000000"/>
                <w:szCs w:val="21"/>
              </w:rPr>
            </w:pPr>
            <w:r>
              <w:rPr>
                <w:rFonts w:hint="eastAsia" w:ascii="幼圆" w:hAnsi="MS Gothic" w:eastAsia="幼圆"/>
                <w:b/>
                <w:color w:val="000000"/>
                <w:szCs w:val="21"/>
              </w:rPr>
              <w:t>数量</w:t>
            </w:r>
          </w:p>
          <w:p w14:paraId="6F070108">
            <w:pPr>
              <w:pStyle w:val="18"/>
              <w:spacing w:after="0" w:line="240" w:lineRule="auto"/>
              <w:ind w:left="0" w:leftChars="0"/>
              <w:jc w:val="center"/>
              <w:rPr>
                <w:rFonts w:hint="eastAsia" w:ascii="幼圆" w:hAnsi="MS Gothic" w:eastAsia="幼圆"/>
                <w:b/>
                <w:color w:val="000000"/>
                <w:szCs w:val="21"/>
              </w:rPr>
            </w:pPr>
            <w:r>
              <w:rPr>
                <w:rFonts w:hint="eastAsia" w:ascii="幼圆" w:hAnsi="MS Gothic" w:eastAsia="幼圆"/>
                <w:b/>
                <w:color w:val="000000"/>
                <w:szCs w:val="21"/>
              </w:rPr>
              <w:t>（个）</w:t>
            </w:r>
          </w:p>
        </w:tc>
      </w:tr>
      <w:tr w14:paraId="7F77E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00" w:type="dxa"/>
            <w:noWrap w:val="0"/>
            <w:vAlign w:val="center"/>
          </w:tcPr>
          <w:p w14:paraId="3B93BB1F">
            <w:pPr>
              <w:pStyle w:val="18"/>
              <w:spacing w:after="0" w:line="240" w:lineRule="auto"/>
              <w:ind w:left="0" w:leftChars="0"/>
              <w:jc w:val="center"/>
              <w:rPr>
                <w:rFonts w:hint="eastAsia" w:ascii="幼圆" w:hAnsi="宋体" w:eastAsia="幼圆" w:cs="Times New Roman"/>
                <w:b/>
                <w:color w:val="000000"/>
                <w:szCs w:val="21"/>
              </w:rPr>
            </w:pPr>
            <w:r>
              <w:rPr>
                <w:rFonts w:hint="eastAsia" w:ascii="幼圆" w:hAnsi="宋体" w:eastAsia="幼圆" w:cs="Times New Roman"/>
                <w:b/>
                <w:color w:val="000000"/>
                <w:szCs w:val="21"/>
              </w:rPr>
              <w:t>城市居住区型社区</w:t>
            </w:r>
          </w:p>
        </w:tc>
        <w:tc>
          <w:tcPr>
            <w:tcW w:w="7939" w:type="dxa"/>
            <w:noWrap w:val="0"/>
            <w:vAlign w:val="center"/>
          </w:tcPr>
          <w:p w14:paraId="46387E06">
            <w:pPr>
              <w:pStyle w:val="18"/>
              <w:spacing w:after="0" w:line="240" w:lineRule="auto"/>
              <w:ind w:left="0" w:leftChars="0"/>
              <w:jc w:val="center"/>
              <w:rPr>
                <w:rFonts w:hint="eastAsia" w:ascii="幼圆" w:hAnsi="宋体" w:eastAsia="幼圆" w:cs="Times New Roman"/>
                <w:b w:val="0"/>
                <w:bCs/>
                <w:color w:val="000000"/>
                <w:szCs w:val="21"/>
              </w:rPr>
            </w:pPr>
            <w:r>
              <w:rPr>
                <w:rFonts w:hint="eastAsia" w:ascii="幼圆" w:hAnsi="宋体" w:eastAsia="幼圆" w:cs="Times New Roman"/>
                <w:b w:val="0"/>
                <w:bCs/>
                <w:color w:val="000000"/>
                <w:szCs w:val="21"/>
              </w:rPr>
              <w:t>城市居住人口密集的社区，以家庭性居住为主。社区具有消费需求层次多样、消费内容综合、消费能力较强、水平较高等特点。</w:t>
            </w:r>
          </w:p>
        </w:tc>
        <w:tc>
          <w:tcPr>
            <w:tcW w:w="784" w:type="dxa"/>
            <w:noWrap w:val="0"/>
            <w:vAlign w:val="center"/>
          </w:tcPr>
          <w:p w14:paraId="7EF75303">
            <w:pPr>
              <w:pStyle w:val="18"/>
              <w:spacing w:after="0" w:line="240" w:lineRule="auto"/>
              <w:ind w:left="0" w:leftChars="0"/>
              <w:jc w:val="center"/>
              <w:rPr>
                <w:rFonts w:hint="eastAsia" w:ascii="幼圆" w:hAnsi="宋体" w:eastAsia="幼圆" w:cs="Times New Roman"/>
                <w:b w:val="0"/>
                <w:bCs/>
                <w:color w:val="000000"/>
                <w:szCs w:val="21"/>
              </w:rPr>
            </w:pPr>
            <w:r>
              <w:rPr>
                <w:rFonts w:hint="eastAsia" w:ascii="幼圆" w:hAnsi="宋体" w:eastAsia="幼圆" w:cs="Times New Roman"/>
                <w:b w:val="0"/>
                <w:bCs/>
                <w:color w:val="000000"/>
                <w:szCs w:val="21"/>
              </w:rPr>
              <w:t>16</w:t>
            </w:r>
          </w:p>
        </w:tc>
      </w:tr>
      <w:tr w14:paraId="02474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00" w:type="dxa"/>
            <w:noWrap w:val="0"/>
            <w:vAlign w:val="center"/>
          </w:tcPr>
          <w:p w14:paraId="227E13D9">
            <w:pPr>
              <w:pStyle w:val="18"/>
              <w:spacing w:after="0" w:line="240" w:lineRule="auto"/>
              <w:ind w:left="0" w:leftChars="0"/>
              <w:jc w:val="center"/>
              <w:rPr>
                <w:rFonts w:hint="eastAsia" w:ascii="幼圆" w:hAnsi="宋体" w:eastAsia="幼圆" w:cs="Times New Roman"/>
                <w:b/>
                <w:color w:val="000000"/>
                <w:szCs w:val="21"/>
              </w:rPr>
            </w:pPr>
            <w:r>
              <w:rPr>
                <w:rFonts w:hint="eastAsia" w:ascii="幼圆" w:hAnsi="宋体" w:eastAsia="幼圆" w:cs="Times New Roman"/>
                <w:b/>
                <w:color w:val="000000"/>
                <w:szCs w:val="21"/>
              </w:rPr>
              <w:t>产业园区型社区</w:t>
            </w:r>
          </w:p>
        </w:tc>
        <w:tc>
          <w:tcPr>
            <w:tcW w:w="7939" w:type="dxa"/>
            <w:noWrap w:val="0"/>
            <w:vAlign w:val="center"/>
          </w:tcPr>
          <w:p w14:paraId="11827E1E">
            <w:pPr>
              <w:pStyle w:val="18"/>
              <w:spacing w:after="0" w:line="240" w:lineRule="auto"/>
              <w:ind w:left="0" w:leftChars="0"/>
              <w:jc w:val="center"/>
              <w:rPr>
                <w:rFonts w:hint="eastAsia" w:ascii="幼圆" w:hAnsi="宋体" w:eastAsia="幼圆" w:cs="Times New Roman"/>
                <w:b w:val="0"/>
                <w:bCs/>
                <w:color w:val="000000"/>
                <w:szCs w:val="21"/>
              </w:rPr>
            </w:pPr>
            <w:r>
              <w:rPr>
                <w:rFonts w:hint="eastAsia" w:ascii="幼圆" w:hAnsi="宋体" w:eastAsia="幼圆" w:cs="Times New Roman"/>
                <w:b w:val="0"/>
                <w:bCs/>
                <w:color w:val="000000"/>
                <w:szCs w:val="21"/>
              </w:rPr>
              <w:t>工业产业集聚分布，以工业生产为主要功能的社区。园区内居住人口以产业工人为主，以及部分管理人员，园区具有低强度开发、产业家眷人口少、消费需求层次集中等特点。</w:t>
            </w:r>
          </w:p>
        </w:tc>
        <w:tc>
          <w:tcPr>
            <w:tcW w:w="784" w:type="dxa"/>
            <w:noWrap w:val="0"/>
            <w:vAlign w:val="center"/>
          </w:tcPr>
          <w:p w14:paraId="46715944">
            <w:pPr>
              <w:pStyle w:val="18"/>
              <w:spacing w:after="0" w:line="240" w:lineRule="auto"/>
              <w:ind w:left="0" w:leftChars="0"/>
              <w:jc w:val="center"/>
              <w:rPr>
                <w:rFonts w:hint="eastAsia" w:ascii="幼圆" w:hAnsi="宋体" w:eastAsia="幼圆" w:cs="Times New Roman"/>
                <w:b w:val="0"/>
                <w:bCs/>
                <w:color w:val="000000"/>
                <w:szCs w:val="21"/>
              </w:rPr>
            </w:pPr>
            <w:r>
              <w:rPr>
                <w:rFonts w:hint="eastAsia" w:ascii="幼圆" w:hAnsi="宋体" w:eastAsia="幼圆" w:cs="Times New Roman"/>
                <w:b w:val="0"/>
                <w:bCs/>
                <w:color w:val="000000"/>
                <w:szCs w:val="21"/>
              </w:rPr>
              <w:t>4</w:t>
            </w:r>
          </w:p>
        </w:tc>
      </w:tr>
      <w:tr w14:paraId="1BC71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00" w:type="dxa"/>
            <w:noWrap w:val="0"/>
            <w:vAlign w:val="center"/>
          </w:tcPr>
          <w:p w14:paraId="35CC4C51">
            <w:pPr>
              <w:pStyle w:val="18"/>
              <w:spacing w:after="0" w:line="240" w:lineRule="auto"/>
              <w:ind w:left="0" w:leftChars="0"/>
              <w:jc w:val="center"/>
              <w:rPr>
                <w:rFonts w:hint="eastAsia" w:ascii="幼圆" w:hAnsi="宋体" w:eastAsia="幼圆" w:cs="Times New Roman"/>
                <w:b/>
                <w:color w:val="000000"/>
                <w:szCs w:val="21"/>
              </w:rPr>
            </w:pPr>
            <w:r>
              <w:rPr>
                <w:rFonts w:hint="eastAsia" w:ascii="幼圆" w:hAnsi="宋体" w:eastAsia="幼圆" w:cs="Times New Roman"/>
                <w:b/>
                <w:color w:val="000000"/>
                <w:szCs w:val="21"/>
              </w:rPr>
              <w:t>混合功能型社区</w:t>
            </w:r>
          </w:p>
        </w:tc>
        <w:tc>
          <w:tcPr>
            <w:tcW w:w="7939" w:type="dxa"/>
            <w:noWrap w:val="0"/>
            <w:vAlign w:val="center"/>
          </w:tcPr>
          <w:p w14:paraId="1B725C27">
            <w:pPr>
              <w:pStyle w:val="18"/>
              <w:spacing w:after="0" w:line="240" w:lineRule="auto"/>
              <w:ind w:left="0" w:leftChars="0"/>
              <w:jc w:val="center"/>
              <w:rPr>
                <w:rFonts w:hint="eastAsia" w:ascii="幼圆" w:hAnsi="宋体" w:eastAsia="幼圆" w:cs="Times New Roman"/>
                <w:b w:val="0"/>
                <w:bCs/>
                <w:color w:val="000000"/>
                <w:szCs w:val="21"/>
              </w:rPr>
            </w:pPr>
            <w:r>
              <w:rPr>
                <w:rFonts w:hint="eastAsia" w:ascii="幼圆" w:hAnsi="宋体" w:eastAsia="幼圆" w:cs="Times New Roman"/>
                <w:b w:val="0"/>
                <w:bCs/>
                <w:color w:val="000000"/>
                <w:szCs w:val="21"/>
              </w:rPr>
              <w:t>既包括城乡边缘地区的社区，也包括功能混杂的社区。目前的典型为</w:t>
            </w:r>
            <w:r>
              <w:rPr>
                <w:rFonts w:hint="eastAsia" w:ascii="幼圆" w:hAnsi="宋体" w:eastAsia="幼圆" w:cs="Times New Roman"/>
                <w:b w:val="0"/>
                <w:bCs/>
                <w:color w:val="000000"/>
                <w:szCs w:val="21"/>
                <w:lang w:eastAsia="zh-CN"/>
              </w:rPr>
              <w:t>城乡接合部</w:t>
            </w:r>
            <w:r>
              <w:rPr>
                <w:rFonts w:hint="eastAsia" w:ascii="幼圆" w:hAnsi="宋体" w:eastAsia="幼圆" w:cs="Times New Roman"/>
                <w:b w:val="0"/>
                <w:bCs/>
                <w:color w:val="000000"/>
                <w:szCs w:val="21"/>
              </w:rPr>
              <w:t>社区、外围城镇中心区。社区的典型特征是功能混杂、人员流动性大、社区成员身份复杂、功能形态处于剧烈变动之中。</w:t>
            </w:r>
          </w:p>
        </w:tc>
        <w:tc>
          <w:tcPr>
            <w:tcW w:w="784" w:type="dxa"/>
            <w:noWrap w:val="0"/>
            <w:vAlign w:val="center"/>
          </w:tcPr>
          <w:p w14:paraId="2ACA2669">
            <w:pPr>
              <w:pStyle w:val="18"/>
              <w:spacing w:after="0" w:line="240" w:lineRule="auto"/>
              <w:ind w:left="0" w:leftChars="0"/>
              <w:jc w:val="center"/>
              <w:rPr>
                <w:rFonts w:hint="eastAsia" w:ascii="幼圆" w:hAnsi="宋体" w:eastAsia="幼圆" w:cs="Times New Roman"/>
                <w:b w:val="0"/>
                <w:bCs/>
                <w:color w:val="000000"/>
                <w:szCs w:val="21"/>
              </w:rPr>
            </w:pPr>
            <w:r>
              <w:rPr>
                <w:rFonts w:hint="eastAsia" w:ascii="幼圆" w:hAnsi="宋体" w:eastAsia="幼圆" w:cs="Times New Roman"/>
                <w:b w:val="0"/>
                <w:bCs/>
                <w:color w:val="000000"/>
                <w:szCs w:val="21"/>
              </w:rPr>
              <w:t>11</w:t>
            </w:r>
          </w:p>
        </w:tc>
      </w:tr>
    </w:tbl>
    <w:p w14:paraId="08F4D9D1">
      <w:pPr>
        <w:spacing w:after="120" w:afterLines="50" w:line="360" w:lineRule="auto"/>
        <w:ind w:firstLine="480" w:firstLineChars="200"/>
        <w:rPr>
          <w:rFonts w:hint="eastAsia" w:ascii="幼圆" w:eastAsia="幼圆"/>
          <w:color w:val="000000"/>
          <w:sz w:val="24"/>
        </w:rPr>
      </w:pPr>
    </w:p>
    <w:p w14:paraId="3C12859C">
      <w:pPr>
        <w:numPr>
          <w:ilvl w:val="0"/>
          <w:numId w:val="13"/>
        </w:numPr>
        <w:snapToGrid w:val="0"/>
        <w:spacing w:after="120" w:afterLines="50" w:line="300" w:lineRule="auto"/>
        <w:rPr>
          <w:rFonts w:hint="eastAsia" w:ascii="幼圆" w:hAnsi="宋体" w:eastAsia="幼圆"/>
          <w:color w:val="000000"/>
          <w:sz w:val="24"/>
        </w:rPr>
      </w:pPr>
      <w:r>
        <w:rPr>
          <w:rFonts w:hint="eastAsia" w:ascii="幼圆" w:hAnsi="宋体" w:eastAsia="幼圆"/>
          <w:color w:val="000000"/>
          <w:sz w:val="24"/>
        </w:rPr>
        <w:t>在各社区范围内按照以下原则选择合适用地布局社区级商业中心，并按照附表4要求对社区商业中心的建设规模和建设要求实施指导性控制：</w:t>
      </w:r>
    </w:p>
    <w:p w14:paraId="508C7531">
      <w:pPr>
        <w:numPr>
          <w:ilvl w:val="0"/>
          <w:numId w:val="14"/>
        </w:numPr>
        <w:spacing w:after="120" w:afterLines="50" w:line="360" w:lineRule="auto"/>
        <w:rPr>
          <w:rFonts w:hint="eastAsia" w:ascii="幼圆" w:eastAsia="幼圆"/>
          <w:color w:val="000000"/>
          <w:sz w:val="24"/>
        </w:rPr>
      </w:pPr>
      <w:r>
        <w:rPr>
          <w:rFonts w:hint="eastAsia" w:ascii="幼圆" w:eastAsia="幼圆"/>
          <w:color w:val="000000"/>
          <w:sz w:val="24"/>
        </w:rPr>
        <w:t>城市级商业中心一般不宜混合布局低层级的社区级商业服务网点，其所在社区宜另行设置独立的社区级商业中心。</w:t>
      </w:r>
    </w:p>
    <w:p w14:paraId="159B7F38">
      <w:pPr>
        <w:numPr>
          <w:ilvl w:val="0"/>
          <w:numId w:val="14"/>
        </w:numPr>
        <w:spacing w:after="120" w:afterLines="50" w:line="360" w:lineRule="auto"/>
        <w:rPr>
          <w:rFonts w:hint="eastAsia" w:ascii="幼圆" w:eastAsia="幼圆"/>
          <w:color w:val="000000"/>
          <w:sz w:val="24"/>
        </w:rPr>
      </w:pPr>
      <w:r>
        <w:rPr>
          <w:rFonts w:hint="eastAsia" w:ascii="幼圆" w:eastAsia="幼圆"/>
          <w:color w:val="000000"/>
          <w:sz w:val="24"/>
        </w:rPr>
        <w:t>组团级商业中心所在社区由组团级商业中心提供社区商业服务，可不设置独立的社区级商业中心。</w:t>
      </w:r>
    </w:p>
    <w:p w14:paraId="3BCF44D2">
      <w:pPr>
        <w:numPr>
          <w:ilvl w:val="0"/>
          <w:numId w:val="14"/>
        </w:numPr>
        <w:spacing w:after="120" w:afterLines="50" w:line="360" w:lineRule="auto"/>
        <w:rPr>
          <w:rFonts w:hint="eastAsia" w:ascii="幼圆" w:eastAsia="幼圆"/>
          <w:color w:val="000000"/>
          <w:sz w:val="24"/>
        </w:rPr>
      </w:pPr>
      <w:r>
        <w:rPr>
          <w:rFonts w:hint="eastAsia" w:ascii="幼圆" w:eastAsia="幼圆"/>
          <w:color w:val="000000"/>
          <w:sz w:val="24"/>
        </w:rPr>
        <w:t>各社区商业中心宜布局于社区中心位置，在尽量与城市总体规划、各片区控制性详细规划的用地功能布局保持一致的前提下，按照TOD导向、SOD导向，结合公交站点、公共服务设施、绿地公园等布局。</w:t>
      </w:r>
    </w:p>
    <w:p w14:paraId="4113D072">
      <w:pPr>
        <w:numPr>
          <w:ilvl w:val="0"/>
          <w:numId w:val="14"/>
        </w:numPr>
        <w:spacing w:after="120" w:afterLines="50" w:line="360" w:lineRule="auto"/>
        <w:rPr>
          <w:rFonts w:hint="eastAsia" w:ascii="幼圆" w:eastAsia="幼圆"/>
          <w:color w:val="000000"/>
          <w:sz w:val="24"/>
        </w:rPr>
      </w:pPr>
      <w:r>
        <w:rPr>
          <w:rFonts w:hint="eastAsia" w:ascii="幼圆" w:eastAsia="幼圆"/>
          <w:color w:val="000000"/>
          <w:sz w:val="24"/>
        </w:rPr>
        <w:t>依据社区分类，按照不同的标准确定各社区商业中心的商业用地规模，其中：城市住区型社区人均商业用地和营业面积分别为0.94、0.9平方米、产业园区型社区人均商业用地和营业面积分别为0.6、0.7平方米、混合功能型社区人均商业用地和营业面积分别为0.75、0.8平方米。</w:t>
      </w:r>
    </w:p>
    <w:p w14:paraId="15ADC34A">
      <w:pPr>
        <w:numPr>
          <w:ilvl w:val="0"/>
          <w:numId w:val="14"/>
        </w:numPr>
        <w:spacing w:after="120" w:afterLines="50" w:line="360" w:lineRule="auto"/>
        <w:rPr>
          <w:rFonts w:hint="eastAsia" w:ascii="幼圆" w:eastAsia="幼圆"/>
          <w:color w:val="000000"/>
          <w:sz w:val="24"/>
        </w:rPr>
      </w:pPr>
      <w:r>
        <w:rPr>
          <w:rFonts w:hint="eastAsia" w:ascii="幼圆" w:eastAsia="幼圆"/>
          <w:color w:val="000000"/>
          <w:sz w:val="24"/>
        </w:rPr>
        <w:t>城市住区型社区应引导建设独立商业综合体，结合城市社区商业街形成社区商业中心；产业园区型社区应控制社区商业中心规模，按照邻里中心模式集中配置商业网点，形成服务中心；混合功能型社区可将现有商业街优化升级为商业街式商业中心，条件允可应另建商业综合</w:t>
      </w:r>
      <w:r>
        <w:rPr>
          <w:rFonts w:hint="eastAsia" w:ascii="幼圆" w:eastAsia="幼圆"/>
          <w:color w:val="000000"/>
          <w:sz w:val="24"/>
          <w:lang w:eastAsia="zh-CN"/>
        </w:rPr>
        <w:t>体</w:t>
      </w:r>
      <w:r>
        <w:rPr>
          <w:rFonts w:hint="eastAsia" w:ascii="幼圆" w:eastAsia="幼圆"/>
          <w:color w:val="000000"/>
          <w:sz w:val="24"/>
        </w:rPr>
        <w:t>形成社区商业中心。</w:t>
      </w:r>
    </w:p>
    <w:p w14:paraId="560C7C6B">
      <w:pPr>
        <w:numPr>
          <w:ilvl w:val="0"/>
          <w:numId w:val="14"/>
        </w:numPr>
        <w:spacing w:after="120" w:afterLines="50" w:line="360" w:lineRule="auto"/>
        <w:rPr>
          <w:rFonts w:hint="eastAsia" w:ascii="幼圆" w:eastAsia="幼圆"/>
          <w:color w:val="000000"/>
          <w:sz w:val="24"/>
        </w:rPr>
      </w:pPr>
      <w:r>
        <w:rPr>
          <w:rFonts w:hint="eastAsia" w:ascii="幼圆" w:eastAsia="幼圆"/>
          <w:color w:val="000000"/>
          <w:sz w:val="24"/>
        </w:rPr>
        <w:t>上层次规划在社区范围内没有安排专门商业用地的社区，应参照社区商业中心布局规范，规划增设独立的社区商业中心用地。</w:t>
      </w:r>
    </w:p>
    <w:p w14:paraId="28716C90">
      <w:pPr>
        <w:numPr>
          <w:ilvl w:val="0"/>
          <w:numId w:val="14"/>
        </w:numPr>
        <w:spacing w:after="120" w:afterLines="50" w:line="360" w:lineRule="auto"/>
        <w:rPr>
          <w:rFonts w:hint="eastAsia" w:ascii="幼圆" w:hAnsi="Times New Roman" w:eastAsia="幼圆" w:cs="Times New Roman"/>
          <w:color w:val="000000"/>
          <w:sz w:val="24"/>
        </w:rPr>
      </w:pPr>
      <w:r>
        <w:rPr>
          <w:rFonts w:hint="eastAsia" w:ascii="幼圆" w:eastAsia="幼圆"/>
          <w:sz w:val="24"/>
        </w:rPr>
        <w:t>规划共设置21处独立社区级商业中心，安排独立社区商业中心商业用地约32.1</w:t>
      </w:r>
      <w:r>
        <w:rPr>
          <w:rFonts w:hint="eastAsia" w:ascii="幼圆" w:hAnsi="Times New Roman" w:eastAsia="幼圆" w:cs="Times New Roman"/>
          <w:color w:val="000000"/>
          <w:sz w:val="24"/>
        </w:rPr>
        <w:t>公顷，营业面积约31.9万平方米。</w:t>
      </w:r>
    </w:p>
    <w:p w14:paraId="1537BCEB">
      <w:pPr>
        <w:numPr>
          <w:ilvl w:val="0"/>
          <w:numId w:val="14"/>
        </w:numPr>
        <w:spacing w:after="120" w:afterLines="50" w:line="36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为应对新型商业发展趋势，规划发展服务式、即时式的社区商业。引入丰富的日常生活服务型业态，如社区食堂、课后托管、各色兴趣班、菜市场或生鲜超市、家政服务、维修服务、洗衣和理发等服务。构建即时便民网络，推动传统菜市场升级为“智慧微集市”，集成生鲜售卖、代收快递、社区信息发布等功能，鼓励社区商店融合前置仓建设。</w:t>
      </w:r>
    </w:p>
    <w:p w14:paraId="55AEFB9F">
      <w:pPr>
        <w:numPr>
          <w:ilvl w:val="0"/>
          <w:numId w:val="14"/>
        </w:numPr>
        <w:spacing w:after="120" w:afterLines="50" w:line="300" w:lineRule="auto"/>
        <w:jc w:val="left"/>
        <w:rPr>
          <w:rFonts w:hint="eastAsia" w:ascii="幼圆" w:hAnsi="宋体" w:eastAsia="幼圆"/>
          <w:color w:val="000000"/>
          <w:sz w:val="24"/>
        </w:rPr>
      </w:pPr>
      <w:r>
        <w:rPr>
          <w:rFonts w:hint="eastAsia" w:ascii="幼圆" w:eastAsia="幼圆"/>
          <w:color w:val="000000"/>
          <w:sz w:val="24"/>
        </w:rPr>
        <w:t>参照附表5的要求确定社区商业网点基本配置，但不同类型</w:t>
      </w:r>
      <w:r>
        <w:rPr>
          <w:rFonts w:hint="eastAsia" w:ascii="幼圆" w:hAnsi="宋体" w:eastAsia="幼圆"/>
          <w:color w:val="000000"/>
          <w:sz w:val="24"/>
        </w:rPr>
        <w:t>社区</w:t>
      </w:r>
      <w:r>
        <w:rPr>
          <w:rFonts w:hint="eastAsia" w:ascii="幼圆" w:eastAsia="幼圆"/>
          <w:color w:val="000000"/>
          <w:sz w:val="24"/>
        </w:rPr>
        <w:t>的商业中心宜采取不同的建设模式。</w:t>
      </w:r>
    </w:p>
    <w:p w14:paraId="64783C96">
      <w:pPr>
        <w:spacing w:after="120" w:afterLines="50" w:line="300" w:lineRule="auto"/>
        <w:jc w:val="left"/>
        <w:rPr>
          <w:rFonts w:hint="eastAsia" w:ascii="幼圆" w:hAnsi="宋体" w:eastAsia="幼圆"/>
          <w:color w:val="000000"/>
          <w:sz w:val="24"/>
        </w:rPr>
      </w:pPr>
    </w:p>
    <w:p w14:paraId="1761A654">
      <w:pPr>
        <w:pStyle w:val="3"/>
        <w:spacing w:before="120" w:beforeLines="50" w:after="120" w:afterLines="50" w:line="360" w:lineRule="auto"/>
        <w:rPr>
          <w:rFonts w:hint="eastAsia" w:ascii="华文中宋" w:hAnsi="华文中宋" w:eastAsia="华文中宋"/>
          <w:color w:val="000000"/>
          <w:sz w:val="36"/>
          <w:szCs w:val="36"/>
        </w:rPr>
      </w:pPr>
      <w:bookmarkStart w:id="56" w:name="_Toc25539"/>
      <w:r>
        <w:rPr>
          <w:rFonts w:hint="eastAsia" w:ascii="华文中宋" w:hAnsi="华文中宋" w:eastAsia="华文中宋"/>
          <w:color w:val="000000"/>
          <w:sz w:val="36"/>
          <w:szCs w:val="36"/>
        </w:rPr>
        <w:t>第二节 大中型零售商业网点规划布局</w:t>
      </w:r>
      <w:bookmarkEnd w:id="56"/>
    </w:p>
    <w:p w14:paraId="75CEB360">
      <w:pPr>
        <w:pStyle w:val="4"/>
        <w:numPr>
          <w:ilvl w:val="0"/>
          <w:numId w:val="1"/>
        </w:numPr>
        <w:spacing w:before="0" w:after="48" w:afterLines="20" w:line="288" w:lineRule="auto"/>
        <w:rPr>
          <w:rFonts w:hint="eastAsia" w:ascii="微软雅黑" w:hAnsi="微软雅黑" w:eastAsia="微软雅黑"/>
          <w:color w:val="000000"/>
        </w:rPr>
      </w:pPr>
      <w:bookmarkStart w:id="57" w:name="_Toc23356"/>
      <w:r>
        <w:rPr>
          <w:rFonts w:hint="eastAsia" w:ascii="微软雅黑" w:hAnsi="微软雅黑" w:eastAsia="微软雅黑"/>
          <w:color w:val="000000"/>
        </w:rPr>
        <w:t>规划对象</w:t>
      </w:r>
      <w:bookmarkEnd w:id="57"/>
    </w:p>
    <w:p w14:paraId="2FD0CEA8">
      <w:pPr>
        <w:snapToGrid w:val="0"/>
        <w:spacing w:after="120" w:afterLines="50" w:line="300" w:lineRule="auto"/>
        <w:ind w:firstLine="482"/>
        <w:rPr>
          <w:rFonts w:hint="eastAsia" w:ascii="幼圆" w:eastAsia="幼圆"/>
          <w:color w:val="000000"/>
          <w:sz w:val="24"/>
        </w:rPr>
      </w:pPr>
      <w:r>
        <w:rPr>
          <w:rFonts w:hint="eastAsia" w:ascii="幼圆" w:eastAsia="幼圆"/>
          <w:color w:val="000000"/>
          <w:sz w:val="24"/>
        </w:rPr>
        <w:t>大中型零售商业网点规划的主要对象包括商业综合体，以及不同等级规模的购物中心、百货店、超级市场和农贸市场等。大中型零售商业网点可结合规划区的实际情况，按照下表的等级标准实施弹性引导、合理配置。</w:t>
      </w:r>
    </w:p>
    <w:p w14:paraId="4E55DB4E">
      <w:pPr>
        <w:snapToGrid w:val="0"/>
        <w:spacing w:after="120" w:afterLines="50" w:line="300" w:lineRule="auto"/>
        <w:ind w:firstLine="482"/>
        <w:rPr>
          <w:rFonts w:hint="eastAsia" w:ascii="幼圆" w:eastAsia="幼圆"/>
          <w:color w:val="000000"/>
          <w:sz w:val="24"/>
        </w:rPr>
      </w:pPr>
    </w:p>
    <w:p w14:paraId="407D905E">
      <w:pPr>
        <w:spacing w:line="360" w:lineRule="auto"/>
        <w:jc w:val="center"/>
        <w:rPr>
          <w:rFonts w:hint="eastAsia" w:ascii="幼圆" w:eastAsia="幼圆"/>
          <w:color w:val="000000"/>
          <w:sz w:val="24"/>
        </w:rPr>
      </w:pPr>
      <w:r>
        <w:rPr>
          <w:rFonts w:hint="eastAsia" w:ascii="幼圆" w:hAnsi="宋体" w:eastAsia="幼圆"/>
          <w:color w:val="000000"/>
          <w:sz w:val="24"/>
        </w:rPr>
        <w:t>表2：</w:t>
      </w:r>
      <w:r>
        <w:rPr>
          <w:rFonts w:hint="eastAsia" w:ascii="幼圆" w:eastAsia="幼圆"/>
          <w:color w:val="000000"/>
          <w:sz w:val="24"/>
        </w:rPr>
        <w:t>各类零售商业业态的等级标准</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6"/>
        <w:gridCol w:w="850"/>
        <w:gridCol w:w="1161"/>
        <w:gridCol w:w="1960"/>
        <w:gridCol w:w="2555"/>
        <w:gridCol w:w="2341"/>
      </w:tblGrid>
      <w:tr w14:paraId="41E5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36CBA351">
            <w:pPr>
              <w:adjustRightInd w:val="0"/>
              <w:snapToGrid w:val="0"/>
              <w:jc w:val="center"/>
              <w:rPr>
                <w:rFonts w:hint="eastAsia" w:ascii="幼圆" w:hAnsi="华文楷体" w:eastAsia="幼圆"/>
                <w:b/>
                <w:bCs/>
                <w:color w:val="000000"/>
                <w:szCs w:val="21"/>
              </w:rPr>
            </w:pPr>
            <w:bookmarkStart w:id="58" w:name="_Toc334513653"/>
            <w:r>
              <w:rPr>
                <w:rFonts w:hint="eastAsia" w:ascii="幼圆" w:hAnsi="华文楷体" w:eastAsia="幼圆"/>
                <w:b/>
                <w:bCs/>
                <w:color w:val="000000"/>
                <w:szCs w:val="21"/>
              </w:rPr>
              <w:t>业态</w:t>
            </w:r>
          </w:p>
        </w:tc>
        <w:tc>
          <w:tcPr>
            <w:tcW w:w="433" w:type="pct"/>
            <w:noWrap w:val="0"/>
            <w:vAlign w:val="center"/>
          </w:tcPr>
          <w:p w14:paraId="2775651F">
            <w:pPr>
              <w:adjustRightInd w:val="0"/>
              <w:snapToGrid w:val="0"/>
              <w:jc w:val="center"/>
              <w:rPr>
                <w:rFonts w:hint="eastAsia" w:ascii="幼圆" w:hAnsi="华文细黑" w:eastAsia="幼圆"/>
                <w:b/>
                <w:bCs/>
                <w:color w:val="000000"/>
              </w:rPr>
            </w:pPr>
            <w:r>
              <w:rPr>
                <w:rFonts w:hint="eastAsia" w:ascii="幼圆" w:hAnsi="华文细黑" w:eastAsia="幼圆"/>
                <w:b/>
                <w:bCs/>
                <w:color w:val="000000"/>
              </w:rPr>
              <w:t>商圈人口</w:t>
            </w:r>
          </w:p>
        </w:tc>
        <w:tc>
          <w:tcPr>
            <w:tcW w:w="590" w:type="pct"/>
            <w:noWrap w:val="0"/>
            <w:vAlign w:val="center"/>
          </w:tcPr>
          <w:p w14:paraId="3EA6E010">
            <w:pPr>
              <w:adjustRightInd w:val="0"/>
              <w:snapToGrid w:val="0"/>
              <w:jc w:val="center"/>
              <w:rPr>
                <w:rFonts w:hint="eastAsia" w:ascii="幼圆" w:hAnsi="华文细黑" w:eastAsia="幼圆"/>
                <w:b/>
                <w:bCs/>
                <w:color w:val="000000"/>
              </w:rPr>
            </w:pPr>
            <w:r>
              <w:rPr>
                <w:rFonts w:hint="eastAsia" w:ascii="幼圆" w:hAnsi="华文细黑" w:eastAsia="幼圆"/>
                <w:b/>
                <w:bCs/>
                <w:color w:val="000000"/>
              </w:rPr>
              <w:t>建筑面积</w:t>
            </w:r>
            <w:r>
              <w:rPr>
                <w:rFonts w:hint="eastAsia" w:ascii="幼圆" w:hAnsi="华文细黑" w:eastAsia="幼圆"/>
                <w:b/>
                <w:color w:val="000000"/>
              </w:rPr>
              <w:t>（㎡）</w:t>
            </w:r>
          </w:p>
        </w:tc>
        <w:tc>
          <w:tcPr>
            <w:tcW w:w="997" w:type="pct"/>
            <w:noWrap w:val="0"/>
            <w:vAlign w:val="center"/>
          </w:tcPr>
          <w:p w14:paraId="3D5CFB8A">
            <w:pPr>
              <w:adjustRightInd w:val="0"/>
              <w:snapToGrid w:val="0"/>
              <w:jc w:val="center"/>
              <w:rPr>
                <w:rFonts w:hint="eastAsia" w:ascii="幼圆" w:hAnsi="华文细黑" w:eastAsia="幼圆"/>
                <w:b/>
                <w:bCs/>
                <w:color w:val="000000"/>
              </w:rPr>
            </w:pPr>
            <w:r>
              <w:rPr>
                <w:rFonts w:hint="eastAsia" w:ascii="幼圆" w:hAnsi="华文细黑" w:eastAsia="幼圆"/>
                <w:b/>
                <w:bCs/>
                <w:color w:val="000000"/>
              </w:rPr>
              <w:t>目标顾客</w:t>
            </w:r>
          </w:p>
        </w:tc>
        <w:tc>
          <w:tcPr>
            <w:tcW w:w="1300" w:type="pct"/>
            <w:noWrap w:val="0"/>
            <w:vAlign w:val="center"/>
          </w:tcPr>
          <w:p w14:paraId="0BD3793C">
            <w:pPr>
              <w:adjustRightInd w:val="0"/>
              <w:snapToGrid w:val="0"/>
              <w:jc w:val="center"/>
              <w:rPr>
                <w:rFonts w:hint="eastAsia" w:ascii="幼圆" w:hAnsi="华文细黑" w:eastAsia="幼圆"/>
                <w:b/>
                <w:bCs/>
                <w:color w:val="000000"/>
              </w:rPr>
            </w:pPr>
            <w:r>
              <w:rPr>
                <w:rFonts w:hint="eastAsia" w:ascii="幼圆" w:hAnsi="华文细黑" w:eastAsia="幼圆"/>
                <w:b/>
                <w:bCs/>
                <w:color w:val="000000"/>
              </w:rPr>
              <w:t>商品结构</w:t>
            </w:r>
          </w:p>
        </w:tc>
        <w:tc>
          <w:tcPr>
            <w:tcW w:w="1191" w:type="pct"/>
            <w:noWrap w:val="0"/>
            <w:vAlign w:val="center"/>
          </w:tcPr>
          <w:p w14:paraId="35034D0B">
            <w:pPr>
              <w:adjustRightInd w:val="0"/>
              <w:snapToGrid w:val="0"/>
              <w:jc w:val="center"/>
              <w:rPr>
                <w:rFonts w:hint="eastAsia" w:ascii="幼圆" w:hAnsi="华文细黑" w:eastAsia="幼圆"/>
                <w:b/>
                <w:bCs/>
                <w:color w:val="000000"/>
              </w:rPr>
            </w:pPr>
            <w:r>
              <w:rPr>
                <w:rFonts w:hint="eastAsia" w:ascii="幼圆" w:hAnsi="华文细黑" w:eastAsia="幼圆"/>
                <w:b/>
                <w:bCs/>
                <w:color w:val="000000"/>
              </w:rPr>
              <w:t>选址要求</w:t>
            </w:r>
          </w:p>
        </w:tc>
      </w:tr>
      <w:tr w14:paraId="33154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76CF54C3">
            <w:pPr>
              <w:spacing w:after="72" w:afterLines="30"/>
              <w:jc w:val="center"/>
              <w:rPr>
                <w:rFonts w:hint="eastAsia" w:ascii="幼圆" w:hAnsi="华文楷体" w:eastAsia="幼圆"/>
                <w:bCs/>
                <w:color w:val="000000"/>
                <w:szCs w:val="21"/>
              </w:rPr>
            </w:pPr>
            <w:r>
              <w:rPr>
                <w:rFonts w:hint="eastAsia" w:ascii="幼圆" w:hAnsi="宋体" w:eastAsia="幼圆"/>
                <w:b/>
                <w:bCs/>
                <w:szCs w:val="21"/>
              </w:rPr>
              <w:t>城市商业综合体</w:t>
            </w:r>
          </w:p>
        </w:tc>
        <w:tc>
          <w:tcPr>
            <w:tcW w:w="433" w:type="pct"/>
            <w:noWrap w:val="0"/>
            <w:vAlign w:val="center"/>
          </w:tcPr>
          <w:p w14:paraId="54A74B8D">
            <w:pPr>
              <w:spacing w:after="72" w:afterLines="30"/>
              <w:jc w:val="center"/>
              <w:rPr>
                <w:rFonts w:hint="eastAsia" w:ascii="幼圆" w:hAnsi="华文细黑" w:eastAsia="幼圆"/>
                <w:b/>
                <w:bCs/>
                <w:color w:val="000000"/>
              </w:rPr>
            </w:pPr>
            <w:r>
              <w:rPr>
                <w:rFonts w:hint="eastAsia" w:ascii="幼圆" w:hAnsi="宋体" w:eastAsia="幼圆" w:cs="宋体"/>
                <w:szCs w:val="21"/>
              </w:rPr>
              <w:t>≧30万人</w:t>
            </w:r>
          </w:p>
        </w:tc>
        <w:tc>
          <w:tcPr>
            <w:tcW w:w="590" w:type="pct"/>
            <w:noWrap w:val="0"/>
            <w:vAlign w:val="center"/>
          </w:tcPr>
          <w:p w14:paraId="57510868">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20万—30万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noWrap w:val="0"/>
            <w:vAlign w:val="center"/>
          </w:tcPr>
          <w:p w14:paraId="53E8F2E0">
            <w:pPr>
              <w:spacing w:after="72" w:afterLines="30"/>
              <w:jc w:val="left"/>
              <w:rPr>
                <w:rFonts w:hint="eastAsia" w:ascii="幼圆" w:hAnsi="华文细黑" w:eastAsia="幼圆"/>
                <w:b/>
                <w:bCs/>
                <w:color w:val="000000"/>
              </w:rPr>
            </w:pPr>
            <w:r>
              <w:rPr>
                <w:rFonts w:hint="eastAsia" w:ascii="幼圆" w:hAnsi="宋体" w:eastAsia="幼圆" w:cs="宋体"/>
                <w:szCs w:val="21"/>
              </w:rPr>
              <w:t>满足不同层次、不同类型的综合性商业服务需求。</w:t>
            </w:r>
          </w:p>
        </w:tc>
        <w:tc>
          <w:tcPr>
            <w:tcW w:w="1300" w:type="pct"/>
            <w:vMerge w:val="restart"/>
            <w:noWrap w:val="0"/>
            <w:vAlign w:val="center"/>
          </w:tcPr>
          <w:p w14:paraId="3C7B10BC">
            <w:pPr>
              <w:spacing w:after="72" w:afterLines="30"/>
              <w:jc w:val="center"/>
              <w:rPr>
                <w:rFonts w:hint="eastAsia" w:ascii="幼圆" w:hAnsi="华文细黑" w:eastAsia="幼圆"/>
                <w:b/>
                <w:bCs/>
                <w:color w:val="000000"/>
              </w:rPr>
            </w:pPr>
            <w:r>
              <w:rPr>
                <w:rFonts w:hint="eastAsia" w:ascii="幼圆" w:hAnsi="宋体" w:eastAsia="幼圆" w:cs="宋体"/>
                <w:szCs w:val="21"/>
              </w:rPr>
              <w:t>集合购物、餐饮酒店、休闲娱乐、商务办公、会议展览等功能</w:t>
            </w:r>
          </w:p>
        </w:tc>
        <w:tc>
          <w:tcPr>
            <w:tcW w:w="1191" w:type="pct"/>
            <w:vMerge w:val="restart"/>
            <w:noWrap w:val="0"/>
            <w:vAlign w:val="center"/>
          </w:tcPr>
          <w:p w14:paraId="1D0FCE57">
            <w:pPr>
              <w:adjustRightInd w:val="0"/>
              <w:snapToGrid w:val="0"/>
              <w:jc w:val="left"/>
              <w:rPr>
                <w:rFonts w:hint="eastAsia" w:ascii="幼圆" w:hAnsi="华文细黑" w:eastAsia="幼圆"/>
                <w:b/>
                <w:bCs/>
                <w:color w:val="000000"/>
              </w:rPr>
            </w:pPr>
            <w:r>
              <w:rPr>
                <w:rFonts w:hint="eastAsia" w:ascii="幼圆" w:hAnsi="宋体" w:eastAsia="幼圆" w:cs="宋体"/>
                <w:color w:val="000000"/>
                <w:szCs w:val="21"/>
              </w:rPr>
              <w:t>一般各级城市商业中心，作为商业中心的核心组成单元。</w:t>
            </w:r>
          </w:p>
        </w:tc>
      </w:tr>
      <w:tr w14:paraId="6B719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0A774B94">
            <w:pPr>
              <w:spacing w:after="72" w:afterLines="30"/>
              <w:jc w:val="center"/>
              <w:rPr>
                <w:rFonts w:hint="eastAsia" w:ascii="幼圆" w:hAnsi="宋体" w:eastAsia="幼圆"/>
                <w:bCs/>
                <w:color w:val="000000"/>
                <w:szCs w:val="21"/>
              </w:rPr>
            </w:pPr>
            <w:r>
              <w:rPr>
                <w:rFonts w:hint="eastAsia" w:ascii="幼圆" w:hAnsi="宋体" w:eastAsia="幼圆"/>
                <w:b/>
                <w:bCs/>
                <w:szCs w:val="21"/>
              </w:rPr>
              <w:t>片区商业综合体</w:t>
            </w:r>
          </w:p>
        </w:tc>
        <w:tc>
          <w:tcPr>
            <w:tcW w:w="433" w:type="pct"/>
            <w:noWrap w:val="0"/>
            <w:vAlign w:val="center"/>
          </w:tcPr>
          <w:p w14:paraId="0C6E3034">
            <w:pPr>
              <w:spacing w:after="72" w:afterLines="30"/>
              <w:jc w:val="center"/>
              <w:rPr>
                <w:rFonts w:hint="eastAsia" w:ascii="幼圆" w:hAnsi="宋体" w:eastAsia="幼圆" w:cs="宋体"/>
                <w:color w:val="000000"/>
                <w:szCs w:val="21"/>
              </w:rPr>
            </w:pPr>
            <w:r>
              <w:rPr>
                <w:rFonts w:hint="eastAsia" w:ascii="幼圆" w:hAnsi="宋体" w:eastAsia="幼圆" w:cs="宋体"/>
                <w:szCs w:val="21"/>
              </w:rPr>
              <w:t>20万人左右</w:t>
            </w:r>
          </w:p>
        </w:tc>
        <w:tc>
          <w:tcPr>
            <w:tcW w:w="590" w:type="pct"/>
            <w:noWrap w:val="0"/>
            <w:vAlign w:val="center"/>
          </w:tcPr>
          <w:p w14:paraId="2AF38CC7">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5万—10万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noWrap w:val="0"/>
            <w:vAlign w:val="center"/>
          </w:tcPr>
          <w:p w14:paraId="5536BAB6">
            <w:pPr>
              <w:spacing w:after="72" w:afterLines="30"/>
              <w:jc w:val="left"/>
              <w:rPr>
                <w:rFonts w:hint="eastAsia" w:ascii="幼圆" w:hAnsi="宋体" w:eastAsia="幼圆" w:cs="宋体"/>
                <w:color w:val="000000"/>
                <w:szCs w:val="21"/>
              </w:rPr>
            </w:pPr>
            <w:r>
              <w:rPr>
                <w:rFonts w:hint="eastAsia" w:ascii="幼圆" w:hAnsi="宋体" w:eastAsia="幼圆" w:cs="宋体"/>
                <w:szCs w:val="21"/>
              </w:rPr>
              <w:t>满足片区居民及企事业单位的综合型商业服务需求。</w:t>
            </w:r>
          </w:p>
        </w:tc>
        <w:tc>
          <w:tcPr>
            <w:tcW w:w="1300" w:type="pct"/>
            <w:vMerge w:val="continue"/>
            <w:noWrap w:val="0"/>
            <w:vAlign w:val="center"/>
          </w:tcPr>
          <w:p w14:paraId="48BCC9EE">
            <w:pPr>
              <w:spacing w:after="72" w:afterLines="30"/>
              <w:jc w:val="left"/>
              <w:rPr>
                <w:rFonts w:hint="eastAsia" w:ascii="幼圆" w:hAnsi="宋体" w:eastAsia="幼圆" w:cs="宋体"/>
                <w:color w:val="000000"/>
                <w:szCs w:val="21"/>
              </w:rPr>
            </w:pPr>
          </w:p>
        </w:tc>
        <w:tc>
          <w:tcPr>
            <w:tcW w:w="1191" w:type="pct"/>
            <w:vMerge w:val="continue"/>
            <w:noWrap w:val="0"/>
            <w:vAlign w:val="center"/>
          </w:tcPr>
          <w:p w14:paraId="7293FA60">
            <w:pPr>
              <w:adjustRightInd w:val="0"/>
              <w:snapToGrid w:val="0"/>
              <w:jc w:val="left"/>
              <w:rPr>
                <w:rFonts w:hint="eastAsia" w:ascii="幼圆" w:hAnsi="宋体" w:eastAsia="幼圆" w:cs="宋体"/>
                <w:color w:val="000000"/>
                <w:szCs w:val="21"/>
              </w:rPr>
            </w:pPr>
          </w:p>
        </w:tc>
      </w:tr>
      <w:tr w14:paraId="00E25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72C213B5">
            <w:pPr>
              <w:spacing w:after="72" w:afterLines="30"/>
              <w:jc w:val="center"/>
              <w:rPr>
                <w:rFonts w:hint="eastAsia" w:ascii="幼圆" w:hAnsi="宋体" w:eastAsia="幼圆"/>
                <w:bCs/>
                <w:color w:val="000000"/>
                <w:szCs w:val="21"/>
              </w:rPr>
            </w:pPr>
            <w:r>
              <w:rPr>
                <w:rFonts w:hint="eastAsia" w:ascii="幼圆" w:hAnsi="宋体" w:eastAsia="幼圆"/>
                <w:b/>
                <w:bCs/>
                <w:szCs w:val="21"/>
              </w:rPr>
              <w:t>社区商业综合体</w:t>
            </w:r>
          </w:p>
        </w:tc>
        <w:tc>
          <w:tcPr>
            <w:tcW w:w="433" w:type="pct"/>
            <w:noWrap w:val="0"/>
            <w:vAlign w:val="center"/>
          </w:tcPr>
          <w:p w14:paraId="61F03D8B">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5万—10万</w:t>
            </w:r>
            <w:r>
              <w:rPr>
                <w:rFonts w:hint="eastAsia" w:ascii="幼圆" w:hAnsi="宋体" w:eastAsia="幼圆" w:cs="宋体"/>
                <w:szCs w:val="21"/>
              </w:rPr>
              <w:t>人</w:t>
            </w:r>
          </w:p>
        </w:tc>
        <w:tc>
          <w:tcPr>
            <w:tcW w:w="590" w:type="pct"/>
            <w:noWrap w:val="0"/>
            <w:vAlign w:val="center"/>
          </w:tcPr>
          <w:p w14:paraId="12D365B1">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1万—2万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noWrap w:val="0"/>
            <w:vAlign w:val="center"/>
          </w:tcPr>
          <w:p w14:paraId="69F2C7CC">
            <w:pPr>
              <w:spacing w:after="72" w:afterLines="30"/>
              <w:jc w:val="left"/>
              <w:rPr>
                <w:rFonts w:hint="eastAsia" w:ascii="幼圆" w:hAnsi="宋体" w:eastAsia="幼圆" w:cs="宋体"/>
                <w:color w:val="000000"/>
                <w:szCs w:val="21"/>
              </w:rPr>
            </w:pPr>
            <w:r>
              <w:rPr>
                <w:rFonts w:hint="eastAsia" w:ascii="幼圆" w:hAnsi="宋体" w:eastAsia="幼圆" w:cs="宋体"/>
                <w:szCs w:val="21"/>
              </w:rPr>
              <w:t>社区居民。</w:t>
            </w:r>
          </w:p>
        </w:tc>
        <w:tc>
          <w:tcPr>
            <w:tcW w:w="1300" w:type="pct"/>
            <w:noWrap w:val="0"/>
            <w:vAlign w:val="center"/>
          </w:tcPr>
          <w:p w14:paraId="3E13652E">
            <w:pPr>
              <w:spacing w:after="72" w:afterLines="30"/>
              <w:jc w:val="left"/>
              <w:rPr>
                <w:rFonts w:hint="eastAsia" w:ascii="幼圆" w:hAnsi="宋体" w:eastAsia="幼圆" w:cs="宋体"/>
                <w:color w:val="000000"/>
                <w:szCs w:val="21"/>
              </w:rPr>
            </w:pPr>
            <w:r>
              <w:rPr>
                <w:rFonts w:hint="eastAsia" w:ascii="幼圆" w:hAnsi="宋体" w:eastAsia="幼圆" w:cs="宋体"/>
                <w:szCs w:val="21"/>
              </w:rPr>
              <w:t>集合购物、餐饮、休闲娱乐、社区服务</w:t>
            </w:r>
          </w:p>
        </w:tc>
        <w:tc>
          <w:tcPr>
            <w:tcW w:w="1191" w:type="pct"/>
            <w:vMerge w:val="continue"/>
            <w:noWrap w:val="0"/>
            <w:vAlign w:val="center"/>
          </w:tcPr>
          <w:p w14:paraId="6271BE3D">
            <w:pPr>
              <w:adjustRightInd w:val="0"/>
              <w:snapToGrid w:val="0"/>
              <w:jc w:val="left"/>
              <w:rPr>
                <w:rFonts w:hint="eastAsia" w:ascii="幼圆" w:hAnsi="宋体" w:eastAsia="幼圆" w:cs="宋体"/>
                <w:color w:val="000000"/>
                <w:szCs w:val="21"/>
              </w:rPr>
            </w:pPr>
          </w:p>
        </w:tc>
      </w:tr>
      <w:tr w14:paraId="753CD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27ED80E3">
            <w:pPr>
              <w:spacing w:after="72" w:afterLines="30"/>
              <w:jc w:val="center"/>
              <w:rPr>
                <w:rFonts w:hint="eastAsia" w:ascii="幼圆" w:hAnsi="宋体" w:eastAsia="幼圆"/>
                <w:bCs/>
                <w:color w:val="000000"/>
                <w:szCs w:val="21"/>
              </w:rPr>
            </w:pPr>
            <w:r>
              <w:rPr>
                <w:rFonts w:hint="eastAsia" w:ascii="幼圆" w:hAnsi="宋体" w:eastAsia="幼圆"/>
                <w:b/>
                <w:bCs/>
                <w:szCs w:val="21"/>
              </w:rPr>
              <w:t>城市型购物中心</w:t>
            </w:r>
          </w:p>
        </w:tc>
        <w:tc>
          <w:tcPr>
            <w:tcW w:w="433" w:type="pct"/>
            <w:noWrap w:val="0"/>
            <w:vAlign w:val="center"/>
          </w:tcPr>
          <w:p w14:paraId="48990BF0">
            <w:pPr>
              <w:spacing w:after="72" w:afterLines="30"/>
              <w:jc w:val="center"/>
              <w:rPr>
                <w:rFonts w:hint="eastAsia" w:ascii="幼圆" w:hAnsi="宋体" w:eastAsia="幼圆" w:cs="宋体"/>
                <w:color w:val="000000"/>
                <w:szCs w:val="21"/>
              </w:rPr>
            </w:pPr>
            <w:r>
              <w:rPr>
                <w:rFonts w:hint="eastAsia" w:ascii="幼圆" w:hAnsi="宋体" w:eastAsia="幼圆" w:cs="宋体"/>
                <w:szCs w:val="21"/>
              </w:rPr>
              <w:t>≧30万人</w:t>
            </w:r>
          </w:p>
        </w:tc>
        <w:tc>
          <w:tcPr>
            <w:tcW w:w="590" w:type="pct"/>
            <w:noWrap w:val="0"/>
            <w:vAlign w:val="center"/>
          </w:tcPr>
          <w:p w14:paraId="61091363">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5万—10万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noWrap w:val="0"/>
            <w:vAlign w:val="center"/>
          </w:tcPr>
          <w:p w14:paraId="6E44E56B">
            <w:pPr>
              <w:spacing w:after="72" w:afterLines="30"/>
              <w:jc w:val="left"/>
              <w:rPr>
                <w:rFonts w:hint="eastAsia" w:ascii="幼圆" w:hAnsi="宋体" w:eastAsia="幼圆" w:cs="宋体"/>
                <w:color w:val="000000"/>
                <w:szCs w:val="21"/>
              </w:rPr>
            </w:pPr>
            <w:r>
              <w:rPr>
                <w:rFonts w:hint="eastAsia" w:ascii="幼圆" w:hAnsi="宋体" w:eastAsia="幼圆" w:cs="宋体"/>
                <w:szCs w:val="21"/>
              </w:rPr>
              <w:t>满足城市和区域消费的高层次综合性购物和消费需求。</w:t>
            </w:r>
          </w:p>
        </w:tc>
        <w:tc>
          <w:tcPr>
            <w:tcW w:w="1300" w:type="pct"/>
            <w:noWrap w:val="0"/>
            <w:vAlign w:val="center"/>
          </w:tcPr>
          <w:p w14:paraId="6F12E9A7">
            <w:pPr>
              <w:spacing w:after="72" w:afterLines="30"/>
              <w:jc w:val="left"/>
              <w:rPr>
                <w:rFonts w:hint="eastAsia" w:ascii="幼圆" w:hAnsi="宋体" w:eastAsia="幼圆" w:cs="宋体"/>
                <w:color w:val="000000"/>
                <w:szCs w:val="21"/>
              </w:rPr>
            </w:pPr>
            <w:r>
              <w:rPr>
                <w:rFonts w:hint="eastAsia" w:ascii="幼圆" w:hAnsi="宋体" w:eastAsia="幼圆" w:cs="宋体"/>
                <w:szCs w:val="21"/>
              </w:rPr>
              <w:t>40-100个租赁店，包括百货店、特色综合超市、各种专业店以及娱乐服务设施等</w:t>
            </w:r>
          </w:p>
        </w:tc>
        <w:tc>
          <w:tcPr>
            <w:tcW w:w="1191" w:type="pct"/>
            <w:noWrap w:val="0"/>
            <w:vAlign w:val="center"/>
          </w:tcPr>
          <w:p w14:paraId="4CA137FB">
            <w:pPr>
              <w:adjustRightInd w:val="0"/>
              <w:snapToGrid w:val="0"/>
              <w:jc w:val="left"/>
              <w:rPr>
                <w:rFonts w:hint="eastAsia" w:ascii="幼圆" w:hAnsi="宋体" w:eastAsia="幼圆" w:cs="宋体"/>
                <w:color w:val="000000"/>
                <w:szCs w:val="21"/>
              </w:rPr>
            </w:pPr>
            <w:r>
              <w:rPr>
                <w:rFonts w:hint="eastAsia" w:ascii="幼圆" w:hAnsi="宋体" w:eastAsia="幼圆" w:cs="宋体"/>
                <w:color w:val="000000"/>
                <w:szCs w:val="21"/>
              </w:rPr>
              <w:t>一般处于城市内圈层、人口密度较高、交通便利的商业中心区。</w:t>
            </w:r>
          </w:p>
        </w:tc>
      </w:tr>
      <w:tr w14:paraId="0231E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58EE01F2">
            <w:pPr>
              <w:spacing w:after="72" w:afterLines="30"/>
              <w:jc w:val="center"/>
              <w:rPr>
                <w:rFonts w:hint="eastAsia" w:ascii="幼圆" w:hAnsi="宋体" w:eastAsia="幼圆"/>
                <w:bCs/>
                <w:color w:val="000000"/>
                <w:szCs w:val="21"/>
              </w:rPr>
            </w:pPr>
            <w:r>
              <w:rPr>
                <w:rFonts w:hint="eastAsia" w:ascii="幼圆" w:hAnsi="宋体" w:eastAsia="幼圆"/>
                <w:b/>
                <w:bCs/>
                <w:szCs w:val="21"/>
              </w:rPr>
              <w:t>片区型购物中心</w:t>
            </w:r>
          </w:p>
        </w:tc>
        <w:tc>
          <w:tcPr>
            <w:tcW w:w="433" w:type="pct"/>
            <w:noWrap w:val="0"/>
            <w:vAlign w:val="center"/>
          </w:tcPr>
          <w:p w14:paraId="258DC4FC">
            <w:pPr>
              <w:spacing w:after="72" w:afterLines="30"/>
              <w:jc w:val="center"/>
              <w:rPr>
                <w:rFonts w:hint="eastAsia" w:ascii="幼圆" w:hAnsi="宋体" w:eastAsia="幼圆" w:cs="宋体"/>
                <w:color w:val="000000"/>
                <w:szCs w:val="21"/>
              </w:rPr>
            </w:pPr>
            <w:r>
              <w:rPr>
                <w:rFonts w:hint="eastAsia" w:ascii="幼圆" w:hAnsi="宋体" w:eastAsia="幼圆" w:cs="宋体"/>
                <w:szCs w:val="21"/>
              </w:rPr>
              <w:t>20万人左右</w:t>
            </w:r>
          </w:p>
        </w:tc>
        <w:tc>
          <w:tcPr>
            <w:tcW w:w="590" w:type="pct"/>
            <w:noWrap w:val="0"/>
            <w:vAlign w:val="center"/>
          </w:tcPr>
          <w:p w14:paraId="5F104532">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3万—5万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noWrap w:val="0"/>
            <w:vAlign w:val="center"/>
          </w:tcPr>
          <w:p w14:paraId="681F72EB">
            <w:pPr>
              <w:spacing w:after="72" w:afterLines="30"/>
              <w:jc w:val="left"/>
              <w:rPr>
                <w:rFonts w:hint="eastAsia" w:ascii="幼圆" w:hAnsi="宋体" w:eastAsia="幼圆" w:cs="宋体"/>
                <w:color w:val="000000"/>
                <w:szCs w:val="21"/>
              </w:rPr>
            </w:pPr>
            <w:r>
              <w:rPr>
                <w:rFonts w:hint="eastAsia" w:ascii="幼圆" w:hAnsi="宋体" w:eastAsia="幼圆" w:cs="宋体"/>
                <w:szCs w:val="21"/>
              </w:rPr>
              <w:t>满足片区居民较高层次的综合性购物和消费需求。</w:t>
            </w:r>
          </w:p>
        </w:tc>
        <w:tc>
          <w:tcPr>
            <w:tcW w:w="1300" w:type="pct"/>
            <w:noWrap w:val="0"/>
            <w:vAlign w:val="center"/>
          </w:tcPr>
          <w:p w14:paraId="20B944A9">
            <w:pPr>
              <w:spacing w:after="72" w:afterLines="30"/>
              <w:jc w:val="left"/>
              <w:rPr>
                <w:rFonts w:hint="eastAsia" w:ascii="幼圆" w:hAnsi="宋体" w:eastAsia="幼圆" w:cs="宋体"/>
                <w:color w:val="000000"/>
                <w:szCs w:val="21"/>
              </w:rPr>
            </w:pPr>
            <w:r>
              <w:rPr>
                <w:rFonts w:hint="eastAsia" w:ascii="幼圆" w:hAnsi="宋体" w:eastAsia="幼圆" w:cs="宋体"/>
                <w:szCs w:val="21"/>
              </w:rPr>
              <w:t>20-40个租赁店，包括大型综合超市、专业店、专卖店、饮食服务及其他店</w:t>
            </w:r>
          </w:p>
        </w:tc>
        <w:tc>
          <w:tcPr>
            <w:tcW w:w="1191" w:type="pct"/>
            <w:noWrap w:val="0"/>
            <w:vAlign w:val="center"/>
          </w:tcPr>
          <w:p w14:paraId="0F2BE11F">
            <w:pPr>
              <w:adjustRightInd w:val="0"/>
              <w:snapToGrid w:val="0"/>
              <w:jc w:val="left"/>
              <w:rPr>
                <w:rFonts w:hint="eastAsia" w:ascii="幼圆" w:hAnsi="宋体" w:eastAsia="幼圆" w:cs="宋体"/>
                <w:color w:val="000000"/>
                <w:szCs w:val="21"/>
              </w:rPr>
            </w:pPr>
            <w:r>
              <w:rPr>
                <w:rFonts w:hint="eastAsia" w:ascii="幼圆" w:hAnsi="宋体" w:eastAsia="幼圆" w:cs="宋体"/>
                <w:color w:val="000000"/>
                <w:szCs w:val="21"/>
              </w:rPr>
              <w:t>可选择人口较为密集的区域（区级商业中心）进行布局。</w:t>
            </w:r>
          </w:p>
        </w:tc>
      </w:tr>
      <w:tr w14:paraId="12D21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6F33B0C3">
            <w:pPr>
              <w:spacing w:after="72" w:afterLines="30"/>
              <w:jc w:val="center"/>
              <w:rPr>
                <w:rFonts w:hint="eastAsia" w:ascii="幼圆" w:hAnsi="宋体" w:eastAsia="幼圆"/>
                <w:bCs/>
                <w:color w:val="000000"/>
                <w:szCs w:val="21"/>
              </w:rPr>
            </w:pPr>
            <w:r>
              <w:rPr>
                <w:rFonts w:hint="eastAsia" w:ascii="幼圆" w:hAnsi="宋体" w:eastAsia="幼圆"/>
                <w:b/>
                <w:bCs/>
                <w:szCs w:val="21"/>
              </w:rPr>
              <w:t>社区型购物中心</w:t>
            </w:r>
          </w:p>
        </w:tc>
        <w:tc>
          <w:tcPr>
            <w:tcW w:w="433" w:type="pct"/>
            <w:noWrap w:val="0"/>
            <w:vAlign w:val="center"/>
          </w:tcPr>
          <w:p w14:paraId="5A6B3CFA">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3万—5万</w:t>
            </w:r>
            <w:r>
              <w:rPr>
                <w:rFonts w:hint="eastAsia" w:ascii="幼圆" w:hAnsi="宋体" w:eastAsia="幼圆" w:cs="宋体"/>
                <w:szCs w:val="21"/>
              </w:rPr>
              <w:t>人</w:t>
            </w:r>
          </w:p>
        </w:tc>
        <w:tc>
          <w:tcPr>
            <w:tcW w:w="590" w:type="pct"/>
            <w:noWrap w:val="0"/>
            <w:vAlign w:val="center"/>
          </w:tcPr>
          <w:p w14:paraId="1A001B44">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1万—3万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noWrap w:val="0"/>
            <w:vAlign w:val="center"/>
          </w:tcPr>
          <w:p w14:paraId="3D825BF9">
            <w:pPr>
              <w:spacing w:after="72" w:afterLines="30"/>
              <w:jc w:val="left"/>
              <w:rPr>
                <w:rFonts w:hint="eastAsia" w:ascii="幼圆" w:hAnsi="宋体" w:eastAsia="幼圆" w:cs="宋体"/>
                <w:color w:val="000000"/>
                <w:szCs w:val="21"/>
              </w:rPr>
            </w:pPr>
            <w:r>
              <w:rPr>
                <w:rFonts w:hint="eastAsia" w:ascii="幼圆" w:hAnsi="宋体" w:eastAsia="幼圆" w:cs="宋体"/>
                <w:szCs w:val="21"/>
              </w:rPr>
              <w:t>满足社区居民的综合性购物和消费需求。</w:t>
            </w:r>
          </w:p>
        </w:tc>
        <w:tc>
          <w:tcPr>
            <w:tcW w:w="1300" w:type="pct"/>
            <w:noWrap w:val="0"/>
            <w:vAlign w:val="center"/>
          </w:tcPr>
          <w:p w14:paraId="55E33869">
            <w:pPr>
              <w:spacing w:after="72" w:afterLines="30"/>
              <w:jc w:val="left"/>
              <w:rPr>
                <w:rFonts w:hint="eastAsia" w:ascii="幼圆" w:hAnsi="宋体" w:eastAsia="幼圆" w:cs="宋体"/>
                <w:color w:val="000000"/>
                <w:szCs w:val="21"/>
              </w:rPr>
            </w:pPr>
            <w:r>
              <w:rPr>
                <w:rFonts w:hint="eastAsia" w:ascii="幼圆" w:hAnsi="宋体" w:eastAsia="幼圆" w:cs="宋体"/>
                <w:szCs w:val="21"/>
              </w:rPr>
              <w:t>20个左右租赁店，包括中型综合超市、专业店、专卖店、饮食服务及其他店</w:t>
            </w:r>
          </w:p>
        </w:tc>
        <w:tc>
          <w:tcPr>
            <w:tcW w:w="1191" w:type="pct"/>
            <w:noWrap w:val="0"/>
            <w:vAlign w:val="center"/>
          </w:tcPr>
          <w:p w14:paraId="7495FDDC">
            <w:pPr>
              <w:adjustRightInd w:val="0"/>
              <w:snapToGrid w:val="0"/>
              <w:jc w:val="left"/>
              <w:rPr>
                <w:rFonts w:hint="eastAsia" w:ascii="幼圆" w:hAnsi="宋体" w:eastAsia="幼圆" w:cs="宋体"/>
                <w:color w:val="000000"/>
                <w:szCs w:val="21"/>
              </w:rPr>
            </w:pPr>
            <w:r>
              <w:rPr>
                <w:rFonts w:hint="eastAsia" w:ascii="幼圆" w:hAnsi="宋体" w:eastAsia="幼圆" w:cs="宋体"/>
                <w:color w:val="000000"/>
                <w:szCs w:val="21"/>
              </w:rPr>
              <w:t>社区商业中心主力商业设施。</w:t>
            </w:r>
          </w:p>
        </w:tc>
      </w:tr>
      <w:tr w14:paraId="2D169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57D23707">
            <w:pPr>
              <w:spacing w:after="72" w:afterLines="30"/>
              <w:jc w:val="center"/>
              <w:rPr>
                <w:rFonts w:hint="eastAsia" w:ascii="幼圆" w:hAnsi="宋体" w:eastAsia="幼圆"/>
                <w:bCs/>
                <w:color w:val="000000"/>
                <w:szCs w:val="21"/>
              </w:rPr>
            </w:pPr>
            <w:r>
              <w:rPr>
                <w:rFonts w:hint="eastAsia" w:ascii="幼圆" w:hAnsi="宋体" w:eastAsia="幼圆"/>
                <w:b/>
                <w:bCs/>
                <w:szCs w:val="21"/>
              </w:rPr>
              <w:t>大型百货店</w:t>
            </w:r>
          </w:p>
        </w:tc>
        <w:tc>
          <w:tcPr>
            <w:tcW w:w="433" w:type="pct"/>
            <w:noWrap w:val="0"/>
            <w:vAlign w:val="center"/>
          </w:tcPr>
          <w:p w14:paraId="61249BB3">
            <w:pPr>
              <w:spacing w:after="72" w:afterLines="30"/>
              <w:jc w:val="center"/>
              <w:rPr>
                <w:rFonts w:hint="eastAsia" w:ascii="幼圆" w:hAnsi="宋体" w:eastAsia="幼圆" w:cs="宋体"/>
                <w:color w:val="000000"/>
                <w:szCs w:val="21"/>
              </w:rPr>
            </w:pPr>
            <w:r>
              <w:rPr>
                <w:rFonts w:hint="eastAsia" w:ascii="幼圆" w:hAnsi="宋体" w:eastAsia="幼圆" w:cs="宋体"/>
                <w:szCs w:val="21"/>
              </w:rPr>
              <w:t>≧30万人</w:t>
            </w:r>
          </w:p>
        </w:tc>
        <w:tc>
          <w:tcPr>
            <w:tcW w:w="590" w:type="pct"/>
            <w:noWrap w:val="0"/>
            <w:vAlign w:val="center"/>
          </w:tcPr>
          <w:p w14:paraId="0609ECD9">
            <w:pPr>
              <w:spacing w:after="72" w:afterLines="30"/>
              <w:jc w:val="center"/>
              <w:rPr>
                <w:rFonts w:hint="eastAsia" w:ascii="幼圆" w:hAnsi="宋体" w:eastAsia="幼圆" w:cs="宋体"/>
                <w:color w:val="000000"/>
                <w:szCs w:val="21"/>
              </w:rPr>
            </w:pPr>
            <w:r>
              <w:rPr>
                <w:rFonts w:hint="eastAsia" w:ascii="幼圆" w:hAnsi="宋体" w:eastAsia="幼圆" w:cs="宋体"/>
                <w:szCs w:val="21"/>
              </w:rPr>
              <w:t>≧2.0万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vMerge w:val="restart"/>
            <w:noWrap w:val="0"/>
            <w:vAlign w:val="center"/>
          </w:tcPr>
          <w:p w14:paraId="513D21A3">
            <w:pPr>
              <w:spacing w:after="72" w:afterLines="30"/>
              <w:jc w:val="left"/>
              <w:rPr>
                <w:rFonts w:hint="eastAsia" w:ascii="幼圆" w:hAnsi="宋体" w:eastAsia="幼圆" w:cs="宋体"/>
                <w:color w:val="000000"/>
                <w:szCs w:val="21"/>
              </w:rPr>
            </w:pPr>
            <w:r>
              <w:rPr>
                <w:rFonts w:hint="eastAsia" w:ascii="幼圆" w:hAnsi="宋体" w:eastAsia="幼圆" w:cs="宋体"/>
                <w:szCs w:val="21"/>
              </w:rPr>
              <w:t>适应各类消费人群，主要提供服饰、电器、文化教育等非日常性质的购物服务。</w:t>
            </w:r>
          </w:p>
        </w:tc>
        <w:tc>
          <w:tcPr>
            <w:tcW w:w="1300" w:type="pct"/>
            <w:vMerge w:val="restart"/>
            <w:noWrap w:val="0"/>
            <w:vAlign w:val="center"/>
          </w:tcPr>
          <w:p w14:paraId="51319C83">
            <w:pPr>
              <w:spacing w:after="72" w:afterLines="30"/>
              <w:jc w:val="left"/>
              <w:rPr>
                <w:rFonts w:hint="eastAsia" w:ascii="幼圆" w:hAnsi="宋体" w:eastAsia="幼圆" w:cs="宋体"/>
                <w:color w:val="000000"/>
                <w:szCs w:val="21"/>
              </w:rPr>
            </w:pPr>
            <w:r>
              <w:rPr>
                <w:rFonts w:hint="eastAsia" w:ascii="幼圆" w:hAnsi="宋体" w:eastAsia="幼圆" w:cs="宋体"/>
                <w:szCs w:val="21"/>
              </w:rPr>
              <w:t>综合性，门类齐全，以服饰、鞋类、箱包、化妆品、家庭用品、家用电器为主</w:t>
            </w:r>
          </w:p>
        </w:tc>
        <w:tc>
          <w:tcPr>
            <w:tcW w:w="1191" w:type="pct"/>
            <w:vMerge w:val="restart"/>
            <w:noWrap w:val="0"/>
            <w:vAlign w:val="center"/>
          </w:tcPr>
          <w:p w14:paraId="0CC7F476">
            <w:pPr>
              <w:adjustRightInd w:val="0"/>
              <w:snapToGrid w:val="0"/>
              <w:jc w:val="left"/>
              <w:rPr>
                <w:rFonts w:hint="eastAsia" w:ascii="幼圆" w:hAnsi="宋体" w:eastAsia="幼圆" w:cs="宋体"/>
                <w:color w:val="000000"/>
                <w:szCs w:val="21"/>
              </w:rPr>
            </w:pPr>
            <w:r>
              <w:rPr>
                <w:rFonts w:hint="eastAsia" w:ascii="幼圆" w:hAnsi="宋体" w:eastAsia="幼圆" w:cs="宋体"/>
                <w:color w:val="000000"/>
                <w:szCs w:val="21"/>
              </w:rPr>
              <w:t>主要分布在各商业功能区内，作为城市商业中心和片区级商业中心的主力商业设施。</w:t>
            </w:r>
          </w:p>
        </w:tc>
      </w:tr>
      <w:tr w14:paraId="50D42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59F09C0B">
            <w:pPr>
              <w:spacing w:after="72" w:afterLines="30"/>
              <w:jc w:val="center"/>
              <w:rPr>
                <w:rFonts w:hint="eastAsia" w:ascii="幼圆" w:hAnsi="宋体" w:eastAsia="幼圆"/>
                <w:bCs/>
                <w:color w:val="000000"/>
                <w:szCs w:val="21"/>
              </w:rPr>
            </w:pPr>
            <w:r>
              <w:rPr>
                <w:rFonts w:hint="eastAsia" w:ascii="幼圆" w:hAnsi="宋体" w:eastAsia="幼圆"/>
                <w:b/>
                <w:bCs/>
                <w:szCs w:val="21"/>
              </w:rPr>
              <w:t>中型百货店</w:t>
            </w:r>
          </w:p>
        </w:tc>
        <w:tc>
          <w:tcPr>
            <w:tcW w:w="433" w:type="pct"/>
            <w:noWrap w:val="0"/>
            <w:vAlign w:val="center"/>
          </w:tcPr>
          <w:p w14:paraId="7F006406">
            <w:pPr>
              <w:spacing w:after="72" w:afterLines="30"/>
              <w:jc w:val="center"/>
              <w:rPr>
                <w:rFonts w:hint="eastAsia" w:ascii="幼圆" w:hAnsi="宋体" w:eastAsia="幼圆" w:cs="宋体"/>
                <w:color w:val="000000"/>
                <w:szCs w:val="21"/>
              </w:rPr>
            </w:pPr>
            <w:r>
              <w:rPr>
                <w:rFonts w:hint="eastAsia" w:ascii="幼圆" w:hAnsi="宋体" w:eastAsia="幼圆" w:cs="宋体"/>
                <w:szCs w:val="21"/>
              </w:rPr>
              <w:t>20万人左右</w:t>
            </w:r>
          </w:p>
        </w:tc>
        <w:tc>
          <w:tcPr>
            <w:tcW w:w="590" w:type="pct"/>
            <w:noWrap w:val="0"/>
            <w:vAlign w:val="center"/>
          </w:tcPr>
          <w:p w14:paraId="1D8BBDBF">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0.6万—2.0万</w:t>
            </w:r>
            <w:r>
              <w:rPr>
                <w:rFonts w:hint="eastAsia" w:ascii="幼圆" w:hAnsi="宋体" w:eastAsia="幼圆" w:cs="宋体"/>
                <w:kern w:val="0"/>
                <w:szCs w:val="18"/>
              </w:rPr>
              <w:t>m</w:t>
            </w:r>
            <w:r>
              <w:rPr>
                <w:rFonts w:hint="eastAsia" w:ascii="幼圆" w:hAnsi="宋体" w:eastAsia="幼圆" w:cs="宋体"/>
                <w:kern w:val="0"/>
                <w:szCs w:val="18"/>
                <w:vertAlign w:val="superscript"/>
              </w:rPr>
              <w:t>2</w:t>
            </w:r>
          </w:p>
        </w:tc>
        <w:tc>
          <w:tcPr>
            <w:tcW w:w="997" w:type="pct"/>
            <w:vMerge w:val="continue"/>
            <w:noWrap w:val="0"/>
            <w:vAlign w:val="center"/>
          </w:tcPr>
          <w:p w14:paraId="525CAE83">
            <w:pPr>
              <w:spacing w:after="72" w:afterLines="30"/>
              <w:jc w:val="left"/>
              <w:rPr>
                <w:rFonts w:hint="eastAsia" w:ascii="幼圆" w:hAnsi="宋体" w:eastAsia="幼圆" w:cs="宋体"/>
                <w:color w:val="000000"/>
                <w:szCs w:val="21"/>
              </w:rPr>
            </w:pPr>
          </w:p>
        </w:tc>
        <w:tc>
          <w:tcPr>
            <w:tcW w:w="1300" w:type="pct"/>
            <w:vMerge w:val="continue"/>
            <w:noWrap w:val="0"/>
            <w:vAlign w:val="center"/>
          </w:tcPr>
          <w:p w14:paraId="346667E9">
            <w:pPr>
              <w:spacing w:after="72" w:afterLines="30"/>
              <w:jc w:val="left"/>
              <w:rPr>
                <w:rFonts w:hint="eastAsia" w:ascii="幼圆" w:hAnsi="宋体" w:eastAsia="幼圆" w:cs="宋体"/>
                <w:color w:val="000000"/>
                <w:szCs w:val="21"/>
              </w:rPr>
            </w:pPr>
          </w:p>
        </w:tc>
        <w:tc>
          <w:tcPr>
            <w:tcW w:w="1191" w:type="pct"/>
            <w:vMerge w:val="continue"/>
            <w:noWrap w:val="0"/>
            <w:vAlign w:val="center"/>
          </w:tcPr>
          <w:p w14:paraId="3ADC42F9">
            <w:pPr>
              <w:adjustRightInd w:val="0"/>
              <w:snapToGrid w:val="0"/>
              <w:jc w:val="left"/>
              <w:rPr>
                <w:rFonts w:hint="eastAsia" w:ascii="幼圆" w:hAnsi="宋体" w:eastAsia="幼圆" w:cs="宋体"/>
                <w:color w:val="000000"/>
                <w:szCs w:val="21"/>
              </w:rPr>
            </w:pPr>
          </w:p>
        </w:tc>
      </w:tr>
      <w:tr w14:paraId="21E47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3996C434">
            <w:pPr>
              <w:spacing w:after="72" w:afterLines="30"/>
              <w:jc w:val="center"/>
              <w:rPr>
                <w:rFonts w:hint="eastAsia" w:ascii="幼圆" w:hAnsi="宋体" w:eastAsia="幼圆"/>
                <w:bCs/>
                <w:color w:val="000000"/>
                <w:szCs w:val="21"/>
              </w:rPr>
            </w:pPr>
            <w:r>
              <w:rPr>
                <w:rFonts w:hint="eastAsia" w:ascii="幼圆" w:hAnsi="宋体" w:eastAsia="幼圆"/>
                <w:b/>
                <w:bCs/>
                <w:szCs w:val="21"/>
              </w:rPr>
              <w:t>大型超级市场</w:t>
            </w:r>
          </w:p>
        </w:tc>
        <w:tc>
          <w:tcPr>
            <w:tcW w:w="433" w:type="pct"/>
            <w:noWrap w:val="0"/>
            <w:vAlign w:val="center"/>
          </w:tcPr>
          <w:p w14:paraId="0B6AE17C">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5万—10万</w:t>
            </w:r>
            <w:r>
              <w:rPr>
                <w:rFonts w:hint="eastAsia" w:ascii="幼圆" w:hAnsi="宋体" w:eastAsia="幼圆" w:cs="宋体"/>
                <w:szCs w:val="21"/>
              </w:rPr>
              <w:t>人</w:t>
            </w:r>
          </w:p>
        </w:tc>
        <w:tc>
          <w:tcPr>
            <w:tcW w:w="590" w:type="pct"/>
            <w:noWrap w:val="0"/>
            <w:vAlign w:val="center"/>
          </w:tcPr>
          <w:p w14:paraId="6283AA32">
            <w:pPr>
              <w:spacing w:after="72" w:afterLines="30"/>
              <w:jc w:val="center"/>
              <w:rPr>
                <w:rFonts w:hint="eastAsia" w:ascii="幼圆" w:hAnsi="宋体" w:eastAsia="幼圆" w:cs="宋体"/>
                <w:color w:val="000000"/>
                <w:szCs w:val="21"/>
              </w:rPr>
            </w:pPr>
            <w:r>
              <w:rPr>
                <w:rFonts w:hint="eastAsia" w:ascii="幼圆" w:hAnsi="宋体" w:eastAsia="幼圆" w:cs="宋体"/>
                <w:szCs w:val="21"/>
              </w:rPr>
              <w:t>≧6000</w:t>
            </w:r>
            <w:r>
              <w:rPr>
                <w:rFonts w:hint="eastAsia" w:ascii="幼圆" w:hAnsi="宋体" w:eastAsia="幼圆" w:cs="宋体"/>
                <w:kern w:val="0"/>
                <w:szCs w:val="18"/>
              </w:rPr>
              <w:t xml:space="preserve"> m</w:t>
            </w:r>
            <w:r>
              <w:rPr>
                <w:rFonts w:hint="eastAsia" w:ascii="幼圆" w:hAnsi="宋体" w:eastAsia="幼圆" w:cs="宋体"/>
                <w:kern w:val="0"/>
                <w:szCs w:val="18"/>
                <w:vertAlign w:val="superscript"/>
              </w:rPr>
              <w:t>2</w:t>
            </w:r>
          </w:p>
        </w:tc>
        <w:tc>
          <w:tcPr>
            <w:tcW w:w="997" w:type="pct"/>
            <w:vMerge w:val="restart"/>
            <w:noWrap w:val="0"/>
            <w:vAlign w:val="center"/>
          </w:tcPr>
          <w:p w14:paraId="092F324D">
            <w:pPr>
              <w:spacing w:after="72" w:afterLines="30"/>
              <w:jc w:val="left"/>
              <w:rPr>
                <w:rFonts w:hint="eastAsia" w:ascii="幼圆" w:hAnsi="宋体" w:eastAsia="幼圆" w:cs="宋体"/>
                <w:color w:val="000000"/>
                <w:szCs w:val="21"/>
              </w:rPr>
            </w:pPr>
            <w:r>
              <w:rPr>
                <w:rFonts w:hint="eastAsia" w:ascii="幼圆" w:hAnsi="宋体" w:eastAsia="幼圆" w:cs="宋体"/>
                <w:szCs w:val="21"/>
              </w:rPr>
              <w:t>目标顾客主要是家庭食品、日用品购买者。</w:t>
            </w:r>
          </w:p>
        </w:tc>
        <w:tc>
          <w:tcPr>
            <w:tcW w:w="1300" w:type="pct"/>
            <w:vMerge w:val="restart"/>
            <w:noWrap w:val="0"/>
            <w:vAlign w:val="center"/>
          </w:tcPr>
          <w:p w14:paraId="25C3882D">
            <w:pPr>
              <w:spacing w:after="72" w:afterLines="30"/>
              <w:jc w:val="left"/>
              <w:rPr>
                <w:rFonts w:hint="eastAsia" w:ascii="幼圆" w:hAnsi="宋体" w:eastAsia="幼圆" w:cs="宋体"/>
                <w:color w:val="000000"/>
                <w:szCs w:val="21"/>
              </w:rPr>
            </w:pPr>
            <w:r>
              <w:rPr>
                <w:rFonts w:hint="eastAsia" w:ascii="幼圆" w:hAnsi="宋体" w:eastAsia="幼圆" w:cs="宋体"/>
                <w:szCs w:val="21"/>
              </w:rPr>
              <w:t>以食品、日用品为主，配置生鲜超市，提供一站式日用品销售服务。</w:t>
            </w:r>
          </w:p>
        </w:tc>
        <w:tc>
          <w:tcPr>
            <w:tcW w:w="1191" w:type="pct"/>
            <w:vMerge w:val="restart"/>
            <w:noWrap w:val="0"/>
            <w:vAlign w:val="center"/>
          </w:tcPr>
          <w:p w14:paraId="5B7529A4">
            <w:pPr>
              <w:adjustRightInd w:val="0"/>
              <w:snapToGrid w:val="0"/>
              <w:jc w:val="left"/>
              <w:rPr>
                <w:rFonts w:hint="eastAsia" w:ascii="幼圆" w:hAnsi="宋体" w:eastAsia="幼圆" w:cs="宋体"/>
                <w:color w:val="000000"/>
                <w:szCs w:val="21"/>
              </w:rPr>
            </w:pPr>
            <w:r>
              <w:rPr>
                <w:rFonts w:hint="eastAsia" w:ascii="幼圆" w:hAnsi="宋体" w:eastAsia="幼圆" w:cs="宋体"/>
                <w:color w:val="000000"/>
                <w:szCs w:val="21"/>
              </w:rPr>
              <w:t>主要布局于社区中心区，大型超级市场</w:t>
            </w:r>
            <w:r>
              <w:rPr>
                <w:rFonts w:hint="eastAsia" w:ascii="幼圆" w:hAnsi="宋体" w:eastAsia="幼圆" w:cs="宋体"/>
                <w:color w:val="000000"/>
                <w:szCs w:val="21"/>
                <w:lang w:eastAsia="zh-CN"/>
              </w:rPr>
              <w:t>可</w:t>
            </w:r>
            <w:r>
              <w:rPr>
                <w:rFonts w:hint="eastAsia" w:ascii="幼圆" w:hAnsi="宋体" w:eastAsia="幼圆" w:cs="宋体"/>
                <w:color w:val="000000"/>
                <w:szCs w:val="21"/>
              </w:rPr>
              <w:t>布局于片区级商业中心，作为商业中心的主要商业网点。</w:t>
            </w:r>
          </w:p>
        </w:tc>
      </w:tr>
      <w:tr w14:paraId="54CF0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550689B1">
            <w:pPr>
              <w:spacing w:after="72" w:afterLines="30"/>
              <w:jc w:val="center"/>
              <w:rPr>
                <w:rFonts w:hint="eastAsia" w:ascii="幼圆" w:hAnsi="宋体" w:eastAsia="幼圆"/>
                <w:bCs/>
                <w:color w:val="000000"/>
                <w:szCs w:val="21"/>
              </w:rPr>
            </w:pPr>
            <w:r>
              <w:rPr>
                <w:rFonts w:hint="eastAsia" w:ascii="幼圆" w:hAnsi="宋体" w:eastAsia="幼圆"/>
                <w:b/>
                <w:bCs/>
                <w:szCs w:val="21"/>
              </w:rPr>
              <w:t>中型超级市场</w:t>
            </w:r>
          </w:p>
        </w:tc>
        <w:tc>
          <w:tcPr>
            <w:tcW w:w="433" w:type="pct"/>
            <w:noWrap w:val="0"/>
            <w:vAlign w:val="center"/>
          </w:tcPr>
          <w:p w14:paraId="23732A32">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3万—5万</w:t>
            </w:r>
            <w:r>
              <w:rPr>
                <w:rFonts w:hint="eastAsia" w:ascii="幼圆" w:hAnsi="宋体" w:eastAsia="幼圆" w:cs="宋体"/>
                <w:szCs w:val="21"/>
              </w:rPr>
              <w:t>人</w:t>
            </w:r>
          </w:p>
        </w:tc>
        <w:tc>
          <w:tcPr>
            <w:tcW w:w="590" w:type="pct"/>
            <w:noWrap w:val="0"/>
            <w:vAlign w:val="center"/>
          </w:tcPr>
          <w:p w14:paraId="2530B7CE">
            <w:pPr>
              <w:spacing w:after="72" w:afterLines="30"/>
              <w:jc w:val="center"/>
              <w:rPr>
                <w:rFonts w:hint="eastAsia" w:ascii="幼圆" w:hAnsi="宋体" w:eastAsia="幼圆" w:cs="宋体"/>
                <w:color w:val="000000"/>
                <w:szCs w:val="21"/>
              </w:rPr>
            </w:pPr>
            <w:r>
              <w:rPr>
                <w:rFonts w:hint="eastAsia" w:ascii="幼圆" w:hAnsi="宋体" w:eastAsia="幼圆" w:cs="宋体"/>
                <w:kern w:val="0"/>
                <w:szCs w:val="18"/>
              </w:rPr>
              <w:t>2000-6000 m</w:t>
            </w:r>
            <w:r>
              <w:rPr>
                <w:rFonts w:hint="eastAsia" w:ascii="幼圆" w:hAnsi="宋体" w:eastAsia="幼圆" w:cs="宋体"/>
                <w:kern w:val="0"/>
                <w:szCs w:val="18"/>
                <w:vertAlign w:val="superscript"/>
              </w:rPr>
              <w:t>2</w:t>
            </w:r>
          </w:p>
        </w:tc>
        <w:tc>
          <w:tcPr>
            <w:tcW w:w="997" w:type="pct"/>
            <w:vMerge w:val="continue"/>
            <w:noWrap w:val="0"/>
            <w:vAlign w:val="center"/>
          </w:tcPr>
          <w:p w14:paraId="7E323B0B">
            <w:pPr>
              <w:spacing w:after="72" w:afterLines="30"/>
              <w:jc w:val="left"/>
              <w:rPr>
                <w:rFonts w:hint="eastAsia" w:ascii="幼圆" w:hAnsi="宋体" w:eastAsia="幼圆" w:cs="宋体"/>
                <w:color w:val="000000"/>
                <w:szCs w:val="21"/>
              </w:rPr>
            </w:pPr>
          </w:p>
        </w:tc>
        <w:tc>
          <w:tcPr>
            <w:tcW w:w="1300" w:type="pct"/>
            <w:vMerge w:val="continue"/>
            <w:noWrap w:val="0"/>
            <w:vAlign w:val="center"/>
          </w:tcPr>
          <w:p w14:paraId="4FE03CD4">
            <w:pPr>
              <w:spacing w:after="72" w:afterLines="30"/>
              <w:jc w:val="left"/>
              <w:rPr>
                <w:rFonts w:hint="eastAsia" w:ascii="幼圆" w:hAnsi="宋体" w:eastAsia="幼圆" w:cs="宋体"/>
                <w:color w:val="000000"/>
                <w:szCs w:val="21"/>
              </w:rPr>
            </w:pPr>
          </w:p>
        </w:tc>
        <w:tc>
          <w:tcPr>
            <w:tcW w:w="1191" w:type="pct"/>
            <w:vMerge w:val="continue"/>
            <w:noWrap w:val="0"/>
            <w:vAlign w:val="center"/>
          </w:tcPr>
          <w:p w14:paraId="262F88B2">
            <w:pPr>
              <w:adjustRightInd w:val="0"/>
              <w:snapToGrid w:val="0"/>
              <w:jc w:val="left"/>
              <w:rPr>
                <w:rFonts w:hint="eastAsia" w:ascii="幼圆" w:hAnsi="宋体" w:eastAsia="幼圆" w:cs="宋体"/>
                <w:color w:val="000000"/>
                <w:szCs w:val="21"/>
              </w:rPr>
            </w:pPr>
          </w:p>
        </w:tc>
      </w:tr>
      <w:tr w14:paraId="76FC2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20" w:hRule="atLeast"/>
        </w:trPr>
        <w:tc>
          <w:tcPr>
            <w:tcW w:w="487" w:type="pct"/>
            <w:noWrap w:val="0"/>
            <w:vAlign w:val="center"/>
          </w:tcPr>
          <w:p w14:paraId="358BCC1B">
            <w:pPr>
              <w:spacing w:after="72" w:afterLines="30"/>
              <w:jc w:val="center"/>
              <w:rPr>
                <w:rFonts w:hint="eastAsia" w:ascii="幼圆" w:hAnsi="宋体" w:eastAsia="幼圆"/>
                <w:bCs/>
                <w:color w:val="000000"/>
                <w:szCs w:val="21"/>
              </w:rPr>
            </w:pPr>
            <w:r>
              <w:rPr>
                <w:rFonts w:hint="eastAsia" w:ascii="幼圆" w:hAnsi="宋体" w:eastAsia="幼圆"/>
                <w:b/>
                <w:bCs/>
                <w:szCs w:val="21"/>
              </w:rPr>
              <w:t>小型超级市场</w:t>
            </w:r>
          </w:p>
        </w:tc>
        <w:tc>
          <w:tcPr>
            <w:tcW w:w="433" w:type="pct"/>
            <w:noWrap w:val="0"/>
            <w:vAlign w:val="center"/>
          </w:tcPr>
          <w:p w14:paraId="7B63E518">
            <w:pPr>
              <w:spacing w:after="72" w:afterLines="30"/>
              <w:jc w:val="center"/>
              <w:rPr>
                <w:rFonts w:hint="eastAsia" w:ascii="幼圆" w:hAnsi="宋体" w:eastAsia="幼圆" w:cs="宋体"/>
                <w:color w:val="000000"/>
                <w:szCs w:val="21"/>
              </w:rPr>
            </w:pPr>
            <w:r>
              <w:rPr>
                <w:rFonts w:hint="eastAsia" w:ascii="幼圆" w:hAnsi="宋体" w:eastAsia="幼圆" w:cs="宋体"/>
                <w:szCs w:val="21"/>
                <w:lang w:eastAsia="zh-CN"/>
              </w:rPr>
              <w:t>1万—3万</w:t>
            </w:r>
            <w:r>
              <w:rPr>
                <w:rFonts w:hint="eastAsia" w:ascii="幼圆" w:hAnsi="宋体" w:eastAsia="幼圆" w:cs="宋体"/>
                <w:szCs w:val="21"/>
              </w:rPr>
              <w:t>人</w:t>
            </w:r>
          </w:p>
        </w:tc>
        <w:tc>
          <w:tcPr>
            <w:tcW w:w="590" w:type="pct"/>
            <w:noWrap w:val="0"/>
            <w:vAlign w:val="center"/>
          </w:tcPr>
          <w:p w14:paraId="7FBC6C6F">
            <w:pPr>
              <w:spacing w:after="72" w:afterLines="30"/>
              <w:jc w:val="center"/>
              <w:rPr>
                <w:rFonts w:hint="eastAsia" w:ascii="幼圆" w:hAnsi="宋体" w:eastAsia="幼圆" w:cs="宋体"/>
                <w:color w:val="000000"/>
                <w:szCs w:val="21"/>
              </w:rPr>
            </w:pPr>
            <w:r>
              <w:rPr>
                <w:rFonts w:hint="eastAsia" w:ascii="幼圆" w:hAnsi="宋体" w:eastAsia="幼圆" w:cs="宋体"/>
                <w:kern w:val="0"/>
                <w:szCs w:val="18"/>
              </w:rPr>
              <w:t>≤2000 m</w:t>
            </w:r>
            <w:r>
              <w:rPr>
                <w:rFonts w:hint="eastAsia" w:ascii="幼圆" w:hAnsi="宋体" w:eastAsia="幼圆" w:cs="宋体"/>
                <w:kern w:val="0"/>
                <w:szCs w:val="18"/>
                <w:vertAlign w:val="superscript"/>
              </w:rPr>
              <w:t>2</w:t>
            </w:r>
          </w:p>
        </w:tc>
        <w:tc>
          <w:tcPr>
            <w:tcW w:w="997" w:type="pct"/>
            <w:vMerge w:val="continue"/>
            <w:noWrap w:val="0"/>
            <w:vAlign w:val="center"/>
          </w:tcPr>
          <w:p w14:paraId="293F4F9C">
            <w:pPr>
              <w:spacing w:after="72" w:afterLines="30"/>
              <w:jc w:val="left"/>
              <w:rPr>
                <w:rFonts w:hint="eastAsia" w:ascii="幼圆" w:hAnsi="宋体" w:eastAsia="幼圆" w:cs="宋体"/>
                <w:color w:val="000000"/>
                <w:szCs w:val="21"/>
              </w:rPr>
            </w:pPr>
          </w:p>
        </w:tc>
        <w:tc>
          <w:tcPr>
            <w:tcW w:w="1300" w:type="pct"/>
            <w:noWrap w:val="0"/>
            <w:vAlign w:val="center"/>
          </w:tcPr>
          <w:p w14:paraId="3012A690">
            <w:pPr>
              <w:spacing w:after="72" w:afterLines="30"/>
              <w:jc w:val="left"/>
              <w:rPr>
                <w:rFonts w:hint="eastAsia" w:ascii="幼圆" w:hAnsi="宋体" w:eastAsia="幼圆" w:cs="宋体"/>
                <w:color w:val="000000"/>
                <w:szCs w:val="21"/>
              </w:rPr>
            </w:pPr>
            <w:r>
              <w:rPr>
                <w:rFonts w:hint="eastAsia" w:ascii="幼圆" w:hAnsi="宋体" w:eastAsia="幼圆" w:cs="宋体"/>
                <w:szCs w:val="21"/>
              </w:rPr>
              <w:t>提供大部分的食品、日用品销售服务。</w:t>
            </w:r>
          </w:p>
        </w:tc>
        <w:tc>
          <w:tcPr>
            <w:tcW w:w="1191" w:type="pct"/>
            <w:vMerge w:val="continue"/>
            <w:noWrap w:val="0"/>
            <w:vAlign w:val="center"/>
          </w:tcPr>
          <w:p w14:paraId="33550E83">
            <w:pPr>
              <w:adjustRightInd w:val="0"/>
              <w:snapToGrid w:val="0"/>
              <w:jc w:val="left"/>
              <w:rPr>
                <w:rFonts w:hint="eastAsia" w:ascii="幼圆" w:hAnsi="宋体" w:eastAsia="幼圆" w:cs="宋体"/>
                <w:color w:val="000000"/>
                <w:szCs w:val="21"/>
              </w:rPr>
            </w:pPr>
          </w:p>
        </w:tc>
      </w:tr>
      <w:bookmarkEnd w:id="58"/>
    </w:tbl>
    <w:p w14:paraId="6CA22EC9">
      <w:pPr>
        <w:pStyle w:val="4"/>
        <w:numPr>
          <w:ilvl w:val="0"/>
          <w:numId w:val="1"/>
        </w:numPr>
        <w:spacing w:before="120" w:beforeLines="50" w:after="48" w:afterLines="20" w:line="288" w:lineRule="auto"/>
        <w:rPr>
          <w:rFonts w:hint="eastAsia" w:ascii="微软雅黑" w:hAnsi="微软雅黑" w:eastAsia="微软雅黑"/>
          <w:color w:val="000000"/>
        </w:rPr>
      </w:pPr>
      <w:bookmarkStart w:id="59" w:name="_Toc22470"/>
      <w:r>
        <w:rPr>
          <w:rFonts w:hint="eastAsia" w:ascii="微软雅黑" w:hAnsi="微软雅黑" w:eastAsia="微软雅黑"/>
          <w:color w:val="000000"/>
        </w:rPr>
        <w:t>商业综合体规划布局</w:t>
      </w:r>
      <w:bookmarkEnd w:id="59"/>
    </w:p>
    <w:p w14:paraId="5EEA27C7">
      <w:pPr>
        <w:numPr>
          <w:ilvl w:val="0"/>
          <w:numId w:val="15"/>
        </w:numPr>
        <w:snapToGrid w:val="0"/>
        <w:spacing w:after="120" w:afterLines="50" w:line="300" w:lineRule="auto"/>
        <w:rPr>
          <w:rFonts w:hint="eastAsia" w:ascii="幼圆" w:eastAsia="幼圆"/>
          <w:color w:val="000000"/>
          <w:sz w:val="24"/>
        </w:rPr>
      </w:pPr>
      <w:r>
        <w:rPr>
          <w:rFonts w:hint="eastAsia" w:ascii="幼圆" w:eastAsia="幼圆"/>
          <w:color w:val="000000"/>
          <w:sz w:val="24"/>
        </w:rPr>
        <w:t>规划结合各级城市商业中心，按照城市商业中心的等级规模体系，统筹布局城市级、片区级和社区级城市商业综合体，其中：</w:t>
      </w:r>
    </w:p>
    <w:p w14:paraId="18EC69F6">
      <w:pPr>
        <w:numPr>
          <w:ilvl w:val="0"/>
          <w:numId w:val="16"/>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城市商业中心、组团商业中心应分别规划布局大、中型商业综合体，并以其作为商业中心的核心功能单元；</w:t>
      </w:r>
    </w:p>
    <w:p w14:paraId="106405D8">
      <w:pPr>
        <w:numPr>
          <w:ilvl w:val="0"/>
          <w:numId w:val="16"/>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社区商业中心应依据服务规模、用地条件和周边城市功能选择性布局小型商业综合体，并以其作为社区商业中心的主体；</w:t>
      </w:r>
    </w:p>
    <w:p w14:paraId="6E2D199F">
      <w:pPr>
        <w:numPr>
          <w:ilvl w:val="0"/>
          <w:numId w:val="16"/>
        </w:numPr>
        <w:snapToGrid w:val="0"/>
        <w:spacing w:after="120" w:afterLines="50" w:line="300" w:lineRule="auto"/>
        <w:rPr>
          <w:rFonts w:hint="eastAsia" w:ascii="幼圆" w:eastAsia="幼圆"/>
          <w:color w:val="000000"/>
          <w:sz w:val="24"/>
        </w:rPr>
      </w:pPr>
      <w:r>
        <w:rPr>
          <w:rFonts w:hint="eastAsia" w:ascii="幼圆" w:hAnsi="Times New Roman" w:eastAsia="幼圆" w:cs="Times New Roman"/>
          <w:color w:val="000000"/>
          <w:sz w:val="24"/>
        </w:rPr>
        <w:t>各级城市商业综合体应依据商业中心的服务规模、服务人群特点、区位环境特征确定商业业态。</w:t>
      </w:r>
    </w:p>
    <w:p w14:paraId="0605AE77">
      <w:pPr>
        <w:numPr>
          <w:ilvl w:val="0"/>
          <w:numId w:val="16"/>
        </w:numPr>
        <w:snapToGrid w:val="0"/>
        <w:spacing w:after="120" w:afterLines="50" w:line="300" w:lineRule="auto"/>
        <w:rPr>
          <w:rFonts w:hint="eastAsia" w:ascii="幼圆" w:eastAsia="幼圆"/>
          <w:color w:val="000000"/>
          <w:sz w:val="24"/>
        </w:rPr>
      </w:pPr>
      <w:r>
        <w:rPr>
          <w:rFonts w:hint="eastAsia" w:ascii="幼圆" w:eastAsia="幼圆"/>
          <w:sz w:val="24"/>
        </w:rPr>
        <w:t>各级商业综合体建设控制要求</w:t>
      </w:r>
      <w:r>
        <w:rPr>
          <w:rFonts w:hint="eastAsia" w:ascii="幼圆" w:eastAsia="幼圆"/>
          <w:color w:val="000000"/>
          <w:sz w:val="24"/>
        </w:rPr>
        <w:t>参照</w:t>
      </w:r>
      <w:r>
        <w:rPr>
          <w:rFonts w:hint="eastAsia" w:ascii="幼圆" w:hAnsi="宋体" w:eastAsia="幼圆"/>
          <w:color w:val="000000"/>
          <w:sz w:val="24"/>
        </w:rPr>
        <w:t>附表</w:t>
      </w:r>
      <w:r>
        <w:rPr>
          <w:rFonts w:hint="eastAsia" w:ascii="幼圆" w:hAnsi="宋体" w:eastAsia="幼圆"/>
          <w:color w:val="000000"/>
          <w:sz w:val="24"/>
          <w:lang w:val="en-US" w:eastAsia="zh-CN"/>
        </w:rPr>
        <w:t>6</w:t>
      </w:r>
      <w:r>
        <w:rPr>
          <w:rFonts w:hint="eastAsia" w:ascii="幼圆" w:eastAsia="幼圆"/>
          <w:color w:val="000000"/>
          <w:sz w:val="24"/>
        </w:rPr>
        <w:t>执行</w:t>
      </w:r>
      <w:r>
        <w:rPr>
          <w:rFonts w:hint="eastAsia" w:ascii="幼圆" w:eastAsia="幼圆"/>
          <w:color w:val="000000"/>
          <w:sz w:val="24"/>
          <w:lang w:eastAsia="zh-CN"/>
        </w:rPr>
        <w:t>。</w:t>
      </w:r>
    </w:p>
    <w:p w14:paraId="7B6E9767">
      <w:pPr>
        <w:numPr>
          <w:ilvl w:val="0"/>
          <w:numId w:val="15"/>
        </w:numPr>
        <w:snapToGrid w:val="0"/>
        <w:spacing w:after="120" w:afterLines="50" w:line="300" w:lineRule="auto"/>
        <w:rPr>
          <w:rFonts w:hint="eastAsia" w:ascii="幼圆" w:eastAsia="幼圆"/>
          <w:color w:val="000000"/>
          <w:sz w:val="24"/>
        </w:rPr>
      </w:pPr>
      <w:r>
        <w:rPr>
          <w:rFonts w:hint="eastAsia" w:ascii="幼圆" w:eastAsia="幼圆"/>
          <w:color w:val="000000"/>
          <w:sz w:val="24"/>
        </w:rPr>
        <w:t>各商业综合的规划建设控制要求参照下表执行。</w:t>
      </w:r>
    </w:p>
    <w:p w14:paraId="18D2A65B">
      <w:pPr>
        <w:spacing w:line="360" w:lineRule="auto"/>
        <w:ind w:left="902"/>
        <w:jc w:val="center"/>
        <w:rPr>
          <w:rFonts w:hint="eastAsia" w:ascii="幼圆" w:eastAsia="幼圆"/>
          <w:color w:val="000000"/>
          <w:sz w:val="24"/>
        </w:rPr>
      </w:pPr>
      <w:r>
        <w:rPr>
          <w:rFonts w:hint="eastAsia" w:ascii="幼圆" w:hAnsi="宋体" w:eastAsia="幼圆"/>
          <w:color w:val="000000"/>
          <w:sz w:val="24"/>
        </w:rPr>
        <w:t>表3：</w:t>
      </w:r>
      <w:r>
        <w:rPr>
          <w:rFonts w:hint="eastAsia" w:ascii="幼圆" w:eastAsia="幼圆"/>
          <w:sz w:val="24"/>
        </w:rPr>
        <w:t>商业综合体规划建设标准</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2436"/>
        <w:gridCol w:w="1246"/>
        <w:gridCol w:w="1210"/>
        <w:gridCol w:w="3513"/>
      </w:tblGrid>
      <w:tr w14:paraId="4AC35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pct"/>
            <w:noWrap w:val="0"/>
            <w:vAlign w:val="center"/>
          </w:tcPr>
          <w:p w14:paraId="0D71FBC4">
            <w:pPr>
              <w:spacing w:after="72" w:afterLines="30"/>
              <w:jc w:val="center"/>
              <w:rPr>
                <w:rFonts w:hint="eastAsia" w:ascii="幼圆" w:eastAsia="幼圆"/>
                <w:b/>
                <w:szCs w:val="21"/>
              </w:rPr>
            </w:pPr>
            <w:r>
              <w:rPr>
                <w:rFonts w:hint="eastAsia" w:ascii="幼圆" w:eastAsia="幼圆"/>
                <w:b/>
                <w:szCs w:val="21"/>
              </w:rPr>
              <w:t>等级</w:t>
            </w:r>
          </w:p>
        </w:tc>
        <w:tc>
          <w:tcPr>
            <w:tcW w:w="1240" w:type="pct"/>
            <w:noWrap w:val="0"/>
            <w:vAlign w:val="center"/>
          </w:tcPr>
          <w:p w14:paraId="038B9385">
            <w:pPr>
              <w:spacing w:after="72" w:afterLines="30"/>
              <w:jc w:val="center"/>
              <w:rPr>
                <w:rFonts w:hint="eastAsia" w:ascii="幼圆" w:eastAsia="幼圆"/>
                <w:b/>
                <w:szCs w:val="21"/>
              </w:rPr>
            </w:pPr>
            <w:r>
              <w:rPr>
                <w:rFonts w:hint="eastAsia" w:ascii="幼圆" w:eastAsia="幼圆"/>
                <w:b/>
                <w:szCs w:val="21"/>
              </w:rPr>
              <w:t>布局要求</w:t>
            </w:r>
          </w:p>
        </w:tc>
        <w:tc>
          <w:tcPr>
            <w:tcW w:w="634" w:type="pct"/>
            <w:noWrap w:val="0"/>
            <w:vAlign w:val="center"/>
          </w:tcPr>
          <w:p w14:paraId="324D0C4E">
            <w:pPr>
              <w:spacing w:after="72" w:afterLines="30"/>
              <w:jc w:val="center"/>
              <w:rPr>
                <w:rFonts w:hint="eastAsia" w:ascii="幼圆" w:eastAsia="幼圆"/>
                <w:b/>
                <w:szCs w:val="21"/>
              </w:rPr>
            </w:pPr>
            <w:r>
              <w:rPr>
                <w:rFonts w:hint="eastAsia" w:ascii="幼圆" w:eastAsia="幼圆"/>
                <w:b/>
                <w:szCs w:val="21"/>
              </w:rPr>
              <w:t>用地规模</w:t>
            </w:r>
          </w:p>
          <w:p w14:paraId="39FC219B">
            <w:pPr>
              <w:spacing w:after="72" w:afterLines="30"/>
              <w:jc w:val="center"/>
              <w:rPr>
                <w:rFonts w:hint="eastAsia" w:ascii="幼圆" w:eastAsia="幼圆"/>
                <w:b/>
                <w:szCs w:val="21"/>
              </w:rPr>
            </w:pPr>
            <w:r>
              <w:rPr>
                <w:rFonts w:hint="eastAsia" w:ascii="幼圆" w:eastAsia="幼圆"/>
                <w:b/>
                <w:szCs w:val="21"/>
                <w:lang w:eastAsia="zh-CN"/>
              </w:rPr>
              <w:t>(</w:t>
            </w:r>
            <w:r>
              <w:rPr>
                <w:rFonts w:hint="eastAsia" w:ascii="幼圆" w:eastAsia="幼圆"/>
                <w:b/>
                <w:szCs w:val="21"/>
              </w:rPr>
              <w:t>hm</w:t>
            </w:r>
            <w:r>
              <w:rPr>
                <w:rFonts w:hint="eastAsia" w:ascii="幼圆" w:eastAsia="幼圆"/>
                <w:b/>
                <w:szCs w:val="21"/>
                <w:vertAlign w:val="superscript"/>
              </w:rPr>
              <w:t>2</w:t>
            </w:r>
            <w:r>
              <w:rPr>
                <w:rFonts w:hint="eastAsia" w:ascii="幼圆" w:eastAsia="幼圆"/>
                <w:b/>
                <w:szCs w:val="21"/>
                <w:vertAlign w:val="superscript"/>
                <w:lang w:eastAsia="zh-CN"/>
              </w:rPr>
              <w:t>)</w:t>
            </w:r>
          </w:p>
        </w:tc>
        <w:tc>
          <w:tcPr>
            <w:tcW w:w="616" w:type="pct"/>
            <w:noWrap w:val="0"/>
            <w:vAlign w:val="center"/>
          </w:tcPr>
          <w:p w14:paraId="43D1A590">
            <w:pPr>
              <w:spacing w:after="72" w:afterLines="30"/>
              <w:jc w:val="center"/>
              <w:rPr>
                <w:rFonts w:hint="eastAsia" w:ascii="幼圆" w:eastAsia="幼圆"/>
                <w:b/>
                <w:szCs w:val="21"/>
              </w:rPr>
            </w:pPr>
            <w:r>
              <w:rPr>
                <w:rFonts w:hint="eastAsia" w:ascii="幼圆" w:eastAsia="幼圆"/>
                <w:b/>
                <w:szCs w:val="21"/>
              </w:rPr>
              <w:t>建筑规模</w:t>
            </w:r>
          </w:p>
          <w:p w14:paraId="552D7E7D">
            <w:pPr>
              <w:spacing w:after="72" w:afterLines="30"/>
              <w:jc w:val="center"/>
              <w:rPr>
                <w:rFonts w:hint="eastAsia" w:ascii="幼圆" w:eastAsia="幼圆"/>
                <w:b/>
                <w:szCs w:val="21"/>
              </w:rPr>
            </w:pPr>
            <w:r>
              <w:rPr>
                <w:rFonts w:hint="eastAsia" w:ascii="幼圆" w:eastAsia="幼圆"/>
                <w:b/>
                <w:szCs w:val="21"/>
              </w:rPr>
              <w:t>（万m</w:t>
            </w:r>
            <w:r>
              <w:rPr>
                <w:rFonts w:hint="eastAsia" w:ascii="幼圆" w:eastAsia="幼圆"/>
                <w:b/>
                <w:szCs w:val="21"/>
                <w:vertAlign w:val="superscript"/>
              </w:rPr>
              <w:t>2</w:t>
            </w:r>
            <w:r>
              <w:rPr>
                <w:rFonts w:hint="eastAsia" w:ascii="幼圆" w:eastAsia="幼圆"/>
                <w:b/>
                <w:szCs w:val="21"/>
              </w:rPr>
              <w:t>）</w:t>
            </w:r>
          </w:p>
        </w:tc>
        <w:tc>
          <w:tcPr>
            <w:tcW w:w="1788" w:type="pct"/>
            <w:noWrap w:val="0"/>
            <w:vAlign w:val="center"/>
          </w:tcPr>
          <w:p w14:paraId="6A840A4B">
            <w:pPr>
              <w:spacing w:after="72" w:afterLines="30"/>
              <w:jc w:val="center"/>
              <w:rPr>
                <w:rFonts w:hint="eastAsia" w:ascii="幼圆" w:eastAsia="幼圆"/>
                <w:b/>
                <w:szCs w:val="21"/>
              </w:rPr>
            </w:pPr>
            <w:r>
              <w:rPr>
                <w:rFonts w:hint="eastAsia" w:ascii="幼圆" w:eastAsia="幼圆"/>
                <w:b/>
                <w:szCs w:val="21"/>
              </w:rPr>
              <w:t>商业业态</w:t>
            </w:r>
          </w:p>
        </w:tc>
      </w:tr>
      <w:tr w14:paraId="6DFB8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pct"/>
            <w:noWrap w:val="0"/>
            <w:vAlign w:val="center"/>
          </w:tcPr>
          <w:p w14:paraId="3882CEB4">
            <w:pPr>
              <w:spacing w:after="72" w:afterLines="30"/>
              <w:jc w:val="center"/>
              <w:rPr>
                <w:rFonts w:hint="eastAsia" w:ascii="幼圆" w:eastAsia="幼圆"/>
                <w:b/>
                <w:szCs w:val="21"/>
              </w:rPr>
            </w:pPr>
            <w:r>
              <w:rPr>
                <w:rFonts w:hint="eastAsia" w:ascii="幼圆" w:eastAsia="幼圆"/>
                <w:b/>
                <w:szCs w:val="21"/>
              </w:rPr>
              <w:t>城市商业综合体</w:t>
            </w:r>
          </w:p>
        </w:tc>
        <w:tc>
          <w:tcPr>
            <w:tcW w:w="1240" w:type="pct"/>
            <w:noWrap w:val="0"/>
            <w:vAlign w:val="center"/>
          </w:tcPr>
          <w:p w14:paraId="49343912">
            <w:pPr>
              <w:spacing w:after="72" w:afterLines="30"/>
              <w:jc w:val="center"/>
              <w:rPr>
                <w:rFonts w:hint="eastAsia" w:ascii="幼圆" w:eastAsia="幼圆"/>
                <w:szCs w:val="21"/>
              </w:rPr>
            </w:pPr>
            <w:r>
              <w:rPr>
                <w:rFonts w:hint="eastAsia" w:ascii="幼圆" w:eastAsia="幼圆"/>
                <w:szCs w:val="21"/>
              </w:rPr>
              <w:t>布局于城市商业中心</w:t>
            </w:r>
          </w:p>
        </w:tc>
        <w:tc>
          <w:tcPr>
            <w:tcW w:w="634" w:type="pct"/>
            <w:noWrap w:val="0"/>
            <w:vAlign w:val="center"/>
          </w:tcPr>
          <w:p w14:paraId="0AF05721">
            <w:pPr>
              <w:spacing w:after="72" w:afterLines="30"/>
              <w:jc w:val="center"/>
              <w:rPr>
                <w:rFonts w:hint="eastAsia" w:ascii="幼圆" w:eastAsia="幼圆"/>
                <w:szCs w:val="21"/>
              </w:rPr>
            </w:pPr>
            <w:r>
              <w:rPr>
                <w:rFonts w:hint="eastAsia" w:ascii="幼圆" w:eastAsia="幼圆"/>
                <w:szCs w:val="21"/>
              </w:rPr>
              <w:t>5-10</w:t>
            </w:r>
          </w:p>
        </w:tc>
        <w:tc>
          <w:tcPr>
            <w:tcW w:w="616" w:type="pct"/>
            <w:noWrap w:val="0"/>
            <w:vAlign w:val="center"/>
          </w:tcPr>
          <w:p w14:paraId="0C1F6F33">
            <w:pPr>
              <w:spacing w:after="72" w:afterLines="30"/>
              <w:jc w:val="center"/>
              <w:rPr>
                <w:rFonts w:hint="eastAsia" w:ascii="幼圆" w:eastAsia="幼圆"/>
                <w:szCs w:val="21"/>
              </w:rPr>
            </w:pPr>
            <w:r>
              <w:rPr>
                <w:rFonts w:hint="eastAsia" w:ascii="幼圆" w:eastAsia="幼圆"/>
                <w:szCs w:val="21"/>
              </w:rPr>
              <w:t xml:space="preserve">20-30 </w:t>
            </w:r>
          </w:p>
        </w:tc>
        <w:tc>
          <w:tcPr>
            <w:tcW w:w="1788" w:type="pct"/>
            <w:noWrap w:val="0"/>
            <w:vAlign w:val="center"/>
          </w:tcPr>
          <w:p w14:paraId="505672D0">
            <w:pPr>
              <w:spacing w:after="72" w:afterLines="30"/>
              <w:jc w:val="left"/>
              <w:rPr>
                <w:rFonts w:hint="eastAsia" w:ascii="幼圆" w:eastAsia="幼圆"/>
                <w:szCs w:val="21"/>
              </w:rPr>
            </w:pPr>
            <w:r>
              <w:rPr>
                <w:rFonts w:hint="eastAsia" w:ascii="幼圆" w:eastAsia="幼圆"/>
                <w:szCs w:val="21"/>
              </w:rPr>
              <w:t>以零售商业为主体，综合配置商务办公、会议展览、餐饮娱乐、公寓酒店等功能。</w:t>
            </w:r>
          </w:p>
        </w:tc>
      </w:tr>
      <w:tr w14:paraId="249D9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pct"/>
            <w:noWrap w:val="0"/>
            <w:vAlign w:val="center"/>
          </w:tcPr>
          <w:p w14:paraId="43BE8056">
            <w:pPr>
              <w:spacing w:after="72" w:afterLines="30"/>
              <w:jc w:val="center"/>
              <w:rPr>
                <w:rFonts w:hint="eastAsia" w:ascii="幼圆" w:eastAsia="幼圆"/>
                <w:b/>
                <w:szCs w:val="21"/>
              </w:rPr>
            </w:pPr>
            <w:r>
              <w:rPr>
                <w:rFonts w:hint="eastAsia" w:ascii="幼圆" w:eastAsia="幼圆"/>
                <w:b/>
                <w:szCs w:val="21"/>
              </w:rPr>
              <w:t>组团商业综合体</w:t>
            </w:r>
          </w:p>
        </w:tc>
        <w:tc>
          <w:tcPr>
            <w:tcW w:w="1240" w:type="pct"/>
            <w:noWrap w:val="0"/>
            <w:vAlign w:val="center"/>
          </w:tcPr>
          <w:p w14:paraId="03FEBBBE">
            <w:pPr>
              <w:spacing w:after="72" w:afterLines="30"/>
              <w:jc w:val="center"/>
              <w:rPr>
                <w:rFonts w:hint="eastAsia" w:ascii="幼圆" w:eastAsia="幼圆"/>
                <w:szCs w:val="21"/>
              </w:rPr>
            </w:pPr>
            <w:r>
              <w:rPr>
                <w:rFonts w:hint="eastAsia" w:ascii="幼圆" w:eastAsia="幼圆"/>
                <w:szCs w:val="21"/>
              </w:rPr>
              <w:t>布局于组团商业中心</w:t>
            </w:r>
          </w:p>
        </w:tc>
        <w:tc>
          <w:tcPr>
            <w:tcW w:w="634" w:type="pct"/>
            <w:noWrap w:val="0"/>
            <w:vAlign w:val="center"/>
          </w:tcPr>
          <w:p w14:paraId="23D2CF00">
            <w:pPr>
              <w:spacing w:after="72" w:afterLines="30"/>
              <w:jc w:val="center"/>
              <w:rPr>
                <w:rFonts w:hint="eastAsia" w:ascii="幼圆" w:eastAsia="幼圆"/>
                <w:szCs w:val="21"/>
              </w:rPr>
            </w:pPr>
            <w:r>
              <w:rPr>
                <w:rFonts w:hint="eastAsia" w:ascii="幼圆" w:eastAsia="幼圆"/>
                <w:szCs w:val="21"/>
              </w:rPr>
              <w:t>2-4</w:t>
            </w:r>
          </w:p>
        </w:tc>
        <w:tc>
          <w:tcPr>
            <w:tcW w:w="616" w:type="pct"/>
            <w:noWrap w:val="0"/>
            <w:vAlign w:val="center"/>
          </w:tcPr>
          <w:p w14:paraId="4FC1E2C3">
            <w:pPr>
              <w:spacing w:after="72" w:afterLines="30"/>
              <w:jc w:val="center"/>
              <w:rPr>
                <w:rFonts w:hint="eastAsia" w:ascii="幼圆" w:eastAsia="幼圆"/>
                <w:szCs w:val="21"/>
              </w:rPr>
            </w:pPr>
            <w:r>
              <w:rPr>
                <w:rFonts w:hint="eastAsia" w:ascii="幼圆" w:eastAsia="幼圆"/>
                <w:szCs w:val="21"/>
              </w:rPr>
              <w:t xml:space="preserve">5-10 </w:t>
            </w:r>
          </w:p>
        </w:tc>
        <w:tc>
          <w:tcPr>
            <w:tcW w:w="1788" w:type="pct"/>
            <w:noWrap w:val="0"/>
            <w:vAlign w:val="center"/>
          </w:tcPr>
          <w:p w14:paraId="396110C8">
            <w:pPr>
              <w:spacing w:after="72" w:afterLines="30"/>
              <w:jc w:val="left"/>
              <w:rPr>
                <w:rFonts w:hint="eastAsia" w:ascii="幼圆" w:eastAsia="幼圆"/>
                <w:szCs w:val="21"/>
              </w:rPr>
            </w:pPr>
            <w:r>
              <w:rPr>
                <w:rFonts w:hint="eastAsia" w:ascii="幼圆" w:eastAsia="幼圆"/>
                <w:szCs w:val="21"/>
              </w:rPr>
              <w:t>以零售商业为主体，综合配置商务办公、餐饮酒店、公寓居住等功能。</w:t>
            </w:r>
          </w:p>
        </w:tc>
      </w:tr>
      <w:tr w14:paraId="68D27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pct"/>
            <w:noWrap w:val="0"/>
            <w:vAlign w:val="center"/>
          </w:tcPr>
          <w:p w14:paraId="0D1813C7">
            <w:pPr>
              <w:spacing w:after="72" w:afterLines="30"/>
              <w:jc w:val="center"/>
              <w:rPr>
                <w:rFonts w:hint="eastAsia" w:ascii="幼圆" w:eastAsia="幼圆"/>
                <w:b/>
                <w:szCs w:val="21"/>
              </w:rPr>
            </w:pPr>
            <w:r>
              <w:rPr>
                <w:rFonts w:hint="eastAsia" w:ascii="幼圆" w:eastAsia="幼圆"/>
                <w:b/>
                <w:szCs w:val="21"/>
              </w:rPr>
              <w:t>社区商业综合体</w:t>
            </w:r>
          </w:p>
        </w:tc>
        <w:tc>
          <w:tcPr>
            <w:tcW w:w="1240" w:type="pct"/>
            <w:noWrap w:val="0"/>
            <w:vAlign w:val="center"/>
          </w:tcPr>
          <w:p w14:paraId="02B65AC4">
            <w:pPr>
              <w:spacing w:after="72" w:afterLines="30"/>
              <w:jc w:val="center"/>
              <w:rPr>
                <w:rFonts w:hint="eastAsia" w:ascii="幼圆" w:eastAsia="幼圆"/>
                <w:szCs w:val="21"/>
              </w:rPr>
            </w:pPr>
            <w:r>
              <w:rPr>
                <w:rFonts w:hint="eastAsia" w:ascii="幼圆" w:eastAsia="幼圆"/>
                <w:szCs w:val="21"/>
              </w:rPr>
              <w:t>布局于社区商业中心</w:t>
            </w:r>
          </w:p>
        </w:tc>
        <w:tc>
          <w:tcPr>
            <w:tcW w:w="634" w:type="pct"/>
            <w:noWrap w:val="0"/>
            <w:vAlign w:val="center"/>
          </w:tcPr>
          <w:p w14:paraId="1632B36C">
            <w:pPr>
              <w:spacing w:after="72" w:afterLines="30"/>
              <w:jc w:val="center"/>
              <w:rPr>
                <w:rFonts w:hint="eastAsia" w:ascii="幼圆" w:eastAsia="幼圆"/>
                <w:szCs w:val="21"/>
              </w:rPr>
            </w:pPr>
            <w:r>
              <w:rPr>
                <w:rFonts w:hint="eastAsia" w:ascii="幼圆" w:eastAsia="幼圆"/>
                <w:szCs w:val="21"/>
              </w:rPr>
              <w:t>0.5-1</w:t>
            </w:r>
          </w:p>
        </w:tc>
        <w:tc>
          <w:tcPr>
            <w:tcW w:w="616" w:type="pct"/>
            <w:noWrap w:val="0"/>
            <w:vAlign w:val="center"/>
          </w:tcPr>
          <w:p w14:paraId="62AAE34E">
            <w:pPr>
              <w:spacing w:after="72" w:afterLines="30"/>
              <w:jc w:val="center"/>
              <w:rPr>
                <w:rFonts w:hint="eastAsia" w:ascii="幼圆" w:eastAsia="幼圆"/>
                <w:szCs w:val="21"/>
              </w:rPr>
            </w:pPr>
            <w:r>
              <w:rPr>
                <w:rFonts w:hint="eastAsia" w:ascii="幼圆" w:eastAsia="幼圆"/>
                <w:szCs w:val="21"/>
              </w:rPr>
              <w:t>1-2</w:t>
            </w:r>
          </w:p>
        </w:tc>
        <w:tc>
          <w:tcPr>
            <w:tcW w:w="1788" w:type="pct"/>
            <w:noWrap w:val="0"/>
            <w:vAlign w:val="center"/>
          </w:tcPr>
          <w:p w14:paraId="60342EEB">
            <w:pPr>
              <w:spacing w:after="72" w:afterLines="30"/>
              <w:jc w:val="left"/>
              <w:rPr>
                <w:rFonts w:hint="eastAsia" w:ascii="幼圆" w:eastAsia="幼圆"/>
                <w:szCs w:val="21"/>
              </w:rPr>
            </w:pPr>
            <w:r>
              <w:rPr>
                <w:rFonts w:hint="eastAsia" w:ascii="幼圆" w:eastAsia="幼圆"/>
                <w:szCs w:val="21"/>
              </w:rPr>
              <w:t>以零售商业为主体，综合配置餐饮和社区服务功能。</w:t>
            </w:r>
          </w:p>
        </w:tc>
      </w:tr>
    </w:tbl>
    <w:p w14:paraId="5796925A">
      <w:pPr>
        <w:pStyle w:val="4"/>
        <w:numPr>
          <w:ilvl w:val="0"/>
          <w:numId w:val="1"/>
        </w:numPr>
        <w:spacing w:before="120" w:beforeLines="50" w:after="48" w:afterLines="20" w:line="288" w:lineRule="auto"/>
        <w:rPr>
          <w:rFonts w:hint="eastAsia" w:ascii="微软雅黑" w:hAnsi="微软雅黑" w:eastAsia="微软雅黑" w:cs="Times New Roman"/>
          <w:b/>
          <w:bCs/>
          <w:color w:val="000000"/>
        </w:rPr>
      </w:pPr>
      <w:bookmarkStart w:id="60" w:name="_Toc11125"/>
      <w:r>
        <w:rPr>
          <w:rFonts w:hint="eastAsia" w:ascii="微软雅黑" w:hAnsi="微软雅黑" w:eastAsia="微软雅黑" w:cs="Times New Roman"/>
          <w:b/>
          <w:bCs/>
          <w:color w:val="000000"/>
        </w:rPr>
        <w:t>大中型商超规划布局</w:t>
      </w:r>
      <w:bookmarkEnd w:id="60"/>
    </w:p>
    <w:p w14:paraId="31138FB8">
      <w:pPr>
        <w:numPr>
          <w:ilvl w:val="0"/>
          <w:numId w:val="17"/>
        </w:numPr>
        <w:snapToGrid w:val="0"/>
        <w:spacing w:after="120" w:afterLines="50" w:line="300" w:lineRule="auto"/>
        <w:rPr>
          <w:rFonts w:hint="eastAsia" w:ascii="幼圆" w:eastAsia="幼圆"/>
          <w:color w:val="000000"/>
          <w:sz w:val="24"/>
        </w:rPr>
      </w:pPr>
      <w:r>
        <w:rPr>
          <w:rFonts w:hint="eastAsia" w:ascii="幼圆" w:eastAsia="幼圆"/>
          <w:color w:val="000000"/>
          <w:sz w:val="24"/>
        </w:rPr>
        <w:t>规划结合各级城市商业中心，按照城市商业中心的等级规模体系，统筹布局各类大中型商超网点，其中：</w:t>
      </w:r>
    </w:p>
    <w:p w14:paraId="3649DE17">
      <w:pPr>
        <w:numPr>
          <w:ilvl w:val="1"/>
          <w:numId w:val="18"/>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对现状大中型商超网点予以保留，并以此作为布局各级城市商业中心的主力商业网点；</w:t>
      </w:r>
    </w:p>
    <w:p w14:paraId="16CFE0CF">
      <w:pPr>
        <w:numPr>
          <w:ilvl w:val="1"/>
          <w:numId w:val="18"/>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购物中心应成为各级商业中心的主力商业网点，但城市商业中心内的购物中心应控制超级市场的配置规模；</w:t>
      </w:r>
    </w:p>
    <w:p w14:paraId="780899A9">
      <w:pPr>
        <w:numPr>
          <w:ilvl w:val="1"/>
          <w:numId w:val="18"/>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大中型百货店宜布局于城市和组团级商业中心内，社区及邻里级商业中心不配置百货店；</w:t>
      </w:r>
    </w:p>
    <w:p w14:paraId="7DE74F32">
      <w:pPr>
        <w:numPr>
          <w:ilvl w:val="1"/>
          <w:numId w:val="18"/>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超级市场应结合城市商业中心的等级规模进行相应配置，其中：城市级商业中心不再配置独立超级市场，内附于购物中心内的超级市场应控制市场规模；各组团和社区按照配置标准，结合人口分布、道路交通、公共设施等进行综合配置，但两级商业中心内均应配置超级市场</w:t>
      </w:r>
      <w:r>
        <w:rPr>
          <w:rFonts w:hint="eastAsia" w:ascii="幼圆" w:hAnsi="Times New Roman" w:eastAsia="幼圆" w:cs="Times New Roman"/>
          <w:color w:val="000000"/>
          <w:sz w:val="24"/>
          <w:lang w:eastAsia="zh-CN"/>
        </w:rPr>
        <w:t>。</w:t>
      </w:r>
    </w:p>
    <w:p w14:paraId="05F7A9CB">
      <w:pPr>
        <w:numPr>
          <w:ilvl w:val="0"/>
          <w:numId w:val="18"/>
        </w:numPr>
        <w:snapToGrid w:val="0"/>
        <w:spacing w:after="120" w:afterLines="50" w:line="300" w:lineRule="auto"/>
        <w:rPr>
          <w:rFonts w:hint="eastAsia" w:ascii="幼圆" w:hAnsi="Times New Roman" w:eastAsia="幼圆" w:cs="Times New Roman"/>
          <w:color w:val="000000"/>
          <w:sz w:val="24"/>
        </w:rPr>
      </w:pPr>
      <w:r>
        <w:rPr>
          <w:rFonts w:hint="eastAsia" w:ascii="幼圆" w:eastAsia="幼圆"/>
          <w:sz w:val="24"/>
        </w:rPr>
        <w:t>规划共配置各类商超网点32处，其中大中型商超网点17处（包括各商业综合体内设置的大中型商超网点），另外结合社区商业中心配置小型商超网点1</w:t>
      </w:r>
      <w:r>
        <w:rPr>
          <w:rFonts w:hint="eastAsia" w:ascii="幼圆" w:hAnsi="Times New Roman" w:eastAsia="幼圆" w:cs="Times New Roman"/>
          <w:color w:val="000000"/>
          <w:sz w:val="24"/>
        </w:rPr>
        <w:t>3处</w:t>
      </w:r>
      <w:r>
        <w:rPr>
          <w:rFonts w:hint="eastAsia" w:ascii="幼圆" w:hAnsi="Times New Roman" w:eastAsia="幼圆" w:cs="Times New Roman"/>
          <w:color w:val="000000"/>
          <w:sz w:val="24"/>
          <w:lang w:eastAsia="zh-CN"/>
        </w:rPr>
        <w:t>；</w:t>
      </w:r>
      <w:r>
        <w:rPr>
          <w:rFonts w:hint="eastAsia" w:ascii="幼圆" w:hAnsi="宋体" w:eastAsia="幼圆"/>
          <w:color w:val="000000"/>
          <w:sz w:val="24"/>
        </w:rPr>
        <w:t>并按附表7进行规划布局</w:t>
      </w:r>
      <w:r>
        <w:rPr>
          <w:rFonts w:hint="eastAsia" w:ascii="幼圆" w:hAnsi="Times New Roman" w:eastAsia="幼圆" w:cs="Times New Roman"/>
          <w:color w:val="000000"/>
          <w:sz w:val="24"/>
          <w:lang w:eastAsia="zh-CN"/>
        </w:rPr>
        <w:t>。</w:t>
      </w:r>
    </w:p>
    <w:p w14:paraId="565AECE7">
      <w:pPr>
        <w:pStyle w:val="3"/>
        <w:spacing w:before="120" w:beforeLines="50" w:after="120" w:afterLines="50" w:line="360" w:lineRule="auto"/>
        <w:rPr>
          <w:rFonts w:hint="eastAsia" w:ascii="华文中宋" w:hAnsi="华文中宋" w:eastAsia="华文中宋"/>
          <w:color w:val="000000"/>
          <w:sz w:val="36"/>
          <w:szCs w:val="36"/>
        </w:rPr>
      </w:pPr>
      <w:bookmarkStart w:id="61" w:name="_Toc15859"/>
      <w:r>
        <w:rPr>
          <w:rFonts w:hint="eastAsia" w:ascii="华文中宋" w:hAnsi="华文中宋" w:eastAsia="华文中宋"/>
          <w:color w:val="000000"/>
          <w:sz w:val="36"/>
          <w:szCs w:val="36"/>
        </w:rPr>
        <w:t>第三节 商业街规划布局</w:t>
      </w:r>
      <w:bookmarkEnd w:id="61"/>
    </w:p>
    <w:p w14:paraId="2F628CD8">
      <w:pPr>
        <w:pStyle w:val="4"/>
        <w:numPr>
          <w:ilvl w:val="0"/>
          <w:numId w:val="1"/>
        </w:numPr>
        <w:spacing w:before="0" w:after="48" w:afterLines="20" w:line="288" w:lineRule="auto"/>
        <w:rPr>
          <w:rFonts w:hint="eastAsia" w:ascii="微软雅黑" w:hAnsi="微软雅黑" w:eastAsia="微软雅黑"/>
          <w:color w:val="000000"/>
        </w:rPr>
      </w:pPr>
      <w:bookmarkStart w:id="62" w:name="_Toc24962"/>
      <w:r>
        <w:rPr>
          <w:rFonts w:hint="eastAsia" w:ascii="微软雅黑" w:hAnsi="微软雅黑" w:eastAsia="微软雅黑"/>
          <w:color w:val="000000"/>
        </w:rPr>
        <w:t>商业街规划布局</w:t>
      </w:r>
      <w:bookmarkEnd w:id="62"/>
    </w:p>
    <w:p w14:paraId="046FB6B0">
      <w:pPr>
        <w:spacing w:after="120" w:afterLines="50" w:line="360" w:lineRule="auto"/>
        <w:ind w:firstLine="480" w:firstLineChars="200"/>
        <w:rPr>
          <w:rFonts w:hint="eastAsia" w:ascii="幼圆" w:eastAsia="幼圆"/>
          <w:color w:val="000000"/>
          <w:sz w:val="24"/>
        </w:rPr>
      </w:pPr>
      <w:r>
        <w:rPr>
          <w:rFonts w:hint="eastAsia" w:ascii="幼圆" w:eastAsia="幼圆"/>
          <w:sz w:val="24"/>
        </w:rPr>
        <w:t>规划在汕尾中心城区共布局34条商业街，其中，城市级商业街6条，组团级商业街6条，社区级商业街22条</w:t>
      </w:r>
      <w:r>
        <w:rPr>
          <w:rFonts w:hint="eastAsia" w:ascii="幼圆" w:eastAsia="幼圆"/>
          <w:color w:val="000000"/>
          <w:sz w:val="24"/>
        </w:rPr>
        <w:t>，</w:t>
      </w:r>
      <w:r>
        <w:rPr>
          <w:rFonts w:hint="eastAsia" w:ascii="幼圆" w:hAnsi="宋体" w:eastAsia="幼圆"/>
          <w:color w:val="000000"/>
          <w:sz w:val="24"/>
        </w:rPr>
        <w:t>并按附表</w:t>
      </w:r>
      <w:r>
        <w:rPr>
          <w:rFonts w:hint="eastAsia" w:ascii="幼圆" w:hAnsi="宋体" w:eastAsia="幼圆"/>
          <w:color w:val="000000"/>
          <w:sz w:val="24"/>
          <w:lang w:val="en-US" w:eastAsia="zh-CN"/>
        </w:rPr>
        <w:t>8</w:t>
      </w:r>
      <w:r>
        <w:rPr>
          <w:rFonts w:hint="eastAsia" w:ascii="幼圆" w:hAnsi="宋体" w:eastAsia="幼圆"/>
          <w:color w:val="000000"/>
          <w:sz w:val="24"/>
        </w:rPr>
        <w:t>进行规划布局</w:t>
      </w:r>
      <w:r>
        <w:rPr>
          <w:rFonts w:hint="eastAsia" w:ascii="幼圆" w:eastAsia="幼圆"/>
          <w:color w:val="000000"/>
          <w:sz w:val="24"/>
        </w:rPr>
        <w:t>。</w:t>
      </w:r>
    </w:p>
    <w:p w14:paraId="0A25C5EC">
      <w:pPr>
        <w:spacing w:after="120" w:afterLines="50"/>
        <w:ind w:left="900"/>
        <w:jc w:val="center"/>
        <w:rPr>
          <w:rFonts w:ascii="幼圆" w:eastAsia="幼圆"/>
          <w:color w:val="000000"/>
          <w:sz w:val="24"/>
        </w:rPr>
      </w:pPr>
      <w:r>
        <w:rPr>
          <w:rFonts w:hint="eastAsia" w:ascii="幼圆" w:hAnsi="宋体" w:eastAsia="幼圆"/>
          <w:color w:val="000000"/>
          <w:sz w:val="24"/>
        </w:rPr>
        <w:t>表4：</w:t>
      </w:r>
      <w:r>
        <w:rPr>
          <w:rFonts w:hint="eastAsia" w:ascii="幼圆" w:eastAsia="幼圆"/>
          <w:color w:val="000000"/>
          <w:sz w:val="24"/>
        </w:rPr>
        <w:t>中心城区商业街规划布局（个数：条）</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1"/>
        <w:gridCol w:w="3257"/>
        <w:gridCol w:w="2248"/>
        <w:gridCol w:w="2137"/>
      </w:tblGrid>
      <w:tr w14:paraId="0064B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noWrap w:val="0"/>
            <w:vAlign w:val="center"/>
          </w:tcPr>
          <w:p w14:paraId="2CF30E30">
            <w:pPr>
              <w:adjustRightInd w:val="0"/>
              <w:snapToGrid w:val="0"/>
              <w:jc w:val="center"/>
              <w:rPr>
                <w:rFonts w:hint="eastAsia" w:ascii="幼圆" w:eastAsia="幼圆"/>
                <w:b/>
                <w:color w:val="000000"/>
                <w:sz w:val="24"/>
              </w:rPr>
            </w:pPr>
            <w:r>
              <w:rPr>
                <w:rFonts w:hint="eastAsia" w:ascii="幼圆" w:eastAsia="幼圆"/>
                <w:b/>
                <w:color w:val="000000"/>
                <w:sz w:val="24"/>
              </w:rPr>
              <w:t>等级</w:t>
            </w:r>
          </w:p>
        </w:tc>
        <w:tc>
          <w:tcPr>
            <w:tcW w:w="1658" w:type="pct"/>
            <w:noWrap w:val="0"/>
            <w:vAlign w:val="center"/>
          </w:tcPr>
          <w:p w14:paraId="361E9DF7">
            <w:pPr>
              <w:adjustRightInd w:val="0"/>
              <w:snapToGrid w:val="0"/>
              <w:jc w:val="center"/>
              <w:rPr>
                <w:rFonts w:hint="eastAsia" w:ascii="幼圆" w:eastAsia="幼圆"/>
                <w:b/>
                <w:color w:val="000000"/>
                <w:sz w:val="24"/>
              </w:rPr>
            </w:pPr>
            <w:r>
              <w:rPr>
                <w:rFonts w:hint="eastAsia" w:ascii="幼圆" w:eastAsia="幼圆"/>
                <w:b/>
                <w:color w:val="000000"/>
                <w:sz w:val="24"/>
              </w:rPr>
              <w:t>商品经营属性</w:t>
            </w:r>
          </w:p>
        </w:tc>
        <w:tc>
          <w:tcPr>
            <w:tcW w:w="1144" w:type="pct"/>
            <w:noWrap w:val="0"/>
            <w:vAlign w:val="center"/>
          </w:tcPr>
          <w:p w14:paraId="41274D97">
            <w:pPr>
              <w:adjustRightInd w:val="0"/>
              <w:snapToGrid w:val="0"/>
              <w:jc w:val="center"/>
              <w:rPr>
                <w:rFonts w:hint="eastAsia" w:ascii="幼圆" w:eastAsia="幼圆"/>
                <w:b/>
                <w:color w:val="000000"/>
                <w:sz w:val="24"/>
              </w:rPr>
            </w:pPr>
            <w:r>
              <w:rPr>
                <w:rFonts w:hint="eastAsia" w:ascii="幼圆" w:eastAsia="幼圆"/>
                <w:b/>
                <w:color w:val="000000"/>
                <w:sz w:val="24"/>
              </w:rPr>
              <w:t>个数</w:t>
            </w:r>
          </w:p>
        </w:tc>
        <w:tc>
          <w:tcPr>
            <w:tcW w:w="1088" w:type="pct"/>
            <w:noWrap w:val="0"/>
            <w:vAlign w:val="center"/>
          </w:tcPr>
          <w:p w14:paraId="3B6A783D">
            <w:pPr>
              <w:adjustRightInd w:val="0"/>
              <w:snapToGrid w:val="0"/>
              <w:jc w:val="center"/>
              <w:rPr>
                <w:rFonts w:hint="eastAsia" w:ascii="幼圆" w:eastAsia="幼圆"/>
                <w:b/>
                <w:color w:val="000000"/>
                <w:sz w:val="24"/>
              </w:rPr>
            </w:pPr>
            <w:r>
              <w:rPr>
                <w:rFonts w:hint="eastAsia" w:ascii="幼圆" w:eastAsia="幼圆"/>
                <w:b/>
                <w:color w:val="000000"/>
                <w:sz w:val="24"/>
              </w:rPr>
              <w:t>小计</w:t>
            </w:r>
          </w:p>
        </w:tc>
      </w:tr>
      <w:tr w14:paraId="21645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vMerge w:val="restart"/>
            <w:noWrap w:val="0"/>
            <w:vAlign w:val="center"/>
          </w:tcPr>
          <w:p w14:paraId="510714B4">
            <w:pPr>
              <w:adjustRightInd w:val="0"/>
              <w:snapToGrid w:val="0"/>
              <w:jc w:val="center"/>
              <w:rPr>
                <w:rFonts w:hint="eastAsia" w:ascii="幼圆" w:eastAsia="幼圆"/>
                <w:color w:val="000000"/>
                <w:sz w:val="24"/>
              </w:rPr>
            </w:pPr>
            <w:r>
              <w:rPr>
                <w:rFonts w:hint="eastAsia" w:ascii="幼圆" w:eastAsia="幼圆"/>
                <w:color w:val="000000"/>
                <w:sz w:val="24"/>
              </w:rPr>
              <w:t>城市级</w:t>
            </w:r>
          </w:p>
        </w:tc>
        <w:tc>
          <w:tcPr>
            <w:tcW w:w="3257" w:type="dxa"/>
            <w:noWrap w:val="0"/>
            <w:vAlign w:val="center"/>
          </w:tcPr>
          <w:p w14:paraId="7B19E5F8">
            <w:pPr>
              <w:adjustRightInd w:val="0"/>
              <w:snapToGrid w:val="0"/>
              <w:jc w:val="center"/>
              <w:rPr>
                <w:rFonts w:hint="eastAsia" w:ascii="幼圆" w:eastAsia="幼圆"/>
                <w:color w:val="000000"/>
                <w:sz w:val="24"/>
              </w:rPr>
            </w:pPr>
            <w:r>
              <w:rPr>
                <w:rFonts w:hint="eastAsia" w:ascii="幼圆" w:eastAsia="幼圆"/>
                <w:sz w:val="24"/>
              </w:rPr>
              <w:t>综合性</w:t>
            </w:r>
          </w:p>
        </w:tc>
        <w:tc>
          <w:tcPr>
            <w:tcW w:w="2248" w:type="dxa"/>
            <w:noWrap w:val="0"/>
            <w:vAlign w:val="center"/>
          </w:tcPr>
          <w:p w14:paraId="2DE86591">
            <w:pPr>
              <w:adjustRightInd w:val="0"/>
              <w:snapToGrid w:val="0"/>
              <w:jc w:val="center"/>
              <w:rPr>
                <w:rFonts w:hint="eastAsia" w:ascii="幼圆" w:eastAsia="幼圆"/>
                <w:color w:val="000000"/>
                <w:sz w:val="24"/>
              </w:rPr>
            </w:pPr>
            <w:r>
              <w:rPr>
                <w:rFonts w:hint="eastAsia" w:ascii="幼圆" w:eastAsia="幼圆"/>
                <w:sz w:val="24"/>
              </w:rPr>
              <w:t>2</w:t>
            </w:r>
          </w:p>
        </w:tc>
        <w:tc>
          <w:tcPr>
            <w:tcW w:w="1088" w:type="pct"/>
            <w:vMerge w:val="restart"/>
            <w:noWrap w:val="0"/>
            <w:vAlign w:val="center"/>
          </w:tcPr>
          <w:p w14:paraId="2D288C81">
            <w:pPr>
              <w:adjustRightInd w:val="0"/>
              <w:snapToGrid w:val="0"/>
              <w:jc w:val="center"/>
              <w:rPr>
                <w:rFonts w:hint="eastAsia" w:ascii="幼圆" w:eastAsia="幼圆"/>
                <w:b/>
                <w:color w:val="000000"/>
                <w:sz w:val="24"/>
              </w:rPr>
            </w:pPr>
            <w:r>
              <w:rPr>
                <w:rFonts w:hint="eastAsia" w:ascii="幼圆" w:eastAsia="幼圆"/>
                <w:b/>
                <w:color w:val="000000"/>
                <w:sz w:val="24"/>
              </w:rPr>
              <w:t>6</w:t>
            </w:r>
          </w:p>
        </w:tc>
      </w:tr>
      <w:tr w14:paraId="2969A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vMerge w:val="continue"/>
            <w:noWrap w:val="0"/>
            <w:vAlign w:val="center"/>
          </w:tcPr>
          <w:p w14:paraId="085DACB8">
            <w:pPr>
              <w:adjustRightInd w:val="0"/>
              <w:snapToGrid w:val="0"/>
              <w:jc w:val="center"/>
              <w:rPr>
                <w:rFonts w:hint="eastAsia" w:ascii="幼圆" w:eastAsia="幼圆"/>
                <w:color w:val="000000"/>
                <w:sz w:val="24"/>
              </w:rPr>
            </w:pPr>
          </w:p>
        </w:tc>
        <w:tc>
          <w:tcPr>
            <w:tcW w:w="3257" w:type="dxa"/>
            <w:noWrap w:val="0"/>
            <w:vAlign w:val="center"/>
          </w:tcPr>
          <w:p w14:paraId="6A4B9224">
            <w:pPr>
              <w:adjustRightInd w:val="0"/>
              <w:snapToGrid w:val="0"/>
              <w:jc w:val="center"/>
              <w:rPr>
                <w:rFonts w:hint="eastAsia" w:ascii="幼圆" w:eastAsia="幼圆"/>
                <w:color w:val="000000"/>
                <w:sz w:val="24"/>
              </w:rPr>
            </w:pPr>
            <w:r>
              <w:rPr>
                <w:rFonts w:hint="eastAsia" w:ascii="幼圆" w:eastAsia="幼圆"/>
                <w:sz w:val="24"/>
              </w:rPr>
              <w:t>专业性</w:t>
            </w:r>
          </w:p>
        </w:tc>
        <w:tc>
          <w:tcPr>
            <w:tcW w:w="2248" w:type="dxa"/>
            <w:noWrap w:val="0"/>
            <w:vAlign w:val="center"/>
          </w:tcPr>
          <w:p w14:paraId="75DC0FC8">
            <w:pPr>
              <w:adjustRightInd w:val="0"/>
              <w:snapToGrid w:val="0"/>
              <w:jc w:val="center"/>
              <w:rPr>
                <w:rFonts w:hint="eastAsia" w:ascii="幼圆" w:eastAsia="幼圆"/>
                <w:color w:val="000000"/>
                <w:sz w:val="24"/>
              </w:rPr>
            </w:pPr>
            <w:r>
              <w:rPr>
                <w:rFonts w:hint="eastAsia" w:ascii="幼圆" w:eastAsia="幼圆"/>
                <w:sz w:val="24"/>
              </w:rPr>
              <w:t>4</w:t>
            </w:r>
          </w:p>
        </w:tc>
        <w:tc>
          <w:tcPr>
            <w:tcW w:w="1088" w:type="pct"/>
            <w:vMerge w:val="continue"/>
            <w:noWrap w:val="0"/>
            <w:vAlign w:val="center"/>
          </w:tcPr>
          <w:p w14:paraId="66779404">
            <w:pPr>
              <w:adjustRightInd w:val="0"/>
              <w:snapToGrid w:val="0"/>
              <w:jc w:val="center"/>
              <w:rPr>
                <w:rFonts w:hint="eastAsia" w:ascii="幼圆" w:eastAsia="幼圆"/>
                <w:b/>
                <w:color w:val="000000"/>
                <w:sz w:val="24"/>
              </w:rPr>
            </w:pPr>
          </w:p>
        </w:tc>
      </w:tr>
      <w:tr w14:paraId="0FBBB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vMerge w:val="restart"/>
            <w:noWrap w:val="0"/>
            <w:vAlign w:val="center"/>
          </w:tcPr>
          <w:p w14:paraId="35EF158C">
            <w:pPr>
              <w:adjustRightInd w:val="0"/>
              <w:snapToGrid w:val="0"/>
              <w:jc w:val="center"/>
              <w:rPr>
                <w:rFonts w:hint="eastAsia" w:ascii="幼圆" w:eastAsia="幼圆"/>
                <w:color w:val="000000"/>
                <w:sz w:val="24"/>
              </w:rPr>
            </w:pPr>
            <w:r>
              <w:rPr>
                <w:rFonts w:hint="eastAsia" w:ascii="幼圆" w:eastAsia="幼圆"/>
                <w:color w:val="000000"/>
                <w:sz w:val="24"/>
              </w:rPr>
              <w:t>片区级</w:t>
            </w:r>
          </w:p>
        </w:tc>
        <w:tc>
          <w:tcPr>
            <w:tcW w:w="3257" w:type="dxa"/>
            <w:noWrap w:val="0"/>
            <w:vAlign w:val="center"/>
          </w:tcPr>
          <w:p w14:paraId="6AB5CD0B">
            <w:pPr>
              <w:adjustRightInd w:val="0"/>
              <w:snapToGrid w:val="0"/>
              <w:jc w:val="center"/>
              <w:rPr>
                <w:rFonts w:hint="eastAsia" w:ascii="幼圆" w:eastAsia="幼圆"/>
                <w:color w:val="000000"/>
                <w:sz w:val="24"/>
              </w:rPr>
            </w:pPr>
            <w:r>
              <w:rPr>
                <w:rFonts w:hint="eastAsia" w:ascii="幼圆" w:eastAsia="幼圆"/>
                <w:sz w:val="24"/>
              </w:rPr>
              <w:t>综合性</w:t>
            </w:r>
          </w:p>
        </w:tc>
        <w:tc>
          <w:tcPr>
            <w:tcW w:w="2248" w:type="dxa"/>
            <w:noWrap w:val="0"/>
            <w:vAlign w:val="center"/>
          </w:tcPr>
          <w:p w14:paraId="3C4F9A1A">
            <w:pPr>
              <w:adjustRightInd w:val="0"/>
              <w:snapToGrid w:val="0"/>
              <w:jc w:val="center"/>
              <w:rPr>
                <w:rFonts w:hint="eastAsia" w:ascii="幼圆" w:eastAsia="幼圆"/>
                <w:color w:val="000000"/>
                <w:sz w:val="24"/>
              </w:rPr>
            </w:pPr>
            <w:r>
              <w:rPr>
                <w:rFonts w:hint="eastAsia" w:ascii="幼圆" w:eastAsia="幼圆"/>
                <w:sz w:val="24"/>
              </w:rPr>
              <w:t>4</w:t>
            </w:r>
          </w:p>
        </w:tc>
        <w:tc>
          <w:tcPr>
            <w:tcW w:w="1088" w:type="pct"/>
            <w:vMerge w:val="restart"/>
            <w:noWrap w:val="0"/>
            <w:vAlign w:val="center"/>
          </w:tcPr>
          <w:p w14:paraId="3E0EF17A">
            <w:pPr>
              <w:adjustRightInd w:val="0"/>
              <w:snapToGrid w:val="0"/>
              <w:jc w:val="center"/>
              <w:rPr>
                <w:rFonts w:hint="eastAsia" w:ascii="幼圆" w:eastAsia="幼圆"/>
                <w:b/>
                <w:color w:val="000000"/>
                <w:sz w:val="24"/>
              </w:rPr>
            </w:pPr>
            <w:r>
              <w:rPr>
                <w:rFonts w:hint="eastAsia" w:ascii="幼圆" w:eastAsia="幼圆"/>
                <w:b/>
                <w:color w:val="000000"/>
                <w:sz w:val="24"/>
              </w:rPr>
              <w:t>6</w:t>
            </w:r>
          </w:p>
        </w:tc>
      </w:tr>
      <w:tr w14:paraId="1186C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vMerge w:val="continue"/>
            <w:noWrap w:val="0"/>
            <w:vAlign w:val="center"/>
          </w:tcPr>
          <w:p w14:paraId="41010C78">
            <w:pPr>
              <w:adjustRightInd w:val="0"/>
              <w:snapToGrid w:val="0"/>
              <w:jc w:val="center"/>
              <w:rPr>
                <w:rFonts w:hint="eastAsia" w:ascii="幼圆" w:eastAsia="幼圆"/>
                <w:color w:val="000000"/>
                <w:sz w:val="24"/>
              </w:rPr>
            </w:pPr>
          </w:p>
        </w:tc>
        <w:tc>
          <w:tcPr>
            <w:tcW w:w="3257" w:type="dxa"/>
            <w:noWrap w:val="0"/>
            <w:vAlign w:val="center"/>
          </w:tcPr>
          <w:p w14:paraId="0F95FDFA">
            <w:pPr>
              <w:adjustRightInd w:val="0"/>
              <w:snapToGrid w:val="0"/>
              <w:jc w:val="center"/>
              <w:rPr>
                <w:rFonts w:hint="eastAsia" w:ascii="幼圆" w:eastAsia="幼圆"/>
                <w:color w:val="000000"/>
                <w:sz w:val="24"/>
              </w:rPr>
            </w:pPr>
            <w:r>
              <w:rPr>
                <w:rFonts w:hint="eastAsia" w:ascii="幼圆" w:eastAsia="幼圆"/>
                <w:sz w:val="24"/>
              </w:rPr>
              <w:t>专业性</w:t>
            </w:r>
          </w:p>
        </w:tc>
        <w:tc>
          <w:tcPr>
            <w:tcW w:w="2248" w:type="dxa"/>
            <w:noWrap w:val="0"/>
            <w:vAlign w:val="center"/>
          </w:tcPr>
          <w:p w14:paraId="4410E989">
            <w:pPr>
              <w:adjustRightInd w:val="0"/>
              <w:snapToGrid w:val="0"/>
              <w:jc w:val="center"/>
              <w:rPr>
                <w:rFonts w:hint="eastAsia" w:ascii="幼圆" w:eastAsia="幼圆"/>
                <w:color w:val="000000"/>
                <w:sz w:val="24"/>
              </w:rPr>
            </w:pPr>
            <w:r>
              <w:rPr>
                <w:rFonts w:hint="eastAsia" w:ascii="幼圆" w:eastAsia="幼圆"/>
                <w:sz w:val="24"/>
              </w:rPr>
              <w:t>2</w:t>
            </w:r>
          </w:p>
        </w:tc>
        <w:tc>
          <w:tcPr>
            <w:tcW w:w="1088" w:type="pct"/>
            <w:vMerge w:val="continue"/>
            <w:noWrap w:val="0"/>
            <w:vAlign w:val="center"/>
          </w:tcPr>
          <w:p w14:paraId="591F835C">
            <w:pPr>
              <w:adjustRightInd w:val="0"/>
              <w:snapToGrid w:val="0"/>
              <w:jc w:val="center"/>
              <w:rPr>
                <w:rFonts w:hint="eastAsia" w:ascii="幼圆" w:eastAsia="幼圆"/>
                <w:b/>
                <w:color w:val="000000"/>
                <w:sz w:val="24"/>
              </w:rPr>
            </w:pPr>
          </w:p>
        </w:tc>
      </w:tr>
      <w:tr w14:paraId="6DC7B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vMerge w:val="restart"/>
            <w:noWrap w:val="0"/>
            <w:vAlign w:val="center"/>
          </w:tcPr>
          <w:p w14:paraId="67FCDBF8">
            <w:pPr>
              <w:adjustRightInd w:val="0"/>
              <w:snapToGrid w:val="0"/>
              <w:jc w:val="center"/>
              <w:rPr>
                <w:rFonts w:hint="eastAsia" w:ascii="幼圆" w:eastAsia="幼圆"/>
                <w:color w:val="000000"/>
                <w:sz w:val="24"/>
              </w:rPr>
            </w:pPr>
            <w:r>
              <w:rPr>
                <w:rFonts w:hint="eastAsia" w:ascii="幼圆" w:eastAsia="幼圆"/>
                <w:color w:val="000000"/>
                <w:sz w:val="24"/>
              </w:rPr>
              <w:t>社区级</w:t>
            </w:r>
          </w:p>
        </w:tc>
        <w:tc>
          <w:tcPr>
            <w:tcW w:w="3257" w:type="dxa"/>
            <w:noWrap w:val="0"/>
            <w:vAlign w:val="center"/>
          </w:tcPr>
          <w:p w14:paraId="5AB82CAE">
            <w:pPr>
              <w:adjustRightInd w:val="0"/>
              <w:snapToGrid w:val="0"/>
              <w:jc w:val="center"/>
              <w:rPr>
                <w:rFonts w:hint="eastAsia" w:ascii="幼圆" w:eastAsia="幼圆"/>
                <w:color w:val="000000"/>
                <w:sz w:val="24"/>
              </w:rPr>
            </w:pPr>
            <w:r>
              <w:rPr>
                <w:rFonts w:hint="eastAsia" w:ascii="幼圆" w:eastAsia="幼圆"/>
                <w:sz w:val="24"/>
              </w:rPr>
              <w:t>综合性</w:t>
            </w:r>
          </w:p>
        </w:tc>
        <w:tc>
          <w:tcPr>
            <w:tcW w:w="2248" w:type="dxa"/>
            <w:noWrap w:val="0"/>
            <w:vAlign w:val="center"/>
          </w:tcPr>
          <w:p w14:paraId="15A05B03">
            <w:pPr>
              <w:adjustRightInd w:val="0"/>
              <w:snapToGrid w:val="0"/>
              <w:jc w:val="center"/>
              <w:rPr>
                <w:rFonts w:hint="eastAsia" w:ascii="幼圆" w:eastAsia="幼圆"/>
                <w:color w:val="000000"/>
                <w:sz w:val="24"/>
              </w:rPr>
            </w:pPr>
            <w:r>
              <w:rPr>
                <w:rFonts w:hint="eastAsia" w:ascii="幼圆" w:eastAsia="幼圆"/>
                <w:sz w:val="24"/>
              </w:rPr>
              <w:t>22</w:t>
            </w:r>
          </w:p>
        </w:tc>
        <w:tc>
          <w:tcPr>
            <w:tcW w:w="1088" w:type="pct"/>
            <w:vMerge w:val="restart"/>
            <w:noWrap w:val="0"/>
            <w:vAlign w:val="center"/>
          </w:tcPr>
          <w:p w14:paraId="6680F81F">
            <w:pPr>
              <w:adjustRightInd w:val="0"/>
              <w:snapToGrid w:val="0"/>
              <w:jc w:val="center"/>
              <w:rPr>
                <w:rFonts w:hint="default" w:ascii="幼圆" w:eastAsia="幼圆"/>
                <w:b/>
                <w:color w:val="000000"/>
                <w:sz w:val="24"/>
                <w:lang w:val="en-US" w:eastAsia="zh-CN"/>
              </w:rPr>
            </w:pPr>
            <w:r>
              <w:rPr>
                <w:rFonts w:hint="eastAsia" w:ascii="幼圆" w:eastAsia="幼圆"/>
                <w:b/>
                <w:color w:val="000000"/>
                <w:sz w:val="24"/>
                <w:lang w:val="en-US" w:eastAsia="zh-CN"/>
              </w:rPr>
              <w:t>2</w:t>
            </w:r>
            <w:r>
              <w:rPr>
                <w:rFonts w:hint="eastAsia" w:ascii="幼圆" w:eastAsia="幼圆"/>
                <w:b/>
                <w:color w:val="000000"/>
                <w:sz w:val="24"/>
                <w:lang w:val="en-US" w:eastAsia="zh-CN"/>
              </w:rPr>
              <w:t>2</w:t>
            </w:r>
          </w:p>
        </w:tc>
      </w:tr>
      <w:tr w14:paraId="681CF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1110" w:type="pct"/>
            <w:vMerge w:val="continue"/>
            <w:noWrap w:val="0"/>
            <w:vAlign w:val="center"/>
          </w:tcPr>
          <w:p w14:paraId="20DA41E0">
            <w:pPr>
              <w:adjustRightInd w:val="0"/>
              <w:snapToGrid w:val="0"/>
              <w:jc w:val="center"/>
              <w:rPr>
                <w:rFonts w:hint="eastAsia" w:ascii="幼圆" w:eastAsia="幼圆"/>
                <w:color w:val="000000"/>
                <w:sz w:val="24"/>
              </w:rPr>
            </w:pPr>
          </w:p>
        </w:tc>
        <w:tc>
          <w:tcPr>
            <w:tcW w:w="3257" w:type="dxa"/>
            <w:noWrap w:val="0"/>
            <w:vAlign w:val="center"/>
          </w:tcPr>
          <w:p w14:paraId="7C947779">
            <w:pPr>
              <w:adjustRightInd w:val="0"/>
              <w:snapToGrid w:val="0"/>
              <w:jc w:val="center"/>
              <w:rPr>
                <w:rFonts w:hint="eastAsia" w:ascii="幼圆" w:eastAsia="幼圆"/>
                <w:color w:val="000000"/>
                <w:sz w:val="24"/>
              </w:rPr>
            </w:pPr>
            <w:r>
              <w:rPr>
                <w:rFonts w:hint="eastAsia" w:ascii="幼圆" w:eastAsia="幼圆"/>
                <w:sz w:val="24"/>
              </w:rPr>
              <w:t>专业性</w:t>
            </w:r>
          </w:p>
        </w:tc>
        <w:tc>
          <w:tcPr>
            <w:tcW w:w="2248" w:type="dxa"/>
            <w:noWrap w:val="0"/>
            <w:vAlign w:val="center"/>
          </w:tcPr>
          <w:p w14:paraId="3C6B5AB5">
            <w:pPr>
              <w:adjustRightInd w:val="0"/>
              <w:snapToGrid w:val="0"/>
              <w:jc w:val="center"/>
              <w:rPr>
                <w:rFonts w:hint="eastAsia" w:ascii="幼圆" w:eastAsia="幼圆"/>
                <w:color w:val="000000"/>
                <w:sz w:val="24"/>
              </w:rPr>
            </w:pPr>
            <w:r>
              <w:rPr>
                <w:rFonts w:hint="eastAsia" w:ascii="幼圆" w:eastAsia="幼圆"/>
                <w:sz w:val="24"/>
              </w:rPr>
              <w:t>0</w:t>
            </w:r>
          </w:p>
        </w:tc>
        <w:tc>
          <w:tcPr>
            <w:tcW w:w="1088" w:type="pct"/>
            <w:vMerge w:val="continue"/>
            <w:noWrap w:val="0"/>
            <w:vAlign w:val="center"/>
          </w:tcPr>
          <w:p w14:paraId="21F8B2F4">
            <w:pPr>
              <w:adjustRightInd w:val="0"/>
              <w:snapToGrid w:val="0"/>
              <w:jc w:val="center"/>
              <w:rPr>
                <w:rFonts w:hint="eastAsia" w:ascii="幼圆" w:eastAsia="幼圆"/>
                <w:b/>
                <w:color w:val="000000"/>
                <w:sz w:val="24"/>
              </w:rPr>
            </w:pPr>
          </w:p>
        </w:tc>
      </w:tr>
      <w:tr w14:paraId="58B09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jc w:val="center"/>
        </w:trPr>
        <w:tc>
          <w:tcPr>
            <w:tcW w:w="3912" w:type="pct"/>
            <w:gridSpan w:val="3"/>
            <w:noWrap w:val="0"/>
            <w:vAlign w:val="center"/>
          </w:tcPr>
          <w:p w14:paraId="3CF8D0DF">
            <w:pPr>
              <w:adjustRightInd w:val="0"/>
              <w:snapToGrid w:val="0"/>
              <w:jc w:val="center"/>
              <w:rPr>
                <w:rFonts w:hint="eastAsia" w:ascii="幼圆" w:eastAsia="幼圆"/>
                <w:color w:val="000000"/>
                <w:sz w:val="24"/>
              </w:rPr>
            </w:pPr>
            <w:r>
              <w:rPr>
                <w:rFonts w:hint="eastAsia" w:ascii="幼圆" w:eastAsia="幼圆"/>
                <w:color w:val="000000"/>
                <w:sz w:val="24"/>
              </w:rPr>
              <w:t>合计</w:t>
            </w:r>
          </w:p>
        </w:tc>
        <w:tc>
          <w:tcPr>
            <w:tcW w:w="1088" w:type="pct"/>
            <w:noWrap w:val="0"/>
            <w:vAlign w:val="center"/>
          </w:tcPr>
          <w:p w14:paraId="749EC187">
            <w:pPr>
              <w:adjustRightInd w:val="0"/>
              <w:snapToGrid w:val="0"/>
              <w:jc w:val="center"/>
              <w:rPr>
                <w:rFonts w:hint="default" w:ascii="幼圆" w:eastAsia="幼圆"/>
                <w:b/>
                <w:color w:val="000000"/>
                <w:sz w:val="24"/>
                <w:lang w:val="en-US" w:eastAsia="zh-CN"/>
              </w:rPr>
            </w:pPr>
            <w:r>
              <w:rPr>
                <w:rFonts w:hint="eastAsia" w:ascii="幼圆" w:eastAsia="幼圆"/>
                <w:b/>
                <w:color w:val="000000"/>
                <w:sz w:val="24"/>
                <w:lang w:val="en-US" w:eastAsia="zh-CN"/>
              </w:rPr>
              <w:t>3</w:t>
            </w:r>
            <w:r>
              <w:rPr>
                <w:rFonts w:hint="eastAsia" w:ascii="幼圆" w:eastAsia="幼圆"/>
                <w:b/>
                <w:color w:val="000000"/>
                <w:sz w:val="24"/>
                <w:lang w:val="en-US" w:eastAsia="zh-CN"/>
              </w:rPr>
              <w:t>4</w:t>
            </w:r>
          </w:p>
        </w:tc>
      </w:tr>
    </w:tbl>
    <w:p w14:paraId="4315C067">
      <w:pPr>
        <w:snapToGrid w:val="0"/>
        <w:spacing w:after="120" w:afterLines="50" w:line="300" w:lineRule="auto"/>
        <w:rPr>
          <w:rFonts w:hint="eastAsia" w:ascii="幼圆" w:eastAsia="幼圆"/>
          <w:color w:val="000000"/>
          <w:sz w:val="24"/>
        </w:rPr>
        <w:sectPr>
          <w:pgSz w:w="23814" w:h="16840" w:orient="landscape"/>
          <w:pgMar w:top="1985" w:right="1985" w:bottom="1985" w:left="1985" w:header="851" w:footer="992" w:gutter="0"/>
          <w:pgNumType w:fmt="decimal"/>
          <w:cols w:space="630" w:num="2"/>
          <w:docGrid w:linePitch="312" w:charSpace="0"/>
        </w:sectPr>
      </w:pPr>
    </w:p>
    <w:p w14:paraId="0C7EB03B">
      <w:pPr>
        <w:pStyle w:val="2"/>
        <w:spacing w:before="240" w:after="240" w:line="360" w:lineRule="auto"/>
        <w:rPr>
          <w:rFonts w:hint="eastAsia" w:ascii="华文中宋" w:hAnsi="华文中宋" w:eastAsia="华文中宋"/>
          <w:color w:val="000000"/>
        </w:rPr>
      </w:pPr>
      <w:bookmarkStart w:id="63" w:name="_Toc6828"/>
      <w:r>
        <w:rPr>
          <w:rFonts w:hint="eastAsia" w:ascii="华文中宋" w:hAnsi="华文中宋" w:eastAsia="华文中宋"/>
          <w:color w:val="000000"/>
        </w:rPr>
        <w:t>第</w:t>
      </w:r>
      <w:r>
        <w:rPr>
          <w:rFonts w:hint="eastAsia" w:ascii="华文中宋" w:hAnsi="华文中宋" w:eastAsia="华文中宋"/>
          <w:color w:val="000000"/>
          <w:lang w:val="en-US" w:eastAsia="zh-CN"/>
        </w:rPr>
        <w:t>五</w:t>
      </w:r>
      <w:r>
        <w:rPr>
          <w:rFonts w:hint="eastAsia" w:ascii="华文中宋" w:hAnsi="华文中宋" w:eastAsia="华文中宋"/>
          <w:color w:val="000000"/>
        </w:rPr>
        <w:t xml:space="preserve">章 </w:t>
      </w:r>
      <w:r>
        <w:rPr>
          <w:rFonts w:hint="eastAsia" w:ascii="华文中宋" w:hAnsi="华文中宋" w:eastAsia="华文中宋"/>
          <w:color w:val="000000"/>
          <w:lang w:val="en-US" w:eastAsia="zh-CN"/>
        </w:rPr>
        <w:t>中心城区</w:t>
      </w:r>
      <w:r>
        <w:rPr>
          <w:rFonts w:hint="eastAsia" w:ascii="华文中宋" w:hAnsi="华文中宋" w:eastAsia="华文中宋"/>
          <w:color w:val="000000"/>
        </w:rPr>
        <w:t>农贸市场发展规划</w:t>
      </w:r>
      <w:bookmarkEnd w:id="63"/>
    </w:p>
    <w:p w14:paraId="47DC3FD9">
      <w:pPr>
        <w:pStyle w:val="4"/>
        <w:numPr>
          <w:ilvl w:val="0"/>
          <w:numId w:val="1"/>
        </w:numPr>
        <w:spacing w:before="0" w:after="48" w:afterLines="20" w:line="288" w:lineRule="auto"/>
        <w:rPr>
          <w:rFonts w:hint="eastAsia" w:ascii="微软雅黑" w:hAnsi="微软雅黑" w:eastAsia="微软雅黑"/>
          <w:color w:val="000000"/>
        </w:rPr>
      </w:pPr>
      <w:bookmarkStart w:id="64" w:name="_Toc9436"/>
      <w:r>
        <w:rPr>
          <w:rFonts w:hint="eastAsia" w:ascii="微软雅黑" w:hAnsi="微软雅黑" w:eastAsia="微软雅黑"/>
          <w:color w:val="000000"/>
        </w:rPr>
        <w:t>农贸市场发展规模</w:t>
      </w:r>
      <w:bookmarkEnd w:id="64"/>
    </w:p>
    <w:p w14:paraId="78C0A966">
      <w:pPr>
        <w:numPr>
          <w:ilvl w:val="0"/>
          <w:numId w:val="19"/>
        </w:numPr>
        <w:snapToGrid w:val="0"/>
        <w:spacing w:after="120" w:afterLines="50" w:line="300" w:lineRule="auto"/>
        <w:rPr>
          <w:rFonts w:hint="eastAsia" w:ascii="幼圆" w:eastAsia="幼圆"/>
          <w:color w:val="000000"/>
          <w:sz w:val="24"/>
        </w:rPr>
      </w:pPr>
      <w:r>
        <w:rPr>
          <w:rFonts w:hint="eastAsia" w:ascii="幼圆" w:eastAsia="幼圆"/>
          <w:color w:val="000000"/>
          <w:sz w:val="24"/>
        </w:rPr>
        <w:t>农贸市场总体按</w:t>
      </w:r>
      <w:r>
        <w:rPr>
          <w:rFonts w:hint="eastAsia" w:ascii="幼圆" w:eastAsia="幼圆"/>
          <w:color w:val="000000"/>
          <w:sz w:val="24"/>
          <w:lang w:eastAsia="zh-CN"/>
        </w:rPr>
        <w:t>0.8万—1万</w:t>
      </w:r>
      <w:r>
        <w:rPr>
          <w:rFonts w:hint="eastAsia" w:ascii="幼圆" w:eastAsia="幼圆"/>
          <w:color w:val="000000"/>
          <w:sz w:val="24"/>
        </w:rPr>
        <w:t>人/处的标准配置。规划期内汕尾中心城区常住人口约为</w:t>
      </w:r>
      <w:r>
        <w:rPr>
          <w:rFonts w:hint="eastAsia" w:ascii="幼圆" w:eastAsia="幼圆"/>
          <w:color w:val="000000"/>
          <w:sz w:val="24"/>
          <w:lang w:val="en-US" w:eastAsia="zh-CN"/>
        </w:rPr>
        <w:t>63</w:t>
      </w:r>
      <w:r>
        <w:rPr>
          <w:rFonts w:hint="eastAsia" w:ascii="幼圆" w:eastAsia="幼圆"/>
          <w:color w:val="000000"/>
          <w:sz w:val="24"/>
        </w:rPr>
        <w:t>万人，按照</w:t>
      </w:r>
      <w:r>
        <w:rPr>
          <w:rFonts w:hint="eastAsia" w:ascii="幼圆" w:eastAsia="幼圆"/>
          <w:color w:val="000000"/>
          <w:sz w:val="24"/>
          <w:lang w:eastAsia="zh-CN"/>
        </w:rPr>
        <w:t>0.8万—1万</w:t>
      </w:r>
      <w:r>
        <w:rPr>
          <w:rFonts w:hint="eastAsia" w:ascii="幼圆" w:eastAsia="幼圆"/>
          <w:color w:val="000000"/>
          <w:sz w:val="24"/>
        </w:rPr>
        <w:t>人/处的标准，远期农贸市场需求共约6</w:t>
      </w:r>
      <w:r>
        <w:rPr>
          <w:rFonts w:hint="eastAsia" w:ascii="幼圆" w:eastAsia="幼圆"/>
          <w:color w:val="000000"/>
          <w:sz w:val="24"/>
          <w:lang w:val="en-US" w:eastAsia="zh-CN"/>
        </w:rPr>
        <w:t>3</w:t>
      </w:r>
      <w:r>
        <w:rPr>
          <w:rFonts w:hint="eastAsia" w:ascii="幼圆" w:eastAsia="幼圆"/>
          <w:color w:val="000000"/>
          <w:sz w:val="24"/>
        </w:rPr>
        <w:t>-</w:t>
      </w:r>
      <w:r>
        <w:rPr>
          <w:rFonts w:hint="eastAsia" w:ascii="幼圆" w:eastAsia="幼圆"/>
          <w:color w:val="000000"/>
          <w:sz w:val="24"/>
          <w:lang w:val="en-US" w:eastAsia="zh-CN"/>
        </w:rPr>
        <w:t>80</w:t>
      </w:r>
      <w:r>
        <w:rPr>
          <w:rFonts w:hint="eastAsia" w:ascii="幼圆" w:eastAsia="幼圆"/>
          <w:color w:val="000000"/>
          <w:sz w:val="24"/>
        </w:rPr>
        <w:t>处。</w:t>
      </w:r>
    </w:p>
    <w:p w14:paraId="04E5967B">
      <w:pPr>
        <w:numPr>
          <w:ilvl w:val="0"/>
          <w:numId w:val="19"/>
        </w:numPr>
        <w:snapToGrid w:val="0"/>
        <w:spacing w:after="120" w:afterLines="50" w:line="300" w:lineRule="auto"/>
        <w:rPr>
          <w:rFonts w:hint="eastAsia" w:ascii="幼圆" w:eastAsia="幼圆"/>
          <w:color w:val="000000"/>
          <w:sz w:val="24"/>
        </w:rPr>
      </w:pPr>
      <w:r>
        <w:rPr>
          <w:rFonts w:hint="eastAsia" w:ascii="幼圆" w:eastAsia="幼圆"/>
          <w:color w:val="000000"/>
          <w:sz w:val="24"/>
        </w:rPr>
        <w:t>规划将传统型农贸市场新建与改造提质相结合，加快推广生鲜超市，加强农贸市场的监督管理。保持农贸市场在发展过程中总量适度，结构上业态丰富、配套齐全、功能完善，布局上充分覆盖。综合考虑社区类型、服务半径、服务人口等因素，市域各县区农贸市场宜按以下两表进行配置。</w:t>
      </w:r>
    </w:p>
    <w:p w14:paraId="46E118C5">
      <w:pPr>
        <w:spacing w:after="120" w:afterLines="50"/>
        <w:ind w:left="900"/>
        <w:jc w:val="center"/>
        <w:rPr>
          <w:rFonts w:hint="eastAsia" w:ascii="幼圆" w:hAnsi="宋体" w:eastAsia="幼圆"/>
          <w:color w:val="000000"/>
          <w:sz w:val="24"/>
        </w:rPr>
      </w:pPr>
      <w:r>
        <w:rPr>
          <w:rFonts w:hint="eastAsia" w:ascii="幼圆" w:hAnsi="宋体" w:eastAsia="幼圆"/>
          <w:color w:val="000000"/>
          <w:sz w:val="24"/>
        </w:rPr>
        <w:t>表5：农贸市场（生鲜超市）配置标准</w:t>
      </w:r>
    </w:p>
    <w:tbl>
      <w:tblPr>
        <w:tblStyle w:val="3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4"/>
        <w:gridCol w:w="1141"/>
        <w:gridCol w:w="1972"/>
        <w:gridCol w:w="1948"/>
        <w:gridCol w:w="1890"/>
        <w:gridCol w:w="1900"/>
      </w:tblGrid>
      <w:tr w14:paraId="32165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1072" w:type="pct"/>
            <w:gridSpan w:val="2"/>
            <w:noWrap w:val="0"/>
            <w:vAlign w:val="center"/>
          </w:tcPr>
          <w:p w14:paraId="39AC3AE6">
            <w:pPr>
              <w:jc w:val="center"/>
              <w:rPr>
                <w:rFonts w:hint="eastAsia" w:ascii="幼圆" w:eastAsia="幼圆"/>
                <w:b/>
                <w:color w:val="000000"/>
                <w:sz w:val="24"/>
              </w:rPr>
            </w:pPr>
            <w:r>
              <w:rPr>
                <w:rFonts w:hint="eastAsia" w:ascii="幼圆" w:eastAsia="幼圆"/>
                <w:b/>
                <w:color w:val="000000"/>
                <w:sz w:val="24"/>
              </w:rPr>
              <w:t>社区类型</w:t>
            </w:r>
          </w:p>
        </w:tc>
        <w:tc>
          <w:tcPr>
            <w:tcW w:w="1004" w:type="pct"/>
            <w:noWrap w:val="0"/>
            <w:vAlign w:val="center"/>
          </w:tcPr>
          <w:p w14:paraId="11DD687A">
            <w:pPr>
              <w:jc w:val="center"/>
              <w:rPr>
                <w:rFonts w:hint="eastAsia" w:ascii="幼圆" w:eastAsia="幼圆"/>
                <w:b/>
                <w:color w:val="000000"/>
                <w:sz w:val="24"/>
              </w:rPr>
            </w:pPr>
            <w:r>
              <w:rPr>
                <w:rFonts w:hint="eastAsia" w:ascii="幼圆" w:eastAsia="幼圆"/>
                <w:b/>
                <w:color w:val="000000"/>
                <w:sz w:val="24"/>
              </w:rPr>
              <w:t>服务半径</w:t>
            </w:r>
          </w:p>
        </w:tc>
        <w:tc>
          <w:tcPr>
            <w:tcW w:w="992" w:type="pct"/>
            <w:noWrap w:val="0"/>
            <w:vAlign w:val="center"/>
          </w:tcPr>
          <w:p w14:paraId="4AB450CF">
            <w:pPr>
              <w:jc w:val="center"/>
              <w:rPr>
                <w:rFonts w:hint="eastAsia" w:ascii="幼圆" w:eastAsia="幼圆"/>
                <w:b/>
                <w:color w:val="000000"/>
                <w:sz w:val="24"/>
              </w:rPr>
            </w:pPr>
            <w:r>
              <w:rPr>
                <w:rFonts w:hint="eastAsia" w:ascii="幼圆" w:eastAsia="幼圆"/>
                <w:b/>
                <w:color w:val="000000"/>
                <w:sz w:val="24"/>
              </w:rPr>
              <w:t>服务人口</w:t>
            </w:r>
          </w:p>
        </w:tc>
        <w:tc>
          <w:tcPr>
            <w:tcW w:w="962" w:type="pct"/>
            <w:noWrap w:val="0"/>
            <w:vAlign w:val="center"/>
          </w:tcPr>
          <w:p w14:paraId="7B03EAA0">
            <w:pPr>
              <w:jc w:val="center"/>
              <w:rPr>
                <w:rFonts w:hint="eastAsia" w:ascii="幼圆" w:eastAsia="幼圆"/>
                <w:b/>
                <w:color w:val="000000"/>
                <w:sz w:val="24"/>
              </w:rPr>
            </w:pPr>
            <w:r>
              <w:rPr>
                <w:rFonts w:hint="eastAsia" w:ascii="幼圆" w:eastAsia="幼圆"/>
                <w:b/>
                <w:color w:val="000000"/>
                <w:sz w:val="24"/>
              </w:rPr>
              <w:t>用地面积</w:t>
            </w:r>
          </w:p>
        </w:tc>
        <w:tc>
          <w:tcPr>
            <w:tcW w:w="967" w:type="pct"/>
            <w:noWrap w:val="0"/>
            <w:vAlign w:val="center"/>
          </w:tcPr>
          <w:p w14:paraId="3239C5FF">
            <w:pPr>
              <w:jc w:val="center"/>
              <w:rPr>
                <w:rFonts w:hint="eastAsia" w:ascii="幼圆" w:eastAsia="幼圆"/>
                <w:b/>
                <w:color w:val="000000"/>
                <w:sz w:val="24"/>
              </w:rPr>
            </w:pPr>
            <w:r>
              <w:rPr>
                <w:rFonts w:hint="eastAsia" w:ascii="幼圆" w:eastAsia="幼圆"/>
                <w:b/>
                <w:color w:val="000000"/>
                <w:sz w:val="24"/>
              </w:rPr>
              <w:t>营业面积</w:t>
            </w:r>
          </w:p>
        </w:tc>
      </w:tr>
      <w:tr w14:paraId="4E930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491" w:type="pct"/>
            <w:vMerge w:val="restart"/>
            <w:noWrap w:val="0"/>
            <w:vAlign w:val="center"/>
          </w:tcPr>
          <w:p w14:paraId="6A908FB9">
            <w:pPr>
              <w:jc w:val="center"/>
              <w:rPr>
                <w:rFonts w:hint="eastAsia" w:ascii="幼圆" w:eastAsia="幼圆"/>
                <w:b/>
                <w:color w:val="000000"/>
                <w:sz w:val="24"/>
              </w:rPr>
            </w:pPr>
            <w:r>
              <w:rPr>
                <w:rFonts w:hint="eastAsia" w:ascii="幼圆" w:eastAsia="幼圆"/>
                <w:b/>
                <w:color w:val="000000"/>
                <w:sz w:val="24"/>
              </w:rPr>
              <w:t>城市住区型</w:t>
            </w:r>
          </w:p>
        </w:tc>
        <w:tc>
          <w:tcPr>
            <w:tcW w:w="581" w:type="pct"/>
            <w:noWrap w:val="0"/>
            <w:vAlign w:val="center"/>
          </w:tcPr>
          <w:p w14:paraId="6C44A070">
            <w:pPr>
              <w:jc w:val="center"/>
              <w:rPr>
                <w:rFonts w:hint="eastAsia" w:ascii="幼圆" w:eastAsia="幼圆"/>
                <w:b/>
                <w:color w:val="000000"/>
                <w:sz w:val="24"/>
              </w:rPr>
            </w:pPr>
            <w:r>
              <w:rPr>
                <w:rFonts w:hint="eastAsia" w:ascii="幼圆" w:eastAsia="幼圆"/>
                <w:b/>
                <w:color w:val="000000"/>
                <w:sz w:val="24"/>
              </w:rPr>
              <w:t>新城区</w:t>
            </w:r>
          </w:p>
        </w:tc>
        <w:tc>
          <w:tcPr>
            <w:tcW w:w="1004" w:type="pct"/>
            <w:noWrap w:val="0"/>
            <w:vAlign w:val="center"/>
          </w:tcPr>
          <w:p w14:paraId="39844D1E">
            <w:pPr>
              <w:jc w:val="center"/>
              <w:rPr>
                <w:rFonts w:hint="eastAsia" w:ascii="幼圆" w:eastAsia="幼圆"/>
                <w:color w:val="000000"/>
                <w:sz w:val="24"/>
              </w:rPr>
            </w:pPr>
            <w:r>
              <w:rPr>
                <w:rFonts w:hint="eastAsia" w:ascii="幼圆" w:eastAsia="幼圆"/>
                <w:color w:val="000000"/>
                <w:sz w:val="24"/>
              </w:rPr>
              <w:t>500-800米/处</w:t>
            </w:r>
          </w:p>
        </w:tc>
        <w:tc>
          <w:tcPr>
            <w:tcW w:w="992" w:type="pct"/>
            <w:noWrap w:val="0"/>
            <w:vAlign w:val="center"/>
          </w:tcPr>
          <w:p w14:paraId="136D54A7">
            <w:pPr>
              <w:jc w:val="center"/>
              <w:rPr>
                <w:rFonts w:hint="eastAsia" w:ascii="幼圆" w:eastAsia="幼圆"/>
                <w:color w:val="000000"/>
                <w:sz w:val="24"/>
              </w:rPr>
            </w:pPr>
            <w:r>
              <w:rPr>
                <w:rFonts w:hint="eastAsia" w:ascii="幼圆" w:eastAsia="幼圆"/>
                <w:color w:val="000000"/>
                <w:sz w:val="24"/>
                <w:lang w:val="en-US" w:eastAsia="zh-CN"/>
              </w:rPr>
              <w:t>0.8万—1万</w:t>
            </w:r>
            <w:r>
              <w:rPr>
                <w:rFonts w:hint="eastAsia" w:ascii="幼圆" w:eastAsia="幼圆"/>
                <w:color w:val="000000"/>
                <w:sz w:val="24"/>
              </w:rPr>
              <w:t>人/处</w:t>
            </w:r>
          </w:p>
        </w:tc>
        <w:tc>
          <w:tcPr>
            <w:tcW w:w="962" w:type="pct"/>
            <w:noWrap w:val="0"/>
            <w:vAlign w:val="center"/>
          </w:tcPr>
          <w:p w14:paraId="185D73A4">
            <w:pPr>
              <w:jc w:val="center"/>
              <w:rPr>
                <w:rFonts w:hint="eastAsia" w:ascii="幼圆" w:eastAsia="幼圆"/>
                <w:color w:val="000000"/>
                <w:sz w:val="24"/>
              </w:rPr>
            </w:pPr>
            <w:r>
              <w:rPr>
                <w:rFonts w:hint="eastAsia" w:ascii="幼圆" w:eastAsia="幼圆"/>
                <w:color w:val="000000"/>
                <w:sz w:val="24"/>
              </w:rPr>
              <w:t>3000-4000m</w:t>
            </w:r>
            <w:r>
              <w:rPr>
                <w:rFonts w:hint="eastAsia" w:ascii="幼圆" w:eastAsia="幼圆"/>
                <w:color w:val="000000"/>
                <w:sz w:val="24"/>
                <w:vertAlign w:val="superscript"/>
              </w:rPr>
              <w:t>2</w:t>
            </w:r>
            <w:r>
              <w:rPr>
                <w:rFonts w:hint="eastAsia" w:ascii="幼圆" w:eastAsia="幼圆"/>
                <w:color w:val="000000"/>
                <w:sz w:val="24"/>
              </w:rPr>
              <w:t>/处</w:t>
            </w:r>
          </w:p>
        </w:tc>
        <w:tc>
          <w:tcPr>
            <w:tcW w:w="967" w:type="pct"/>
            <w:noWrap w:val="0"/>
            <w:vAlign w:val="center"/>
          </w:tcPr>
          <w:p w14:paraId="67C8E092">
            <w:pPr>
              <w:jc w:val="center"/>
              <w:rPr>
                <w:rFonts w:hint="eastAsia" w:ascii="幼圆" w:eastAsia="幼圆"/>
                <w:color w:val="000000"/>
                <w:sz w:val="24"/>
              </w:rPr>
            </w:pPr>
            <w:r>
              <w:rPr>
                <w:rFonts w:hint="eastAsia" w:ascii="幼圆" w:eastAsia="幼圆"/>
                <w:color w:val="000000"/>
                <w:sz w:val="24"/>
              </w:rPr>
              <w:t>2000-3000m</w:t>
            </w:r>
            <w:r>
              <w:rPr>
                <w:rFonts w:hint="eastAsia" w:ascii="幼圆" w:eastAsia="幼圆"/>
                <w:color w:val="000000"/>
                <w:sz w:val="24"/>
                <w:vertAlign w:val="superscript"/>
              </w:rPr>
              <w:t>2</w:t>
            </w:r>
            <w:r>
              <w:rPr>
                <w:rFonts w:hint="eastAsia" w:ascii="幼圆" w:eastAsia="幼圆"/>
                <w:color w:val="000000"/>
                <w:sz w:val="24"/>
              </w:rPr>
              <w:t>/处</w:t>
            </w:r>
          </w:p>
        </w:tc>
      </w:tr>
      <w:tr w14:paraId="688F8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491" w:type="pct"/>
            <w:vMerge w:val="continue"/>
            <w:noWrap w:val="0"/>
            <w:vAlign w:val="center"/>
          </w:tcPr>
          <w:p w14:paraId="736BBC7C">
            <w:pPr>
              <w:jc w:val="center"/>
              <w:rPr>
                <w:rFonts w:hint="eastAsia" w:ascii="幼圆" w:eastAsia="幼圆"/>
                <w:b/>
                <w:color w:val="000000"/>
                <w:sz w:val="24"/>
              </w:rPr>
            </w:pPr>
          </w:p>
        </w:tc>
        <w:tc>
          <w:tcPr>
            <w:tcW w:w="581" w:type="pct"/>
            <w:noWrap w:val="0"/>
            <w:vAlign w:val="center"/>
          </w:tcPr>
          <w:p w14:paraId="6BD081AB">
            <w:pPr>
              <w:jc w:val="center"/>
              <w:rPr>
                <w:rFonts w:hint="eastAsia" w:ascii="幼圆" w:eastAsia="幼圆"/>
                <w:b/>
                <w:color w:val="000000"/>
                <w:sz w:val="24"/>
              </w:rPr>
            </w:pPr>
            <w:r>
              <w:rPr>
                <w:rFonts w:hint="eastAsia" w:ascii="幼圆" w:eastAsia="幼圆"/>
                <w:b/>
                <w:color w:val="000000"/>
                <w:sz w:val="24"/>
              </w:rPr>
              <w:t>旧城区</w:t>
            </w:r>
          </w:p>
        </w:tc>
        <w:tc>
          <w:tcPr>
            <w:tcW w:w="1004" w:type="pct"/>
            <w:noWrap w:val="0"/>
            <w:vAlign w:val="center"/>
          </w:tcPr>
          <w:p w14:paraId="5DB88C52">
            <w:pPr>
              <w:jc w:val="center"/>
              <w:rPr>
                <w:rFonts w:hint="eastAsia" w:ascii="幼圆" w:eastAsia="幼圆"/>
                <w:color w:val="000000"/>
                <w:sz w:val="24"/>
              </w:rPr>
            </w:pPr>
            <w:r>
              <w:rPr>
                <w:rFonts w:hint="eastAsia" w:ascii="幼圆" w:eastAsia="幼圆"/>
                <w:color w:val="000000"/>
                <w:sz w:val="24"/>
              </w:rPr>
              <w:t>500-600米/处</w:t>
            </w:r>
          </w:p>
        </w:tc>
        <w:tc>
          <w:tcPr>
            <w:tcW w:w="992" w:type="pct"/>
            <w:noWrap w:val="0"/>
            <w:vAlign w:val="center"/>
          </w:tcPr>
          <w:p w14:paraId="619A31D7">
            <w:pPr>
              <w:jc w:val="center"/>
              <w:rPr>
                <w:rFonts w:hint="eastAsia" w:ascii="幼圆" w:eastAsia="幼圆"/>
                <w:color w:val="000000"/>
                <w:sz w:val="24"/>
              </w:rPr>
            </w:pPr>
            <w:r>
              <w:rPr>
                <w:rFonts w:hint="eastAsia" w:ascii="幼圆" w:eastAsia="幼圆"/>
                <w:color w:val="000000"/>
                <w:sz w:val="24"/>
                <w:lang w:val="en-US" w:eastAsia="zh-CN"/>
              </w:rPr>
              <w:t>0.8万—0.9万</w:t>
            </w:r>
            <w:r>
              <w:rPr>
                <w:rFonts w:hint="eastAsia" w:ascii="幼圆" w:eastAsia="幼圆"/>
                <w:color w:val="000000"/>
                <w:sz w:val="24"/>
              </w:rPr>
              <w:t>人/处</w:t>
            </w:r>
          </w:p>
        </w:tc>
        <w:tc>
          <w:tcPr>
            <w:tcW w:w="962" w:type="pct"/>
            <w:noWrap w:val="0"/>
            <w:vAlign w:val="center"/>
          </w:tcPr>
          <w:p w14:paraId="341BA2A2">
            <w:pPr>
              <w:jc w:val="center"/>
              <w:rPr>
                <w:rFonts w:hint="eastAsia" w:ascii="幼圆" w:eastAsia="幼圆"/>
                <w:color w:val="000000"/>
                <w:sz w:val="24"/>
              </w:rPr>
            </w:pPr>
            <w:r>
              <w:rPr>
                <w:rFonts w:hint="eastAsia" w:ascii="幼圆" w:eastAsia="幼圆"/>
                <w:color w:val="000000"/>
                <w:sz w:val="24"/>
              </w:rPr>
              <w:t>1500-3000m</w:t>
            </w:r>
            <w:r>
              <w:rPr>
                <w:rFonts w:hint="eastAsia" w:ascii="幼圆" w:eastAsia="幼圆"/>
                <w:color w:val="000000"/>
                <w:sz w:val="24"/>
                <w:vertAlign w:val="superscript"/>
              </w:rPr>
              <w:t>2</w:t>
            </w:r>
            <w:r>
              <w:rPr>
                <w:rFonts w:hint="eastAsia" w:ascii="幼圆" w:eastAsia="幼圆"/>
                <w:color w:val="000000"/>
                <w:sz w:val="24"/>
              </w:rPr>
              <w:t>/处</w:t>
            </w:r>
          </w:p>
        </w:tc>
        <w:tc>
          <w:tcPr>
            <w:tcW w:w="967" w:type="pct"/>
            <w:noWrap w:val="0"/>
            <w:vAlign w:val="center"/>
          </w:tcPr>
          <w:p w14:paraId="2660C360">
            <w:pPr>
              <w:jc w:val="center"/>
              <w:rPr>
                <w:rFonts w:hint="eastAsia" w:ascii="幼圆" w:eastAsia="幼圆"/>
                <w:color w:val="000000"/>
                <w:sz w:val="24"/>
              </w:rPr>
            </w:pPr>
            <w:r>
              <w:rPr>
                <w:rFonts w:hint="eastAsia" w:ascii="幼圆" w:eastAsia="幼圆"/>
                <w:color w:val="000000"/>
                <w:sz w:val="24"/>
              </w:rPr>
              <w:t>1000-2000m</w:t>
            </w:r>
            <w:r>
              <w:rPr>
                <w:rFonts w:hint="eastAsia" w:ascii="幼圆" w:eastAsia="幼圆"/>
                <w:color w:val="000000"/>
                <w:sz w:val="24"/>
                <w:vertAlign w:val="superscript"/>
              </w:rPr>
              <w:t>2</w:t>
            </w:r>
            <w:r>
              <w:rPr>
                <w:rFonts w:hint="eastAsia" w:ascii="幼圆" w:eastAsia="幼圆"/>
                <w:color w:val="000000"/>
                <w:sz w:val="24"/>
              </w:rPr>
              <w:t>/处</w:t>
            </w:r>
          </w:p>
        </w:tc>
      </w:tr>
      <w:tr w14:paraId="1F259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1072" w:type="pct"/>
            <w:gridSpan w:val="2"/>
            <w:noWrap w:val="0"/>
            <w:vAlign w:val="center"/>
          </w:tcPr>
          <w:p w14:paraId="6E83F0D8">
            <w:pPr>
              <w:jc w:val="center"/>
              <w:rPr>
                <w:rFonts w:hint="eastAsia" w:ascii="幼圆" w:eastAsia="幼圆"/>
                <w:b/>
                <w:color w:val="000000"/>
                <w:sz w:val="24"/>
              </w:rPr>
            </w:pPr>
            <w:r>
              <w:rPr>
                <w:rFonts w:hint="eastAsia" w:ascii="幼圆" w:eastAsia="幼圆"/>
                <w:b/>
                <w:color w:val="000000"/>
                <w:sz w:val="24"/>
              </w:rPr>
              <w:t>乡镇住区型</w:t>
            </w:r>
          </w:p>
        </w:tc>
        <w:tc>
          <w:tcPr>
            <w:tcW w:w="1004" w:type="pct"/>
            <w:noWrap w:val="0"/>
            <w:vAlign w:val="center"/>
          </w:tcPr>
          <w:p w14:paraId="308DAD3E">
            <w:pPr>
              <w:jc w:val="center"/>
              <w:rPr>
                <w:rFonts w:hint="eastAsia" w:ascii="幼圆" w:eastAsia="幼圆"/>
                <w:color w:val="000000"/>
                <w:sz w:val="24"/>
              </w:rPr>
            </w:pPr>
            <w:r>
              <w:rPr>
                <w:rFonts w:hint="eastAsia" w:ascii="幼圆" w:eastAsia="幼圆"/>
                <w:color w:val="000000"/>
                <w:sz w:val="24"/>
              </w:rPr>
              <w:t>500-1000米/处</w:t>
            </w:r>
          </w:p>
        </w:tc>
        <w:tc>
          <w:tcPr>
            <w:tcW w:w="992" w:type="pct"/>
            <w:noWrap w:val="0"/>
            <w:vAlign w:val="center"/>
          </w:tcPr>
          <w:p w14:paraId="7C751DF4">
            <w:pPr>
              <w:jc w:val="center"/>
              <w:rPr>
                <w:rFonts w:hint="eastAsia" w:ascii="幼圆" w:eastAsia="幼圆"/>
                <w:color w:val="000000"/>
                <w:sz w:val="24"/>
              </w:rPr>
            </w:pPr>
            <w:r>
              <w:rPr>
                <w:rFonts w:hint="eastAsia" w:ascii="幼圆" w:eastAsia="幼圆"/>
                <w:color w:val="000000"/>
                <w:sz w:val="24"/>
                <w:lang w:val="en-US" w:eastAsia="zh-CN"/>
              </w:rPr>
              <w:t>0.8万—1万</w:t>
            </w:r>
            <w:r>
              <w:rPr>
                <w:rFonts w:hint="eastAsia" w:ascii="幼圆" w:eastAsia="幼圆"/>
                <w:color w:val="000000"/>
                <w:sz w:val="24"/>
              </w:rPr>
              <w:t>人/处</w:t>
            </w:r>
          </w:p>
        </w:tc>
        <w:tc>
          <w:tcPr>
            <w:tcW w:w="962" w:type="pct"/>
            <w:noWrap w:val="0"/>
            <w:vAlign w:val="center"/>
          </w:tcPr>
          <w:p w14:paraId="6528C3A8">
            <w:pPr>
              <w:jc w:val="center"/>
              <w:rPr>
                <w:rFonts w:hint="eastAsia" w:ascii="宋体" w:hAnsi="宋体"/>
                <w:color w:val="000000"/>
                <w:szCs w:val="21"/>
              </w:rPr>
            </w:pPr>
            <w:r>
              <w:rPr>
                <w:rFonts w:hint="eastAsia" w:ascii="幼圆" w:eastAsia="幼圆"/>
                <w:color w:val="000000"/>
                <w:sz w:val="24"/>
              </w:rPr>
              <w:t>800-1500m</w:t>
            </w:r>
            <w:r>
              <w:rPr>
                <w:rFonts w:hint="eastAsia" w:ascii="幼圆" w:eastAsia="幼圆"/>
                <w:color w:val="000000"/>
                <w:sz w:val="24"/>
                <w:vertAlign w:val="superscript"/>
              </w:rPr>
              <w:t>2</w:t>
            </w:r>
            <w:r>
              <w:rPr>
                <w:rFonts w:hint="eastAsia" w:ascii="幼圆" w:eastAsia="幼圆"/>
                <w:color w:val="000000"/>
                <w:sz w:val="24"/>
              </w:rPr>
              <w:t>/处</w:t>
            </w:r>
          </w:p>
        </w:tc>
        <w:tc>
          <w:tcPr>
            <w:tcW w:w="967" w:type="pct"/>
            <w:noWrap w:val="0"/>
            <w:vAlign w:val="center"/>
          </w:tcPr>
          <w:p w14:paraId="6E6B5716">
            <w:pPr>
              <w:jc w:val="center"/>
              <w:rPr>
                <w:rFonts w:hint="eastAsia" w:ascii="宋体" w:hAnsi="宋体"/>
                <w:color w:val="000000"/>
                <w:szCs w:val="21"/>
              </w:rPr>
            </w:pPr>
            <w:r>
              <w:rPr>
                <w:rFonts w:hint="eastAsia" w:ascii="幼圆" w:eastAsia="幼圆"/>
                <w:color w:val="000000"/>
                <w:sz w:val="24"/>
              </w:rPr>
              <w:t>500-1000m</w:t>
            </w:r>
            <w:r>
              <w:rPr>
                <w:rFonts w:hint="eastAsia" w:ascii="幼圆" w:eastAsia="幼圆"/>
                <w:color w:val="000000"/>
                <w:sz w:val="24"/>
                <w:vertAlign w:val="superscript"/>
              </w:rPr>
              <w:t>2</w:t>
            </w:r>
            <w:r>
              <w:rPr>
                <w:rFonts w:hint="eastAsia" w:ascii="幼圆" w:eastAsia="幼圆"/>
                <w:color w:val="000000"/>
                <w:sz w:val="24"/>
              </w:rPr>
              <w:t>/处</w:t>
            </w:r>
          </w:p>
        </w:tc>
      </w:tr>
      <w:tr w14:paraId="719E2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1072" w:type="pct"/>
            <w:gridSpan w:val="2"/>
            <w:noWrap w:val="0"/>
            <w:vAlign w:val="center"/>
          </w:tcPr>
          <w:p w14:paraId="5C622546">
            <w:pPr>
              <w:jc w:val="center"/>
              <w:rPr>
                <w:rFonts w:hint="eastAsia" w:ascii="幼圆" w:eastAsia="幼圆"/>
                <w:b/>
                <w:color w:val="000000"/>
                <w:sz w:val="24"/>
              </w:rPr>
            </w:pPr>
            <w:r>
              <w:rPr>
                <w:rFonts w:hint="eastAsia" w:ascii="幼圆" w:eastAsia="幼圆"/>
                <w:b/>
                <w:color w:val="000000"/>
                <w:sz w:val="24"/>
              </w:rPr>
              <w:t>产业园区型</w:t>
            </w:r>
          </w:p>
        </w:tc>
        <w:tc>
          <w:tcPr>
            <w:tcW w:w="1004" w:type="pct"/>
            <w:noWrap w:val="0"/>
            <w:vAlign w:val="center"/>
          </w:tcPr>
          <w:p w14:paraId="6F4291FC">
            <w:pPr>
              <w:jc w:val="center"/>
              <w:rPr>
                <w:rFonts w:hint="eastAsia" w:ascii="幼圆" w:eastAsia="幼圆"/>
                <w:color w:val="000000"/>
                <w:sz w:val="24"/>
              </w:rPr>
            </w:pPr>
            <w:r>
              <w:rPr>
                <w:rFonts w:hint="eastAsia" w:ascii="幼圆" w:eastAsia="幼圆"/>
                <w:color w:val="000000"/>
                <w:sz w:val="24"/>
              </w:rPr>
              <w:t>800-1500米/处</w:t>
            </w:r>
          </w:p>
        </w:tc>
        <w:tc>
          <w:tcPr>
            <w:tcW w:w="992" w:type="pct"/>
            <w:noWrap w:val="0"/>
            <w:vAlign w:val="center"/>
          </w:tcPr>
          <w:p w14:paraId="54E5070B">
            <w:pPr>
              <w:jc w:val="center"/>
              <w:rPr>
                <w:rFonts w:hint="eastAsia" w:ascii="幼圆" w:eastAsia="幼圆"/>
                <w:color w:val="000000"/>
                <w:sz w:val="24"/>
              </w:rPr>
            </w:pPr>
            <w:r>
              <w:rPr>
                <w:rFonts w:hint="eastAsia" w:ascii="幼圆" w:eastAsia="幼圆"/>
                <w:color w:val="000000"/>
                <w:sz w:val="24"/>
                <w:lang w:eastAsia="zh-CN"/>
              </w:rPr>
              <w:t>3万—5万</w:t>
            </w:r>
            <w:r>
              <w:rPr>
                <w:rFonts w:hint="eastAsia" w:ascii="幼圆" w:eastAsia="幼圆"/>
                <w:color w:val="000000"/>
                <w:sz w:val="24"/>
              </w:rPr>
              <w:t>人/处</w:t>
            </w:r>
          </w:p>
        </w:tc>
        <w:tc>
          <w:tcPr>
            <w:tcW w:w="962" w:type="pct"/>
            <w:noWrap w:val="0"/>
            <w:vAlign w:val="center"/>
          </w:tcPr>
          <w:p w14:paraId="56F3C7AE">
            <w:pPr>
              <w:jc w:val="center"/>
              <w:rPr>
                <w:rFonts w:hint="eastAsia" w:ascii="幼圆" w:eastAsia="幼圆"/>
                <w:color w:val="000000"/>
                <w:sz w:val="24"/>
              </w:rPr>
            </w:pPr>
            <w:r>
              <w:rPr>
                <w:rFonts w:hint="eastAsia" w:ascii="幼圆" w:eastAsia="幼圆"/>
                <w:color w:val="000000"/>
                <w:sz w:val="24"/>
              </w:rPr>
              <w:t>1500-2000m</w:t>
            </w:r>
            <w:r>
              <w:rPr>
                <w:rFonts w:hint="eastAsia" w:ascii="幼圆" w:eastAsia="幼圆"/>
                <w:color w:val="000000"/>
                <w:sz w:val="24"/>
                <w:vertAlign w:val="superscript"/>
              </w:rPr>
              <w:t>2</w:t>
            </w:r>
            <w:r>
              <w:rPr>
                <w:rFonts w:hint="eastAsia" w:ascii="幼圆" w:eastAsia="幼圆"/>
                <w:color w:val="000000"/>
                <w:sz w:val="24"/>
              </w:rPr>
              <w:t>/处</w:t>
            </w:r>
          </w:p>
        </w:tc>
        <w:tc>
          <w:tcPr>
            <w:tcW w:w="967" w:type="pct"/>
            <w:noWrap w:val="0"/>
            <w:vAlign w:val="center"/>
          </w:tcPr>
          <w:p w14:paraId="75DCA825">
            <w:pPr>
              <w:jc w:val="center"/>
              <w:rPr>
                <w:rFonts w:hint="eastAsia" w:ascii="幼圆" w:eastAsia="幼圆"/>
                <w:color w:val="000000"/>
                <w:sz w:val="24"/>
              </w:rPr>
            </w:pPr>
            <w:r>
              <w:rPr>
                <w:rFonts w:hint="eastAsia" w:ascii="幼圆" w:eastAsia="幼圆"/>
                <w:color w:val="000000"/>
                <w:sz w:val="24"/>
              </w:rPr>
              <w:t>1000-1200m</w:t>
            </w:r>
            <w:r>
              <w:rPr>
                <w:rFonts w:hint="eastAsia" w:ascii="幼圆" w:eastAsia="幼圆"/>
                <w:color w:val="000000"/>
                <w:sz w:val="24"/>
                <w:vertAlign w:val="superscript"/>
              </w:rPr>
              <w:t>2</w:t>
            </w:r>
            <w:r>
              <w:rPr>
                <w:rFonts w:hint="eastAsia" w:ascii="幼圆" w:eastAsia="幼圆"/>
                <w:color w:val="000000"/>
                <w:sz w:val="24"/>
              </w:rPr>
              <w:t>/处</w:t>
            </w:r>
          </w:p>
        </w:tc>
      </w:tr>
      <w:tr w14:paraId="06162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1072" w:type="pct"/>
            <w:gridSpan w:val="2"/>
            <w:noWrap w:val="0"/>
            <w:vAlign w:val="center"/>
          </w:tcPr>
          <w:p w14:paraId="20BCEE56">
            <w:pPr>
              <w:jc w:val="center"/>
              <w:rPr>
                <w:rFonts w:hint="eastAsia" w:ascii="幼圆" w:eastAsia="幼圆"/>
                <w:b/>
                <w:color w:val="000000"/>
                <w:sz w:val="24"/>
              </w:rPr>
            </w:pPr>
            <w:r>
              <w:rPr>
                <w:rFonts w:hint="eastAsia" w:ascii="幼圆" w:eastAsia="幼圆"/>
                <w:b/>
                <w:color w:val="000000"/>
                <w:sz w:val="24"/>
              </w:rPr>
              <w:t>旅游景区型</w:t>
            </w:r>
          </w:p>
        </w:tc>
        <w:tc>
          <w:tcPr>
            <w:tcW w:w="1004" w:type="pct"/>
            <w:noWrap w:val="0"/>
            <w:vAlign w:val="center"/>
          </w:tcPr>
          <w:p w14:paraId="03332C43">
            <w:pPr>
              <w:jc w:val="center"/>
              <w:rPr>
                <w:rFonts w:hint="eastAsia" w:ascii="幼圆" w:eastAsia="幼圆"/>
                <w:color w:val="000000"/>
                <w:sz w:val="24"/>
              </w:rPr>
            </w:pPr>
            <w:r>
              <w:rPr>
                <w:rFonts w:hint="eastAsia" w:ascii="幼圆" w:eastAsia="幼圆"/>
                <w:color w:val="000000"/>
                <w:sz w:val="24"/>
              </w:rPr>
              <w:t>——</w:t>
            </w:r>
          </w:p>
        </w:tc>
        <w:tc>
          <w:tcPr>
            <w:tcW w:w="992" w:type="pct"/>
            <w:noWrap w:val="0"/>
            <w:vAlign w:val="center"/>
          </w:tcPr>
          <w:p w14:paraId="6B3D89E3">
            <w:pPr>
              <w:jc w:val="center"/>
              <w:rPr>
                <w:rFonts w:hint="eastAsia" w:ascii="幼圆" w:eastAsia="幼圆"/>
                <w:color w:val="000000"/>
                <w:sz w:val="24"/>
              </w:rPr>
            </w:pPr>
            <w:r>
              <w:rPr>
                <w:rFonts w:hint="eastAsia" w:ascii="幼圆" w:eastAsia="幼圆"/>
                <w:color w:val="000000"/>
                <w:sz w:val="24"/>
              </w:rPr>
              <w:t>——</w:t>
            </w:r>
          </w:p>
        </w:tc>
        <w:tc>
          <w:tcPr>
            <w:tcW w:w="962" w:type="pct"/>
            <w:noWrap w:val="0"/>
            <w:vAlign w:val="center"/>
          </w:tcPr>
          <w:p w14:paraId="3CA0947D">
            <w:pPr>
              <w:jc w:val="center"/>
              <w:rPr>
                <w:rFonts w:hint="eastAsia" w:ascii="幼圆" w:eastAsia="幼圆"/>
                <w:color w:val="000000"/>
                <w:sz w:val="24"/>
              </w:rPr>
            </w:pPr>
            <w:r>
              <w:rPr>
                <w:rFonts w:hint="eastAsia" w:ascii="幼圆" w:eastAsia="幼圆"/>
                <w:color w:val="000000"/>
                <w:sz w:val="24"/>
              </w:rPr>
              <w:t>——</w:t>
            </w:r>
          </w:p>
        </w:tc>
        <w:tc>
          <w:tcPr>
            <w:tcW w:w="967" w:type="pct"/>
            <w:noWrap w:val="0"/>
            <w:vAlign w:val="center"/>
          </w:tcPr>
          <w:p w14:paraId="12382A9C">
            <w:pPr>
              <w:jc w:val="center"/>
              <w:rPr>
                <w:rFonts w:hint="eastAsia" w:ascii="幼圆" w:eastAsia="幼圆"/>
                <w:color w:val="000000"/>
                <w:sz w:val="24"/>
              </w:rPr>
            </w:pPr>
            <w:r>
              <w:rPr>
                <w:rFonts w:hint="eastAsia" w:ascii="幼圆" w:eastAsia="幼圆"/>
                <w:color w:val="000000"/>
                <w:sz w:val="24"/>
              </w:rPr>
              <w:t>——</w:t>
            </w:r>
          </w:p>
        </w:tc>
      </w:tr>
      <w:tr w14:paraId="09FE5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355" w:hRule="atLeast"/>
        </w:trPr>
        <w:tc>
          <w:tcPr>
            <w:tcW w:w="1072" w:type="pct"/>
            <w:gridSpan w:val="2"/>
            <w:noWrap w:val="0"/>
            <w:vAlign w:val="center"/>
          </w:tcPr>
          <w:p w14:paraId="5F262C04">
            <w:pPr>
              <w:jc w:val="center"/>
              <w:rPr>
                <w:rFonts w:hint="eastAsia" w:ascii="幼圆" w:eastAsia="幼圆"/>
                <w:b/>
                <w:color w:val="000000"/>
                <w:sz w:val="24"/>
              </w:rPr>
            </w:pPr>
            <w:r>
              <w:rPr>
                <w:rFonts w:hint="eastAsia" w:ascii="幼圆" w:eastAsia="幼圆"/>
                <w:b/>
                <w:color w:val="000000"/>
                <w:sz w:val="24"/>
              </w:rPr>
              <w:t>混合功能型</w:t>
            </w:r>
          </w:p>
        </w:tc>
        <w:tc>
          <w:tcPr>
            <w:tcW w:w="1004" w:type="pct"/>
            <w:noWrap w:val="0"/>
            <w:vAlign w:val="center"/>
          </w:tcPr>
          <w:p w14:paraId="246BA6FA">
            <w:pPr>
              <w:jc w:val="center"/>
              <w:rPr>
                <w:rFonts w:hint="eastAsia" w:ascii="幼圆" w:eastAsia="幼圆"/>
                <w:color w:val="000000"/>
                <w:sz w:val="24"/>
              </w:rPr>
            </w:pPr>
            <w:r>
              <w:rPr>
                <w:rFonts w:hint="eastAsia" w:ascii="幼圆" w:eastAsia="幼圆"/>
                <w:color w:val="000000"/>
                <w:sz w:val="24"/>
              </w:rPr>
              <w:t>800-1500米/处</w:t>
            </w:r>
          </w:p>
        </w:tc>
        <w:tc>
          <w:tcPr>
            <w:tcW w:w="992" w:type="pct"/>
            <w:noWrap w:val="0"/>
            <w:vAlign w:val="center"/>
          </w:tcPr>
          <w:p w14:paraId="755B168F">
            <w:pPr>
              <w:jc w:val="center"/>
              <w:rPr>
                <w:rFonts w:hint="eastAsia" w:ascii="幼圆" w:eastAsia="幼圆"/>
                <w:color w:val="000000"/>
                <w:sz w:val="24"/>
              </w:rPr>
            </w:pPr>
            <w:r>
              <w:rPr>
                <w:rFonts w:hint="eastAsia" w:ascii="幼圆" w:eastAsia="幼圆"/>
                <w:color w:val="000000"/>
                <w:sz w:val="24"/>
                <w:lang w:eastAsia="zh-CN"/>
              </w:rPr>
              <w:t>3万—5万</w:t>
            </w:r>
            <w:r>
              <w:rPr>
                <w:rFonts w:hint="eastAsia" w:ascii="幼圆" w:eastAsia="幼圆"/>
                <w:color w:val="000000"/>
                <w:sz w:val="24"/>
              </w:rPr>
              <w:t>人/处</w:t>
            </w:r>
          </w:p>
        </w:tc>
        <w:tc>
          <w:tcPr>
            <w:tcW w:w="962" w:type="pct"/>
            <w:noWrap w:val="0"/>
            <w:vAlign w:val="center"/>
          </w:tcPr>
          <w:p w14:paraId="53453016">
            <w:pPr>
              <w:jc w:val="center"/>
              <w:rPr>
                <w:rFonts w:hint="eastAsia" w:ascii="幼圆" w:eastAsia="幼圆"/>
                <w:color w:val="000000"/>
                <w:sz w:val="24"/>
              </w:rPr>
            </w:pPr>
            <w:r>
              <w:rPr>
                <w:rFonts w:hint="eastAsia" w:ascii="幼圆" w:eastAsia="幼圆"/>
                <w:color w:val="000000"/>
                <w:sz w:val="24"/>
              </w:rPr>
              <w:t>1500-2000m</w:t>
            </w:r>
            <w:r>
              <w:rPr>
                <w:rFonts w:hint="eastAsia" w:ascii="幼圆" w:eastAsia="幼圆"/>
                <w:color w:val="000000"/>
                <w:sz w:val="24"/>
                <w:vertAlign w:val="superscript"/>
              </w:rPr>
              <w:t>2</w:t>
            </w:r>
            <w:r>
              <w:rPr>
                <w:rFonts w:hint="eastAsia" w:ascii="幼圆" w:eastAsia="幼圆"/>
                <w:color w:val="000000"/>
                <w:sz w:val="24"/>
              </w:rPr>
              <w:t>/处</w:t>
            </w:r>
          </w:p>
        </w:tc>
        <w:tc>
          <w:tcPr>
            <w:tcW w:w="967" w:type="pct"/>
            <w:noWrap w:val="0"/>
            <w:vAlign w:val="center"/>
          </w:tcPr>
          <w:p w14:paraId="6883CAE2">
            <w:pPr>
              <w:jc w:val="center"/>
              <w:rPr>
                <w:rFonts w:hint="eastAsia" w:ascii="幼圆" w:eastAsia="幼圆"/>
                <w:color w:val="000000"/>
                <w:sz w:val="24"/>
              </w:rPr>
            </w:pPr>
            <w:r>
              <w:rPr>
                <w:rFonts w:hint="eastAsia" w:ascii="幼圆" w:eastAsia="幼圆"/>
                <w:color w:val="000000"/>
                <w:sz w:val="24"/>
              </w:rPr>
              <w:t>1000-1200m</w:t>
            </w:r>
            <w:r>
              <w:rPr>
                <w:rFonts w:hint="eastAsia" w:ascii="幼圆" w:eastAsia="幼圆"/>
                <w:color w:val="000000"/>
                <w:sz w:val="24"/>
                <w:vertAlign w:val="superscript"/>
              </w:rPr>
              <w:t>2</w:t>
            </w:r>
            <w:r>
              <w:rPr>
                <w:rFonts w:hint="eastAsia" w:ascii="幼圆" w:eastAsia="幼圆"/>
                <w:color w:val="000000"/>
                <w:sz w:val="24"/>
              </w:rPr>
              <w:t>/处</w:t>
            </w:r>
          </w:p>
        </w:tc>
      </w:tr>
    </w:tbl>
    <w:p w14:paraId="161F5043">
      <w:pPr>
        <w:spacing w:after="120" w:afterLines="50" w:line="360" w:lineRule="auto"/>
        <w:ind w:firstLine="480" w:firstLineChars="200"/>
        <w:rPr>
          <w:rFonts w:hint="eastAsia" w:ascii="幼圆" w:eastAsia="幼圆"/>
          <w:color w:val="000000"/>
          <w:sz w:val="24"/>
        </w:rPr>
      </w:pPr>
    </w:p>
    <w:p w14:paraId="7FAE544D">
      <w:pPr>
        <w:spacing w:after="120" w:afterLines="50"/>
        <w:ind w:left="900"/>
        <w:jc w:val="center"/>
        <w:rPr>
          <w:rFonts w:hint="eastAsia" w:ascii="幼圆" w:hAnsi="宋体" w:eastAsia="幼圆"/>
          <w:color w:val="000000"/>
          <w:sz w:val="24"/>
        </w:rPr>
      </w:pPr>
      <w:r>
        <w:rPr>
          <w:rFonts w:hint="eastAsia" w:ascii="幼圆" w:hAnsi="宋体" w:eastAsia="幼圆"/>
          <w:color w:val="000000"/>
          <w:sz w:val="24"/>
        </w:rPr>
        <w:t>表6：超市生鲜区（便民生鲜网点）配置标准</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2020"/>
        <w:gridCol w:w="1676"/>
        <w:gridCol w:w="1676"/>
        <w:gridCol w:w="1676"/>
        <w:gridCol w:w="1675"/>
      </w:tblGrid>
      <w:tr w14:paraId="0C07E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47" w:hRule="atLeast"/>
        </w:trPr>
        <w:tc>
          <w:tcPr>
            <w:tcW w:w="560" w:type="pct"/>
            <w:noWrap w:val="0"/>
            <w:vAlign w:val="center"/>
          </w:tcPr>
          <w:p w14:paraId="5278F582">
            <w:pPr>
              <w:jc w:val="center"/>
              <w:rPr>
                <w:rFonts w:hint="eastAsia" w:ascii="幼圆" w:eastAsia="幼圆"/>
                <w:b/>
                <w:color w:val="000000"/>
                <w:sz w:val="24"/>
              </w:rPr>
            </w:pPr>
          </w:p>
        </w:tc>
        <w:tc>
          <w:tcPr>
            <w:tcW w:w="1028" w:type="pct"/>
            <w:noWrap w:val="0"/>
            <w:vAlign w:val="center"/>
          </w:tcPr>
          <w:p w14:paraId="2A01742E">
            <w:pPr>
              <w:jc w:val="center"/>
              <w:rPr>
                <w:rFonts w:hint="eastAsia" w:ascii="幼圆" w:eastAsia="幼圆"/>
                <w:b/>
                <w:color w:val="000000"/>
                <w:sz w:val="24"/>
              </w:rPr>
            </w:pPr>
            <w:r>
              <w:rPr>
                <w:rFonts w:hint="eastAsia" w:ascii="幼圆" w:eastAsia="幼圆"/>
                <w:b/>
                <w:color w:val="000000"/>
                <w:sz w:val="24"/>
              </w:rPr>
              <w:t>距离农贸市场500m左右的超市</w:t>
            </w:r>
          </w:p>
        </w:tc>
        <w:tc>
          <w:tcPr>
            <w:tcW w:w="853" w:type="pct"/>
            <w:noWrap w:val="0"/>
            <w:vAlign w:val="center"/>
          </w:tcPr>
          <w:p w14:paraId="67D3D44D">
            <w:pPr>
              <w:jc w:val="center"/>
              <w:rPr>
                <w:rFonts w:hint="eastAsia" w:ascii="幼圆" w:eastAsia="幼圆"/>
                <w:b/>
                <w:color w:val="000000"/>
                <w:sz w:val="24"/>
              </w:rPr>
            </w:pPr>
            <w:r>
              <w:rPr>
                <w:rFonts w:hint="eastAsia" w:ascii="幼圆" w:eastAsia="幼圆"/>
                <w:b/>
                <w:color w:val="000000"/>
                <w:sz w:val="24"/>
              </w:rPr>
              <w:t>超市面积≥5000m</w:t>
            </w:r>
            <w:r>
              <w:rPr>
                <w:rFonts w:hint="eastAsia" w:ascii="幼圆" w:eastAsia="幼圆"/>
                <w:b/>
                <w:color w:val="000000"/>
                <w:sz w:val="24"/>
                <w:vertAlign w:val="superscript"/>
              </w:rPr>
              <w:t>2</w:t>
            </w:r>
          </w:p>
        </w:tc>
        <w:tc>
          <w:tcPr>
            <w:tcW w:w="853" w:type="pct"/>
            <w:noWrap w:val="0"/>
            <w:vAlign w:val="center"/>
          </w:tcPr>
          <w:p w14:paraId="731214F8">
            <w:pPr>
              <w:jc w:val="center"/>
              <w:rPr>
                <w:rFonts w:hint="eastAsia" w:ascii="幼圆" w:eastAsia="幼圆"/>
                <w:b/>
                <w:color w:val="000000"/>
                <w:sz w:val="24"/>
              </w:rPr>
            </w:pPr>
            <w:r>
              <w:rPr>
                <w:rFonts w:hint="eastAsia" w:ascii="幼圆" w:eastAsia="幼圆"/>
                <w:b/>
                <w:color w:val="000000"/>
                <w:sz w:val="24"/>
              </w:rPr>
              <w:t>2000m</w:t>
            </w:r>
            <w:r>
              <w:rPr>
                <w:rFonts w:hint="eastAsia" w:ascii="幼圆" w:eastAsia="幼圆"/>
                <w:b/>
                <w:color w:val="000000"/>
                <w:sz w:val="24"/>
                <w:vertAlign w:val="superscript"/>
              </w:rPr>
              <w:t>2</w:t>
            </w:r>
            <w:r>
              <w:rPr>
                <w:rFonts w:hint="eastAsia" w:ascii="幼圆" w:eastAsia="幼圆"/>
                <w:b/>
                <w:color w:val="000000"/>
                <w:sz w:val="24"/>
              </w:rPr>
              <w:t>≤超市面积＜5000m</w:t>
            </w:r>
            <w:r>
              <w:rPr>
                <w:rFonts w:hint="eastAsia" w:ascii="幼圆" w:eastAsia="幼圆"/>
                <w:b/>
                <w:color w:val="000000"/>
                <w:sz w:val="24"/>
                <w:vertAlign w:val="superscript"/>
              </w:rPr>
              <w:t>2</w:t>
            </w:r>
          </w:p>
        </w:tc>
        <w:tc>
          <w:tcPr>
            <w:tcW w:w="853" w:type="pct"/>
            <w:noWrap w:val="0"/>
            <w:vAlign w:val="center"/>
          </w:tcPr>
          <w:p w14:paraId="0647D52A">
            <w:pPr>
              <w:jc w:val="center"/>
              <w:rPr>
                <w:rFonts w:hint="eastAsia" w:ascii="幼圆" w:eastAsia="幼圆"/>
                <w:b/>
                <w:color w:val="000000"/>
                <w:sz w:val="24"/>
              </w:rPr>
            </w:pPr>
            <w:r>
              <w:rPr>
                <w:rFonts w:hint="eastAsia" w:ascii="幼圆" w:eastAsia="幼圆"/>
                <w:b/>
                <w:color w:val="000000"/>
                <w:sz w:val="24"/>
              </w:rPr>
              <w:t>1000m</w:t>
            </w:r>
            <w:r>
              <w:rPr>
                <w:rFonts w:hint="eastAsia" w:ascii="幼圆" w:eastAsia="幼圆"/>
                <w:b/>
                <w:color w:val="000000"/>
                <w:sz w:val="24"/>
                <w:vertAlign w:val="superscript"/>
              </w:rPr>
              <w:t>2</w:t>
            </w:r>
            <w:r>
              <w:rPr>
                <w:rFonts w:hint="eastAsia" w:ascii="幼圆" w:eastAsia="幼圆"/>
                <w:b/>
                <w:color w:val="000000"/>
                <w:sz w:val="24"/>
              </w:rPr>
              <w:t>≤超市面积＜2000m</w:t>
            </w:r>
            <w:r>
              <w:rPr>
                <w:rFonts w:hint="eastAsia" w:ascii="幼圆" w:eastAsia="幼圆"/>
                <w:b/>
                <w:color w:val="000000"/>
                <w:sz w:val="24"/>
                <w:vertAlign w:val="superscript"/>
              </w:rPr>
              <w:t>2</w:t>
            </w:r>
          </w:p>
        </w:tc>
        <w:tc>
          <w:tcPr>
            <w:tcW w:w="852" w:type="pct"/>
            <w:noWrap w:val="0"/>
            <w:vAlign w:val="center"/>
          </w:tcPr>
          <w:p w14:paraId="0DAE0323">
            <w:pPr>
              <w:jc w:val="center"/>
              <w:rPr>
                <w:rFonts w:hint="eastAsia" w:ascii="幼圆" w:eastAsia="幼圆"/>
                <w:b/>
                <w:color w:val="000000"/>
                <w:sz w:val="24"/>
              </w:rPr>
            </w:pPr>
            <w:r>
              <w:rPr>
                <w:rFonts w:hint="eastAsia" w:ascii="幼圆" w:eastAsia="幼圆"/>
                <w:b/>
                <w:color w:val="000000"/>
                <w:sz w:val="24"/>
              </w:rPr>
              <w:t>300m</w:t>
            </w:r>
            <w:r>
              <w:rPr>
                <w:rFonts w:hint="eastAsia" w:ascii="幼圆" w:eastAsia="幼圆"/>
                <w:b/>
                <w:color w:val="000000"/>
                <w:sz w:val="24"/>
                <w:vertAlign w:val="superscript"/>
              </w:rPr>
              <w:t>2</w:t>
            </w:r>
            <w:r>
              <w:rPr>
                <w:rFonts w:hint="eastAsia" w:ascii="幼圆" w:eastAsia="幼圆"/>
                <w:b/>
                <w:color w:val="000000"/>
                <w:sz w:val="24"/>
              </w:rPr>
              <w:t>≤超市面积＜1000m</w:t>
            </w:r>
            <w:r>
              <w:rPr>
                <w:rFonts w:hint="eastAsia" w:ascii="幼圆" w:eastAsia="幼圆"/>
                <w:b/>
                <w:color w:val="000000"/>
                <w:sz w:val="24"/>
                <w:vertAlign w:val="superscript"/>
              </w:rPr>
              <w:t>2</w:t>
            </w:r>
          </w:p>
        </w:tc>
      </w:tr>
      <w:tr w14:paraId="495A6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664" w:hRule="atLeast"/>
        </w:trPr>
        <w:tc>
          <w:tcPr>
            <w:tcW w:w="560" w:type="pct"/>
            <w:noWrap w:val="0"/>
            <w:vAlign w:val="center"/>
          </w:tcPr>
          <w:p w14:paraId="24901172">
            <w:pPr>
              <w:jc w:val="center"/>
              <w:rPr>
                <w:rFonts w:hint="eastAsia" w:ascii="幼圆" w:eastAsia="幼圆"/>
                <w:b/>
                <w:color w:val="000000"/>
                <w:sz w:val="24"/>
              </w:rPr>
            </w:pPr>
            <w:r>
              <w:rPr>
                <w:rFonts w:hint="eastAsia" w:ascii="幼圆" w:eastAsia="幼圆"/>
                <w:b/>
                <w:color w:val="000000"/>
                <w:sz w:val="24"/>
              </w:rPr>
              <w:t>生鲜面积比例</w:t>
            </w:r>
          </w:p>
        </w:tc>
        <w:tc>
          <w:tcPr>
            <w:tcW w:w="1028" w:type="pct"/>
            <w:noWrap w:val="0"/>
            <w:vAlign w:val="center"/>
          </w:tcPr>
          <w:p w14:paraId="5096D001">
            <w:pPr>
              <w:jc w:val="center"/>
              <w:rPr>
                <w:rFonts w:hint="eastAsia" w:ascii="幼圆" w:eastAsia="幼圆"/>
                <w:color w:val="000000"/>
                <w:sz w:val="24"/>
              </w:rPr>
            </w:pPr>
            <w:r>
              <w:rPr>
                <w:rFonts w:hint="eastAsia" w:ascii="幼圆" w:eastAsia="幼圆"/>
                <w:color w:val="000000"/>
                <w:sz w:val="24"/>
              </w:rPr>
              <w:t>≥10%</w:t>
            </w:r>
          </w:p>
        </w:tc>
        <w:tc>
          <w:tcPr>
            <w:tcW w:w="853" w:type="pct"/>
            <w:noWrap w:val="0"/>
            <w:vAlign w:val="center"/>
          </w:tcPr>
          <w:p w14:paraId="30FA84B4">
            <w:pPr>
              <w:jc w:val="center"/>
              <w:rPr>
                <w:rFonts w:hint="eastAsia" w:ascii="幼圆" w:eastAsia="幼圆"/>
                <w:color w:val="000000"/>
                <w:sz w:val="24"/>
              </w:rPr>
            </w:pPr>
            <w:r>
              <w:rPr>
                <w:rFonts w:hint="eastAsia" w:ascii="幼圆" w:eastAsia="幼圆"/>
                <w:color w:val="000000"/>
                <w:sz w:val="24"/>
              </w:rPr>
              <w:t>≥15%</w:t>
            </w:r>
          </w:p>
        </w:tc>
        <w:tc>
          <w:tcPr>
            <w:tcW w:w="853" w:type="pct"/>
            <w:noWrap w:val="0"/>
            <w:vAlign w:val="center"/>
          </w:tcPr>
          <w:p w14:paraId="70EC0F7A">
            <w:pPr>
              <w:jc w:val="center"/>
              <w:rPr>
                <w:rFonts w:hint="eastAsia" w:ascii="幼圆" w:eastAsia="幼圆"/>
                <w:color w:val="000000"/>
                <w:sz w:val="24"/>
              </w:rPr>
            </w:pPr>
            <w:r>
              <w:rPr>
                <w:rFonts w:hint="eastAsia" w:ascii="幼圆" w:eastAsia="幼圆"/>
                <w:color w:val="000000"/>
                <w:sz w:val="24"/>
              </w:rPr>
              <w:t>≥20%</w:t>
            </w:r>
          </w:p>
        </w:tc>
        <w:tc>
          <w:tcPr>
            <w:tcW w:w="853" w:type="pct"/>
            <w:noWrap w:val="0"/>
            <w:vAlign w:val="center"/>
          </w:tcPr>
          <w:p w14:paraId="41CF0107">
            <w:pPr>
              <w:jc w:val="center"/>
              <w:rPr>
                <w:rFonts w:hint="eastAsia" w:ascii="幼圆" w:eastAsia="幼圆"/>
                <w:color w:val="000000"/>
                <w:sz w:val="24"/>
              </w:rPr>
            </w:pPr>
            <w:r>
              <w:rPr>
                <w:rFonts w:hint="eastAsia" w:ascii="幼圆" w:eastAsia="幼圆"/>
                <w:color w:val="000000"/>
                <w:sz w:val="24"/>
              </w:rPr>
              <w:t>≥25%</w:t>
            </w:r>
          </w:p>
        </w:tc>
        <w:tc>
          <w:tcPr>
            <w:tcW w:w="852" w:type="pct"/>
            <w:noWrap w:val="0"/>
            <w:vAlign w:val="center"/>
          </w:tcPr>
          <w:p w14:paraId="4AFBF17E">
            <w:pPr>
              <w:jc w:val="center"/>
              <w:rPr>
                <w:rFonts w:hint="eastAsia" w:ascii="幼圆" w:eastAsia="幼圆"/>
                <w:color w:val="000000"/>
                <w:sz w:val="24"/>
              </w:rPr>
            </w:pPr>
            <w:r>
              <w:rPr>
                <w:rFonts w:hint="eastAsia" w:ascii="幼圆" w:eastAsia="幼圆"/>
                <w:color w:val="000000"/>
                <w:sz w:val="24"/>
              </w:rPr>
              <w:t>≥30%</w:t>
            </w:r>
          </w:p>
        </w:tc>
      </w:tr>
    </w:tbl>
    <w:p w14:paraId="29628192">
      <w:pPr>
        <w:snapToGrid w:val="0"/>
        <w:spacing w:after="120" w:afterLines="50" w:line="300" w:lineRule="auto"/>
        <w:rPr>
          <w:rFonts w:hint="eastAsia" w:ascii="幼圆" w:eastAsia="幼圆"/>
          <w:color w:val="000000"/>
          <w:sz w:val="24"/>
        </w:rPr>
      </w:pPr>
    </w:p>
    <w:p w14:paraId="18EA6DAD">
      <w:pPr>
        <w:pStyle w:val="4"/>
        <w:numPr>
          <w:ilvl w:val="0"/>
          <w:numId w:val="1"/>
        </w:numPr>
        <w:spacing w:before="0" w:after="48" w:afterLines="20" w:line="288" w:lineRule="auto"/>
        <w:rPr>
          <w:rFonts w:hint="eastAsia" w:ascii="微软雅黑" w:hAnsi="微软雅黑" w:eastAsia="微软雅黑"/>
          <w:color w:val="000000"/>
        </w:rPr>
      </w:pPr>
      <w:bookmarkStart w:id="65" w:name="_Toc16822"/>
      <w:r>
        <w:rPr>
          <w:rFonts w:hint="eastAsia" w:ascii="微软雅黑" w:hAnsi="微软雅黑" w:eastAsia="微软雅黑"/>
          <w:color w:val="000000"/>
        </w:rPr>
        <w:t>市域农贸市场发展布局</w:t>
      </w:r>
      <w:bookmarkEnd w:id="65"/>
    </w:p>
    <w:p w14:paraId="5F4B7BB6">
      <w:pPr>
        <w:spacing w:after="120" w:afterLines="50" w:line="360" w:lineRule="auto"/>
        <w:ind w:firstLine="480" w:firstLineChars="200"/>
        <w:rPr>
          <w:rFonts w:hint="eastAsia" w:ascii="幼圆" w:eastAsia="幼圆"/>
          <w:color w:val="000000"/>
          <w:sz w:val="24"/>
        </w:rPr>
      </w:pPr>
      <w:r>
        <w:rPr>
          <w:rFonts w:hint="eastAsia" w:ascii="幼圆" w:eastAsia="幼圆"/>
          <w:color w:val="000000"/>
          <w:sz w:val="24"/>
        </w:rPr>
        <w:t>规划根据城镇发展建设，配套相应的农贸市场及生鲜超市，覆盖城镇服务人群。规划要求传统型农贸市场新建与改造提质相结合，加快推广生鲜超市，加强农贸市场的监督管理。保持农贸市场在发展过程中总量适度，结构上业态丰富、配套齐全、功能完善，布局上充分覆盖。</w:t>
      </w:r>
    </w:p>
    <w:p w14:paraId="5BAE8544">
      <w:pPr>
        <w:spacing w:after="120" w:afterLines="50" w:line="360" w:lineRule="auto"/>
        <w:ind w:firstLine="480" w:firstLineChars="200"/>
        <w:rPr>
          <w:rFonts w:hint="eastAsia" w:ascii="幼圆" w:eastAsia="幼圆"/>
          <w:color w:val="000000"/>
          <w:sz w:val="24"/>
        </w:rPr>
      </w:pPr>
      <w:r>
        <w:rPr>
          <w:rFonts w:hint="eastAsia" w:ascii="幼圆" w:eastAsia="幼圆"/>
          <w:color w:val="000000"/>
          <w:sz w:val="24"/>
        </w:rPr>
        <w:t>发展新型生鲜超市商业形态，结合目前电商发展趋势，生鲜超市与电商结合，实现生鲜产品周边区域即时配送，丰富超市服务及经营形态，使超市布局和经营</w:t>
      </w:r>
      <w:r>
        <w:rPr>
          <w:rFonts w:hint="eastAsia" w:ascii="幼圆" w:eastAsia="幼圆"/>
          <w:color w:val="000000"/>
          <w:sz w:val="24"/>
          <w:lang w:eastAsia="zh-CN"/>
        </w:rPr>
        <w:t>更</w:t>
      </w:r>
      <w:r>
        <w:rPr>
          <w:rFonts w:hint="eastAsia" w:ascii="幼圆" w:eastAsia="幼圆"/>
          <w:color w:val="000000"/>
          <w:sz w:val="24"/>
        </w:rPr>
        <w:t>灵活、多元化。</w:t>
      </w:r>
    </w:p>
    <w:p w14:paraId="1D04C525">
      <w:pPr>
        <w:pStyle w:val="4"/>
        <w:numPr>
          <w:ilvl w:val="0"/>
          <w:numId w:val="1"/>
        </w:numPr>
        <w:spacing w:before="0" w:after="48" w:afterLines="20" w:line="288" w:lineRule="auto"/>
        <w:rPr>
          <w:rFonts w:hint="eastAsia" w:ascii="微软雅黑" w:hAnsi="微软雅黑" w:eastAsia="微软雅黑"/>
          <w:color w:val="000000"/>
        </w:rPr>
      </w:pPr>
      <w:bookmarkStart w:id="66" w:name="_Toc25494"/>
      <w:r>
        <w:rPr>
          <w:rFonts w:hint="eastAsia" w:ascii="微软雅黑" w:hAnsi="微软雅黑" w:eastAsia="微软雅黑"/>
          <w:color w:val="000000"/>
        </w:rPr>
        <w:t>中心城区农贸市场发展布局</w:t>
      </w:r>
      <w:bookmarkEnd w:id="66"/>
    </w:p>
    <w:p w14:paraId="71C32F4E">
      <w:pPr>
        <w:numPr>
          <w:ilvl w:val="0"/>
          <w:numId w:val="20"/>
        </w:numPr>
        <w:snapToGrid w:val="0"/>
        <w:spacing w:after="120" w:afterLines="50" w:line="300" w:lineRule="auto"/>
        <w:rPr>
          <w:rFonts w:hint="eastAsia" w:ascii="幼圆" w:eastAsia="幼圆"/>
          <w:color w:val="000000"/>
          <w:sz w:val="24"/>
        </w:rPr>
      </w:pPr>
      <w:r>
        <w:rPr>
          <w:rFonts w:hint="eastAsia" w:ascii="幼圆" w:eastAsia="幼圆"/>
          <w:color w:val="000000"/>
          <w:sz w:val="24"/>
        </w:rPr>
        <w:t>根据“农贸市场（生鲜超市）配置标准”的要求，中心城区共规划安排农贸市场</w:t>
      </w:r>
      <w:r>
        <w:rPr>
          <w:rFonts w:hint="eastAsia" w:ascii="幼圆" w:eastAsia="幼圆"/>
          <w:color w:val="000000"/>
          <w:sz w:val="24"/>
          <w:lang w:val="en-US" w:eastAsia="zh-CN"/>
        </w:rPr>
        <w:t>71</w:t>
      </w:r>
      <w:r>
        <w:rPr>
          <w:rFonts w:hint="eastAsia" w:ascii="幼圆" w:eastAsia="幼圆"/>
          <w:color w:val="000000"/>
          <w:sz w:val="24"/>
        </w:rPr>
        <w:t>处，</w:t>
      </w:r>
      <w:r>
        <w:rPr>
          <w:rFonts w:hint="eastAsia" w:ascii="幼圆" w:eastAsia="幼圆"/>
          <w:sz w:val="24"/>
        </w:rPr>
        <w:t>其中新建42处，提质改造29处。其中，规划农贸市场以传统农贸市场为主，共安排48处，生鲜超市23处；规划近期建设农贸市场（生鲜超市）44处，远期建设27处。</w:t>
      </w:r>
    </w:p>
    <w:p w14:paraId="6B591747">
      <w:pPr>
        <w:numPr>
          <w:ilvl w:val="0"/>
          <w:numId w:val="20"/>
        </w:numPr>
        <w:snapToGrid w:val="0"/>
        <w:spacing w:after="120" w:afterLines="50" w:line="300" w:lineRule="auto"/>
        <w:rPr>
          <w:rFonts w:hint="eastAsia" w:ascii="幼圆" w:eastAsia="幼圆"/>
          <w:color w:val="000000"/>
          <w:sz w:val="24"/>
        </w:rPr>
      </w:pPr>
      <w:r>
        <w:rPr>
          <w:rFonts w:hint="eastAsia" w:ascii="幼圆" w:eastAsia="幼圆"/>
          <w:color w:val="000000"/>
          <w:sz w:val="24"/>
        </w:rPr>
        <w:t>中心城区农贸市场</w:t>
      </w:r>
      <w:r>
        <w:rPr>
          <w:rFonts w:hint="eastAsia" w:ascii="幼圆" w:hAnsi="宋体" w:eastAsia="幼圆"/>
          <w:color w:val="000000"/>
          <w:sz w:val="24"/>
        </w:rPr>
        <w:t>按附表</w:t>
      </w:r>
      <w:r>
        <w:rPr>
          <w:rFonts w:hint="eastAsia" w:ascii="幼圆" w:hAnsi="宋体" w:eastAsia="幼圆"/>
          <w:color w:val="000000"/>
          <w:sz w:val="24"/>
          <w:lang w:val="en-US" w:eastAsia="zh-CN"/>
        </w:rPr>
        <w:t>9</w:t>
      </w:r>
      <w:r>
        <w:rPr>
          <w:rFonts w:hint="eastAsia" w:ascii="幼圆" w:hAnsi="宋体" w:eastAsia="幼圆"/>
          <w:color w:val="000000"/>
          <w:sz w:val="24"/>
        </w:rPr>
        <w:t>进行规划布局。</w:t>
      </w:r>
    </w:p>
    <w:p w14:paraId="3CA4B6E6">
      <w:pPr>
        <w:snapToGrid w:val="0"/>
        <w:spacing w:after="120" w:afterLines="50" w:line="300" w:lineRule="auto"/>
        <w:rPr>
          <w:rFonts w:hint="eastAsia" w:ascii="幼圆" w:eastAsia="幼圆"/>
          <w:color w:val="000000"/>
          <w:sz w:val="24"/>
        </w:rPr>
        <w:sectPr>
          <w:pgSz w:w="23814" w:h="16840" w:orient="landscape"/>
          <w:pgMar w:top="1985" w:right="1985" w:bottom="1985" w:left="1985" w:header="851" w:footer="992" w:gutter="0"/>
          <w:pgNumType w:fmt="decimal"/>
          <w:cols w:space="630" w:num="2"/>
          <w:docGrid w:linePitch="312" w:charSpace="0"/>
        </w:sectPr>
      </w:pPr>
    </w:p>
    <w:p w14:paraId="40723D0F">
      <w:pPr>
        <w:pStyle w:val="2"/>
        <w:spacing w:before="240" w:after="240" w:line="360" w:lineRule="auto"/>
        <w:rPr>
          <w:rFonts w:hint="eastAsia" w:ascii="华文中宋" w:hAnsi="华文中宋" w:eastAsia="华文中宋"/>
          <w:color w:val="000000"/>
        </w:rPr>
      </w:pPr>
      <w:bookmarkStart w:id="67" w:name="_Toc21657"/>
      <w:r>
        <w:rPr>
          <w:rFonts w:hint="eastAsia" w:ascii="华文中宋" w:hAnsi="华文中宋" w:eastAsia="华文中宋"/>
          <w:color w:val="000000"/>
        </w:rPr>
        <w:t>第</w:t>
      </w:r>
      <w:r>
        <w:rPr>
          <w:rFonts w:hint="eastAsia" w:ascii="华文中宋" w:hAnsi="华文中宋" w:eastAsia="华文中宋"/>
          <w:color w:val="000000"/>
          <w:lang w:val="en-US" w:eastAsia="zh-CN"/>
        </w:rPr>
        <w:t>六</w:t>
      </w:r>
      <w:r>
        <w:rPr>
          <w:rFonts w:hint="eastAsia" w:ascii="华文中宋" w:hAnsi="华文中宋" w:eastAsia="华文中宋"/>
          <w:color w:val="000000"/>
        </w:rPr>
        <w:t xml:space="preserve">章 </w:t>
      </w:r>
      <w:r>
        <w:rPr>
          <w:rFonts w:hint="eastAsia" w:ascii="华文中宋" w:hAnsi="华文中宋" w:eastAsia="华文中宋"/>
          <w:color w:val="000000"/>
          <w:lang w:val="en-US" w:eastAsia="zh-CN"/>
        </w:rPr>
        <w:t>中心城区</w:t>
      </w:r>
      <w:r>
        <w:rPr>
          <w:rFonts w:hint="eastAsia" w:ascii="华文中宋" w:hAnsi="华文中宋" w:eastAsia="华文中宋"/>
          <w:color w:val="000000"/>
        </w:rPr>
        <w:t>专业（交易）市场发展规划</w:t>
      </w:r>
      <w:bookmarkEnd w:id="67"/>
    </w:p>
    <w:p w14:paraId="418851ED">
      <w:pPr>
        <w:pStyle w:val="4"/>
        <w:numPr>
          <w:ilvl w:val="0"/>
          <w:numId w:val="1"/>
        </w:numPr>
        <w:spacing w:before="0" w:after="48" w:afterLines="20" w:line="288" w:lineRule="auto"/>
        <w:rPr>
          <w:rFonts w:hint="eastAsia" w:ascii="微软雅黑" w:hAnsi="微软雅黑" w:eastAsia="微软雅黑"/>
          <w:color w:val="000000"/>
        </w:rPr>
      </w:pPr>
      <w:bookmarkStart w:id="68" w:name="_Toc32217"/>
      <w:r>
        <w:rPr>
          <w:rFonts w:hint="eastAsia" w:ascii="微软雅黑" w:hAnsi="微软雅黑" w:eastAsia="微软雅黑"/>
          <w:color w:val="000000"/>
        </w:rPr>
        <w:t>中心城区专业（交易）市场布局体系</w:t>
      </w:r>
      <w:bookmarkEnd w:id="68"/>
    </w:p>
    <w:p w14:paraId="7FEBD0F1">
      <w:pPr>
        <w:numPr>
          <w:ilvl w:val="0"/>
          <w:numId w:val="21"/>
        </w:numPr>
        <w:snapToGrid w:val="0"/>
        <w:spacing w:after="120" w:afterLines="50" w:line="300" w:lineRule="auto"/>
        <w:rPr>
          <w:rFonts w:hint="eastAsia" w:ascii="幼圆" w:eastAsia="幼圆"/>
          <w:color w:val="000000"/>
          <w:sz w:val="24"/>
        </w:rPr>
      </w:pPr>
      <w:r>
        <w:rPr>
          <w:rFonts w:hint="eastAsia" w:ascii="幼圆" w:eastAsia="幼圆"/>
          <w:sz w:val="24"/>
        </w:rPr>
        <w:t>结合专业（交易）市场的现状分布、未来城市建设发展的方向以及商品消费需求空间分布特点，在汕尾中心城区内构筑</w:t>
      </w:r>
      <w:r>
        <w:rPr>
          <w:rFonts w:hint="eastAsia" w:ascii="幼圆" w:eastAsia="幼圆"/>
          <w:b/>
          <w:sz w:val="24"/>
        </w:rPr>
        <w:t>“两轴</w:t>
      </w:r>
      <w:r>
        <w:rPr>
          <w:rFonts w:hint="eastAsia" w:ascii="幼圆" w:eastAsia="幼圆"/>
          <w:b/>
          <w:sz w:val="24"/>
          <w:lang w:eastAsia="zh-CN"/>
        </w:rPr>
        <w:t>、</w:t>
      </w:r>
      <w:r>
        <w:rPr>
          <w:rFonts w:hint="eastAsia" w:ascii="幼圆" w:eastAsia="幼圆"/>
          <w:b/>
          <w:sz w:val="24"/>
        </w:rPr>
        <w:t>一心</w:t>
      </w:r>
      <w:r>
        <w:rPr>
          <w:rFonts w:hint="eastAsia" w:ascii="幼圆" w:eastAsia="幼圆"/>
          <w:b/>
          <w:sz w:val="24"/>
          <w:lang w:eastAsia="zh-CN"/>
        </w:rPr>
        <w:t>、</w:t>
      </w:r>
      <w:r>
        <w:rPr>
          <w:rFonts w:hint="eastAsia" w:ascii="幼圆" w:eastAsia="幼圆"/>
          <w:b/>
          <w:sz w:val="24"/>
        </w:rPr>
        <w:t>三点”</w:t>
      </w:r>
      <w:r>
        <w:rPr>
          <w:rFonts w:hint="eastAsia" w:ascii="幼圆" w:eastAsia="幼圆"/>
          <w:sz w:val="24"/>
        </w:rPr>
        <w:t>的专业（交易）市场布局格局</w:t>
      </w:r>
      <w:r>
        <w:rPr>
          <w:rFonts w:hint="eastAsia" w:ascii="幼圆" w:eastAsia="幼圆"/>
          <w:color w:val="000000"/>
          <w:sz w:val="24"/>
        </w:rPr>
        <w:t>。其中：</w:t>
      </w:r>
    </w:p>
    <w:p w14:paraId="44728D3F">
      <w:pPr>
        <w:numPr>
          <w:ilvl w:val="0"/>
          <w:numId w:val="22"/>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“两轴”：为依托中心城区的铁路及高快速网络形成的2条专业（交易）市场发展轴；</w:t>
      </w:r>
    </w:p>
    <w:p w14:paraId="5C2E3E76">
      <w:pPr>
        <w:numPr>
          <w:ilvl w:val="0"/>
          <w:numId w:val="22"/>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“一心”：为依托汕尾站而形成的汕尾站综合专业（交易）市场集聚中心</w:t>
      </w:r>
      <w:r>
        <w:rPr>
          <w:rFonts w:hint="eastAsia" w:ascii="幼圆" w:hAnsi="Times New Roman" w:eastAsia="幼圆" w:cs="Times New Roman"/>
          <w:color w:val="000000"/>
          <w:sz w:val="24"/>
          <w:lang w:eastAsia="zh-CN"/>
        </w:rPr>
        <w:t>；</w:t>
      </w:r>
    </w:p>
    <w:p w14:paraId="5F7BF804">
      <w:pPr>
        <w:numPr>
          <w:ilvl w:val="0"/>
          <w:numId w:val="22"/>
        </w:numPr>
        <w:snapToGrid w:val="0"/>
        <w:spacing w:after="120" w:afterLines="50" w:line="300" w:lineRule="auto"/>
        <w:rPr>
          <w:rFonts w:hint="eastAsia" w:ascii="幼圆" w:eastAsia="幼圆"/>
          <w:color w:val="000000"/>
          <w:sz w:val="24"/>
        </w:rPr>
      </w:pPr>
      <w:r>
        <w:rPr>
          <w:rFonts w:hint="eastAsia" w:ascii="幼圆" w:hAnsi="Times New Roman" w:eastAsia="幼圆" w:cs="Times New Roman"/>
          <w:color w:val="000000"/>
          <w:sz w:val="24"/>
        </w:rPr>
        <w:t>“三点”：为3个专业（交易）市场节点，包括：以汕尾新港临港物流园区为基础，形成的汕尾新港大宗物资专业（交易）市场节点；以汕尾渔港为基础，形成的马宫专业（交易）市场节点；</w:t>
      </w:r>
      <w:r>
        <w:rPr>
          <w:rFonts w:hint="eastAsia" w:ascii="幼圆" w:eastAsia="幼圆"/>
          <w:sz w:val="24"/>
        </w:rPr>
        <w:t>以红草产业园的汽车商贸为基础，形成的红草产业园专业（交易）市场节点</w:t>
      </w:r>
      <w:r>
        <w:rPr>
          <w:rFonts w:hint="eastAsia" w:ascii="幼圆" w:eastAsia="幼圆"/>
          <w:sz w:val="24"/>
          <w:lang w:eastAsia="zh-CN"/>
        </w:rPr>
        <w:t>。</w:t>
      </w:r>
    </w:p>
    <w:p w14:paraId="62060D1E">
      <w:pPr>
        <w:numPr>
          <w:ilvl w:val="0"/>
          <w:numId w:val="21"/>
        </w:numPr>
        <w:snapToGrid w:val="0"/>
        <w:spacing w:after="120" w:afterLines="50" w:line="300" w:lineRule="auto"/>
        <w:rPr>
          <w:rFonts w:hint="eastAsia" w:ascii="幼圆" w:eastAsia="幼圆"/>
          <w:color w:val="000000"/>
          <w:sz w:val="24"/>
        </w:rPr>
      </w:pPr>
      <w:r>
        <w:rPr>
          <w:rFonts w:hint="eastAsia" w:ascii="幼圆" w:hAnsi="Times New Roman" w:eastAsia="幼圆" w:cs="Times New Roman"/>
          <w:color w:val="000000"/>
          <w:sz w:val="24"/>
        </w:rPr>
        <w:t>中心城区专业（交</w:t>
      </w:r>
      <w:r>
        <w:rPr>
          <w:rFonts w:hint="eastAsia" w:ascii="幼圆" w:eastAsia="幼圆"/>
          <w:color w:val="000000"/>
          <w:sz w:val="24"/>
        </w:rPr>
        <w:t>易）市场规划指引按附表</w:t>
      </w:r>
      <w:r>
        <w:rPr>
          <w:rFonts w:hint="eastAsia" w:ascii="幼圆" w:eastAsia="幼圆"/>
          <w:color w:val="000000"/>
          <w:sz w:val="24"/>
          <w:lang w:val="en-US" w:eastAsia="zh-CN"/>
        </w:rPr>
        <w:t>10</w:t>
      </w:r>
      <w:r>
        <w:rPr>
          <w:rFonts w:hint="eastAsia" w:ascii="幼圆" w:eastAsia="幼圆"/>
          <w:color w:val="000000"/>
          <w:sz w:val="24"/>
        </w:rPr>
        <w:t>进行规划布局。</w:t>
      </w:r>
    </w:p>
    <w:p w14:paraId="5478AF6C">
      <w:pPr>
        <w:pStyle w:val="4"/>
        <w:numPr>
          <w:ilvl w:val="0"/>
          <w:numId w:val="1"/>
        </w:numPr>
        <w:spacing w:before="0" w:after="48" w:afterLines="20" w:line="288" w:lineRule="auto"/>
        <w:rPr>
          <w:rFonts w:hint="eastAsia" w:ascii="微软雅黑" w:hAnsi="微软雅黑" w:eastAsia="微软雅黑"/>
          <w:color w:val="000000"/>
        </w:rPr>
      </w:pPr>
      <w:bookmarkStart w:id="69" w:name="_Toc19629"/>
      <w:r>
        <w:rPr>
          <w:rFonts w:hint="eastAsia" w:ascii="微软雅黑" w:hAnsi="微软雅黑" w:eastAsia="微软雅黑"/>
          <w:color w:val="000000"/>
        </w:rPr>
        <w:t>中心城区专业（交易）市场规划布局指引</w:t>
      </w:r>
      <w:bookmarkEnd w:id="69"/>
    </w:p>
    <w:p w14:paraId="5396827E">
      <w:pPr>
        <w:numPr>
          <w:ilvl w:val="0"/>
          <w:numId w:val="23"/>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规划在中心城区布局</w:t>
      </w:r>
      <w:r>
        <w:rPr>
          <w:rFonts w:hint="eastAsia" w:ascii="幼圆" w:hAnsi="Times New Roman" w:eastAsia="幼圆" w:cs="Times New Roman"/>
          <w:color w:val="000000"/>
          <w:sz w:val="24"/>
          <w:lang w:val="en-US" w:eastAsia="zh-CN"/>
        </w:rPr>
        <w:t>16</w:t>
      </w:r>
      <w:r>
        <w:rPr>
          <w:rFonts w:hint="eastAsia" w:ascii="幼圆" w:hAnsi="Times New Roman" w:eastAsia="幼圆" w:cs="Times New Roman"/>
          <w:color w:val="000000"/>
          <w:sz w:val="24"/>
        </w:rPr>
        <w:t>个专业（交易）市场，总占地面积90.2公顷。其中，保留专业（交易）市场1个共4.0公顷、新建专业（交易）市场10个共80.9公顷、迁转专业（交易）市场5个共5.3公顷。</w:t>
      </w:r>
    </w:p>
    <w:p w14:paraId="1AE0C26F">
      <w:pPr>
        <w:numPr>
          <w:ilvl w:val="0"/>
          <w:numId w:val="23"/>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中心城区专业（交易）市场规划布局指引按附表11的要求实施规划控制。</w:t>
      </w:r>
    </w:p>
    <w:p w14:paraId="111B05AC">
      <w:pPr>
        <w:rPr>
          <w:rFonts w:hint="eastAsia"/>
          <w:color w:val="000000"/>
        </w:rPr>
        <w:sectPr>
          <w:pgSz w:w="23814" w:h="16840" w:orient="landscape"/>
          <w:pgMar w:top="1985" w:right="1985" w:bottom="1985" w:left="1985" w:header="851" w:footer="992" w:gutter="0"/>
          <w:pgNumType w:fmt="decimal"/>
          <w:cols w:space="630" w:num="2"/>
          <w:docGrid w:linePitch="312" w:charSpace="0"/>
        </w:sectPr>
      </w:pPr>
    </w:p>
    <w:p w14:paraId="22317959">
      <w:pPr>
        <w:pStyle w:val="2"/>
        <w:spacing w:before="240" w:after="240" w:line="360" w:lineRule="auto"/>
        <w:rPr>
          <w:rFonts w:hint="eastAsia" w:ascii="华文中宋" w:hAnsi="华文中宋" w:eastAsia="华文中宋"/>
          <w:color w:val="000000"/>
        </w:rPr>
      </w:pPr>
      <w:bookmarkStart w:id="70" w:name="_Toc548"/>
      <w:r>
        <w:rPr>
          <w:rFonts w:hint="eastAsia" w:ascii="华文中宋" w:hAnsi="华文中宋" w:eastAsia="华文中宋"/>
          <w:color w:val="000000"/>
        </w:rPr>
        <w:t>第</w:t>
      </w:r>
      <w:r>
        <w:rPr>
          <w:rFonts w:hint="eastAsia" w:ascii="华文中宋" w:hAnsi="华文中宋" w:eastAsia="华文中宋"/>
          <w:color w:val="000000"/>
          <w:lang w:val="en-US" w:eastAsia="zh-CN"/>
        </w:rPr>
        <w:t>七</w:t>
      </w:r>
      <w:r>
        <w:rPr>
          <w:rFonts w:hint="eastAsia" w:ascii="华文中宋" w:hAnsi="华文中宋" w:eastAsia="华文中宋"/>
          <w:color w:val="000000"/>
        </w:rPr>
        <w:t>章 其他网点规划</w:t>
      </w:r>
      <w:bookmarkEnd w:id="70"/>
    </w:p>
    <w:p w14:paraId="13161C6A">
      <w:pPr>
        <w:pStyle w:val="4"/>
        <w:numPr>
          <w:ilvl w:val="0"/>
          <w:numId w:val="1"/>
        </w:numPr>
        <w:spacing w:before="0" w:after="48" w:afterLines="20" w:line="288" w:lineRule="auto"/>
        <w:rPr>
          <w:rFonts w:hint="eastAsia" w:ascii="华文中宋" w:hAnsi="华文中宋" w:eastAsia="华文中宋"/>
          <w:color w:val="000000"/>
          <w:sz w:val="36"/>
          <w:szCs w:val="36"/>
        </w:rPr>
      </w:pPr>
      <w:bookmarkStart w:id="71" w:name="_Toc14040"/>
      <w:r>
        <w:rPr>
          <w:rFonts w:hint="eastAsia" w:ascii="华文中宋" w:hAnsi="华文中宋" w:eastAsia="华文中宋"/>
          <w:color w:val="000000"/>
          <w:sz w:val="36"/>
          <w:szCs w:val="36"/>
        </w:rPr>
        <w:t>旅宿宾馆网点规划</w:t>
      </w:r>
      <w:bookmarkEnd w:id="71"/>
    </w:p>
    <w:p w14:paraId="442EE3C0">
      <w:pPr>
        <w:numPr>
          <w:ilvl w:val="0"/>
          <w:numId w:val="24"/>
        </w:numPr>
        <w:snapToGrid w:val="0"/>
        <w:spacing w:after="120" w:afterLines="50" w:line="300" w:lineRule="auto"/>
        <w:rPr>
          <w:rFonts w:hint="eastAsia" w:ascii="幼圆" w:hAnsi="Times New Roman" w:eastAsia="幼圆" w:cs="Times New Roman"/>
          <w:color w:val="000000"/>
          <w:sz w:val="24"/>
        </w:rPr>
      </w:pPr>
      <w:r>
        <w:rPr>
          <w:rFonts w:hint="eastAsia" w:ascii="幼圆" w:eastAsia="幼圆"/>
          <w:color w:val="000000"/>
          <w:sz w:val="24"/>
        </w:rPr>
        <w:t>预计203</w:t>
      </w:r>
      <w:r>
        <w:rPr>
          <w:rFonts w:hint="eastAsia" w:ascii="幼圆" w:eastAsia="幼圆"/>
          <w:color w:val="000000"/>
          <w:sz w:val="24"/>
          <w:lang w:val="en-US" w:eastAsia="zh-CN"/>
        </w:rPr>
        <w:t>5</w:t>
      </w:r>
      <w:r>
        <w:rPr>
          <w:rFonts w:hint="eastAsia" w:ascii="幼圆" w:eastAsia="幼圆"/>
          <w:color w:val="000000"/>
          <w:sz w:val="24"/>
        </w:rPr>
        <w:t>年汕尾市饭店用地面积需求</w:t>
      </w:r>
      <w:r>
        <w:rPr>
          <w:rFonts w:hint="eastAsia" w:ascii="幼圆" w:hAnsi="Times New Roman" w:eastAsia="幼圆" w:cs="Times New Roman"/>
          <w:color w:val="000000"/>
          <w:sz w:val="24"/>
        </w:rPr>
        <w:t>至少约402.5公顷。五星级饭店、四星级饭店、三星级及以下饭店需求量分别约为18处、70处、260处。</w:t>
      </w:r>
    </w:p>
    <w:p w14:paraId="20497681">
      <w:pPr>
        <w:numPr>
          <w:ilvl w:val="0"/>
          <w:numId w:val="24"/>
        </w:numPr>
        <w:spacing w:after="120" w:afterLines="50" w:line="360" w:lineRule="auto"/>
        <w:rPr>
          <w:rFonts w:hint="eastAsia" w:ascii="幼圆" w:eastAsia="幼圆"/>
          <w:color w:val="000000"/>
          <w:sz w:val="24"/>
        </w:rPr>
      </w:pPr>
      <w:r>
        <w:rPr>
          <w:rFonts w:hint="eastAsia" w:ascii="幼圆" w:eastAsia="幼圆"/>
          <w:sz w:val="24"/>
        </w:rPr>
        <w:t>中心城区共安排各级饭店共348处，其中，五星级、四星级、三星级及以下分别为18处、70处、260处。</w:t>
      </w:r>
    </w:p>
    <w:p w14:paraId="6C7D36CC">
      <w:pPr>
        <w:numPr>
          <w:ilvl w:val="0"/>
          <w:numId w:val="24"/>
        </w:numPr>
        <w:spacing w:after="120" w:afterLines="50" w:line="360" w:lineRule="auto"/>
        <w:rPr>
          <w:rFonts w:hint="eastAsia" w:ascii="幼圆" w:eastAsia="幼圆"/>
          <w:color w:val="000000"/>
          <w:sz w:val="24"/>
        </w:rPr>
      </w:pPr>
      <w:r>
        <w:rPr>
          <w:rFonts w:hint="eastAsia" w:ascii="幼圆" w:eastAsia="幼圆"/>
          <w:sz w:val="24"/>
        </w:rPr>
        <w:t>规划布局两处综合旅宿宾馆集聚区、一处商务旅宿宾馆集聚区、两处旅游旅宿宾馆集聚区。</w:t>
      </w:r>
    </w:p>
    <w:p w14:paraId="7D03E8CE">
      <w:pPr>
        <w:numPr>
          <w:ilvl w:val="0"/>
          <w:numId w:val="25"/>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主城区旅宿宾馆集聚区：依托主城区旅游资源、商业商务需求，设置旅游观光酒店以及商务饭店。</w:t>
      </w:r>
    </w:p>
    <w:p w14:paraId="589396F6">
      <w:pPr>
        <w:numPr>
          <w:ilvl w:val="0"/>
          <w:numId w:val="25"/>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品清湖旅宿宾馆集聚区：为品清湖新城商务发展服务的商务酒店以及品清湖旅游资源服务的旅游度假酒店。</w:t>
      </w:r>
    </w:p>
    <w:p w14:paraId="7FFAC9C4">
      <w:pPr>
        <w:numPr>
          <w:ilvl w:val="0"/>
          <w:numId w:val="25"/>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站前商务旅宿宾馆集聚区：主要为汕尾站商务客流服务的商务酒店。</w:t>
      </w:r>
    </w:p>
    <w:p w14:paraId="052232C3">
      <w:pPr>
        <w:numPr>
          <w:ilvl w:val="0"/>
          <w:numId w:val="25"/>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金町湾沙滩度假旅宿宾馆集聚区：主要为滨海、沙滩休闲度假旅游酒店。</w:t>
      </w:r>
    </w:p>
    <w:p w14:paraId="58DFCE94">
      <w:pPr>
        <w:numPr>
          <w:ilvl w:val="0"/>
          <w:numId w:val="25"/>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红海湾滨海旅游旅宿宾馆集聚区：主要为红海湾滨海旅游休闲度假酒店。</w:t>
      </w:r>
    </w:p>
    <w:p w14:paraId="78D2F982">
      <w:pPr>
        <w:pStyle w:val="4"/>
        <w:numPr>
          <w:ilvl w:val="0"/>
          <w:numId w:val="1"/>
        </w:numPr>
        <w:spacing w:before="0" w:after="48" w:afterLines="20" w:line="288" w:lineRule="auto"/>
        <w:rPr>
          <w:rFonts w:hint="eastAsia" w:ascii="微软雅黑" w:hAnsi="微软雅黑" w:eastAsia="微软雅黑"/>
          <w:color w:val="000000"/>
        </w:rPr>
      </w:pPr>
      <w:bookmarkStart w:id="72" w:name="_Toc10399"/>
      <w:r>
        <w:rPr>
          <w:rFonts w:hint="eastAsia" w:ascii="华文中宋" w:hAnsi="华文中宋" w:eastAsia="华文中宋"/>
          <w:color w:val="000000"/>
          <w:sz w:val="36"/>
          <w:szCs w:val="36"/>
        </w:rPr>
        <w:t>餐饮网点发展规划</w:t>
      </w:r>
      <w:bookmarkEnd w:id="72"/>
    </w:p>
    <w:p w14:paraId="6880C72F">
      <w:pPr>
        <w:numPr>
          <w:ilvl w:val="0"/>
          <w:numId w:val="26"/>
        </w:numPr>
        <w:snapToGrid w:val="0"/>
        <w:spacing w:after="120" w:afterLines="50" w:line="300" w:lineRule="auto"/>
        <w:rPr>
          <w:rFonts w:hint="eastAsia" w:ascii="幼圆" w:eastAsia="幼圆"/>
          <w:color w:val="000000"/>
          <w:sz w:val="24"/>
        </w:rPr>
      </w:pPr>
      <w:r>
        <w:rPr>
          <w:rFonts w:hint="eastAsia" w:ascii="幼圆" w:eastAsia="幼圆"/>
          <w:color w:val="000000"/>
          <w:sz w:val="24"/>
        </w:rPr>
        <w:t>全面推进中心城区</w:t>
      </w:r>
      <w:r>
        <w:rPr>
          <w:rFonts w:hint="eastAsia" w:ascii="幼圆" w:eastAsia="幼圆"/>
          <w:sz w:val="24"/>
        </w:rPr>
        <w:t>建设5类11处餐饮集聚区</w:t>
      </w:r>
      <w:r>
        <w:rPr>
          <w:rFonts w:hint="eastAsia" w:ascii="幼圆" w:eastAsia="幼圆"/>
          <w:color w:val="000000"/>
          <w:sz w:val="24"/>
        </w:rPr>
        <w:t>、</w:t>
      </w:r>
      <w:r>
        <w:rPr>
          <w:rFonts w:hint="eastAsia" w:ascii="幼圆" w:eastAsia="幼圆"/>
          <w:color w:val="000000"/>
          <w:sz w:val="24"/>
          <w:lang w:val="en-US" w:eastAsia="zh-CN"/>
        </w:rPr>
        <w:t>7</w:t>
      </w:r>
      <w:r>
        <w:rPr>
          <w:rFonts w:hint="eastAsia" w:ascii="幼圆" w:eastAsia="幼圆"/>
          <w:color w:val="000000"/>
          <w:sz w:val="24"/>
        </w:rPr>
        <w:t>条餐饮街的建设，形成覆盖全市中心地带的便民餐饮网络。规划指引按附表</w:t>
      </w:r>
      <w:r>
        <w:rPr>
          <w:rFonts w:hint="eastAsia" w:ascii="幼圆" w:eastAsia="幼圆"/>
          <w:color w:val="000000"/>
          <w:sz w:val="24"/>
          <w:lang w:val="en-US" w:eastAsia="zh-CN"/>
        </w:rPr>
        <w:t>12</w:t>
      </w:r>
      <w:r>
        <w:rPr>
          <w:rFonts w:hint="eastAsia" w:ascii="幼圆" w:eastAsia="幼圆"/>
          <w:color w:val="000000"/>
          <w:sz w:val="24"/>
        </w:rPr>
        <w:t>进行规划布局</w:t>
      </w:r>
      <w:r>
        <w:rPr>
          <w:rFonts w:hint="eastAsia" w:ascii="幼圆" w:eastAsia="幼圆"/>
          <w:color w:val="000000"/>
          <w:sz w:val="24"/>
          <w:lang w:eastAsia="zh-CN"/>
        </w:rPr>
        <w:t>。</w:t>
      </w:r>
    </w:p>
    <w:p w14:paraId="5DCEDEAB">
      <w:pPr>
        <w:numPr>
          <w:ilvl w:val="0"/>
          <w:numId w:val="26"/>
        </w:numPr>
        <w:snapToGrid w:val="0"/>
        <w:spacing w:after="120" w:afterLines="50" w:line="300" w:lineRule="auto"/>
        <w:rPr>
          <w:rFonts w:hint="eastAsia" w:ascii="幼圆" w:eastAsia="幼圆"/>
          <w:color w:val="000000"/>
          <w:sz w:val="24"/>
        </w:rPr>
      </w:pPr>
      <w:r>
        <w:rPr>
          <w:rFonts w:hint="eastAsia" w:ascii="幼圆" w:eastAsia="幼圆"/>
          <w:color w:val="000000"/>
          <w:sz w:val="24"/>
        </w:rPr>
        <w:t>打造1-2个具有潮汕特色、融合国际潮流、辐射桂、湘、闽、赣四省周边地区甚至全国知名的地标性美食街区。发展新型餐饮，尝试将潮汕特色餐饮融入娱乐、文化体验等其他商业业态。</w:t>
      </w:r>
    </w:p>
    <w:p w14:paraId="3EE468C0">
      <w:pPr>
        <w:numPr>
          <w:ilvl w:val="0"/>
          <w:numId w:val="26"/>
        </w:numPr>
        <w:spacing w:after="120" w:afterLines="50" w:line="360" w:lineRule="auto"/>
        <w:rPr>
          <w:rFonts w:hint="eastAsia" w:ascii="幼圆" w:eastAsia="幼圆"/>
          <w:color w:val="000000"/>
          <w:sz w:val="24"/>
        </w:rPr>
      </w:pPr>
      <w:r>
        <w:rPr>
          <w:rFonts w:hint="eastAsia" w:ascii="幼圆" w:eastAsia="幼圆"/>
          <w:color w:val="000000"/>
          <w:sz w:val="24"/>
        </w:rPr>
        <w:t>重点推进年营业收入千万以上企业的培育扶持工作，力争203</w:t>
      </w:r>
      <w:r>
        <w:rPr>
          <w:rFonts w:hint="eastAsia" w:ascii="幼圆" w:eastAsia="幼圆"/>
          <w:color w:val="000000"/>
          <w:sz w:val="24"/>
          <w:lang w:val="en-US" w:eastAsia="zh-CN"/>
        </w:rPr>
        <w:t>5</w:t>
      </w:r>
      <w:r>
        <w:rPr>
          <w:rFonts w:hint="eastAsia" w:ascii="幼圆" w:eastAsia="幼圆"/>
          <w:color w:val="000000"/>
          <w:sz w:val="24"/>
        </w:rPr>
        <w:t>年形成10-20个年营业收入亿元以上、具有区域影响力的餐饮龙头企业（集团）。</w:t>
      </w:r>
    </w:p>
    <w:p w14:paraId="63F2AFD8">
      <w:pPr>
        <w:numPr>
          <w:ilvl w:val="0"/>
          <w:numId w:val="26"/>
        </w:numPr>
        <w:spacing w:after="120" w:afterLines="50" w:line="360" w:lineRule="auto"/>
        <w:rPr>
          <w:rFonts w:hint="eastAsia" w:ascii="幼圆" w:eastAsia="幼圆"/>
          <w:color w:val="000000"/>
          <w:sz w:val="24"/>
        </w:rPr>
      </w:pPr>
      <w:r>
        <w:rPr>
          <w:rFonts w:hint="eastAsia" w:ascii="幼圆" w:eastAsia="幼圆"/>
          <w:color w:val="000000"/>
          <w:sz w:val="24"/>
        </w:rPr>
        <w:t>实行连锁化、品牌化的战略模式，到203</w:t>
      </w:r>
      <w:r>
        <w:rPr>
          <w:rFonts w:hint="eastAsia" w:ascii="幼圆" w:eastAsia="幼圆"/>
          <w:color w:val="000000"/>
          <w:sz w:val="24"/>
          <w:lang w:val="en-US" w:eastAsia="zh-CN"/>
        </w:rPr>
        <w:t>5</w:t>
      </w:r>
      <w:r>
        <w:rPr>
          <w:rFonts w:hint="eastAsia" w:ascii="幼圆" w:eastAsia="幼圆"/>
          <w:color w:val="000000"/>
          <w:sz w:val="24"/>
        </w:rPr>
        <w:t>年，实现“老字号”餐饮企业、民族特色餐饮企业的全面发展，打造约10个具有区域影响力的连锁餐饮服务品牌，形成良好的品牌效应和知名度。</w:t>
      </w:r>
    </w:p>
    <w:p w14:paraId="57950250">
      <w:pPr>
        <w:numPr>
          <w:ilvl w:val="0"/>
          <w:numId w:val="26"/>
        </w:numPr>
        <w:spacing w:after="120" w:afterLines="50" w:line="360" w:lineRule="auto"/>
        <w:jc w:val="left"/>
        <w:rPr>
          <w:rFonts w:hint="eastAsia" w:ascii="幼圆" w:eastAsia="幼圆"/>
          <w:color w:val="000000"/>
          <w:sz w:val="24"/>
        </w:rPr>
      </w:pPr>
      <w:r>
        <w:rPr>
          <w:rFonts w:hint="eastAsia" w:ascii="幼圆" w:eastAsia="幼圆"/>
          <w:color w:val="000000"/>
          <w:sz w:val="24"/>
        </w:rPr>
        <w:t>社区餐饮网点主要满足居民日常饮食和家常宴会需要，属便民型公共设施，规划布局在社区人流集中、交通便利的地段，结合社区底商、商业街和生活服务设施建设。</w:t>
      </w:r>
    </w:p>
    <w:p w14:paraId="7663C9E5">
      <w:pPr>
        <w:numPr>
          <w:ilvl w:val="0"/>
          <w:numId w:val="26"/>
        </w:numPr>
        <w:spacing w:after="120" w:afterLines="50" w:line="360" w:lineRule="auto"/>
        <w:jc w:val="left"/>
        <w:rPr>
          <w:rFonts w:hint="eastAsia" w:ascii="幼圆" w:eastAsia="幼圆"/>
          <w:color w:val="000000"/>
          <w:sz w:val="24"/>
        </w:rPr>
      </w:pPr>
      <w:r>
        <w:rPr>
          <w:rFonts w:hint="eastAsia" w:ascii="幼圆" w:eastAsia="幼圆"/>
          <w:color w:val="000000"/>
          <w:sz w:val="24"/>
        </w:rPr>
        <w:t>每社区宜设置社区餐饮网点5-10处，每处宜80平方米以上，服务</w:t>
      </w:r>
      <w:r>
        <w:rPr>
          <w:rFonts w:hint="eastAsia" w:ascii="幼圆" w:eastAsia="幼圆"/>
          <w:color w:val="000000"/>
          <w:sz w:val="24"/>
          <w:lang w:eastAsia="zh-CN"/>
        </w:rPr>
        <w:t>0.5万—1万</w:t>
      </w:r>
      <w:r>
        <w:rPr>
          <w:rFonts w:hint="eastAsia" w:ascii="幼圆" w:eastAsia="幼圆"/>
          <w:color w:val="000000"/>
          <w:sz w:val="24"/>
        </w:rPr>
        <w:t>人，服务半径200-300米。</w:t>
      </w:r>
    </w:p>
    <w:p w14:paraId="750584E7">
      <w:pPr>
        <w:numPr>
          <w:ilvl w:val="0"/>
          <w:numId w:val="26"/>
        </w:numPr>
        <w:spacing w:after="120" w:afterLines="50" w:line="360" w:lineRule="auto"/>
        <w:jc w:val="left"/>
        <w:rPr>
          <w:rFonts w:hint="eastAsia" w:ascii="幼圆" w:eastAsia="幼圆"/>
          <w:color w:val="000000"/>
          <w:sz w:val="24"/>
        </w:rPr>
      </w:pPr>
      <w:r>
        <w:rPr>
          <w:rFonts w:hint="eastAsia" w:ascii="幼圆" w:eastAsia="幼圆"/>
          <w:color w:val="000000"/>
          <w:sz w:val="24"/>
        </w:rPr>
        <w:t>鼓励发展高端连锁、咖啡、连锁快餐，适宜发展普通简餐店、外卖店、小吃店以及休闲餐饮店等，限制发展酒店餐饮、酒吧。</w:t>
      </w:r>
    </w:p>
    <w:p w14:paraId="117DD3E9">
      <w:pPr>
        <w:pStyle w:val="4"/>
        <w:numPr>
          <w:ilvl w:val="0"/>
          <w:numId w:val="1"/>
        </w:numPr>
        <w:spacing w:before="0" w:after="48" w:afterLines="20" w:line="288" w:lineRule="auto"/>
        <w:rPr>
          <w:rFonts w:hint="eastAsia" w:ascii="微软雅黑" w:hAnsi="微软雅黑" w:eastAsia="微软雅黑"/>
          <w:color w:val="000000"/>
        </w:rPr>
      </w:pPr>
      <w:bookmarkStart w:id="73" w:name="_Toc13843"/>
      <w:r>
        <w:rPr>
          <w:rFonts w:hint="eastAsia" w:ascii="华文中宋" w:hAnsi="华文中宋" w:eastAsia="华文中宋"/>
          <w:color w:val="000000"/>
          <w:sz w:val="36"/>
          <w:szCs w:val="36"/>
        </w:rPr>
        <w:t>废旧物资回收网点发展规划</w:t>
      </w:r>
      <w:bookmarkEnd w:id="73"/>
    </w:p>
    <w:p w14:paraId="57D89581">
      <w:pPr>
        <w:numPr>
          <w:ilvl w:val="0"/>
          <w:numId w:val="27"/>
        </w:numPr>
        <w:spacing w:after="120" w:afterLines="50" w:line="360" w:lineRule="auto"/>
        <w:jc w:val="left"/>
        <w:rPr>
          <w:rFonts w:hint="eastAsia" w:ascii="幼圆" w:hAnsi="Times New Roman" w:eastAsia="幼圆" w:cs="Times New Roman"/>
          <w:sz w:val="24"/>
        </w:rPr>
      </w:pPr>
      <w:r>
        <w:rPr>
          <w:rFonts w:hint="eastAsia" w:ascii="幼圆" w:eastAsia="幼圆"/>
          <w:sz w:val="24"/>
        </w:rPr>
        <w:t>初步拟选址在陆</w:t>
      </w:r>
      <w:r>
        <w:rPr>
          <w:rFonts w:hint="eastAsia" w:ascii="幼圆" w:hAnsi="Times New Roman" w:eastAsia="幼圆" w:cs="Times New Roman"/>
          <w:color w:val="000000"/>
          <w:sz w:val="24"/>
        </w:rPr>
        <w:t>丰市（东南）生活垃圾焚烧发电厂周边安排一处再生资源产业园区</w:t>
      </w:r>
      <w:r>
        <w:rPr>
          <w:rFonts w:hint="eastAsia" w:ascii="幼圆" w:eastAsia="幼圆"/>
          <w:color w:val="000000"/>
          <w:sz w:val="24"/>
        </w:rPr>
        <w:t>。</w:t>
      </w:r>
      <w:r>
        <w:rPr>
          <w:rFonts w:hint="eastAsia" w:ascii="幼圆" w:eastAsia="幼圆"/>
          <w:sz w:val="24"/>
        </w:rPr>
        <w:t>再生资源产业园区应配置符合国家标准及行业管理要求的设施设备；应具备再生资源回收、加工利用</w:t>
      </w:r>
      <w:r>
        <w:rPr>
          <w:rFonts w:hint="eastAsia" w:ascii="幼圆" w:hAnsi="Times New Roman" w:eastAsia="幼圆" w:cs="Times New Roman"/>
          <w:sz w:val="24"/>
        </w:rPr>
        <w:t>、储存、交易、集散、处置为一体的多功能配置要求。</w:t>
      </w:r>
    </w:p>
    <w:p w14:paraId="1E9FABCA">
      <w:pPr>
        <w:numPr>
          <w:ilvl w:val="0"/>
          <w:numId w:val="27"/>
        </w:numPr>
        <w:spacing w:after="120" w:afterLines="50" w:line="360" w:lineRule="auto"/>
        <w:jc w:val="left"/>
        <w:rPr>
          <w:rFonts w:hint="eastAsia" w:ascii="幼圆" w:hAnsi="Times New Roman" w:eastAsia="幼圆" w:cs="Times New Roman"/>
          <w:sz w:val="24"/>
        </w:rPr>
      </w:pPr>
      <w:r>
        <w:rPr>
          <w:rFonts w:hint="eastAsia" w:ascii="幼圆" w:hAnsi="Times New Roman" w:eastAsia="幼圆" w:cs="Times New Roman"/>
          <w:sz w:val="24"/>
        </w:rPr>
        <w:t>再生资源分拣中心：规划汕尾市共24个专业型分拣中心，其中12个为规划新增。分拣中心应按照国家标准及相关行业规范配备与回收规模和工艺相适应，且符合相关标准要求的分选、拆解、剪切、破碎、清洗、打包等设备设施。</w:t>
      </w:r>
    </w:p>
    <w:p w14:paraId="0AE3F7E6">
      <w:pPr>
        <w:numPr>
          <w:ilvl w:val="0"/>
          <w:numId w:val="27"/>
        </w:numPr>
        <w:spacing w:after="120" w:afterLines="50" w:line="360" w:lineRule="auto"/>
        <w:jc w:val="left"/>
        <w:rPr>
          <w:rFonts w:hint="eastAsia" w:ascii="幼圆" w:hAnsi="Times New Roman" w:eastAsia="幼圆" w:cs="Times New Roman"/>
          <w:sz w:val="24"/>
        </w:rPr>
      </w:pPr>
      <w:r>
        <w:rPr>
          <w:rFonts w:hint="eastAsia" w:ascii="幼圆" w:hAnsi="Times New Roman" w:eastAsia="幼圆" w:cs="Times New Roman"/>
          <w:sz w:val="24"/>
        </w:rPr>
        <w:t>再生资源中转站</w:t>
      </w:r>
      <w:r>
        <w:rPr>
          <w:rFonts w:hint="eastAsia" w:ascii="幼圆" w:hAnsi="Times New Roman" w:eastAsia="幼圆" w:cs="Times New Roman"/>
          <w:sz w:val="24"/>
          <w:lang w:eastAsia="zh-CN"/>
        </w:rPr>
        <w:t>：</w:t>
      </w:r>
      <w:r>
        <w:rPr>
          <w:rFonts w:hint="eastAsia" w:ascii="幼圆" w:hAnsi="Times New Roman" w:eastAsia="幼圆" w:cs="Times New Roman"/>
          <w:sz w:val="24"/>
        </w:rPr>
        <w:t>汕尾市共规划布局91个再生资源中转站，由各县（市、区）按照“因地制宜、因需而设”原则，可根据实际情况对数量进行增减，依托生活垃圾分类处理体系，做好辖区范围内新建中转站的规划建设。</w:t>
      </w:r>
    </w:p>
    <w:p w14:paraId="6AA854CB">
      <w:pPr>
        <w:numPr>
          <w:ilvl w:val="0"/>
          <w:numId w:val="27"/>
        </w:numPr>
        <w:spacing w:after="120" w:afterLines="50" w:line="360" w:lineRule="auto"/>
        <w:jc w:val="left"/>
        <w:rPr>
          <w:rFonts w:hint="eastAsia" w:ascii="幼圆" w:hAnsi="Times New Roman" w:eastAsia="幼圆" w:cs="Times New Roman"/>
          <w:sz w:val="24"/>
        </w:rPr>
      </w:pPr>
      <w:r>
        <w:rPr>
          <w:rFonts w:hint="eastAsia" w:ascii="幼圆" w:hAnsi="Times New Roman" w:eastAsia="幼圆" w:cs="Times New Roman"/>
          <w:sz w:val="24"/>
        </w:rPr>
        <w:t>再生资源回收站：汕尾市共规划布局902个再生资源回收站，包括固定回收站和流动回收站，以固定回收站为主，流动回收站为辅，由各县（市、区）按照属地管理原则合理布局，做好辖区范围内新建回收站的规划建设。</w:t>
      </w:r>
    </w:p>
    <w:p w14:paraId="3CE9945E">
      <w:pPr>
        <w:pStyle w:val="4"/>
        <w:numPr>
          <w:ilvl w:val="0"/>
          <w:numId w:val="1"/>
        </w:numPr>
        <w:spacing w:before="0" w:after="48" w:afterLines="20" w:line="288" w:lineRule="auto"/>
        <w:rPr>
          <w:rFonts w:hint="eastAsia" w:ascii="微软雅黑" w:hAnsi="微软雅黑" w:eastAsia="微软雅黑"/>
          <w:color w:val="000000"/>
        </w:rPr>
      </w:pPr>
      <w:bookmarkStart w:id="74" w:name="_Toc28168"/>
      <w:r>
        <w:rPr>
          <w:rFonts w:hint="eastAsia" w:ascii="华文中宋" w:hAnsi="华文中宋" w:eastAsia="华文中宋"/>
          <w:sz w:val="36"/>
          <w:szCs w:val="36"/>
        </w:rPr>
        <w:t>特色商业网点布局规划</w:t>
      </w:r>
      <w:bookmarkEnd w:id="74"/>
    </w:p>
    <w:p w14:paraId="6859A5A7">
      <w:pPr>
        <w:spacing w:after="120" w:afterLines="50" w:line="360" w:lineRule="auto"/>
        <w:ind w:firstLine="480" w:firstLineChars="200"/>
        <w:rPr>
          <w:rFonts w:hint="eastAsia" w:ascii="幼圆" w:hAnsi="Times New Roman" w:eastAsia="幼圆" w:cs="Times New Roman"/>
          <w:color w:val="000000"/>
          <w:sz w:val="24"/>
        </w:rPr>
      </w:pPr>
      <w:r>
        <w:rPr>
          <w:rFonts w:hint="eastAsia" w:ascii="幼圆" w:hAnsi="Times New Roman" w:eastAsia="幼圆" w:cs="Times New Roman"/>
          <w:color w:val="000000"/>
          <w:sz w:val="24"/>
        </w:rPr>
        <w:t>规划在中心城区构建“一核、</w:t>
      </w:r>
      <w:r>
        <w:rPr>
          <w:rFonts w:hint="eastAsia" w:ascii="幼圆" w:hAnsi="Times New Roman" w:eastAsia="幼圆" w:cs="Times New Roman"/>
          <w:color w:val="000000"/>
          <w:sz w:val="24"/>
          <w:lang w:val="en-US" w:eastAsia="zh-CN"/>
        </w:rPr>
        <w:t>五</w:t>
      </w:r>
      <w:r>
        <w:rPr>
          <w:rFonts w:hint="eastAsia" w:ascii="幼圆" w:hAnsi="Times New Roman" w:eastAsia="幼圆" w:cs="Times New Roman"/>
          <w:color w:val="000000"/>
          <w:sz w:val="24"/>
        </w:rPr>
        <w:t>区、一带”的特色商业网点体系，结合旅游景区或城市公共开放空间建设配置商务、文化、娱乐、度假等多元休闲商业网点，形成多个特色商业网点集聚区。</w:t>
      </w:r>
    </w:p>
    <w:p w14:paraId="4D1D8C7B">
      <w:pPr>
        <w:numPr>
          <w:ilvl w:val="0"/>
          <w:numId w:val="28"/>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一核</w:t>
      </w:r>
      <w:r>
        <w:rPr>
          <w:rFonts w:hint="eastAsia" w:ascii="幼圆" w:hAnsi="Times New Roman" w:eastAsia="幼圆" w:cs="Times New Roman"/>
          <w:color w:val="000000"/>
          <w:sz w:val="24"/>
          <w:lang w:val="en-US" w:eastAsia="zh-CN"/>
        </w:rPr>
        <w:t>即</w:t>
      </w:r>
      <w:r>
        <w:rPr>
          <w:rFonts w:hint="eastAsia" w:ascii="幼圆" w:hAnsi="Times New Roman" w:eastAsia="幼圆" w:cs="Times New Roman"/>
          <w:color w:val="000000"/>
          <w:sz w:val="24"/>
        </w:rPr>
        <w:t>老城特色商业核心</w:t>
      </w:r>
      <w:r>
        <w:rPr>
          <w:rFonts w:hint="eastAsia" w:ascii="幼圆" w:hAnsi="Times New Roman" w:eastAsia="幼圆" w:cs="Times New Roman"/>
          <w:color w:val="000000"/>
          <w:sz w:val="24"/>
          <w:lang w:eastAsia="zh-CN"/>
        </w:rPr>
        <w:t>。</w:t>
      </w:r>
      <w:r>
        <w:rPr>
          <w:rFonts w:hint="eastAsia" w:ascii="幼圆" w:hAnsi="Times New Roman" w:eastAsia="幼圆" w:cs="Times New Roman"/>
          <w:color w:val="000000"/>
          <w:sz w:val="24"/>
        </w:rPr>
        <w:t>完善提升老城传统特色商业，发展文化展示、旅游观光、休闲娱乐等复合功能，打造老城特色商业中心。</w:t>
      </w:r>
    </w:p>
    <w:p w14:paraId="4DFC7BE6">
      <w:pPr>
        <w:numPr>
          <w:ilvl w:val="0"/>
          <w:numId w:val="28"/>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lang w:val="en-US" w:eastAsia="zh-CN"/>
        </w:rPr>
        <w:t>五</w:t>
      </w:r>
      <w:r>
        <w:rPr>
          <w:rFonts w:hint="eastAsia" w:ascii="幼圆" w:hAnsi="Times New Roman" w:eastAsia="幼圆" w:cs="Times New Roman"/>
          <w:color w:val="000000"/>
          <w:sz w:val="24"/>
        </w:rPr>
        <w:t>区</w:t>
      </w:r>
      <w:r>
        <w:rPr>
          <w:rFonts w:hint="eastAsia" w:ascii="幼圆" w:hAnsi="Times New Roman" w:eastAsia="幼圆" w:cs="Times New Roman"/>
          <w:color w:val="000000"/>
          <w:sz w:val="24"/>
          <w:lang w:val="en-US" w:eastAsia="zh-CN"/>
        </w:rPr>
        <w:t>即马宫渔港海洋商业集聚区、</w:t>
      </w:r>
      <w:r>
        <w:rPr>
          <w:rFonts w:hint="eastAsia" w:ascii="幼圆" w:hAnsi="Times New Roman" w:eastAsia="幼圆" w:cs="Times New Roman"/>
          <w:color w:val="000000"/>
          <w:sz w:val="24"/>
        </w:rPr>
        <w:t>金町湾滨海商业集聚区、品清湖新城商业集聚区、站前商务特色商业集聚区、红海湾度假休闲商业集聚区</w:t>
      </w:r>
      <w:r>
        <w:rPr>
          <w:rFonts w:hint="eastAsia" w:ascii="幼圆" w:hAnsi="Times New Roman" w:eastAsia="幼圆" w:cs="Times New Roman"/>
          <w:color w:val="000000"/>
          <w:sz w:val="24"/>
          <w:lang w:eastAsia="zh-CN"/>
        </w:rPr>
        <w:t>。</w:t>
      </w:r>
    </w:p>
    <w:p w14:paraId="6CB4ABAE">
      <w:pPr>
        <w:numPr>
          <w:ilvl w:val="0"/>
          <w:numId w:val="29"/>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highlight w:val="none"/>
        </w:rPr>
        <w:t>马宫渔港海洋商业集聚区：发展以海洋经济为核心的特色商业集聚区，打造集海鲜交易集散、渔港风情餐饮、滨海休闲观光、海洋研学</w:t>
      </w:r>
      <w:r>
        <w:rPr>
          <w:rFonts w:hint="eastAsia" w:ascii="幼圆" w:hAnsi="Times New Roman" w:eastAsia="幼圆" w:cs="Times New Roman"/>
          <w:color w:val="000000"/>
          <w:sz w:val="24"/>
          <w:highlight w:val="none"/>
          <w:lang w:val="en-US" w:eastAsia="zh-CN"/>
        </w:rPr>
        <w:t>等</w:t>
      </w:r>
      <w:r>
        <w:rPr>
          <w:rFonts w:hint="eastAsia" w:ascii="幼圆" w:hAnsi="Times New Roman" w:eastAsia="幼圆" w:cs="Times New Roman"/>
          <w:color w:val="000000"/>
          <w:sz w:val="24"/>
          <w:highlight w:val="none"/>
        </w:rPr>
        <w:t>于一体的“渔港特色商业高地”。</w:t>
      </w:r>
    </w:p>
    <w:p w14:paraId="2605C301">
      <w:pPr>
        <w:numPr>
          <w:ilvl w:val="0"/>
          <w:numId w:val="29"/>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金町湾滨海商业集聚区：发展滨海度假综合体,集滨海休闲、旅游度假、养生居住、会议、酒店、商业旅游于一体的“度假胜地”。</w:t>
      </w:r>
    </w:p>
    <w:p w14:paraId="2B1A99E4">
      <w:pPr>
        <w:numPr>
          <w:ilvl w:val="0"/>
          <w:numId w:val="29"/>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品清湖新城商业集聚区：发展服务新城中高端商业集聚区，建设新城精品酒店、一体化商业体、时尚餐饮等。</w:t>
      </w:r>
    </w:p>
    <w:p w14:paraId="325F2D0E">
      <w:pPr>
        <w:numPr>
          <w:ilvl w:val="0"/>
          <w:numId w:val="29"/>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站前商务特色商业集聚区：依托汕尾站发展为商务服务的特色商业集聚区。</w:t>
      </w:r>
    </w:p>
    <w:p w14:paraId="6BAB674E">
      <w:pPr>
        <w:numPr>
          <w:ilvl w:val="0"/>
          <w:numId w:val="29"/>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红海湾度假休闲商业集聚区：完善提升红海湾旅游，利用良好的环海滨海资源，发展主题度假旅游商业集聚区。</w:t>
      </w:r>
    </w:p>
    <w:p w14:paraId="6C137B0E">
      <w:pPr>
        <w:numPr>
          <w:ilvl w:val="0"/>
          <w:numId w:val="28"/>
        </w:numPr>
        <w:snapToGrid w:val="0"/>
        <w:spacing w:after="120" w:afterLines="50" w:line="300" w:lineRule="auto"/>
        <w:rPr>
          <w:rFonts w:hint="eastAsia" w:ascii="幼圆" w:hAnsi="Times New Roman" w:eastAsia="幼圆" w:cs="Times New Roman"/>
          <w:color w:val="000000"/>
          <w:sz w:val="24"/>
        </w:rPr>
        <w:sectPr>
          <w:pgSz w:w="23814" w:h="16840" w:orient="landscape"/>
          <w:pgMar w:top="1985" w:right="1985" w:bottom="1985" w:left="1985" w:header="851" w:footer="992" w:gutter="0"/>
          <w:pgNumType w:fmt="decimal"/>
          <w:cols w:space="630" w:num="2"/>
          <w:docGrid w:linePitch="312" w:charSpace="0"/>
        </w:sectPr>
      </w:pPr>
      <w:r>
        <w:rPr>
          <w:rFonts w:hint="eastAsia" w:ascii="幼圆" w:hAnsi="Times New Roman" w:eastAsia="幼圆" w:cs="Times New Roman"/>
          <w:color w:val="000000"/>
          <w:sz w:val="24"/>
        </w:rPr>
        <w:t>一带</w:t>
      </w:r>
      <w:r>
        <w:rPr>
          <w:rFonts w:hint="eastAsia" w:ascii="幼圆" w:hAnsi="Times New Roman" w:eastAsia="幼圆" w:cs="Times New Roman"/>
          <w:color w:val="000000"/>
          <w:sz w:val="24"/>
          <w:lang w:val="en-US" w:eastAsia="zh-CN"/>
        </w:rPr>
        <w:t>即</w:t>
      </w:r>
      <w:r>
        <w:rPr>
          <w:rFonts w:hint="eastAsia" w:ascii="幼圆" w:hAnsi="Times New Roman" w:eastAsia="幼圆" w:cs="Times New Roman"/>
          <w:color w:val="000000"/>
          <w:sz w:val="24"/>
        </w:rPr>
        <w:t>汕尾滨海休闲特色商业带</w:t>
      </w:r>
      <w:r>
        <w:rPr>
          <w:rFonts w:hint="eastAsia" w:ascii="幼圆" w:hAnsi="Times New Roman" w:eastAsia="幼圆" w:cs="Times New Roman"/>
          <w:color w:val="000000"/>
          <w:sz w:val="24"/>
          <w:lang w:eastAsia="zh-CN"/>
        </w:rPr>
        <w:t>。</w:t>
      </w:r>
      <w:r>
        <w:rPr>
          <w:rFonts w:hint="eastAsia" w:ascii="幼圆" w:hAnsi="Times New Roman" w:eastAsia="幼圆" w:cs="Times New Roman"/>
          <w:color w:val="000000"/>
          <w:sz w:val="24"/>
        </w:rPr>
        <w:t>利用汕尾中心城区良好的滨海海岸线，结合城镇发展定位，发展具汕尾特色的滨海休闲特色商业带。开发时尚旅游观光、老城文化体验、山水旅游度假、主题休闲度假等特色商业。</w:t>
      </w:r>
    </w:p>
    <w:p w14:paraId="1765FC2A">
      <w:pPr>
        <w:pStyle w:val="2"/>
        <w:numPr>
          <w:ilvl w:val="0"/>
          <w:numId w:val="30"/>
        </w:numPr>
        <w:spacing w:before="240" w:after="240" w:line="360" w:lineRule="auto"/>
        <w:rPr>
          <w:rFonts w:hint="eastAsia" w:ascii="华文中宋" w:hAnsi="华文中宋" w:eastAsia="华文中宋" w:cs="Times New Roman"/>
          <w:b/>
          <w:bCs/>
          <w:color w:val="000000"/>
          <w:highlight w:val="none"/>
          <w:lang w:val="en-US" w:eastAsia="zh-CN"/>
        </w:rPr>
      </w:pPr>
      <w:bookmarkStart w:id="75" w:name="_Toc19240"/>
      <w:r>
        <w:rPr>
          <w:rFonts w:hint="eastAsia" w:ascii="华文中宋" w:hAnsi="华文中宋" w:eastAsia="华文中宋" w:cs="Times New Roman"/>
          <w:b/>
          <w:bCs/>
          <w:color w:val="000000"/>
          <w:highlight w:val="none"/>
          <w:lang w:val="en-US" w:eastAsia="zh-CN"/>
        </w:rPr>
        <w:t>各县（市、区）商圈规划指引</w:t>
      </w:r>
      <w:bookmarkEnd w:id="75"/>
    </w:p>
    <w:p w14:paraId="6D9D24DF">
      <w:pPr>
        <w:pStyle w:val="4"/>
        <w:numPr>
          <w:ilvl w:val="0"/>
          <w:numId w:val="1"/>
        </w:numPr>
        <w:spacing w:before="0" w:after="48" w:afterLines="20" w:line="288" w:lineRule="auto"/>
        <w:rPr>
          <w:rFonts w:hint="eastAsia" w:ascii="华文中宋" w:hAnsi="华文中宋" w:eastAsia="华文中宋" w:cs="Times New Roman"/>
          <w:b/>
          <w:bCs/>
          <w:color w:val="000000"/>
          <w:sz w:val="36"/>
          <w:szCs w:val="36"/>
          <w:lang w:val="en-US" w:eastAsia="zh-CN"/>
        </w:rPr>
      </w:pPr>
      <w:bookmarkStart w:id="76" w:name="_Toc29439"/>
      <w:r>
        <w:rPr>
          <w:rFonts w:hint="eastAsia" w:ascii="华文中宋" w:hAnsi="华文中宋" w:eastAsia="华文中宋" w:cs="Times New Roman"/>
          <w:b/>
          <w:bCs/>
          <w:color w:val="000000"/>
          <w:sz w:val="36"/>
          <w:szCs w:val="36"/>
          <w:lang w:val="en-US" w:eastAsia="zh-CN"/>
        </w:rPr>
        <w:t>陆丰市商圈规划指引</w:t>
      </w:r>
      <w:bookmarkEnd w:id="76"/>
    </w:p>
    <w:p w14:paraId="04497B74">
      <w:pPr>
        <w:spacing w:after="120" w:afterLines="50" w:line="360" w:lineRule="auto"/>
        <w:ind w:firstLine="480" w:firstLineChars="200"/>
        <w:rPr>
          <w:rFonts w:hint="default" w:ascii="幼圆" w:hAnsi="Times New Roman" w:eastAsia="幼圆" w:cs="Times New Roman"/>
          <w:sz w:val="24"/>
          <w:highlight w:val="none"/>
          <w:lang w:val="en-US" w:eastAsia="zh-CN"/>
        </w:rPr>
      </w:pPr>
      <w:r>
        <w:rPr>
          <w:rFonts w:hint="default" w:ascii="幼圆" w:hAnsi="Times New Roman" w:eastAsia="幼圆" w:cs="Times New Roman"/>
          <w:sz w:val="24"/>
          <w:highlight w:val="none"/>
          <w:lang w:val="en-US" w:eastAsia="zh-CN"/>
        </w:rPr>
        <w:t>本次规划构建“2个</w:t>
      </w:r>
      <w:r>
        <w:rPr>
          <w:rFonts w:hint="eastAsia" w:ascii="幼圆" w:hAnsi="Times New Roman" w:eastAsia="幼圆" w:cs="Times New Roman"/>
          <w:sz w:val="24"/>
          <w:highlight w:val="none"/>
          <w:lang w:val="en-US" w:eastAsia="zh-CN"/>
        </w:rPr>
        <w:t>市</w:t>
      </w:r>
      <w:r>
        <w:rPr>
          <w:rFonts w:hint="default" w:ascii="幼圆" w:hAnsi="Times New Roman" w:eastAsia="幼圆" w:cs="Times New Roman"/>
          <w:sz w:val="24"/>
          <w:highlight w:val="none"/>
          <w:lang w:val="en-US" w:eastAsia="zh-CN"/>
        </w:rPr>
        <w:t>域核心商圈</w:t>
      </w:r>
      <w:r>
        <w:rPr>
          <w:rFonts w:hint="eastAsia" w:ascii="幼圆" w:hAnsi="Times New Roman" w:eastAsia="幼圆" w:cs="Times New Roman"/>
          <w:sz w:val="24"/>
          <w:highlight w:val="none"/>
          <w:lang w:val="en-US" w:eastAsia="zh-CN"/>
        </w:rPr>
        <w:t>+</w:t>
      </w:r>
      <w:r>
        <w:rPr>
          <w:rFonts w:hint="default" w:ascii="幼圆" w:hAnsi="Times New Roman" w:eastAsia="幼圆" w:cs="Times New Roman"/>
          <w:sz w:val="24"/>
          <w:highlight w:val="none"/>
          <w:lang w:val="en-US" w:eastAsia="zh-CN"/>
        </w:rPr>
        <w:t>4个重点镇域特色商圈</w:t>
      </w:r>
      <w:r>
        <w:rPr>
          <w:rFonts w:hint="eastAsia" w:ascii="幼圆" w:hAnsi="Times New Roman" w:eastAsia="幼圆" w:cs="Times New Roman"/>
          <w:sz w:val="24"/>
          <w:highlight w:val="none"/>
          <w:lang w:val="en-US" w:eastAsia="zh-CN"/>
        </w:rPr>
        <w:t>+</w:t>
      </w:r>
      <w:r>
        <w:rPr>
          <w:rFonts w:hint="default" w:ascii="幼圆" w:hAnsi="Times New Roman" w:eastAsia="幼圆" w:cs="Times New Roman"/>
          <w:sz w:val="24"/>
          <w:highlight w:val="none"/>
          <w:lang w:val="en-US" w:eastAsia="zh-CN"/>
        </w:rPr>
        <w:t>若干一般镇域基础商圈”的层级化商业网点体系，形成主次分明、功能互补、全域覆盖的商业空间布局。</w:t>
      </w:r>
    </w:p>
    <w:p w14:paraId="54080BCC">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规划市域商圈包括新城产城融合商圈和滨海科创商贸商圈。详见附表13。</w:t>
      </w:r>
    </w:p>
    <w:p w14:paraId="0BFC0B17">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规划重点镇域商圈包括碣石镇滨海文旅商圈、星都产业商贸商圈、甲子镇渔港商贸商圈和南塘镇生态农旅商圈。详见附表14。</w:t>
      </w:r>
    </w:p>
    <w:p w14:paraId="5472FD48">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规划一般镇域商圈共16个。详见附表15。</w:t>
      </w:r>
    </w:p>
    <w:p w14:paraId="7F672F86">
      <w:pPr>
        <w:pStyle w:val="4"/>
        <w:numPr>
          <w:ilvl w:val="0"/>
          <w:numId w:val="1"/>
        </w:numPr>
        <w:spacing w:before="0" w:after="48" w:afterLines="20" w:line="288" w:lineRule="auto"/>
        <w:rPr>
          <w:rFonts w:hint="eastAsia" w:ascii="华文中宋" w:hAnsi="华文中宋" w:eastAsia="华文中宋" w:cs="Times New Roman"/>
          <w:b/>
          <w:bCs/>
          <w:color w:val="000000"/>
          <w:sz w:val="36"/>
          <w:szCs w:val="36"/>
          <w:lang w:val="en-US" w:eastAsia="zh-CN"/>
        </w:rPr>
      </w:pPr>
      <w:bookmarkStart w:id="77" w:name="_Toc4933"/>
      <w:r>
        <w:rPr>
          <w:rFonts w:hint="eastAsia" w:ascii="华文中宋" w:hAnsi="华文中宋" w:eastAsia="华文中宋" w:cs="Times New Roman"/>
          <w:b/>
          <w:bCs/>
          <w:color w:val="000000"/>
          <w:sz w:val="36"/>
          <w:szCs w:val="36"/>
          <w:lang w:val="en-US" w:eastAsia="zh-CN"/>
        </w:rPr>
        <w:t>海丰县商圈规划指引</w:t>
      </w:r>
      <w:bookmarkEnd w:id="77"/>
    </w:p>
    <w:p w14:paraId="27D8A7FF">
      <w:pPr>
        <w:spacing w:after="120" w:afterLines="50" w:line="360" w:lineRule="auto"/>
        <w:ind w:firstLine="480" w:firstLineChars="200"/>
        <w:rPr>
          <w:rFonts w:hint="default" w:ascii="幼圆" w:hAnsi="Times New Roman" w:eastAsia="幼圆" w:cs="Times New Roman"/>
          <w:sz w:val="24"/>
          <w:highlight w:val="none"/>
          <w:lang w:val="en-US" w:eastAsia="zh-CN"/>
        </w:rPr>
      </w:pPr>
      <w:r>
        <w:rPr>
          <w:rFonts w:hint="default" w:ascii="幼圆" w:hAnsi="Times New Roman" w:eastAsia="幼圆" w:cs="Times New Roman"/>
          <w:sz w:val="24"/>
          <w:highlight w:val="none"/>
          <w:lang w:val="en-US" w:eastAsia="zh-CN"/>
        </w:rPr>
        <w:t>本次规划构建“2个县域核心商圈+</w:t>
      </w:r>
      <w:r>
        <w:rPr>
          <w:rFonts w:hint="eastAsia" w:ascii="幼圆" w:hAnsi="Times New Roman" w:eastAsia="幼圆" w:cs="Times New Roman"/>
          <w:sz w:val="24"/>
          <w:highlight w:val="none"/>
          <w:lang w:val="en-US" w:eastAsia="zh-CN"/>
        </w:rPr>
        <w:t>4</w:t>
      </w:r>
      <w:r>
        <w:rPr>
          <w:rFonts w:hint="default" w:ascii="幼圆" w:hAnsi="Times New Roman" w:eastAsia="幼圆" w:cs="Times New Roman"/>
          <w:sz w:val="24"/>
          <w:highlight w:val="none"/>
          <w:lang w:val="en-US" w:eastAsia="zh-CN"/>
        </w:rPr>
        <w:t>个重点镇域特色商圈+若干一般镇域基础商圈”的梯度化商业网点体系，形成核心引领、镇域支撑、全域普惠的商业空间布局，精准匹配城乡居民消费需求与县域经济发展导向。</w:t>
      </w:r>
    </w:p>
    <w:p w14:paraId="45421D0C">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规划县域商圈包括海丰综合商圈和生态科技城产城融合商圈。详见附表16。</w:t>
      </w:r>
    </w:p>
    <w:p w14:paraId="4CC865BF">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规划重点镇域商圈包括梅陇镇综合商贸商圈、公平镇纺织服装商贸商圈、可塘镇首饰商贸商圈和赤坑镇商贸物流商圈。详见附表17。</w:t>
      </w:r>
    </w:p>
    <w:p w14:paraId="222F654E">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规划一般镇域商圈共7个。详见附表18。</w:t>
      </w:r>
    </w:p>
    <w:p w14:paraId="63D2BD67">
      <w:pPr>
        <w:pStyle w:val="4"/>
        <w:numPr>
          <w:ilvl w:val="0"/>
          <w:numId w:val="1"/>
        </w:numPr>
        <w:spacing w:before="0" w:after="48" w:afterLines="20" w:line="288" w:lineRule="auto"/>
        <w:rPr>
          <w:rFonts w:hint="eastAsia" w:ascii="华文中宋" w:hAnsi="华文中宋" w:eastAsia="华文中宋" w:cs="Times New Roman"/>
          <w:b/>
          <w:bCs/>
          <w:color w:val="000000"/>
          <w:sz w:val="36"/>
          <w:szCs w:val="36"/>
          <w:lang w:val="en-US" w:eastAsia="zh-CN"/>
        </w:rPr>
      </w:pPr>
      <w:bookmarkStart w:id="78" w:name="_Toc10942"/>
      <w:r>
        <w:rPr>
          <w:rFonts w:hint="eastAsia" w:ascii="华文中宋" w:hAnsi="华文中宋" w:eastAsia="华文中宋" w:cs="Times New Roman"/>
          <w:b/>
          <w:bCs/>
          <w:color w:val="000000"/>
          <w:sz w:val="36"/>
          <w:szCs w:val="36"/>
          <w:lang w:val="en-US" w:eastAsia="zh-CN"/>
        </w:rPr>
        <w:t>陆河县商圈规划指引</w:t>
      </w:r>
      <w:bookmarkEnd w:id="78"/>
    </w:p>
    <w:p w14:paraId="5C76C0C1">
      <w:pPr>
        <w:spacing w:after="120" w:afterLines="50" w:line="360" w:lineRule="auto"/>
        <w:ind w:firstLine="480" w:firstLineChars="200"/>
        <w:rPr>
          <w:rFonts w:hint="default" w:ascii="幼圆" w:hAnsi="Times New Roman" w:eastAsia="幼圆" w:cs="Times New Roman"/>
          <w:sz w:val="24"/>
          <w:highlight w:val="none"/>
          <w:lang w:val="en-US" w:eastAsia="zh-CN"/>
        </w:rPr>
      </w:pPr>
      <w:r>
        <w:rPr>
          <w:rFonts w:hint="default" w:ascii="幼圆" w:hAnsi="Times New Roman" w:eastAsia="幼圆" w:cs="Times New Roman"/>
          <w:sz w:val="24"/>
          <w:highlight w:val="none"/>
          <w:lang w:val="en-US" w:eastAsia="zh-CN"/>
        </w:rPr>
        <w:t>本次规划构建“1个县域核心商圈+2个重点镇域特色商圈+若干一般镇域基础商圈”的层级清晰商业网点体系，形成“单核引领、双镇支撑、全域均衡”的商业空间布局，既匹配城乡居民多元消费需求，又助力生态优势与商业价值协同转化，赋能县域经济高质量发展。</w:t>
      </w:r>
    </w:p>
    <w:p w14:paraId="2A59D13A">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规划县域商圈为陆河综合商圈。详见附表19。</w:t>
      </w:r>
    </w:p>
    <w:p w14:paraId="4022E9E2">
      <w:pPr>
        <w:spacing w:after="120" w:afterLines="50" w:line="360" w:lineRule="auto"/>
        <w:ind w:firstLine="480" w:firstLineChars="200"/>
        <w:rPr>
          <w:rFonts w:hint="eastAsia" w:ascii="幼圆" w:eastAsia="幼圆"/>
          <w:sz w:val="24"/>
          <w:highlight w:val="none"/>
          <w:lang w:val="en-US" w:eastAsia="zh-CN"/>
        </w:rPr>
      </w:pPr>
      <w:r>
        <w:rPr>
          <w:rFonts w:hint="eastAsia" w:ascii="幼圆" w:eastAsia="幼圆"/>
          <w:sz w:val="24"/>
          <w:highlight w:val="none"/>
          <w:lang w:val="en-US" w:eastAsia="zh-CN"/>
        </w:rPr>
        <w:t>规划重点镇域商圈包括河口镇综合物流商圈和水唇镇生态旅游服务商圈。详见附表20。</w:t>
      </w:r>
    </w:p>
    <w:p w14:paraId="492224FA">
      <w:pPr>
        <w:spacing w:after="120" w:afterLines="50" w:line="360" w:lineRule="auto"/>
        <w:ind w:firstLine="480" w:firstLineChars="200"/>
        <w:rPr>
          <w:rFonts w:hint="default" w:ascii="幼圆" w:eastAsia="幼圆"/>
          <w:sz w:val="24"/>
          <w:highlight w:val="none"/>
          <w:lang w:val="en-US" w:eastAsia="zh-CN"/>
        </w:rPr>
        <w:sectPr>
          <w:pgSz w:w="23814" w:h="16840" w:orient="landscape"/>
          <w:pgMar w:top="1985" w:right="1985" w:bottom="1985" w:left="1985" w:header="851" w:footer="992" w:gutter="0"/>
          <w:pgNumType w:fmt="decimal"/>
          <w:cols w:space="630" w:num="2"/>
          <w:docGrid w:linePitch="312" w:charSpace="0"/>
        </w:sectPr>
      </w:pPr>
      <w:r>
        <w:rPr>
          <w:rFonts w:hint="eastAsia" w:ascii="幼圆" w:eastAsia="幼圆"/>
          <w:sz w:val="24"/>
          <w:highlight w:val="none"/>
          <w:lang w:val="en-US" w:eastAsia="zh-CN"/>
        </w:rPr>
        <w:t>规划一般镇域商圈共5个。详见附表21。</w:t>
      </w:r>
    </w:p>
    <w:p w14:paraId="18554CB2">
      <w:pPr>
        <w:pStyle w:val="2"/>
        <w:spacing w:before="240" w:after="240" w:line="360" w:lineRule="auto"/>
        <w:rPr>
          <w:rFonts w:hint="eastAsia" w:ascii="华文中宋" w:hAnsi="华文中宋" w:eastAsia="华文中宋"/>
          <w:color w:val="000000"/>
        </w:rPr>
      </w:pPr>
      <w:bookmarkStart w:id="79" w:name="_Toc31842"/>
      <w:r>
        <w:rPr>
          <w:rFonts w:hint="eastAsia" w:ascii="华文中宋" w:hAnsi="华文中宋" w:eastAsia="华文中宋"/>
          <w:color w:val="000000"/>
        </w:rPr>
        <w:t>第</w:t>
      </w:r>
      <w:r>
        <w:rPr>
          <w:rFonts w:hint="eastAsia" w:ascii="华文中宋" w:hAnsi="华文中宋" w:eastAsia="华文中宋"/>
          <w:color w:val="000000"/>
          <w:lang w:val="en-US" w:eastAsia="zh-CN"/>
        </w:rPr>
        <w:t>九</w:t>
      </w:r>
      <w:r>
        <w:rPr>
          <w:rFonts w:hint="eastAsia" w:ascii="华文中宋" w:hAnsi="华文中宋" w:eastAsia="华文中宋"/>
          <w:color w:val="000000"/>
        </w:rPr>
        <w:t>章 物流网点布局规划</w:t>
      </w:r>
      <w:bookmarkEnd w:id="79"/>
    </w:p>
    <w:p w14:paraId="05F288A1">
      <w:pPr>
        <w:pStyle w:val="3"/>
        <w:spacing w:before="120" w:beforeLines="50" w:after="120" w:afterLines="50" w:line="360" w:lineRule="auto"/>
        <w:rPr>
          <w:rFonts w:hint="eastAsia" w:ascii="华文中宋" w:hAnsi="华文中宋" w:eastAsia="华文中宋"/>
          <w:color w:val="000000"/>
          <w:sz w:val="36"/>
          <w:szCs w:val="36"/>
        </w:rPr>
      </w:pPr>
      <w:bookmarkStart w:id="80" w:name="_Toc31870"/>
      <w:r>
        <w:rPr>
          <w:rFonts w:hint="eastAsia" w:ascii="华文中宋" w:hAnsi="华文中宋" w:eastAsia="华文中宋"/>
          <w:color w:val="000000"/>
          <w:sz w:val="36"/>
          <w:szCs w:val="36"/>
        </w:rPr>
        <w:t>第一节 物流体系规划</w:t>
      </w:r>
      <w:bookmarkEnd w:id="80"/>
    </w:p>
    <w:p w14:paraId="1E518C0C">
      <w:pPr>
        <w:pStyle w:val="4"/>
        <w:numPr>
          <w:ilvl w:val="0"/>
          <w:numId w:val="1"/>
        </w:numPr>
        <w:spacing w:before="0" w:after="48" w:afterLines="20" w:line="288" w:lineRule="auto"/>
        <w:rPr>
          <w:rFonts w:hint="eastAsia" w:ascii="微软雅黑" w:hAnsi="微软雅黑" w:eastAsia="微软雅黑"/>
          <w:color w:val="000000"/>
        </w:rPr>
      </w:pPr>
      <w:bookmarkStart w:id="81" w:name="_Toc9602"/>
      <w:r>
        <w:rPr>
          <w:rFonts w:hint="eastAsia" w:ascii="微软雅黑" w:hAnsi="微软雅黑" w:eastAsia="微软雅黑"/>
          <w:color w:val="000000"/>
          <w:lang w:val="en-US" w:eastAsia="zh-CN"/>
        </w:rPr>
        <w:t>市域</w:t>
      </w:r>
      <w:r>
        <w:rPr>
          <w:rFonts w:hint="eastAsia" w:ascii="微软雅黑" w:hAnsi="微软雅黑" w:eastAsia="微软雅黑"/>
          <w:color w:val="000000"/>
        </w:rPr>
        <w:t>物流体系规划</w:t>
      </w:r>
      <w:bookmarkEnd w:id="81"/>
    </w:p>
    <w:p w14:paraId="369F53C9">
      <w:pPr>
        <w:spacing w:after="120" w:afterLines="50" w:line="360" w:lineRule="auto"/>
        <w:ind w:firstLine="480" w:firstLineChars="200"/>
        <w:rPr>
          <w:rFonts w:hint="eastAsia" w:ascii="幼圆" w:eastAsia="幼圆"/>
          <w:color w:val="000000"/>
          <w:sz w:val="24"/>
        </w:rPr>
      </w:pPr>
      <w:r>
        <w:rPr>
          <w:rFonts w:hint="eastAsia" w:ascii="幼圆" w:eastAsia="幼圆"/>
          <w:color w:val="000000"/>
          <w:sz w:val="24"/>
        </w:rPr>
        <w:t>规划在市域形成“三基地、五中心、多节点，两轴带、四通道”的总体物流布局体系。其中：</w:t>
      </w:r>
    </w:p>
    <w:p w14:paraId="350E7BFD">
      <w:pPr>
        <w:numPr>
          <w:ilvl w:val="0"/>
          <w:numId w:val="31"/>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培育汕尾新港物流基地、赤坑物流基地以及大南海物流基地</w:t>
      </w:r>
      <w:r>
        <w:rPr>
          <w:rFonts w:hint="eastAsia" w:ascii="幼圆" w:hAnsi="Times New Roman" w:eastAsia="幼圆" w:cs="Times New Roman"/>
          <w:color w:val="000000"/>
          <w:sz w:val="24"/>
        </w:rPr>
        <w:t>，其中：充分发挥海港大进大出的物流集散功能，依托</w:t>
      </w:r>
      <w:r>
        <w:rPr>
          <w:rFonts w:hint="eastAsia" w:ascii="幼圆" w:hAnsi="Times New Roman" w:eastAsia="幼圆" w:cs="Times New Roman"/>
          <w:color w:val="000000"/>
          <w:sz w:val="24"/>
          <w:lang w:eastAsia="zh-CN"/>
        </w:rPr>
        <w:t>深汕特别合作区</w:t>
      </w:r>
      <w:r>
        <w:rPr>
          <w:rFonts w:hint="eastAsia" w:ascii="幼圆" w:hAnsi="Times New Roman" w:eastAsia="幼圆" w:cs="Times New Roman"/>
          <w:color w:val="000000"/>
          <w:sz w:val="24"/>
        </w:rPr>
        <w:t>、联动深圳港区，培育汕尾新港为粤东地区的枢纽海港物流基地；结合铁路和陆路交通优势，与汕尾新港实现陆港联运，培育赤坑物流基地作为区域性陆港联运综合物流基地；依托揭阳大南海石化产业基地及汕尾市新材料产业园，拓展三甲港油气接卸功能，培育大南海物流基地作为粤东地区的区域性石化物流基地。</w:t>
      </w:r>
    </w:p>
    <w:p w14:paraId="7B54F967">
      <w:pPr>
        <w:numPr>
          <w:ilvl w:val="0"/>
          <w:numId w:val="31"/>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建设主城区、海丰县、碣石-湖东港、陆丰市及陆河产业转移园五大物流中心</w:t>
      </w:r>
      <w:r>
        <w:rPr>
          <w:rFonts w:hint="eastAsia" w:ascii="幼圆" w:hAnsi="Times New Roman" w:eastAsia="幼圆" w:cs="Times New Roman"/>
          <w:color w:val="000000"/>
          <w:sz w:val="24"/>
        </w:rPr>
        <w:t>，为市域内的重要城镇、产业园区的人口和产业提供物资集散服务职能。</w:t>
      </w:r>
    </w:p>
    <w:p w14:paraId="136C379B">
      <w:pPr>
        <w:numPr>
          <w:ilvl w:val="0"/>
          <w:numId w:val="31"/>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打造汕尾海港流通轴带和深汕陆路流通两条物流轴带</w:t>
      </w:r>
      <w:r>
        <w:rPr>
          <w:rFonts w:hint="eastAsia" w:ascii="幼圆" w:hAnsi="Times New Roman" w:eastAsia="幼圆" w:cs="Times New Roman"/>
          <w:color w:val="000000"/>
          <w:sz w:val="24"/>
        </w:rPr>
        <w:t>，其中，充分发挥汕尾沿海优势，以汕尾新港为龙头，集中布局一批海港物流基地和物流中心，全面提升汕尾的海港集散功能；充分发挥汕尾连接粤港澳大湾区和粤东沿海地区的陆路交通通道优势，沿线集聚布局一批物流基地和物流中心，扩展区域流通服务和产业流通服务职能。</w:t>
      </w:r>
    </w:p>
    <w:p w14:paraId="00B47971">
      <w:pPr>
        <w:numPr>
          <w:ilvl w:val="0"/>
          <w:numId w:val="31"/>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建设三条纵向物流通道</w:t>
      </w:r>
      <w:r>
        <w:rPr>
          <w:rFonts w:hint="eastAsia" w:ascii="幼圆" w:hAnsi="Times New Roman" w:eastAsia="幼圆" w:cs="Times New Roman"/>
          <w:color w:val="000000"/>
          <w:sz w:val="24"/>
        </w:rPr>
        <w:t>，连接汕尾新港与赤坑物流基地、碣石港区、大南海物流基地与其内陆腹地，形成以陆港联运为主要功能的物流通道；依托甬莞高速，连接东莞、海丰县、陆河市及粤东地区，形成一条横向物流通道。</w:t>
      </w:r>
    </w:p>
    <w:p w14:paraId="0A26CDE9">
      <w:pPr>
        <w:pStyle w:val="4"/>
        <w:numPr>
          <w:ilvl w:val="0"/>
          <w:numId w:val="1"/>
        </w:numPr>
        <w:spacing w:before="0" w:after="48" w:afterLines="20" w:line="288" w:lineRule="auto"/>
        <w:rPr>
          <w:rFonts w:hint="eastAsia" w:ascii="微软雅黑" w:hAnsi="微软雅黑" w:eastAsia="微软雅黑"/>
          <w:color w:val="000000"/>
        </w:rPr>
      </w:pPr>
      <w:bookmarkStart w:id="82" w:name="_Toc21786"/>
      <w:r>
        <w:rPr>
          <w:rFonts w:hint="eastAsia" w:ascii="微软雅黑" w:hAnsi="微软雅黑" w:eastAsia="微软雅黑" w:cs="Times New Roman"/>
          <w:b/>
          <w:bCs/>
          <w:color w:val="000000"/>
        </w:rPr>
        <w:t>中心城区物流</w:t>
      </w:r>
      <w:r>
        <w:rPr>
          <w:rFonts w:hint="eastAsia" w:ascii="微软雅黑" w:hAnsi="微软雅黑" w:eastAsia="微软雅黑"/>
          <w:color w:val="000000"/>
        </w:rPr>
        <w:t>体系规划</w:t>
      </w:r>
      <w:bookmarkEnd w:id="82"/>
    </w:p>
    <w:p w14:paraId="0B2C08B0">
      <w:pPr>
        <w:spacing w:after="120" w:afterLines="50" w:line="360" w:lineRule="auto"/>
        <w:ind w:firstLine="480" w:firstLineChars="200"/>
        <w:rPr>
          <w:rFonts w:hint="eastAsia" w:ascii="幼圆" w:eastAsia="幼圆"/>
          <w:color w:val="000000"/>
          <w:sz w:val="24"/>
        </w:rPr>
      </w:pPr>
      <w:r>
        <w:rPr>
          <w:rFonts w:hint="eastAsia" w:ascii="幼圆" w:eastAsia="幼圆"/>
          <w:color w:val="000000"/>
          <w:sz w:val="24"/>
        </w:rPr>
        <w:t>依托汕尾新港、汕尾火车站及兴汕高速赤坑出入口，规划在汕尾中心城区安排：</w:t>
      </w:r>
    </w:p>
    <w:p w14:paraId="49A4661E">
      <w:pPr>
        <w:numPr>
          <w:ilvl w:val="0"/>
          <w:numId w:val="32"/>
        </w:numPr>
        <w:snapToGrid w:val="0"/>
        <w:spacing w:after="120" w:afterLines="50" w:line="300" w:lineRule="auto"/>
        <w:rPr>
          <w:rFonts w:hint="eastAsia" w:ascii="幼圆" w:hAnsi="Times New Roman" w:eastAsia="幼圆" w:cs="Times New Roman"/>
          <w:color w:val="000000"/>
          <w:sz w:val="24"/>
        </w:rPr>
      </w:pPr>
      <w:r>
        <w:rPr>
          <w:rFonts w:hint="eastAsia" w:ascii="幼圆" w:eastAsia="幼圆"/>
          <w:color w:val="000000"/>
          <w:sz w:val="24"/>
        </w:rPr>
        <w:t>1个物流基地（汕尾新港物流基地）、1个物流中心（主城区物流中心）以及3个物流</w:t>
      </w:r>
      <w:r>
        <w:rPr>
          <w:rFonts w:hint="eastAsia" w:ascii="幼圆" w:hAnsi="Times New Roman" w:eastAsia="幼圆" w:cs="Times New Roman"/>
          <w:color w:val="000000"/>
          <w:sz w:val="24"/>
        </w:rPr>
        <w:t>配送中心（马宫港物流配送中心、红草产业园物流配送中心及红海湾物流配送中心）。</w:t>
      </w:r>
    </w:p>
    <w:p w14:paraId="6B0C5DEC">
      <w:pPr>
        <w:numPr>
          <w:ilvl w:val="0"/>
          <w:numId w:val="32"/>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color w:val="000000"/>
          <w:sz w:val="24"/>
        </w:rPr>
        <w:t>将深汕高速、兴汕高速、厦深铁路和河源至汕尾铁路4条主要交通干道作为中心城区的物流通道。</w:t>
      </w:r>
    </w:p>
    <w:p w14:paraId="4D93ACAE">
      <w:pPr>
        <w:pStyle w:val="3"/>
        <w:spacing w:before="120" w:beforeLines="50" w:after="120" w:afterLines="50" w:line="360" w:lineRule="auto"/>
        <w:rPr>
          <w:rFonts w:hint="eastAsia" w:ascii="华文中宋" w:hAnsi="华文中宋" w:eastAsia="华文中宋"/>
          <w:color w:val="000000"/>
          <w:sz w:val="36"/>
          <w:szCs w:val="36"/>
        </w:rPr>
      </w:pPr>
      <w:bookmarkStart w:id="83" w:name="_Toc4699"/>
      <w:r>
        <w:rPr>
          <w:rFonts w:hint="eastAsia" w:ascii="华文中宋" w:hAnsi="华文中宋" w:eastAsia="华文中宋"/>
          <w:color w:val="000000"/>
          <w:sz w:val="36"/>
          <w:szCs w:val="36"/>
        </w:rPr>
        <w:t>第二节 物流网点规划</w:t>
      </w:r>
      <w:bookmarkEnd w:id="83"/>
    </w:p>
    <w:p w14:paraId="3B6F817B">
      <w:pPr>
        <w:pStyle w:val="4"/>
        <w:numPr>
          <w:ilvl w:val="0"/>
          <w:numId w:val="1"/>
        </w:numPr>
        <w:spacing w:before="0" w:after="48" w:afterLines="20" w:line="288" w:lineRule="auto"/>
        <w:rPr>
          <w:rFonts w:hint="eastAsia" w:ascii="微软雅黑" w:hAnsi="微软雅黑" w:eastAsia="微软雅黑"/>
          <w:color w:val="000000"/>
        </w:rPr>
      </w:pPr>
      <w:bookmarkStart w:id="84" w:name="_Toc21163"/>
      <w:r>
        <w:rPr>
          <w:rFonts w:hint="eastAsia" w:ascii="微软雅黑" w:hAnsi="微软雅黑" w:eastAsia="微软雅黑"/>
          <w:color w:val="000000"/>
        </w:rPr>
        <w:t>物流基地规划布局</w:t>
      </w:r>
      <w:bookmarkEnd w:id="84"/>
    </w:p>
    <w:p w14:paraId="4664F409">
      <w:pPr>
        <w:spacing w:after="120" w:afterLines="50" w:line="360" w:lineRule="auto"/>
        <w:ind w:firstLine="480" w:firstLineChars="200"/>
        <w:rPr>
          <w:rFonts w:hint="eastAsia" w:ascii="幼圆" w:eastAsia="幼圆"/>
          <w:color w:val="000000"/>
          <w:sz w:val="24"/>
        </w:rPr>
      </w:pPr>
      <w:r>
        <w:rPr>
          <w:rFonts w:hint="eastAsia" w:ascii="幼圆" w:eastAsia="幼圆"/>
          <w:color w:val="000000"/>
          <w:sz w:val="24"/>
        </w:rPr>
        <w:t>规划在汕尾市域范围内打造三大物流基地，包括新港物流基地、赤坑物流基地以及大南海物流基地，建设成为具备一条龙服务的全产业链物流产业平台。其中：</w:t>
      </w:r>
    </w:p>
    <w:p w14:paraId="2735368F">
      <w:pPr>
        <w:numPr>
          <w:ilvl w:val="0"/>
          <w:numId w:val="33"/>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汕尾新港物流基地</w:t>
      </w:r>
      <w:r>
        <w:rPr>
          <w:rFonts w:hint="eastAsia" w:ascii="幼圆" w:hAnsi="Times New Roman" w:eastAsia="幼圆" w:cs="Times New Roman"/>
          <w:color w:val="000000"/>
          <w:sz w:val="24"/>
        </w:rPr>
        <w:t>：位于汕尾新港，以大宗粮食、化肥、建材、能源、原材料、农副产品的物资中转运输为主要业务方向，力争成为以大宗散杂货的中转储运业务为核心、兼顾区域战略储备和商业储备的服务粤港澳大湾区东岸、粤东、闽西、赣南等地区的重要大宗散货物流中心，成为汕尾打造区域性物流中心的核心支撑。</w:t>
      </w:r>
    </w:p>
    <w:p w14:paraId="6BEDFC7E">
      <w:pPr>
        <w:numPr>
          <w:ilvl w:val="0"/>
          <w:numId w:val="33"/>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赤坑物流基地</w:t>
      </w:r>
      <w:r>
        <w:rPr>
          <w:rFonts w:hint="eastAsia" w:ascii="幼圆" w:hAnsi="Times New Roman" w:eastAsia="幼圆" w:cs="Times New Roman"/>
          <w:color w:val="000000"/>
          <w:sz w:val="24"/>
        </w:rPr>
        <w:t>：服务汕尾乃至地区的综合性物流，以与汕尾新港、以及近期规划建设河源至汕尾铁路和远期规划建设机场开展铁港联运、空港联运；承担农产品、粮食、木材、能源、矿石等大宗散杂货物流服务为主要职能，吸引发展国内大型快递物流企业进驻物流产业园区，着力打造区域性大宗商品的仓储、转运、分拨中心；建设铁路站场、综合仓储、冷链仓储等设施，引进农产品下游产业企业进驻，发展冷链、绿色食品、预制菜、粮油等加工类产业；发展物流加工、智能制造产业、跨境电子商务、区域期货交易平台的交割服务、集装箱储运等主要功能，结合商贸物流，以“互联网+”为导向积极打造跨境电子商务交易平台和大宗商品线下交割基地。</w:t>
      </w:r>
    </w:p>
    <w:p w14:paraId="0F9AF6A8">
      <w:pPr>
        <w:numPr>
          <w:ilvl w:val="0"/>
          <w:numId w:val="33"/>
        </w:numPr>
        <w:snapToGrid w:val="0"/>
        <w:spacing w:after="120" w:afterLines="50" w:line="300" w:lineRule="auto"/>
        <w:rPr>
          <w:rFonts w:hint="eastAsia" w:ascii="幼圆" w:hAnsi="Times New Roman" w:eastAsia="幼圆" w:cs="Times New Roman"/>
          <w:color w:val="000000"/>
          <w:sz w:val="24"/>
        </w:rPr>
      </w:pPr>
      <w:r>
        <w:rPr>
          <w:rFonts w:hint="eastAsia" w:ascii="幼圆" w:hAnsi="Times New Roman" w:eastAsia="幼圆" w:cs="Times New Roman"/>
          <w:b/>
          <w:bCs/>
          <w:color w:val="000000"/>
          <w:sz w:val="24"/>
        </w:rPr>
        <w:t>大南海物流基地</w:t>
      </w:r>
      <w:r>
        <w:rPr>
          <w:rFonts w:hint="eastAsia" w:ascii="幼圆" w:hAnsi="Times New Roman" w:eastAsia="幼圆" w:cs="Times New Roman"/>
          <w:color w:val="000000"/>
          <w:sz w:val="24"/>
        </w:rPr>
        <w:t>：以油气接卸为主要职能，为大南海石化基地及汕尾市新材料产业园的原油、成品油、液体化工品等石化产品以及新材料原料、成品等物资的仓储、装卸、中转运输提供配套物流服务；完善物流贸易产业链，集信息指挥、石化码头及陆港铁路运输以及石化产品仓储功能于一体，与揭阳共同打造潮汕平原大石化工业板块。</w:t>
      </w:r>
    </w:p>
    <w:p w14:paraId="6CD76A6C">
      <w:pPr>
        <w:pStyle w:val="4"/>
        <w:numPr>
          <w:ilvl w:val="0"/>
          <w:numId w:val="1"/>
        </w:numPr>
        <w:spacing w:before="0" w:after="48" w:afterLines="20" w:line="288" w:lineRule="auto"/>
        <w:rPr>
          <w:rFonts w:hint="eastAsia" w:ascii="微软雅黑" w:hAnsi="微软雅黑" w:eastAsia="微软雅黑"/>
          <w:color w:val="000000"/>
        </w:rPr>
      </w:pPr>
      <w:bookmarkStart w:id="85" w:name="_Toc21743"/>
      <w:r>
        <w:rPr>
          <w:rFonts w:hint="eastAsia" w:ascii="微软雅黑" w:hAnsi="微软雅黑" w:eastAsia="微软雅黑"/>
          <w:color w:val="000000"/>
        </w:rPr>
        <w:t>物流中心规划布局</w:t>
      </w:r>
      <w:bookmarkEnd w:id="85"/>
    </w:p>
    <w:p w14:paraId="2C016798">
      <w:pPr>
        <w:spacing w:after="120" w:afterLines="50" w:line="360" w:lineRule="auto"/>
        <w:ind w:firstLine="480" w:firstLineChars="200"/>
        <w:rPr>
          <w:rFonts w:hint="eastAsia" w:ascii="幼圆" w:eastAsia="幼圆"/>
          <w:color w:val="000000"/>
          <w:sz w:val="24"/>
          <w:lang w:val="en-US" w:eastAsia="zh-CN"/>
        </w:rPr>
      </w:pPr>
      <w:bookmarkStart w:id="86" w:name="_Hlk119078346"/>
      <w:r>
        <w:rPr>
          <w:rFonts w:hint="eastAsia" w:ascii="幼圆" w:eastAsia="幼圆"/>
          <w:color w:val="000000"/>
          <w:sz w:val="24"/>
        </w:rPr>
        <w:t>规划建设主城区物流中心、海丰县物流中心、陆河产业转移园物流中心、碣石-湖东港物流中心、陆丰市物流中心五大物流中心。其中前两者为综合服务型物流中心、后两者为货运服务型物流中心。</w:t>
      </w:r>
      <w:bookmarkEnd w:id="86"/>
      <w:r>
        <w:rPr>
          <w:rFonts w:hint="eastAsia" w:ascii="幼圆" w:eastAsia="幼圆"/>
          <w:color w:val="000000"/>
          <w:sz w:val="24"/>
        </w:rPr>
        <w:t>规划指引按附表</w:t>
      </w:r>
      <w:r>
        <w:rPr>
          <w:rFonts w:hint="eastAsia" w:ascii="幼圆" w:eastAsia="幼圆"/>
          <w:color w:val="000000"/>
          <w:sz w:val="24"/>
          <w:lang w:val="en-US" w:eastAsia="zh-CN"/>
        </w:rPr>
        <w:t>22</w:t>
      </w:r>
      <w:r>
        <w:rPr>
          <w:rFonts w:hint="eastAsia" w:ascii="幼圆" w:eastAsia="幼圆"/>
          <w:color w:val="000000"/>
          <w:sz w:val="24"/>
        </w:rPr>
        <w:t>进行规划布局</w:t>
      </w:r>
      <w:r>
        <w:rPr>
          <w:rFonts w:hint="eastAsia" w:ascii="幼圆" w:eastAsia="幼圆"/>
          <w:color w:val="000000"/>
          <w:sz w:val="24"/>
          <w:lang w:eastAsia="zh-CN"/>
        </w:rPr>
        <w:t>。</w:t>
      </w:r>
    </w:p>
    <w:p w14:paraId="78B309D9">
      <w:pPr>
        <w:pStyle w:val="4"/>
        <w:numPr>
          <w:ilvl w:val="0"/>
          <w:numId w:val="1"/>
        </w:numPr>
        <w:spacing w:before="0" w:after="48" w:afterLines="20" w:line="288" w:lineRule="auto"/>
        <w:rPr>
          <w:rFonts w:hint="eastAsia" w:ascii="微软雅黑" w:hAnsi="微软雅黑" w:eastAsia="微软雅黑"/>
          <w:color w:val="000000"/>
        </w:rPr>
      </w:pPr>
      <w:bookmarkStart w:id="87" w:name="_Toc16953"/>
      <w:r>
        <w:rPr>
          <w:rFonts w:hint="eastAsia" w:ascii="微软雅黑" w:hAnsi="微软雅黑" w:eastAsia="微软雅黑"/>
          <w:color w:val="000000"/>
        </w:rPr>
        <w:t>配送中心规划布局</w:t>
      </w:r>
      <w:bookmarkEnd w:id="87"/>
    </w:p>
    <w:p w14:paraId="3C5AAC7F">
      <w:pPr>
        <w:spacing w:after="120" w:afterLines="50" w:line="360" w:lineRule="auto"/>
        <w:ind w:firstLine="480" w:firstLineChars="200"/>
        <w:rPr>
          <w:rFonts w:hint="eastAsia" w:ascii="幼圆" w:eastAsia="幼圆"/>
          <w:color w:val="000000"/>
          <w:sz w:val="24"/>
        </w:rPr>
      </w:pPr>
      <w:bookmarkStart w:id="88" w:name="_Hlk119078821"/>
      <w:r>
        <w:rPr>
          <w:rFonts w:hint="eastAsia" w:ascii="幼圆" w:eastAsia="幼圆"/>
          <w:color w:val="000000"/>
          <w:sz w:val="24"/>
        </w:rPr>
        <w:t>规划在汕尾市域共布置了11处物流配送中心，总用地面积约为118.5公顷。</w:t>
      </w:r>
      <w:bookmarkEnd w:id="88"/>
      <w:r>
        <w:rPr>
          <w:rFonts w:hint="eastAsia" w:ascii="幼圆" w:eastAsia="幼圆"/>
          <w:color w:val="000000"/>
          <w:sz w:val="24"/>
        </w:rPr>
        <w:t>规划指引按附表</w:t>
      </w:r>
      <w:r>
        <w:rPr>
          <w:rFonts w:hint="eastAsia" w:ascii="幼圆" w:eastAsia="幼圆"/>
          <w:color w:val="000000"/>
          <w:sz w:val="24"/>
          <w:lang w:val="en-US" w:eastAsia="zh-CN"/>
        </w:rPr>
        <w:t>23</w:t>
      </w:r>
      <w:r>
        <w:rPr>
          <w:rFonts w:hint="eastAsia" w:ascii="幼圆" w:eastAsia="幼圆"/>
          <w:color w:val="000000"/>
          <w:sz w:val="24"/>
        </w:rPr>
        <w:t>进行规划布局</w:t>
      </w:r>
      <w:r>
        <w:rPr>
          <w:rFonts w:hint="eastAsia" w:ascii="幼圆" w:eastAsia="幼圆"/>
          <w:color w:val="000000"/>
          <w:sz w:val="24"/>
          <w:lang w:eastAsia="zh-CN"/>
        </w:rPr>
        <w:t>。</w:t>
      </w:r>
    </w:p>
    <w:p w14:paraId="03395B26">
      <w:pPr>
        <w:numPr>
          <w:ilvl w:val="0"/>
          <w:numId w:val="0"/>
        </w:numPr>
        <w:snapToGrid w:val="0"/>
        <w:spacing w:after="120" w:afterLines="50" w:line="300" w:lineRule="auto"/>
        <w:rPr>
          <w:rFonts w:hint="eastAsia" w:ascii="幼圆" w:hAnsi="Times New Roman" w:eastAsia="幼圆" w:cs="Times New Roman"/>
          <w:color w:val="000000"/>
          <w:sz w:val="24"/>
        </w:rPr>
      </w:pPr>
    </w:p>
    <w:p w14:paraId="2072CFDD">
      <w:pPr>
        <w:numPr>
          <w:ilvl w:val="0"/>
          <w:numId w:val="32"/>
        </w:numPr>
        <w:snapToGrid w:val="0"/>
        <w:spacing w:after="120" w:afterLines="50" w:line="300" w:lineRule="auto"/>
        <w:rPr>
          <w:rFonts w:hint="eastAsia" w:ascii="幼圆" w:hAnsi="Times New Roman" w:eastAsia="幼圆" w:cs="Times New Roman"/>
          <w:color w:val="000000"/>
          <w:sz w:val="24"/>
        </w:rPr>
        <w:sectPr>
          <w:pgSz w:w="23814" w:h="16840" w:orient="landscape"/>
          <w:pgMar w:top="1985" w:right="1985" w:bottom="1985" w:left="1985" w:header="851" w:footer="992" w:gutter="0"/>
          <w:pgNumType w:fmt="decimal"/>
          <w:cols w:space="630" w:num="2"/>
          <w:docGrid w:linePitch="312" w:charSpace="0"/>
        </w:sectPr>
      </w:pPr>
    </w:p>
    <w:p w14:paraId="1DCEB1C7">
      <w:pPr>
        <w:pStyle w:val="2"/>
        <w:spacing w:before="240" w:after="240" w:line="360" w:lineRule="auto"/>
        <w:rPr>
          <w:rFonts w:hint="eastAsia" w:ascii="华文中宋" w:hAnsi="华文中宋" w:eastAsia="华文中宋"/>
          <w:color w:val="000000"/>
        </w:rPr>
      </w:pPr>
      <w:bookmarkStart w:id="89" w:name="_Toc9484"/>
      <w:r>
        <w:rPr>
          <w:rFonts w:hint="eastAsia" w:ascii="华文中宋" w:hAnsi="华文中宋" w:eastAsia="华文中宋"/>
          <w:color w:val="000000"/>
        </w:rPr>
        <w:t>第</w:t>
      </w:r>
      <w:r>
        <w:rPr>
          <w:rFonts w:hint="eastAsia" w:ascii="华文中宋" w:hAnsi="华文中宋" w:eastAsia="华文中宋"/>
          <w:color w:val="000000"/>
          <w:lang w:val="en-US" w:eastAsia="zh-CN"/>
        </w:rPr>
        <w:t>十</w:t>
      </w:r>
      <w:r>
        <w:rPr>
          <w:rFonts w:hint="eastAsia" w:ascii="华文中宋" w:hAnsi="华文中宋" w:eastAsia="华文中宋"/>
          <w:color w:val="000000"/>
        </w:rPr>
        <w:t>章 实施建议与实施措施</w:t>
      </w:r>
      <w:bookmarkEnd w:id="89"/>
    </w:p>
    <w:p w14:paraId="6ABD1BE7">
      <w:pPr>
        <w:pStyle w:val="4"/>
        <w:numPr>
          <w:ilvl w:val="0"/>
          <w:numId w:val="1"/>
        </w:numPr>
        <w:spacing w:before="0" w:after="48" w:afterLines="20" w:line="288" w:lineRule="auto"/>
        <w:rPr>
          <w:rFonts w:hint="eastAsia" w:ascii="微软雅黑" w:hAnsi="微软雅黑" w:eastAsia="微软雅黑"/>
          <w:color w:val="000000"/>
        </w:rPr>
      </w:pPr>
      <w:bookmarkStart w:id="90" w:name="_Toc10160"/>
      <w:r>
        <w:rPr>
          <w:rFonts w:hint="eastAsia" w:ascii="微软雅黑" w:hAnsi="微软雅黑" w:eastAsia="微软雅黑"/>
          <w:color w:val="000000"/>
        </w:rPr>
        <w:t>近期建设目标</w:t>
      </w:r>
      <w:bookmarkEnd w:id="90"/>
    </w:p>
    <w:p w14:paraId="6A44122F">
      <w:pPr>
        <w:spacing w:after="120" w:afterLines="50" w:line="360" w:lineRule="auto"/>
        <w:ind w:firstLine="480" w:firstLineChars="200"/>
        <w:rPr>
          <w:rFonts w:hint="eastAsia" w:ascii="幼圆" w:hAnsi="Times New Roman" w:eastAsia="幼圆" w:cs="Times New Roman"/>
          <w:color w:val="000000"/>
          <w:sz w:val="24"/>
          <w:lang w:eastAsia="zh-CN"/>
        </w:rPr>
      </w:pPr>
      <w:r>
        <w:rPr>
          <w:rFonts w:hint="eastAsia" w:ascii="幼圆" w:hAnsi="Times New Roman" w:eastAsia="幼圆" w:cs="Times New Roman"/>
          <w:color w:val="000000"/>
          <w:sz w:val="24"/>
        </w:rPr>
        <w:t>结合《</w:t>
      </w:r>
      <w:r>
        <w:rPr>
          <w:rFonts w:hint="eastAsia" w:ascii="幼圆" w:hAnsi="Times New Roman" w:eastAsia="幼圆" w:cs="Times New Roman"/>
          <w:color w:val="000000"/>
          <w:sz w:val="24"/>
        </w:rPr>
        <w:t>汕尾市国土空间总体规划（2021-2035年）》、汕尾“十五五”商务发展思路，明确汕尾商业网点近期建设目标</w:t>
      </w:r>
      <w:r>
        <w:rPr>
          <w:rFonts w:hint="eastAsia" w:ascii="幼圆" w:hAnsi="Times New Roman" w:eastAsia="幼圆" w:cs="Times New Roman"/>
          <w:color w:val="000000"/>
          <w:sz w:val="24"/>
          <w:lang w:eastAsia="zh-CN"/>
        </w:rPr>
        <w:t>。</w:t>
      </w:r>
    </w:p>
    <w:p w14:paraId="7DA6FFB4">
      <w:pPr>
        <w:spacing w:after="120" w:afterLines="50" w:line="360" w:lineRule="auto"/>
        <w:ind w:firstLine="480" w:firstLineChars="200"/>
        <w:rPr>
          <w:rFonts w:hint="eastAsia" w:ascii="幼圆" w:eastAsia="幼圆"/>
          <w:color w:val="000000"/>
          <w:sz w:val="24"/>
          <w:highlight w:val="none"/>
        </w:rPr>
      </w:pPr>
      <w:bookmarkStart w:id="91" w:name="_Toc337450761"/>
      <w:bookmarkStart w:id="92" w:name="_Toc336684866"/>
      <w:bookmarkStart w:id="93" w:name="_Toc336584646"/>
      <w:bookmarkStart w:id="94" w:name="_Toc337821484"/>
      <w:bookmarkStart w:id="95" w:name="_Toc357409717"/>
      <w:r>
        <w:rPr>
          <w:rFonts w:hint="eastAsia" w:ascii="幼圆" w:eastAsia="幼圆"/>
          <w:color w:val="000000"/>
          <w:sz w:val="24"/>
          <w:highlight w:val="none"/>
        </w:rPr>
        <w:t>规划至202</w:t>
      </w:r>
      <w:r>
        <w:rPr>
          <w:rFonts w:hint="eastAsia" w:ascii="幼圆" w:eastAsia="幼圆"/>
          <w:color w:val="000000"/>
          <w:sz w:val="24"/>
          <w:highlight w:val="none"/>
          <w:lang w:val="en-US" w:eastAsia="zh-CN"/>
        </w:rPr>
        <w:t>7</w:t>
      </w:r>
      <w:r>
        <w:rPr>
          <w:rFonts w:hint="eastAsia" w:ascii="幼圆" w:eastAsia="幼圆"/>
          <w:color w:val="000000"/>
          <w:sz w:val="24"/>
          <w:highlight w:val="none"/>
        </w:rPr>
        <w:t>年，基本建成竞争有序、高效畅通的现代流通体系，供给侧结构性改革成效显著，消费结构优化升级。</w:t>
      </w:r>
    </w:p>
    <w:p w14:paraId="328421DD">
      <w:pPr>
        <w:spacing w:after="120" w:afterLines="50" w:line="360" w:lineRule="auto"/>
        <w:ind w:firstLine="480" w:firstLineChars="200"/>
        <w:rPr>
          <w:rFonts w:hint="eastAsia" w:ascii="幼圆" w:eastAsia="幼圆"/>
          <w:color w:val="000000"/>
          <w:sz w:val="24"/>
          <w:highlight w:val="none"/>
        </w:rPr>
      </w:pPr>
      <w:r>
        <w:rPr>
          <w:rFonts w:hint="eastAsia" w:ascii="幼圆" w:eastAsia="幼圆"/>
          <w:color w:val="000000"/>
          <w:sz w:val="24"/>
          <w:highlight w:val="none"/>
        </w:rPr>
        <w:t>进一步优化城乡商业网点布局，着力培育商贸、流通龙头企业。大力发展电子商务、新零售等新型销售业态，积极拓展农村消费空间。加快现代物流体系建设，协调城乡一体化发展。培养一批商贸及物流龙头企业。社消零力争实现</w:t>
      </w:r>
      <w:r>
        <w:rPr>
          <w:rFonts w:hint="eastAsia" w:ascii="幼圆" w:eastAsia="幼圆"/>
          <w:color w:val="000000"/>
          <w:sz w:val="24"/>
          <w:highlight w:val="none"/>
          <w:lang w:val="en-US" w:eastAsia="zh-CN"/>
        </w:rPr>
        <w:t>560</w:t>
      </w:r>
      <w:r>
        <w:rPr>
          <w:rFonts w:hint="eastAsia" w:ascii="幼圆" w:eastAsia="幼圆"/>
          <w:color w:val="000000"/>
          <w:sz w:val="24"/>
          <w:highlight w:val="none"/>
        </w:rPr>
        <w:t>亿元。</w:t>
      </w:r>
    </w:p>
    <w:p w14:paraId="676F0536">
      <w:pPr>
        <w:spacing w:after="120" w:afterLines="50" w:line="360" w:lineRule="auto"/>
        <w:ind w:firstLine="480" w:firstLineChars="200"/>
        <w:rPr>
          <w:rFonts w:hint="eastAsia" w:ascii="幼圆" w:eastAsia="幼圆"/>
          <w:color w:val="000000"/>
          <w:sz w:val="24"/>
          <w:highlight w:val="none"/>
          <w:lang w:val="en-US" w:eastAsia="zh-CN"/>
        </w:rPr>
      </w:pPr>
      <w:r>
        <w:rPr>
          <w:rFonts w:hint="eastAsia" w:ascii="幼圆" w:eastAsia="幼圆"/>
          <w:color w:val="000000"/>
          <w:sz w:val="24"/>
          <w:highlight w:val="none"/>
          <w:lang w:val="en-US" w:eastAsia="zh-CN"/>
        </w:rPr>
        <w:t>规划至2030年，促进消费进一步提升，进一步壮大限上商贸企业基数。在比亚迪KD件出口项目带动下，推动外贸规模实现千亿级跃升；持续壮大电商业态，培育10家以上年销售额超亿元的电商龙头企业；打造2-3个在粤东乃至全省有影响力的品牌展会；加快推进汕尾新港区公用码头二期、陆丰海洋工程基地二期码头建设。</w:t>
      </w:r>
    </w:p>
    <w:p w14:paraId="4848974F">
      <w:pPr>
        <w:spacing w:after="120" w:afterLines="50" w:line="360" w:lineRule="auto"/>
        <w:ind w:firstLine="480" w:firstLineChars="200"/>
        <w:rPr>
          <w:rFonts w:hint="eastAsia" w:ascii="幼圆" w:hAnsi="Times New Roman" w:eastAsia="幼圆" w:cs="Times New Roman"/>
          <w:color w:val="000000"/>
          <w:sz w:val="24"/>
          <w:highlight w:val="none"/>
        </w:rPr>
      </w:pPr>
      <w:r>
        <w:rPr>
          <w:rFonts w:hint="eastAsia" w:ascii="幼圆" w:eastAsia="幼圆"/>
          <w:color w:val="000000"/>
          <w:sz w:val="24"/>
          <w:highlight w:val="none"/>
          <w:lang w:val="en-US" w:eastAsia="zh-CN"/>
        </w:rPr>
        <w:t>推动社会消费品零售额指标实现稳步增长，社会消费品零售额年均增速达6%，力争达到706亿元。</w:t>
      </w:r>
    </w:p>
    <w:p w14:paraId="5ECFBD74">
      <w:pPr>
        <w:pStyle w:val="4"/>
        <w:numPr>
          <w:ilvl w:val="0"/>
          <w:numId w:val="1"/>
        </w:numPr>
        <w:spacing w:before="0" w:after="48" w:afterLines="20" w:line="288" w:lineRule="auto"/>
        <w:rPr>
          <w:rFonts w:hint="eastAsia" w:ascii="微软雅黑" w:hAnsi="微软雅黑" w:eastAsia="微软雅黑"/>
          <w:color w:val="000000"/>
        </w:rPr>
      </w:pPr>
      <w:bookmarkStart w:id="96" w:name="_Toc23774"/>
      <w:r>
        <w:rPr>
          <w:rFonts w:hint="eastAsia" w:ascii="微软雅黑" w:hAnsi="微软雅黑" w:eastAsia="微软雅黑"/>
          <w:color w:val="000000"/>
        </w:rPr>
        <w:t>近期实施重点</w:t>
      </w:r>
      <w:bookmarkEnd w:id="91"/>
      <w:bookmarkEnd w:id="92"/>
      <w:bookmarkEnd w:id="93"/>
      <w:bookmarkEnd w:id="94"/>
      <w:bookmarkEnd w:id="95"/>
      <w:bookmarkEnd w:id="96"/>
    </w:p>
    <w:p w14:paraId="2CF7D2F7">
      <w:pPr>
        <w:numPr>
          <w:ilvl w:val="0"/>
          <w:numId w:val="34"/>
        </w:numPr>
        <w:spacing w:after="120" w:afterLines="50" w:line="360" w:lineRule="auto"/>
        <w:jc w:val="left"/>
        <w:rPr>
          <w:rFonts w:hint="eastAsia" w:ascii="幼圆" w:hAnsi="Times New Roman" w:eastAsia="幼圆" w:cs="Times New Roman"/>
          <w:color w:val="000000"/>
          <w:sz w:val="24"/>
          <w:lang w:val="en-US" w:eastAsia="zh-CN"/>
        </w:rPr>
      </w:pPr>
      <w:r>
        <w:rPr>
          <w:rFonts w:hint="eastAsia" w:ascii="幼圆" w:hAnsi="Times New Roman" w:eastAsia="幼圆" w:cs="Times New Roman"/>
          <w:color w:val="000000"/>
          <w:sz w:val="24"/>
          <w:lang w:val="en-US" w:eastAsia="zh-CN"/>
        </w:rPr>
        <w:t>提升消费能级，打造特色消费场景。</w:t>
      </w:r>
    </w:p>
    <w:p w14:paraId="66381DC8">
      <w:pPr>
        <w:spacing w:after="120" w:afterLines="50" w:line="360" w:lineRule="auto"/>
        <w:ind w:firstLine="480" w:firstLineChars="200"/>
        <w:jc w:val="left"/>
        <w:rPr>
          <w:rFonts w:hint="eastAsia" w:ascii="幼圆" w:hAnsi="Times New Roman" w:eastAsia="幼圆" w:cs="Times New Roman"/>
          <w:color w:val="000000"/>
          <w:sz w:val="24"/>
          <w:highlight w:val="none"/>
        </w:rPr>
      </w:pPr>
      <w:r>
        <w:rPr>
          <w:rFonts w:hint="eastAsia" w:ascii="幼圆" w:hAnsi="Times New Roman" w:eastAsia="幼圆" w:cs="Times New Roman"/>
          <w:color w:val="000000"/>
          <w:sz w:val="24"/>
          <w:highlight w:val="none"/>
          <w:lang w:val="en-US" w:eastAsia="zh-CN"/>
        </w:rPr>
        <w:t>聚焦消费载体与场景创新，推进红海湾零碳消费示范区、大型商业综合体及特色商业街区建设，培育地方特色消费品牌。同时，推进智慧商贸数字化改造，打造非遗+文旅消费IP，完善养老托育、滨海体育等消费场景，健全县乡村三级商业网络，构建放心消费环境，激活城乡消费潜力。</w:t>
      </w:r>
    </w:p>
    <w:p w14:paraId="6802C879">
      <w:pPr>
        <w:numPr>
          <w:ilvl w:val="0"/>
          <w:numId w:val="34"/>
        </w:numPr>
        <w:spacing w:after="120" w:afterLines="50" w:line="360" w:lineRule="auto"/>
        <w:jc w:val="left"/>
        <w:rPr>
          <w:rFonts w:hint="eastAsia" w:ascii="幼圆" w:hAnsi="Times New Roman" w:eastAsia="幼圆" w:cs="Times New Roman"/>
          <w:color w:val="000000"/>
          <w:sz w:val="24"/>
          <w:lang w:val="en-US" w:eastAsia="zh-CN"/>
        </w:rPr>
      </w:pPr>
      <w:r>
        <w:rPr>
          <w:rFonts w:hint="eastAsia" w:ascii="幼圆" w:hAnsi="Times New Roman" w:eastAsia="幼圆" w:cs="Times New Roman"/>
          <w:color w:val="000000"/>
          <w:sz w:val="24"/>
          <w:lang w:val="en-US" w:eastAsia="zh-CN"/>
        </w:rPr>
        <w:t>推动外贸跃升，培育高端贸易动能。</w:t>
      </w:r>
    </w:p>
    <w:p w14:paraId="7176310B">
      <w:pPr>
        <w:spacing w:after="120" w:afterLines="50" w:line="360" w:lineRule="auto"/>
        <w:ind w:firstLine="480" w:firstLineChars="200"/>
        <w:jc w:val="left"/>
        <w:rPr>
          <w:rFonts w:hint="eastAsia" w:ascii="幼圆" w:hAnsi="Times New Roman" w:eastAsia="幼圆" w:cs="Times New Roman"/>
          <w:color w:val="000000"/>
          <w:sz w:val="24"/>
          <w:highlight w:val="none"/>
        </w:rPr>
      </w:pPr>
      <w:r>
        <w:rPr>
          <w:rFonts w:hint="eastAsia" w:ascii="幼圆" w:hAnsi="Times New Roman" w:eastAsia="幼圆" w:cs="Times New Roman"/>
          <w:color w:val="000000"/>
          <w:sz w:val="24"/>
          <w:highlight w:val="none"/>
          <w:lang w:val="en-US" w:eastAsia="zh-CN"/>
        </w:rPr>
        <w:t>重点培育新能源汽车、电子信息等出口产业集群，推动贸易提质升级，稳固传统国际市场、拓展新兴市场。依托红海湾保税物流中心，打造特色进口基地，培育跨境电商、绿色贸易等新业态，推动内外贸一体化融合，提升外贸综合竞争力。</w:t>
      </w:r>
    </w:p>
    <w:p w14:paraId="5164F737">
      <w:pPr>
        <w:numPr>
          <w:ilvl w:val="0"/>
          <w:numId w:val="34"/>
        </w:numPr>
        <w:spacing w:after="120" w:afterLines="50" w:line="360" w:lineRule="auto"/>
        <w:jc w:val="left"/>
        <w:rPr>
          <w:rFonts w:hint="eastAsia" w:ascii="幼圆" w:hAnsi="Times New Roman" w:eastAsia="幼圆" w:cs="Times New Roman"/>
          <w:color w:val="000000"/>
          <w:sz w:val="24"/>
          <w:lang w:val="en-US" w:eastAsia="zh-CN"/>
        </w:rPr>
      </w:pPr>
      <w:r>
        <w:rPr>
          <w:rFonts w:hint="eastAsia" w:ascii="幼圆" w:hAnsi="Times New Roman" w:eastAsia="幼圆" w:cs="Times New Roman"/>
          <w:color w:val="000000"/>
          <w:sz w:val="24"/>
          <w:lang w:val="en-US" w:eastAsia="zh-CN"/>
        </w:rPr>
        <w:t>深化数字赋能，完善电商生态体系。</w:t>
      </w:r>
    </w:p>
    <w:p w14:paraId="292EDD34">
      <w:pPr>
        <w:spacing w:after="120" w:afterLines="50" w:line="360" w:lineRule="auto"/>
        <w:ind w:firstLine="480" w:firstLineChars="200"/>
        <w:jc w:val="left"/>
        <w:rPr>
          <w:rFonts w:hint="eastAsia" w:ascii="幼圆" w:hAnsi="Times New Roman" w:eastAsia="幼圆" w:cs="Times New Roman"/>
          <w:color w:val="000000"/>
          <w:sz w:val="24"/>
          <w:highlight w:val="none"/>
        </w:rPr>
      </w:pPr>
      <w:r>
        <w:rPr>
          <w:rFonts w:hint="eastAsia" w:ascii="幼圆" w:hAnsi="Times New Roman" w:eastAsia="幼圆" w:cs="Times New Roman"/>
          <w:color w:val="000000"/>
          <w:sz w:val="24"/>
          <w:highlight w:val="none"/>
          <w:lang w:val="en-US" w:eastAsia="zh-CN"/>
        </w:rPr>
        <w:t>推动金银珠宝、农产品等特色产业带数字化升级，建设跨境直播基地与选品中心。做强农村电商，完善县乡村电商服务网络，培育专业电商人才，畅通农产品上行与工业品下乡通道，优化跨境电商“两平台六体系”，强化数字技术对商业发展的支撑作用。</w:t>
      </w:r>
    </w:p>
    <w:p w14:paraId="0411DCB4">
      <w:pPr>
        <w:numPr>
          <w:ilvl w:val="0"/>
          <w:numId w:val="34"/>
        </w:numPr>
        <w:spacing w:after="120" w:afterLines="50" w:line="360" w:lineRule="auto"/>
        <w:jc w:val="left"/>
        <w:rPr>
          <w:rFonts w:hint="eastAsia" w:ascii="幼圆" w:hAnsi="Times New Roman" w:eastAsia="幼圆" w:cs="Times New Roman"/>
          <w:color w:val="000000"/>
          <w:sz w:val="24"/>
          <w:lang w:val="en-US" w:eastAsia="zh-CN"/>
        </w:rPr>
      </w:pPr>
      <w:r>
        <w:rPr>
          <w:rFonts w:hint="eastAsia" w:ascii="幼圆" w:hAnsi="Times New Roman" w:eastAsia="幼圆" w:cs="Times New Roman"/>
          <w:color w:val="000000"/>
          <w:sz w:val="24"/>
          <w:lang w:val="en-US" w:eastAsia="zh-CN"/>
        </w:rPr>
        <w:t>强化平台提质，深化区域联动发展。</w:t>
      </w:r>
    </w:p>
    <w:p w14:paraId="76A2259B">
      <w:pPr>
        <w:spacing w:after="120" w:afterLines="50" w:line="360" w:lineRule="auto"/>
        <w:ind w:firstLine="480" w:firstLineChars="200"/>
        <w:jc w:val="left"/>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推进红海湾保税物流中心、汕尾市会展中心等重点平台建设，打造品牌展会，深化深汕会展协作。联动深圳前海、盐田等区域，创新“组合港”通关模式，复制自贸区改革经验，完善口岸基础设施与智慧化建设，筑牢商业高质量发展载体支撑。</w:t>
      </w:r>
    </w:p>
    <w:p w14:paraId="7CAAB5BB">
      <w:pPr>
        <w:pStyle w:val="4"/>
        <w:numPr>
          <w:ilvl w:val="0"/>
          <w:numId w:val="1"/>
        </w:numPr>
        <w:spacing w:before="0" w:after="48" w:afterLines="20" w:line="288" w:lineRule="auto"/>
        <w:rPr>
          <w:rFonts w:hint="eastAsia" w:ascii="微软雅黑" w:hAnsi="微软雅黑" w:eastAsia="微软雅黑"/>
          <w:color w:val="000000"/>
        </w:rPr>
      </w:pPr>
      <w:bookmarkStart w:id="97" w:name="_Toc2743"/>
      <w:r>
        <w:rPr>
          <w:rFonts w:hint="eastAsia" w:ascii="微软雅黑" w:hAnsi="微软雅黑" w:eastAsia="微软雅黑"/>
          <w:color w:val="000000"/>
          <w:highlight w:val="none"/>
          <w:lang w:val="en-US" w:eastAsia="zh-CN"/>
        </w:rPr>
        <w:t>近期重点工程</w:t>
      </w:r>
      <w:bookmarkEnd w:id="97"/>
    </w:p>
    <w:p w14:paraId="16542953">
      <w:pPr>
        <w:spacing w:after="120" w:afterLines="50" w:line="360" w:lineRule="auto"/>
        <w:ind w:firstLine="480" w:firstLineChars="200"/>
        <w:jc w:val="left"/>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规划结合汕尾“十五五”商务发展思路，提出八大近期重点建设工程，细化33个近期重点建设项目。详见</w:t>
      </w:r>
      <w:r>
        <w:rPr>
          <w:rFonts w:hint="eastAsia" w:ascii="幼圆" w:eastAsia="幼圆"/>
          <w:color w:val="000000"/>
          <w:sz w:val="24"/>
        </w:rPr>
        <w:t>附表</w:t>
      </w:r>
      <w:r>
        <w:rPr>
          <w:rFonts w:hint="eastAsia" w:ascii="幼圆" w:eastAsia="幼圆"/>
          <w:color w:val="000000"/>
          <w:sz w:val="24"/>
          <w:lang w:val="en-US" w:eastAsia="zh-CN"/>
        </w:rPr>
        <w:t>24。</w:t>
      </w:r>
    </w:p>
    <w:p w14:paraId="2A9899DD">
      <w:pPr>
        <w:pStyle w:val="4"/>
        <w:numPr>
          <w:ilvl w:val="0"/>
          <w:numId w:val="1"/>
        </w:numPr>
        <w:spacing w:before="0" w:after="48" w:afterLines="20" w:line="288" w:lineRule="auto"/>
        <w:rPr>
          <w:rFonts w:hint="eastAsia" w:ascii="微软雅黑" w:hAnsi="微软雅黑" w:eastAsia="微软雅黑"/>
          <w:color w:val="000000"/>
        </w:rPr>
      </w:pPr>
      <w:bookmarkStart w:id="98" w:name="_Toc19184"/>
      <w:r>
        <w:rPr>
          <w:rFonts w:hint="eastAsia" w:ascii="微软雅黑" w:hAnsi="微软雅黑" w:eastAsia="微软雅黑"/>
          <w:color w:val="000000"/>
        </w:rPr>
        <w:t>规划实施措施</w:t>
      </w:r>
      <w:bookmarkEnd w:id="98"/>
    </w:p>
    <w:p w14:paraId="313B99F1">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加强商业产业工作指导，推进工作落实</w:t>
      </w:r>
      <w:r>
        <w:rPr>
          <w:rFonts w:hint="eastAsia" w:ascii="幼圆" w:hAnsi="Times New Roman" w:eastAsia="幼圆" w:cs="Times New Roman"/>
          <w:sz w:val="24"/>
          <w:lang w:eastAsia="zh-CN"/>
        </w:rPr>
        <w:t>。</w:t>
      </w:r>
      <w:r>
        <w:rPr>
          <w:rFonts w:hint="eastAsia" w:ascii="幼圆" w:hAnsi="Times New Roman" w:eastAsia="幼圆" w:cs="Times New Roman"/>
          <w:sz w:val="24"/>
        </w:rPr>
        <w:t>本规划经审批通过后，商务、发改、交通、工业和信息化、邮政、自然资源等部门结合本局职能,加强工作指导，指导各县（市、区）落实属地责任，为商业网点的发展与布局提供坚实的组织保障。</w:t>
      </w:r>
    </w:p>
    <w:p w14:paraId="4F83CB95">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深化落实市域商业网点规划，指导各县（市、区）开展规划编制</w:t>
      </w:r>
      <w:r>
        <w:rPr>
          <w:rFonts w:hint="eastAsia" w:ascii="幼圆" w:hAnsi="Times New Roman" w:eastAsia="幼圆" w:cs="Times New Roman"/>
          <w:sz w:val="24"/>
          <w:lang w:eastAsia="zh-CN"/>
        </w:rPr>
        <w:t>。</w:t>
      </w:r>
      <w:r>
        <w:rPr>
          <w:rFonts w:hint="eastAsia" w:ascii="幼圆" w:hAnsi="Times New Roman" w:eastAsia="幼圆" w:cs="Times New Roman"/>
          <w:sz w:val="24"/>
        </w:rPr>
        <w:t>本规划是从全市域层面按照市域和中心城区两个层面对商业网点体系进行规划。规划的视角和层次决定了规划的重点任务仍在于市域商业中心体系的构筑和商业发展战略目标的明确与商业发展策略的制定。因此，为增强城市商业网点规划的实施操作性，仍需要城市商业行政主管部门围绕城市商业发展的重点，依据城市商业网点规划加快组织各县（市、区）开展辖域内的商业网点规划编制工作。</w:t>
      </w:r>
    </w:p>
    <w:p w14:paraId="1DCD0D0C">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积极推动商业产业区域合作，促进商贸企业联盟发展</w:t>
      </w:r>
      <w:r>
        <w:rPr>
          <w:rFonts w:hint="eastAsia" w:ascii="幼圆" w:hAnsi="Times New Roman" w:eastAsia="幼圆" w:cs="Times New Roman"/>
          <w:sz w:val="24"/>
          <w:lang w:eastAsia="zh-CN"/>
        </w:rPr>
        <w:t>。</w:t>
      </w:r>
      <w:r>
        <w:rPr>
          <w:rFonts w:hint="eastAsia" w:ascii="幼圆" w:hAnsi="Times New Roman" w:eastAsia="幼圆" w:cs="Times New Roman"/>
          <w:sz w:val="24"/>
        </w:rPr>
        <w:t>以</w:t>
      </w:r>
      <w:r>
        <w:rPr>
          <w:rFonts w:hint="eastAsia" w:ascii="幼圆" w:hAnsi="Times New Roman" w:eastAsia="幼圆" w:cs="Times New Roman"/>
          <w:sz w:val="24"/>
          <w:lang w:eastAsia="zh-CN"/>
        </w:rPr>
        <w:t>深汕特别合作区</w:t>
      </w:r>
      <w:r>
        <w:rPr>
          <w:rFonts w:hint="eastAsia" w:ascii="幼圆" w:hAnsi="Times New Roman" w:eastAsia="幼圆" w:cs="Times New Roman"/>
          <w:sz w:val="24"/>
        </w:rPr>
        <w:t>为契机，强化汕尾市与粤港澳大湾区，尤其是深圳市的区域合作，在政府层面创建现代商贸物流产业发展的区域合作机制，推动粤港澳大湾区的大型商业企业引入，与强化优秀品牌企业跨区域合作和商品流通，引导、鼓励粤港澳大湾区大型现代物流企业进行区域性商贸物流服务功能分工，推进跨区域商贸物流服务在汕尾市域开展。</w:t>
      </w:r>
    </w:p>
    <w:p w14:paraId="50A189A0">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加强商业产业招商引资工作，积极引入大型商业企业</w:t>
      </w:r>
      <w:r>
        <w:rPr>
          <w:rFonts w:hint="eastAsia" w:ascii="幼圆" w:hAnsi="Times New Roman" w:eastAsia="幼圆" w:cs="Times New Roman"/>
          <w:sz w:val="24"/>
          <w:lang w:eastAsia="zh-CN"/>
        </w:rPr>
        <w:t>。</w:t>
      </w:r>
      <w:r>
        <w:rPr>
          <w:rFonts w:hint="eastAsia" w:ascii="幼圆" w:hAnsi="Times New Roman" w:eastAsia="幼圆" w:cs="Times New Roman"/>
          <w:sz w:val="24"/>
        </w:rPr>
        <w:t>实施大企业和大集团带动战略，将现代商业产业的引入作为全市招商引资的重点工作内容，加快引进一批国际国内大型商业、物流企业，积极引进现代物流龙头企业，发展第三、四方物流和服务外包，带动汕尾市物流产业的转型升级。</w:t>
      </w:r>
    </w:p>
    <w:p w14:paraId="2241E481">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强化商贸产业发展政策研究，营造宽松有利政策环境</w:t>
      </w:r>
      <w:r>
        <w:rPr>
          <w:rFonts w:hint="eastAsia" w:ascii="幼圆" w:hAnsi="Times New Roman" w:eastAsia="幼圆" w:cs="Times New Roman"/>
          <w:sz w:val="24"/>
          <w:lang w:eastAsia="zh-CN"/>
        </w:rPr>
        <w:t>。</w:t>
      </w:r>
      <w:r>
        <w:rPr>
          <w:rFonts w:hint="eastAsia" w:ascii="幼圆" w:hAnsi="Times New Roman" w:eastAsia="幼圆" w:cs="Times New Roman"/>
          <w:sz w:val="24"/>
        </w:rPr>
        <w:t>商务、发改、交通、邮政等部门应以本规划为基础，深入了解研究国家、省的相关产业发展政策，积极研究、推动保税物流园区、跨境电子</w:t>
      </w:r>
      <w:r>
        <w:rPr>
          <w:rFonts w:hint="eastAsia" w:ascii="幼圆" w:eastAsia="幼圆"/>
          <w:sz w:val="24"/>
        </w:rPr>
        <w:t>商务、大宗商品交易等政策的落实实施，为汕尾市商贸产业发展营造</w:t>
      </w:r>
      <w:r>
        <w:rPr>
          <w:rFonts w:hint="eastAsia" w:ascii="幼圆" w:eastAsia="幼圆"/>
          <w:sz w:val="24"/>
          <w:lang w:eastAsia="zh-CN"/>
        </w:rPr>
        <w:t>必需的</w:t>
      </w:r>
      <w:r>
        <w:rPr>
          <w:rFonts w:hint="eastAsia" w:ascii="幼圆" w:eastAsia="幼圆"/>
          <w:sz w:val="24"/>
        </w:rPr>
        <w:t>有利政策环境。</w:t>
      </w:r>
    </w:p>
    <w:p w14:paraId="4C34DE80">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建立与国土空间规划“一张图”系统衔接的动态项目库</w:t>
      </w:r>
      <w:r>
        <w:rPr>
          <w:rFonts w:hint="eastAsia" w:ascii="幼圆" w:hAnsi="Times New Roman" w:eastAsia="幼圆" w:cs="Times New Roman"/>
          <w:sz w:val="24"/>
          <w:lang w:eastAsia="zh-CN"/>
        </w:rPr>
        <w:t>。</w:t>
      </w:r>
      <w:r>
        <w:rPr>
          <w:rFonts w:hint="eastAsia" w:ascii="幼圆" w:hAnsi="Times New Roman" w:eastAsia="幼圆" w:cs="Times New Roman"/>
          <w:sz w:val="24"/>
        </w:rPr>
        <w:t>为保障本规划确定的目标、策略与空间布局能够落地实施，应建立商业网点专项规划与汕尾市国土空间规划“一张图”实施监督信息系统的动态衔接机制。由商务主管部门会同自然资源部门，将规划确定的重大商业网点项目纳入国土空间规划“一张图”系统进行统筹管理。以此为基础，</w:t>
      </w:r>
      <w:r>
        <w:rPr>
          <w:rFonts w:hint="eastAsia" w:ascii="幼圆" w:hAnsi="Times New Roman" w:eastAsia="幼圆" w:cs="Times New Roman"/>
          <w:sz w:val="24"/>
          <w:lang w:val="en-US" w:eastAsia="zh-CN"/>
        </w:rPr>
        <w:t>以此为基础，会同发改、自然资源、住建、交通、邮政等部门建立项目动态库</w:t>
      </w:r>
      <w:r>
        <w:rPr>
          <w:rFonts w:hint="eastAsia" w:ascii="幼圆" w:hAnsi="Times New Roman" w:eastAsia="幼圆" w:cs="Times New Roman"/>
          <w:sz w:val="24"/>
        </w:rPr>
        <w:t>，对项目实行“谋划一批、储备一批、建设一批”的全生命周期管理。动态项目库应定期更新，作为商业用地出让、规划许可、项目审批的重要依据，确保商业网点建设与城市发展重点方向、基础设施布局同步协调，增强规划实施的刚性约束和动态适应性。</w:t>
      </w:r>
    </w:p>
    <w:p w14:paraId="2681EBD3">
      <w:pPr>
        <w:numPr>
          <w:ilvl w:val="0"/>
          <w:numId w:val="35"/>
        </w:numPr>
        <w:spacing w:after="120" w:afterLines="50" w:line="300" w:lineRule="auto"/>
        <w:rPr>
          <w:rFonts w:hint="eastAsia" w:ascii="幼圆" w:hAnsi="Times New Roman" w:eastAsia="幼圆" w:cs="Times New Roman"/>
          <w:sz w:val="24"/>
        </w:rPr>
      </w:pPr>
      <w:r>
        <w:rPr>
          <w:rFonts w:hint="eastAsia" w:ascii="幼圆" w:hAnsi="Times New Roman" w:eastAsia="幼圆" w:cs="Times New Roman"/>
          <w:sz w:val="24"/>
        </w:rPr>
        <w:t>建立重大商业网点交通影响全流程协同管理机制</w:t>
      </w:r>
      <w:r>
        <w:rPr>
          <w:rFonts w:hint="eastAsia" w:ascii="幼圆" w:hAnsi="Times New Roman" w:eastAsia="幼圆" w:cs="Times New Roman"/>
          <w:sz w:val="24"/>
          <w:lang w:eastAsia="zh-CN"/>
        </w:rPr>
        <w:t>。</w:t>
      </w:r>
      <w:r>
        <w:rPr>
          <w:rFonts w:hint="eastAsia" w:ascii="幼圆" w:hAnsi="Times New Roman" w:eastAsia="幼圆" w:cs="Times New Roman"/>
          <w:sz w:val="24"/>
        </w:rPr>
        <w:t>重大商业网点的繁荣运营有赖于高效、便捷、舒适的交通环境支撑。自然资源、</w:t>
      </w:r>
      <w:r>
        <w:rPr>
          <w:rFonts w:hint="eastAsia" w:ascii="幼圆" w:hAnsi="Times New Roman" w:eastAsia="幼圆" w:cs="Times New Roman"/>
          <w:sz w:val="24"/>
          <w:lang w:val="en-US" w:eastAsia="zh-CN"/>
        </w:rPr>
        <w:t>住建、</w:t>
      </w:r>
      <w:r>
        <w:rPr>
          <w:rFonts w:hint="eastAsia" w:ascii="幼圆" w:hAnsi="Times New Roman" w:eastAsia="幼圆" w:cs="Times New Roman"/>
          <w:sz w:val="24"/>
        </w:rPr>
        <w:t>交通运输、公安交管等部门应加强协同，在重大商业网点项目的规划选址、方案设计、建设实施及后期运营全过程中，同步优化其周边区域的交通组织。在规划阶段，应将大型商业综合体、批发市场等网点的交通影响评价作为前置条件，合理增设周边道路容量，优化路网结构。在设计与建设阶段，应严格落实配建停车位标准，并鼓励建设智慧停车场；同步完善公交站点设置、步行与自行车交通系统，实现人车分流、客货分离，鼓励“P+R”等绿色出行模式。在运营阶段，应建立动态交通管理机制，针对节假日、促销季等高峰期制定交通疏导应急预案，通过智能信号灯控制、潮汐车道、共享停车等方式，有效缓解交通拥堵，提升商业区域的通达性和消费体验。</w:t>
      </w:r>
    </w:p>
    <w:p w14:paraId="1F667617">
      <w:pPr>
        <w:spacing w:after="120" w:afterLines="50" w:line="300" w:lineRule="auto"/>
        <w:rPr>
          <w:rFonts w:hint="eastAsia" w:ascii="幼圆" w:hAnsi="宋体" w:eastAsia="幼圆"/>
          <w:color w:val="000000"/>
          <w:sz w:val="24"/>
        </w:rPr>
      </w:pPr>
    </w:p>
    <w:p w14:paraId="2F7AFE01">
      <w:pPr>
        <w:spacing w:after="120" w:afterLines="50" w:line="360" w:lineRule="auto"/>
        <w:rPr>
          <w:rFonts w:ascii="幼圆" w:eastAsia="幼圆"/>
          <w:color w:val="000000"/>
          <w:sz w:val="24"/>
        </w:rPr>
        <w:sectPr>
          <w:pgSz w:w="23814" w:h="16840" w:orient="landscape"/>
          <w:pgMar w:top="1985" w:right="1985" w:bottom="1985" w:left="1985" w:header="851" w:footer="992" w:gutter="0"/>
          <w:pgNumType w:fmt="decimal"/>
          <w:cols w:space="630" w:num="2"/>
          <w:docGrid w:linePitch="312" w:charSpace="0"/>
        </w:sectPr>
      </w:pPr>
    </w:p>
    <w:p w14:paraId="7250677D">
      <w:pPr>
        <w:pStyle w:val="2"/>
        <w:spacing w:before="240" w:after="240" w:line="360" w:lineRule="auto"/>
        <w:rPr>
          <w:rFonts w:hint="eastAsia" w:ascii="华文中宋" w:hAnsi="华文中宋" w:eastAsia="华文中宋"/>
          <w:color w:val="000000"/>
        </w:rPr>
      </w:pPr>
      <w:bookmarkStart w:id="99" w:name="_Toc22310"/>
      <w:r>
        <w:rPr>
          <w:rFonts w:hint="eastAsia" w:ascii="华文中宋" w:hAnsi="华文中宋" w:eastAsia="华文中宋"/>
          <w:color w:val="000000"/>
        </w:rPr>
        <w:t>附表</w:t>
      </w:r>
      <w:bookmarkEnd w:id="99"/>
    </w:p>
    <w:p w14:paraId="2B24D6B2">
      <w:pPr>
        <w:pStyle w:val="3"/>
        <w:spacing w:before="120" w:beforeLines="50" w:after="120" w:afterLines="50" w:line="360" w:lineRule="auto"/>
        <w:rPr>
          <w:rFonts w:hint="eastAsia" w:ascii="华文中宋" w:hAnsi="华文中宋" w:eastAsia="华文中宋"/>
          <w:color w:val="000000"/>
          <w:sz w:val="36"/>
          <w:szCs w:val="36"/>
        </w:rPr>
      </w:pPr>
      <w:bookmarkStart w:id="100" w:name="_Toc3407"/>
      <w:r>
        <w:rPr>
          <w:rFonts w:hint="eastAsia" w:ascii="华文中宋" w:hAnsi="华文中宋" w:eastAsia="华文中宋"/>
          <w:color w:val="000000"/>
          <w:sz w:val="36"/>
          <w:szCs w:val="36"/>
        </w:rPr>
        <w:t>附表1：中心城区城市商业中心规划指引</w:t>
      </w:r>
      <w:bookmarkEnd w:id="100"/>
    </w:p>
    <w:tbl>
      <w:tblPr>
        <w:tblStyle w:val="34"/>
        <w:tblW w:w="4999"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3607"/>
        <w:gridCol w:w="1673"/>
        <w:gridCol w:w="1890"/>
        <w:gridCol w:w="11514"/>
      </w:tblGrid>
      <w:tr w14:paraId="5C329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342" w:type="pct"/>
            <w:vMerge w:val="restart"/>
            <w:noWrap w:val="0"/>
            <w:vAlign w:val="center"/>
          </w:tcPr>
          <w:p w14:paraId="07828951">
            <w:pPr>
              <w:spacing w:line="300" w:lineRule="exact"/>
              <w:jc w:val="center"/>
              <w:rPr>
                <w:rFonts w:hint="eastAsia" w:ascii="幼圆" w:eastAsia="幼圆"/>
                <w:b/>
                <w:sz w:val="24"/>
              </w:rPr>
            </w:pPr>
            <w:r>
              <w:rPr>
                <w:rFonts w:hint="eastAsia" w:ascii="幼圆" w:eastAsia="幼圆"/>
                <w:b/>
                <w:sz w:val="24"/>
              </w:rPr>
              <w:t>名称</w:t>
            </w:r>
          </w:p>
        </w:tc>
        <w:tc>
          <w:tcPr>
            <w:tcW w:w="899" w:type="pct"/>
            <w:vMerge w:val="restart"/>
            <w:noWrap w:val="0"/>
            <w:vAlign w:val="center"/>
          </w:tcPr>
          <w:p w14:paraId="4F0FA19D">
            <w:pPr>
              <w:spacing w:line="300" w:lineRule="exact"/>
              <w:jc w:val="center"/>
              <w:rPr>
                <w:rFonts w:hint="eastAsia" w:ascii="幼圆" w:eastAsia="幼圆"/>
                <w:b/>
                <w:sz w:val="24"/>
              </w:rPr>
            </w:pPr>
            <w:r>
              <w:rPr>
                <w:rFonts w:hint="eastAsia" w:ascii="幼圆" w:eastAsia="幼圆"/>
                <w:b/>
                <w:sz w:val="24"/>
              </w:rPr>
              <w:t>功能定位</w:t>
            </w:r>
          </w:p>
        </w:tc>
        <w:tc>
          <w:tcPr>
            <w:tcW w:w="888" w:type="pct"/>
            <w:gridSpan w:val="2"/>
            <w:noWrap w:val="0"/>
            <w:vAlign w:val="center"/>
          </w:tcPr>
          <w:p w14:paraId="0E7B2528">
            <w:pPr>
              <w:spacing w:line="300" w:lineRule="exact"/>
              <w:jc w:val="center"/>
              <w:rPr>
                <w:rFonts w:hint="eastAsia" w:ascii="幼圆" w:eastAsia="幼圆"/>
                <w:b/>
                <w:sz w:val="24"/>
              </w:rPr>
            </w:pPr>
            <w:r>
              <w:rPr>
                <w:rFonts w:hint="eastAsia" w:ascii="幼圆" w:eastAsia="幼圆"/>
                <w:b/>
                <w:sz w:val="24"/>
              </w:rPr>
              <w:t>商业中心规模</w:t>
            </w:r>
          </w:p>
        </w:tc>
        <w:tc>
          <w:tcPr>
            <w:tcW w:w="2870" w:type="pct"/>
            <w:vMerge w:val="restart"/>
            <w:noWrap w:val="0"/>
            <w:vAlign w:val="center"/>
          </w:tcPr>
          <w:p w14:paraId="191EF420">
            <w:pPr>
              <w:spacing w:line="300" w:lineRule="exact"/>
              <w:jc w:val="center"/>
              <w:rPr>
                <w:rFonts w:hint="eastAsia" w:ascii="幼圆" w:eastAsia="幼圆"/>
                <w:b/>
                <w:sz w:val="24"/>
              </w:rPr>
            </w:pPr>
            <w:r>
              <w:rPr>
                <w:rFonts w:hint="eastAsia" w:ascii="幼圆" w:eastAsia="幼圆"/>
                <w:b/>
                <w:sz w:val="24"/>
              </w:rPr>
              <w:t>规划指引</w:t>
            </w:r>
          </w:p>
        </w:tc>
      </w:tr>
      <w:tr w14:paraId="13A52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342" w:type="pct"/>
            <w:vMerge w:val="continue"/>
            <w:noWrap w:val="0"/>
            <w:vAlign w:val="center"/>
          </w:tcPr>
          <w:p w14:paraId="0B043481">
            <w:pPr>
              <w:spacing w:after="72" w:afterLines="30"/>
              <w:jc w:val="center"/>
              <w:rPr>
                <w:rFonts w:hint="eastAsia" w:ascii="幼圆" w:eastAsia="幼圆"/>
                <w:b/>
                <w:sz w:val="24"/>
              </w:rPr>
            </w:pPr>
          </w:p>
        </w:tc>
        <w:tc>
          <w:tcPr>
            <w:tcW w:w="899" w:type="pct"/>
            <w:vMerge w:val="continue"/>
            <w:noWrap w:val="0"/>
            <w:vAlign w:val="center"/>
          </w:tcPr>
          <w:p w14:paraId="3EBEA44D">
            <w:pPr>
              <w:spacing w:after="72" w:afterLines="30"/>
              <w:jc w:val="center"/>
              <w:rPr>
                <w:rFonts w:hint="eastAsia" w:ascii="幼圆" w:eastAsia="幼圆"/>
                <w:b/>
                <w:sz w:val="24"/>
              </w:rPr>
            </w:pPr>
          </w:p>
        </w:tc>
        <w:tc>
          <w:tcPr>
            <w:tcW w:w="417" w:type="pct"/>
            <w:noWrap w:val="0"/>
            <w:vAlign w:val="center"/>
          </w:tcPr>
          <w:p w14:paraId="0AE8AD9F">
            <w:pPr>
              <w:spacing w:line="300" w:lineRule="exact"/>
              <w:jc w:val="center"/>
              <w:rPr>
                <w:rFonts w:hint="eastAsia" w:ascii="幼圆" w:eastAsia="幼圆"/>
                <w:b/>
                <w:sz w:val="24"/>
              </w:rPr>
            </w:pPr>
            <w:r>
              <w:rPr>
                <w:rFonts w:hint="eastAsia" w:ascii="幼圆" w:eastAsia="幼圆"/>
                <w:b/>
                <w:sz w:val="24"/>
              </w:rPr>
              <w:t>服务人口规模</w:t>
            </w:r>
          </w:p>
        </w:tc>
        <w:tc>
          <w:tcPr>
            <w:tcW w:w="471" w:type="pct"/>
            <w:noWrap w:val="0"/>
            <w:vAlign w:val="center"/>
          </w:tcPr>
          <w:p w14:paraId="61E5A5B4">
            <w:pPr>
              <w:spacing w:line="300" w:lineRule="exact"/>
              <w:jc w:val="center"/>
              <w:rPr>
                <w:rFonts w:hint="eastAsia" w:ascii="幼圆" w:eastAsia="幼圆"/>
                <w:b/>
                <w:sz w:val="24"/>
              </w:rPr>
            </w:pPr>
            <w:r>
              <w:rPr>
                <w:rFonts w:hint="eastAsia" w:ascii="幼圆" w:eastAsia="幼圆"/>
                <w:b/>
                <w:sz w:val="24"/>
              </w:rPr>
              <w:t>零售商业营业规模</w:t>
            </w:r>
          </w:p>
        </w:tc>
        <w:tc>
          <w:tcPr>
            <w:tcW w:w="2870" w:type="pct"/>
            <w:vMerge w:val="continue"/>
            <w:noWrap w:val="0"/>
            <w:vAlign w:val="center"/>
          </w:tcPr>
          <w:p w14:paraId="5FAC6B35">
            <w:pPr>
              <w:spacing w:after="72" w:afterLines="30"/>
              <w:jc w:val="center"/>
              <w:rPr>
                <w:rFonts w:hint="eastAsia" w:ascii="幼圆" w:eastAsia="幼圆"/>
                <w:b/>
                <w:sz w:val="24"/>
              </w:rPr>
            </w:pPr>
          </w:p>
        </w:tc>
      </w:tr>
      <w:tr w14:paraId="63FF0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2" w:hRule="atLeast"/>
        </w:trPr>
        <w:tc>
          <w:tcPr>
            <w:tcW w:w="342" w:type="pct"/>
            <w:noWrap w:val="0"/>
            <w:vAlign w:val="center"/>
          </w:tcPr>
          <w:p w14:paraId="59BC8ACA">
            <w:pPr>
              <w:spacing w:after="72" w:afterLines="30"/>
              <w:jc w:val="center"/>
              <w:rPr>
                <w:rFonts w:hint="eastAsia" w:ascii="幼圆" w:eastAsia="幼圆"/>
                <w:b/>
                <w:sz w:val="24"/>
              </w:rPr>
            </w:pPr>
            <w:r>
              <w:rPr>
                <w:rFonts w:hint="eastAsia" w:ascii="幼圆" w:eastAsia="幼圆"/>
                <w:b/>
                <w:sz w:val="24"/>
              </w:rPr>
              <w:t>老城商业中心</w:t>
            </w:r>
          </w:p>
        </w:tc>
        <w:tc>
          <w:tcPr>
            <w:tcW w:w="899" w:type="pct"/>
            <w:noWrap w:val="0"/>
            <w:vAlign w:val="center"/>
          </w:tcPr>
          <w:p w14:paraId="5C510B0E">
            <w:pPr>
              <w:numPr>
                <w:ilvl w:val="0"/>
                <w:numId w:val="36"/>
              </w:numPr>
              <w:spacing w:after="72" w:afterLines="30"/>
              <w:jc w:val="left"/>
              <w:rPr>
                <w:rFonts w:hint="eastAsia" w:ascii="幼圆" w:eastAsia="幼圆"/>
                <w:sz w:val="24"/>
              </w:rPr>
            </w:pPr>
            <w:r>
              <w:rPr>
                <w:rFonts w:hint="eastAsia" w:ascii="幼圆" w:eastAsia="幼圆"/>
                <w:sz w:val="24"/>
              </w:rPr>
              <w:t>具有汕尾文化底蕴和历史风韵的街区式、传统型城市商业中心区。</w:t>
            </w:r>
          </w:p>
          <w:p w14:paraId="01FD25F3">
            <w:pPr>
              <w:numPr>
                <w:ilvl w:val="0"/>
                <w:numId w:val="36"/>
              </w:numPr>
              <w:spacing w:after="72" w:afterLines="30"/>
              <w:jc w:val="left"/>
              <w:rPr>
                <w:rFonts w:hint="eastAsia" w:ascii="幼圆" w:eastAsia="幼圆"/>
                <w:sz w:val="24"/>
              </w:rPr>
            </w:pPr>
            <w:r>
              <w:rPr>
                <w:rFonts w:hint="eastAsia" w:ascii="幼圆" w:eastAsia="幼圆"/>
                <w:sz w:val="24"/>
              </w:rPr>
              <w:t>汕尾中心城区商业中心的重要组成部分，服务市域及周边县（市、区），同时承担老城区的商业中心服务职能。</w:t>
            </w:r>
          </w:p>
        </w:tc>
        <w:tc>
          <w:tcPr>
            <w:tcW w:w="417" w:type="pct"/>
            <w:vMerge w:val="restart"/>
            <w:noWrap w:val="0"/>
            <w:vAlign w:val="center"/>
          </w:tcPr>
          <w:p w14:paraId="30E50886">
            <w:pPr>
              <w:spacing w:after="72" w:afterLines="30"/>
              <w:jc w:val="center"/>
              <w:rPr>
                <w:rFonts w:ascii="幼圆" w:eastAsia="幼圆"/>
                <w:sz w:val="24"/>
              </w:rPr>
            </w:pPr>
            <w:r>
              <w:rPr>
                <w:rFonts w:hint="eastAsia" w:ascii="幼圆" w:eastAsia="幼圆"/>
                <w:sz w:val="24"/>
              </w:rPr>
              <w:t>主要汕尾市中心城区，辐射市域各市（县、区）</w:t>
            </w:r>
          </w:p>
        </w:tc>
        <w:tc>
          <w:tcPr>
            <w:tcW w:w="471" w:type="pct"/>
            <w:noWrap w:val="0"/>
            <w:vAlign w:val="center"/>
          </w:tcPr>
          <w:p w14:paraId="78E5C999">
            <w:pPr>
              <w:spacing w:after="72" w:afterLines="30"/>
              <w:jc w:val="center"/>
              <w:rPr>
                <w:rFonts w:hint="eastAsia" w:ascii="幼圆" w:eastAsia="幼圆"/>
                <w:sz w:val="24"/>
              </w:rPr>
            </w:pPr>
            <w:r>
              <w:rPr>
                <w:rFonts w:hint="eastAsia" w:ascii="幼圆" w:eastAsia="幼圆"/>
                <w:sz w:val="24"/>
              </w:rPr>
              <w:t>约</w:t>
            </w:r>
            <w:r>
              <w:rPr>
                <w:rFonts w:hint="eastAsia" w:ascii="幼圆" w:hAnsi="宋体" w:eastAsia="幼圆"/>
                <w:sz w:val="24"/>
              </w:rPr>
              <w:t>21.2万平方米</w:t>
            </w:r>
          </w:p>
        </w:tc>
        <w:tc>
          <w:tcPr>
            <w:tcW w:w="2870" w:type="pct"/>
            <w:noWrap w:val="0"/>
            <w:vAlign w:val="center"/>
          </w:tcPr>
          <w:p w14:paraId="3B8F0A85">
            <w:pPr>
              <w:numPr>
                <w:ilvl w:val="0"/>
                <w:numId w:val="36"/>
              </w:numPr>
              <w:spacing w:line="300" w:lineRule="exact"/>
              <w:jc w:val="left"/>
              <w:rPr>
                <w:rFonts w:hint="eastAsia" w:ascii="幼圆" w:eastAsia="幼圆"/>
                <w:sz w:val="24"/>
              </w:rPr>
            </w:pPr>
            <w:r>
              <w:rPr>
                <w:rFonts w:hint="eastAsia" w:ascii="幼圆" w:eastAsia="幼圆"/>
                <w:sz w:val="24"/>
              </w:rPr>
              <w:t>以疏解提质为方向，逐步迁转批发商贸、家居建材、低质业态等类型的商业网点。</w:t>
            </w:r>
          </w:p>
          <w:p w14:paraId="066415D6">
            <w:pPr>
              <w:numPr>
                <w:ilvl w:val="0"/>
                <w:numId w:val="36"/>
              </w:numPr>
              <w:spacing w:line="300" w:lineRule="exact"/>
              <w:jc w:val="left"/>
              <w:rPr>
                <w:rFonts w:hint="eastAsia" w:ascii="幼圆" w:eastAsia="幼圆"/>
                <w:sz w:val="24"/>
              </w:rPr>
            </w:pPr>
            <w:r>
              <w:rPr>
                <w:rFonts w:hint="eastAsia" w:ascii="幼圆" w:eastAsia="幼圆"/>
                <w:sz w:val="24"/>
              </w:rPr>
              <w:t>充分结合老城区的文化底蕴和历史风韵，沿袭商业中心的发展传统和空间组织模式，形成以二马路、三马路等商业街为核心，以“综合商业街+步行街+专业街+特色商业辅街”为零售商业网点主要空间组织模式的街区式商业中心。</w:t>
            </w:r>
          </w:p>
          <w:p w14:paraId="32008F1E">
            <w:pPr>
              <w:numPr>
                <w:ilvl w:val="0"/>
                <w:numId w:val="36"/>
              </w:numPr>
              <w:spacing w:line="300" w:lineRule="exact"/>
              <w:jc w:val="left"/>
              <w:rPr>
                <w:rFonts w:hint="eastAsia" w:ascii="幼圆" w:eastAsia="幼圆"/>
                <w:sz w:val="24"/>
              </w:rPr>
            </w:pPr>
            <w:r>
              <w:rPr>
                <w:rFonts w:hint="eastAsia" w:ascii="幼圆" w:eastAsia="幼圆"/>
                <w:sz w:val="24"/>
              </w:rPr>
              <w:t>加快掇鸟街、联兴街、新城街等区域的旧城更新改造，结合旧城的更新改造，海味产品、IT产品、服装饰品、特色小吃等类型的商业形态，构建特色专业商业街，进一步丰富老城区商业中心的环境特色和业态特色。</w:t>
            </w:r>
          </w:p>
          <w:p w14:paraId="416A54A8">
            <w:pPr>
              <w:numPr>
                <w:ilvl w:val="0"/>
                <w:numId w:val="36"/>
              </w:numPr>
              <w:spacing w:line="300" w:lineRule="exact"/>
              <w:jc w:val="left"/>
              <w:rPr>
                <w:rFonts w:hint="eastAsia" w:ascii="幼圆" w:eastAsia="幼圆"/>
                <w:sz w:val="24"/>
              </w:rPr>
            </w:pPr>
            <w:r>
              <w:rPr>
                <w:rFonts w:hint="eastAsia" w:ascii="幼圆" w:eastAsia="幼圆"/>
                <w:sz w:val="24"/>
              </w:rPr>
              <w:t>优化提升特色化休闲娱乐、星级酒店、餐饮等配套商业服务设施的规模、业态水平，完善老城区的配套商业服务设施。</w:t>
            </w:r>
          </w:p>
          <w:p w14:paraId="3E717097">
            <w:pPr>
              <w:numPr>
                <w:ilvl w:val="0"/>
                <w:numId w:val="36"/>
              </w:numPr>
              <w:spacing w:line="300" w:lineRule="exact"/>
              <w:jc w:val="left"/>
              <w:rPr>
                <w:rFonts w:hint="eastAsia" w:ascii="幼圆" w:eastAsia="幼圆"/>
                <w:sz w:val="24"/>
              </w:rPr>
            </w:pPr>
            <w:r>
              <w:rPr>
                <w:rFonts w:hint="eastAsia" w:ascii="幼圆" w:eastAsia="幼圆"/>
                <w:sz w:val="24"/>
                <w:highlight w:val="none"/>
              </w:rPr>
              <w:t>以</w:t>
            </w:r>
            <w:r>
              <w:rPr>
                <w:rFonts w:ascii="幼圆" w:eastAsia="幼圆"/>
                <w:sz w:val="24"/>
                <w:highlight w:val="none"/>
              </w:rPr>
              <w:t>本地非遗文化和市井烟火气为核心，打造沉浸式文化体验</w:t>
            </w:r>
            <w:r>
              <w:rPr>
                <w:rFonts w:hint="eastAsia" w:ascii="幼圆" w:eastAsia="幼圆"/>
                <w:sz w:val="24"/>
                <w:highlight w:val="none"/>
              </w:rPr>
              <w:t>商业中心。鼓励发展非遗文化体验馆、“</w:t>
            </w:r>
            <w:r>
              <w:rPr>
                <w:rFonts w:ascii="幼圆" w:eastAsia="幼圆"/>
                <w:sz w:val="24"/>
                <w:highlight w:val="none"/>
              </w:rPr>
              <w:t>老字号</w:t>
            </w:r>
            <w:r>
              <w:rPr>
                <w:rFonts w:hint="eastAsia" w:ascii="幼圆" w:eastAsia="幼圆"/>
                <w:sz w:val="24"/>
                <w:highlight w:val="none"/>
              </w:rPr>
              <w:t>”</w:t>
            </w:r>
            <w:r>
              <w:rPr>
                <w:rFonts w:ascii="幼圆" w:eastAsia="幼圆"/>
                <w:sz w:val="24"/>
                <w:highlight w:val="none"/>
              </w:rPr>
              <w:t>情景体验店</w:t>
            </w:r>
            <w:r>
              <w:rPr>
                <w:rFonts w:hint="eastAsia" w:ascii="幼圆" w:eastAsia="幼圆"/>
                <w:sz w:val="24"/>
                <w:highlight w:val="none"/>
              </w:rPr>
              <w:t>、主题性夜间经济综合体等业态。</w:t>
            </w:r>
          </w:p>
        </w:tc>
      </w:tr>
      <w:tr w14:paraId="39196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2" w:hRule="atLeast"/>
        </w:trPr>
        <w:tc>
          <w:tcPr>
            <w:tcW w:w="342" w:type="pct"/>
            <w:noWrap w:val="0"/>
            <w:vAlign w:val="center"/>
          </w:tcPr>
          <w:p w14:paraId="3CDCCF13">
            <w:pPr>
              <w:spacing w:after="72" w:afterLines="30"/>
              <w:jc w:val="center"/>
              <w:rPr>
                <w:rFonts w:hint="eastAsia" w:ascii="幼圆" w:eastAsia="幼圆"/>
                <w:b/>
                <w:sz w:val="24"/>
              </w:rPr>
            </w:pPr>
            <w:r>
              <w:rPr>
                <w:rFonts w:hint="eastAsia" w:ascii="幼圆" w:eastAsia="幼圆"/>
                <w:b/>
                <w:bCs/>
                <w:sz w:val="24"/>
                <w:highlight w:val="none"/>
              </w:rPr>
              <w:t>马宫海洋活力商业中心</w:t>
            </w:r>
          </w:p>
        </w:tc>
        <w:tc>
          <w:tcPr>
            <w:tcW w:w="899" w:type="pct"/>
            <w:noWrap w:val="0"/>
            <w:vAlign w:val="center"/>
          </w:tcPr>
          <w:p w14:paraId="3710282C">
            <w:pPr>
              <w:numPr>
                <w:ilvl w:val="0"/>
                <w:numId w:val="36"/>
              </w:numPr>
              <w:spacing w:after="72" w:afterLines="30"/>
              <w:jc w:val="left"/>
              <w:rPr>
                <w:rFonts w:hint="eastAsia" w:ascii="幼圆" w:eastAsia="幼圆"/>
                <w:sz w:val="24"/>
                <w:highlight w:val="none"/>
              </w:rPr>
            </w:pPr>
            <w:r>
              <w:rPr>
                <w:rFonts w:hint="eastAsia" w:ascii="幼圆" w:eastAsia="幼圆"/>
                <w:sz w:val="24"/>
                <w:highlight w:val="none"/>
              </w:rPr>
              <w:t>以</w:t>
            </w:r>
            <w:r>
              <w:rPr>
                <w:rFonts w:hint="eastAsia" w:ascii="幼圆" w:eastAsia="幼圆"/>
                <w:sz w:val="24"/>
                <w:highlight w:val="none"/>
                <w:lang w:val="en-US" w:eastAsia="zh-CN"/>
              </w:rPr>
              <w:t>服务海洋科创商业、渔港商贸和滨海文旅</w:t>
            </w:r>
            <w:r>
              <w:rPr>
                <w:rFonts w:hint="eastAsia" w:ascii="幼圆" w:eastAsia="幼圆"/>
                <w:sz w:val="24"/>
                <w:highlight w:val="none"/>
              </w:rPr>
              <w:t>为主</w:t>
            </w:r>
            <w:r>
              <w:rPr>
                <w:rFonts w:hint="eastAsia" w:ascii="幼圆" w:eastAsia="幼圆"/>
                <w:sz w:val="24"/>
                <w:highlight w:val="none"/>
                <w:lang w:eastAsia="zh-CN"/>
              </w:rPr>
              <w:t>的</w:t>
            </w:r>
            <w:r>
              <w:rPr>
                <w:rFonts w:hint="eastAsia" w:ascii="幼圆" w:eastAsia="幼圆"/>
                <w:sz w:val="24"/>
                <w:highlight w:val="none"/>
                <w:lang w:val="en-US" w:eastAsia="zh-CN"/>
              </w:rPr>
              <w:t>海洋牧场主题的活力商贸商圈</w:t>
            </w:r>
            <w:r>
              <w:rPr>
                <w:rFonts w:hint="eastAsia" w:ascii="幼圆" w:eastAsia="幼圆"/>
                <w:sz w:val="24"/>
                <w:highlight w:val="none"/>
              </w:rPr>
              <w:t>。</w:t>
            </w:r>
          </w:p>
          <w:p w14:paraId="2F72A73F">
            <w:pPr>
              <w:numPr>
                <w:ilvl w:val="0"/>
                <w:numId w:val="36"/>
              </w:numPr>
              <w:spacing w:after="72" w:afterLines="30"/>
              <w:ind w:left="420" w:leftChars="0" w:hanging="420" w:firstLineChars="0"/>
              <w:jc w:val="left"/>
              <w:rPr>
                <w:rFonts w:hint="eastAsia" w:ascii="幼圆" w:eastAsia="幼圆"/>
                <w:sz w:val="24"/>
              </w:rPr>
            </w:pPr>
            <w:r>
              <w:rPr>
                <w:rFonts w:hint="eastAsia" w:ascii="幼圆" w:eastAsia="幼圆"/>
                <w:sz w:val="24"/>
                <w:highlight w:val="none"/>
                <w:lang w:val="en-US" w:eastAsia="zh-CN"/>
              </w:rPr>
              <w:t>汕尾海洋渔港经济区重要组成部门</w:t>
            </w:r>
            <w:r>
              <w:rPr>
                <w:rFonts w:hint="eastAsia" w:ascii="幼圆" w:eastAsia="幼圆"/>
                <w:sz w:val="24"/>
                <w:highlight w:val="none"/>
              </w:rPr>
              <w:t>，服务</w:t>
            </w:r>
            <w:r>
              <w:rPr>
                <w:rFonts w:hint="eastAsia" w:ascii="幼圆" w:eastAsia="幼圆"/>
                <w:sz w:val="24"/>
                <w:highlight w:val="none"/>
                <w:lang w:val="en-US" w:eastAsia="zh-CN"/>
              </w:rPr>
              <w:t>马宫片区、</w:t>
            </w:r>
            <w:r>
              <w:rPr>
                <w:rFonts w:hint="eastAsia" w:ascii="幼圆" w:eastAsia="幼圆"/>
                <w:sz w:val="24"/>
                <w:highlight w:val="none"/>
              </w:rPr>
              <w:t>市域及周边县（市、区）。</w:t>
            </w:r>
          </w:p>
        </w:tc>
        <w:tc>
          <w:tcPr>
            <w:tcW w:w="417" w:type="pct"/>
            <w:vMerge w:val="continue"/>
            <w:noWrap w:val="0"/>
            <w:vAlign w:val="center"/>
          </w:tcPr>
          <w:p w14:paraId="5EFD3E61">
            <w:pPr>
              <w:spacing w:after="72" w:afterLines="30"/>
              <w:jc w:val="center"/>
              <w:rPr>
                <w:rFonts w:hint="eastAsia" w:ascii="幼圆" w:eastAsia="幼圆"/>
                <w:sz w:val="24"/>
              </w:rPr>
            </w:pPr>
          </w:p>
        </w:tc>
        <w:tc>
          <w:tcPr>
            <w:tcW w:w="471" w:type="pct"/>
            <w:noWrap w:val="0"/>
            <w:vAlign w:val="center"/>
          </w:tcPr>
          <w:p w14:paraId="1747E158">
            <w:pPr>
              <w:spacing w:after="72" w:afterLines="30"/>
              <w:jc w:val="center"/>
              <w:rPr>
                <w:rFonts w:hint="eastAsia" w:ascii="幼圆" w:eastAsia="幼圆"/>
                <w:sz w:val="24"/>
              </w:rPr>
            </w:pPr>
            <w:r>
              <w:rPr>
                <w:rFonts w:hint="eastAsia" w:ascii="幼圆" w:eastAsia="幼圆"/>
                <w:sz w:val="24"/>
                <w:highlight w:val="none"/>
              </w:rPr>
              <w:t>约</w:t>
            </w:r>
            <w:r>
              <w:rPr>
                <w:rFonts w:hint="eastAsia" w:ascii="幼圆" w:hAnsi="宋体" w:eastAsia="幼圆"/>
                <w:sz w:val="24"/>
                <w:highlight w:val="none"/>
                <w:lang w:val="en-US" w:eastAsia="zh-CN"/>
              </w:rPr>
              <w:t>4</w:t>
            </w:r>
            <w:r>
              <w:rPr>
                <w:rFonts w:hint="eastAsia" w:ascii="幼圆" w:hAnsi="宋体" w:eastAsia="幼圆"/>
                <w:sz w:val="24"/>
                <w:highlight w:val="none"/>
              </w:rPr>
              <w:t>万平方米</w:t>
            </w:r>
          </w:p>
        </w:tc>
        <w:tc>
          <w:tcPr>
            <w:tcW w:w="2870" w:type="pct"/>
            <w:noWrap w:val="0"/>
            <w:vAlign w:val="center"/>
          </w:tcPr>
          <w:p w14:paraId="2BD8D6F4">
            <w:pPr>
              <w:numPr>
                <w:ilvl w:val="0"/>
                <w:numId w:val="36"/>
              </w:numPr>
              <w:adjustRightInd w:val="0"/>
              <w:snapToGrid w:val="0"/>
              <w:rPr>
                <w:rFonts w:hint="eastAsia" w:ascii="幼圆" w:eastAsia="幼圆"/>
                <w:sz w:val="24"/>
                <w:highlight w:val="none"/>
              </w:rPr>
            </w:pPr>
            <w:r>
              <w:rPr>
                <w:rFonts w:hint="eastAsia" w:ascii="幼圆" w:eastAsia="幼圆"/>
                <w:sz w:val="24"/>
                <w:highlight w:val="none"/>
                <w:lang w:val="en-US" w:eastAsia="zh-CN"/>
              </w:rPr>
              <w:t>重点打造两大商业中心，包括马宫社区传统商业中心和浪清湾中轴</w:t>
            </w:r>
            <w:r>
              <w:rPr>
                <w:rFonts w:hint="eastAsia" w:ascii="幼圆" w:eastAsia="幼圆"/>
                <w:sz w:val="24"/>
                <w:highlight w:val="none"/>
              </w:rPr>
              <w:t>商业中心</w:t>
            </w:r>
            <w:r>
              <w:rPr>
                <w:rFonts w:hint="eastAsia" w:ascii="幼圆" w:eastAsia="幼圆"/>
                <w:sz w:val="24"/>
                <w:highlight w:val="none"/>
                <w:lang w:eastAsia="zh-CN"/>
              </w:rPr>
              <w:t>。</w:t>
            </w:r>
            <w:r>
              <w:rPr>
                <w:rFonts w:hint="eastAsia" w:ascii="幼圆" w:eastAsia="幼圆"/>
                <w:sz w:val="24"/>
                <w:highlight w:val="none"/>
                <w:lang w:val="en-US" w:eastAsia="zh-CN"/>
              </w:rPr>
              <w:t>马宫社区传统商业中心位于马宫社区内马宫大道两侧，优化传统商业街区，提升商业业种业态，导入渔港文化，布局特色海鲜餐饮、海洋特色旅宿等；浪清湾中轴</w:t>
            </w:r>
            <w:r>
              <w:rPr>
                <w:rFonts w:hint="eastAsia" w:ascii="幼圆" w:eastAsia="幼圆"/>
                <w:sz w:val="24"/>
                <w:highlight w:val="none"/>
              </w:rPr>
              <w:t>商业中心</w:t>
            </w:r>
            <w:r>
              <w:rPr>
                <w:rFonts w:hint="eastAsia" w:ascii="幼圆" w:eastAsia="幼圆"/>
                <w:sz w:val="24"/>
                <w:highlight w:val="none"/>
                <w:lang w:val="en-US" w:eastAsia="zh-CN"/>
              </w:rPr>
              <w:t>位于浪清湾中轴线两侧，</w:t>
            </w:r>
            <w:r>
              <w:rPr>
                <w:rFonts w:hint="eastAsia" w:ascii="幼圆" w:eastAsia="幼圆"/>
                <w:sz w:val="24"/>
                <w:highlight w:val="none"/>
              </w:rPr>
              <w:t>采用“商业综合体+商业街区”的模式组织商业网点布局。</w:t>
            </w:r>
          </w:p>
          <w:p w14:paraId="0613E17A">
            <w:pPr>
              <w:numPr>
                <w:ilvl w:val="0"/>
                <w:numId w:val="36"/>
              </w:numPr>
              <w:adjustRightInd w:val="0"/>
              <w:snapToGrid w:val="0"/>
              <w:rPr>
                <w:rFonts w:hint="eastAsia" w:ascii="幼圆" w:hAnsi="Times New Roman" w:eastAsia="幼圆" w:cs="Times New Roman"/>
                <w:sz w:val="24"/>
                <w:highlight w:val="none"/>
                <w:lang w:val="en-US" w:eastAsia="zh-CN"/>
              </w:rPr>
            </w:pPr>
            <w:r>
              <w:rPr>
                <w:rFonts w:hint="eastAsia" w:ascii="幼圆" w:eastAsia="幼圆"/>
                <w:sz w:val="24"/>
                <w:highlight w:val="none"/>
                <w:lang w:val="en-US" w:eastAsia="zh-CN"/>
              </w:rPr>
              <w:t>临近马宫渔港区域，配套水产品精</w:t>
            </w:r>
            <w:r>
              <w:rPr>
                <w:rFonts w:hint="eastAsia" w:ascii="幼圆" w:hAnsi="Times New Roman" w:eastAsia="幼圆" w:cs="Times New Roman"/>
                <w:sz w:val="24"/>
                <w:highlight w:val="none"/>
                <w:lang w:val="en-US" w:eastAsia="zh-CN"/>
              </w:rPr>
              <w:t>深加工，发展冷链物流、跨境海鲜直播基地等。</w:t>
            </w:r>
          </w:p>
          <w:p w14:paraId="4259B175">
            <w:pPr>
              <w:numPr>
                <w:ilvl w:val="0"/>
                <w:numId w:val="36"/>
              </w:numPr>
              <w:adjustRightInd w:val="0"/>
              <w:snapToGrid w:val="0"/>
              <w:rPr>
                <w:rFonts w:hint="eastAsia" w:ascii="幼圆" w:hAnsi="Times New Roman" w:eastAsia="幼圆" w:cs="Times New Roman"/>
                <w:sz w:val="24"/>
                <w:highlight w:val="none"/>
                <w:lang w:val="en-US" w:eastAsia="zh-CN"/>
              </w:rPr>
            </w:pPr>
            <w:r>
              <w:rPr>
                <w:rFonts w:hint="eastAsia" w:ascii="幼圆" w:hAnsi="Times New Roman" w:eastAsia="幼圆" w:cs="Times New Roman"/>
                <w:sz w:val="24"/>
                <w:highlight w:val="none"/>
                <w:lang w:val="en-US" w:eastAsia="zh-CN"/>
              </w:rPr>
              <w:t>服务华南师范大学汕尾校区和渔港经济区，配套</w:t>
            </w:r>
            <w:r>
              <w:rPr>
                <w:rFonts w:hint="eastAsia" w:ascii="幼圆" w:eastAsia="幼圆"/>
                <w:sz w:val="24"/>
                <w:highlight w:val="none"/>
              </w:rPr>
              <w:t>专业店、专卖店、连锁超市等新型业态</w:t>
            </w:r>
            <w:r>
              <w:rPr>
                <w:rFonts w:hint="eastAsia" w:ascii="幼圆" w:eastAsia="幼圆"/>
                <w:sz w:val="24"/>
                <w:highlight w:val="none"/>
                <w:lang w:val="en-US" w:eastAsia="zh-CN"/>
              </w:rPr>
              <w:t>网点，</w:t>
            </w:r>
            <w:r>
              <w:rPr>
                <w:rFonts w:hint="eastAsia" w:ascii="幼圆" w:eastAsia="幼圆"/>
                <w:sz w:val="24"/>
                <w:highlight w:val="none"/>
              </w:rPr>
              <w:t>适度发展商业综合体、购物中心、主题百货等大中型商业业态</w:t>
            </w:r>
            <w:r>
              <w:rPr>
                <w:rFonts w:hint="eastAsia" w:ascii="幼圆" w:eastAsia="幼圆"/>
                <w:sz w:val="24"/>
                <w:highlight w:val="none"/>
                <w:lang w:eastAsia="zh-CN"/>
              </w:rPr>
              <w:t>。</w:t>
            </w:r>
          </w:p>
          <w:p w14:paraId="1562D7C4">
            <w:pPr>
              <w:numPr>
                <w:ilvl w:val="0"/>
                <w:numId w:val="36"/>
              </w:numPr>
              <w:adjustRightInd w:val="0"/>
              <w:snapToGrid w:val="0"/>
              <w:rPr>
                <w:rFonts w:hint="eastAsia" w:ascii="幼圆" w:hAnsi="Times New Roman" w:eastAsia="幼圆" w:cs="Times New Roman"/>
                <w:sz w:val="24"/>
                <w:highlight w:val="none"/>
                <w:lang w:val="en-US" w:eastAsia="zh-CN"/>
              </w:rPr>
            </w:pPr>
            <w:r>
              <w:rPr>
                <w:rFonts w:hint="eastAsia" w:ascii="幼圆" w:eastAsia="幼圆"/>
                <w:sz w:val="24"/>
                <w:highlight w:val="none"/>
                <w:lang w:val="en-US" w:eastAsia="zh-CN"/>
              </w:rPr>
              <w:t>围绕马宫街道村庄，发展农产品电商、渔港乡村旅游，布局农产品电商中心、渔港餐饮街、滨海旅游民宿等。</w:t>
            </w:r>
          </w:p>
          <w:p w14:paraId="18F97BB5">
            <w:pPr>
              <w:numPr>
                <w:ilvl w:val="0"/>
                <w:numId w:val="36"/>
              </w:numPr>
              <w:spacing w:line="300" w:lineRule="exact"/>
              <w:ind w:left="420" w:leftChars="0" w:hanging="420" w:firstLineChars="0"/>
              <w:jc w:val="left"/>
              <w:rPr>
                <w:rFonts w:hint="eastAsia" w:ascii="幼圆" w:eastAsia="幼圆"/>
                <w:sz w:val="24"/>
                <w:highlight w:val="none"/>
              </w:rPr>
            </w:pPr>
            <w:r>
              <w:rPr>
                <w:rFonts w:hint="eastAsia" w:ascii="幼圆" w:hAnsi="Times New Roman" w:eastAsia="幼圆" w:cs="Times New Roman"/>
                <w:sz w:val="24"/>
                <w:highlight w:val="none"/>
                <w:lang w:val="en-US" w:eastAsia="zh-CN"/>
              </w:rPr>
              <w:t>依托海洋渔港文化，发展夜经济，打造渔港夜市，推出凌晨渔港猎鲜购物、海鲜宵夜一条街等特色商业策划。</w:t>
            </w:r>
          </w:p>
        </w:tc>
      </w:tr>
      <w:tr w14:paraId="0A59D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7" w:hRule="atLeast"/>
        </w:trPr>
        <w:tc>
          <w:tcPr>
            <w:tcW w:w="342" w:type="pct"/>
            <w:noWrap w:val="0"/>
            <w:vAlign w:val="center"/>
          </w:tcPr>
          <w:p w14:paraId="5DC75C8C">
            <w:pPr>
              <w:spacing w:after="72" w:afterLines="30"/>
              <w:jc w:val="center"/>
              <w:rPr>
                <w:rFonts w:hint="eastAsia" w:ascii="幼圆" w:eastAsia="幼圆"/>
                <w:b/>
                <w:sz w:val="24"/>
              </w:rPr>
            </w:pPr>
            <w:r>
              <w:rPr>
                <w:rFonts w:hint="eastAsia" w:ascii="幼圆" w:eastAsia="幼圆"/>
                <w:b/>
                <w:bCs/>
                <w:sz w:val="24"/>
                <w:highlight w:val="none"/>
              </w:rPr>
              <w:t>火车站新城商业中心</w:t>
            </w:r>
          </w:p>
        </w:tc>
        <w:tc>
          <w:tcPr>
            <w:tcW w:w="899" w:type="pct"/>
            <w:noWrap w:val="0"/>
            <w:vAlign w:val="center"/>
          </w:tcPr>
          <w:p w14:paraId="2F814602">
            <w:pPr>
              <w:numPr>
                <w:ilvl w:val="0"/>
                <w:numId w:val="36"/>
              </w:numPr>
              <w:spacing w:after="72" w:afterLines="30"/>
              <w:jc w:val="left"/>
              <w:rPr>
                <w:rFonts w:hint="eastAsia" w:ascii="幼圆" w:eastAsia="幼圆"/>
                <w:sz w:val="24"/>
                <w:highlight w:val="none"/>
              </w:rPr>
            </w:pPr>
            <w:r>
              <w:rPr>
                <w:rFonts w:hint="eastAsia" w:ascii="幼圆" w:eastAsia="幼圆"/>
                <w:sz w:val="24"/>
                <w:highlight w:val="none"/>
              </w:rPr>
              <w:t>复合高端购物、商务办公、酒店会议、餐饮娱乐等多元功能的</w:t>
            </w:r>
            <w:r>
              <w:rPr>
                <w:rFonts w:ascii="幼圆" w:eastAsia="幼圆"/>
                <w:sz w:val="24"/>
                <w:highlight w:val="none"/>
              </w:rPr>
              <w:t>新城综合服务核心。</w:t>
            </w:r>
          </w:p>
          <w:p w14:paraId="145D80A4">
            <w:pPr>
              <w:numPr>
                <w:ilvl w:val="0"/>
                <w:numId w:val="36"/>
              </w:numPr>
              <w:spacing w:after="72" w:afterLines="30"/>
              <w:jc w:val="left"/>
              <w:rPr>
                <w:rFonts w:hint="eastAsia" w:ascii="幼圆" w:eastAsia="幼圆"/>
                <w:sz w:val="24"/>
                <w:highlight w:val="none"/>
              </w:rPr>
            </w:pPr>
            <w:r>
              <w:rPr>
                <w:rFonts w:hint="eastAsia" w:ascii="幼圆" w:eastAsia="幼圆"/>
                <w:sz w:val="24"/>
                <w:highlight w:val="none"/>
              </w:rPr>
              <w:t>以商品批发交易活动为主，辅以餐饮、住宿、物流、加工等配套功能的专业市场集聚区。</w:t>
            </w:r>
          </w:p>
          <w:p w14:paraId="36041EFE">
            <w:pPr>
              <w:numPr>
                <w:ilvl w:val="0"/>
                <w:numId w:val="36"/>
              </w:numPr>
              <w:spacing w:after="72" w:afterLines="30"/>
              <w:ind w:left="420" w:leftChars="0" w:hanging="420" w:firstLineChars="0"/>
              <w:jc w:val="left"/>
              <w:rPr>
                <w:rFonts w:hint="eastAsia" w:ascii="幼圆" w:eastAsia="幼圆"/>
                <w:sz w:val="24"/>
              </w:rPr>
            </w:pPr>
            <w:r>
              <w:rPr>
                <w:rFonts w:hint="eastAsia" w:ascii="幼圆" w:eastAsia="幼圆"/>
                <w:sz w:val="24"/>
                <w:highlight w:val="none"/>
              </w:rPr>
              <w:t>服务市域及周边县（市、区），同时承担城东</w:t>
            </w:r>
            <w:r>
              <w:rPr>
                <w:rFonts w:hint="eastAsia" w:ascii="幼圆" w:eastAsia="幼圆"/>
                <w:sz w:val="24"/>
                <w:highlight w:val="none"/>
                <w:lang w:eastAsia="zh-CN"/>
              </w:rPr>
              <w:t>、</w:t>
            </w:r>
            <w:r>
              <w:rPr>
                <w:rFonts w:hint="eastAsia" w:ascii="幼圆" w:eastAsia="幼圆"/>
                <w:sz w:val="24"/>
                <w:highlight w:val="none"/>
                <w:lang w:val="en-US" w:eastAsia="zh-CN"/>
              </w:rPr>
              <w:t>火车站</w:t>
            </w:r>
            <w:r>
              <w:rPr>
                <w:rFonts w:hint="eastAsia" w:ascii="幼圆" w:eastAsia="幼圆"/>
                <w:sz w:val="24"/>
                <w:highlight w:val="none"/>
              </w:rPr>
              <w:t>等组团商业中心的服务职能。</w:t>
            </w:r>
          </w:p>
        </w:tc>
        <w:tc>
          <w:tcPr>
            <w:tcW w:w="417" w:type="pct"/>
            <w:vMerge w:val="continue"/>
            <w:noWrap w:val="0"/>
            <w:vAlign w:val="center"/>
          </w:tcPr>
          <w:p w14:paraId="7F63027A">
            <w:pPr>
              <w:spacing w:after="72" w:afterLines="30"/>
              <w:jc w:val="center"/>
              <w:rPr>
                <w:rFonts w:hint="eastAsia" w:ascii="幼圆" w:eastAsia="幼圆"/>
                <w:sz w:val="24"/>
              </w:rPr>
            </w:pPr>
          </w:p>
        </w:tc>
        <w:tc>
          <w:tcPr>
            <w:tcW w:w="471" w:type="pct"/>
            <w:noWrap w:val="0"/>
            <w:vAlign w:val="center"/>
          </w:tcPr>
          <w:p w14:paraId="62E4FEE3">
            <w:pPr>
              <w:spacing w:after="72" w:afterLines="30"/>
              <w:jc w:val="center"/>
              <w:rPr>
                <w:rFonts w:hint="eastAsia" w:ascii="幼圆" w:eastAsia="幼圆"/>
                <w:sz w:val="24"/>
              </w:rPr>
            </w:pPr>
            <w:r>
              <w:rPr>
                <w:rFonts w:hint="eastAsia" w:ascii="幼圆" w:eastAsia="幼圆"/>
                <w:sz w:val="24"/>
                <w:highlight w:val="none"/>
              </w:rPr>
              <w:t>约</w:t>
            </w:r>
            <w:r>
              <w:rPr>
                <w:rFonts w:hint="eastAsia" w:ascii="幼圆" w:hAnsi="宋体" w:eastAsia="幼圆"/>
                <w:sz w:val="24"/>
                <w:highlight w:val="none"/>
                <w:lang w:val="en-US" w:eastAsia="zh-CN"/>
              </w:rPr>
              <w:t>24</w:t>
            </w:r>
            <w:r>
              <w:rPr>
                <w:rFonts w:hint="eastAsia" w:ascii="幼圆" w:hAnsi="宋体" w:eastAsia="幼圆"/>
                <w:sz w:val="24"/>
                <w:highlight w:val="none"/>
              </w:rPr>
              <w:t>.0万平方米</w:t>
            </w:r>
          </w:p>
        </w:tc>
        <w:tc>
          <w:tcPr>
            <w:tcW w:w="2870" w:type="pct"/>
            <w:noWrap w:val="0"/>
            <w:vAlign w:val="center"/>
          </w:tcPr>
          <w:p w14:paraId="21044F20">
            <w:pPr>
              <w:numPr>
                <w:ilvl w:val="0"/>
                <w:numId w:val="36"/>
              </w:numPr>
              <w:spacing w:line="300" w:lineRule="exact"/>
              <w:jc w:val="left"/>
              <w:rPr>
                <w:rFonts w:hint="eastAsia" w:ascii="幼圆" w:eastAsia="幼圆"/>
                <w:sz w:val="24"/>
                <w:highlight w:val="none"/>
              </w:rPr>
            </w:pPr>
            <w:r>
              <w:rPr>
                <w:rFonts w:hint="eastAsia" w:ascii="幼圆" w:eastAsia="幼圆"/>
                <w:sz w:val="24"/>
                <w:highlight w:val="none"/>
                <w:lang w:val="en-US" w:eastAsia="zh-CN"/>
              </w:rPr>
              <w:t>重点打造火车站南北两侧商贸商圈和品清湖东岸中轴线两侧新城商业街区。</w:t>
            </w:r>
          </w:p>
          <w:p w14:paraId="23198149">
            <w:pPr>
              <w:numPr>
                <w:ilvl w:val="0"/>
                <w:numId w:val="36"/>
              </w:numPr>
              <w:spacing w:line="300" w:lineRule="exact"/>
              <w:jc w:val="left"/>
              <w:rPr>
                <w:rFonts w:hint="eastAsia" w:ascii="幼圆" w:eastAsia="幼圆"/>
                <w:sz w:val="24"/>
                <w:highlight w:val="none"/>
              </w:rPr>
            </w:pPr>
            <w:r>
              <w:rPr>
                <w:rFonts w:hint="eastAsia" w:ascii="幼圆" w:eastAsia="幼圆"/>
                <w:sz w:val="24"/>
                <w:highlight w:val="none"/>
                <w:lang w:val="en-US" w:eastAsia="zh-CN"/>
              </w:rPr>
              <w:t>火车站南北两侧商贸商圈：</w:t>
            </w:r>
          </w:p>
          <w:p w14:paraId="68946A32">
            <w:pPr>
              <w:numPr>
                <w:ilvl w:val="0"/>
                <w:numId w:val="37"/>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结合汕尾高铁站点</w:t>
            </w:r>
            <w:r>
              <w:rPr>
                <w:rFonts w:hint="eastAsia" w:ascii="幼圆" w:hAnsi="Times New Roman" w:eastAsia="幼圆" w:cs="Times New Roman"/>
                <w:sz w:val="24"/>
                <w:highlight w:val="none"/>
                <w:lang w:eastAsia="zh-CN"/>
              </w:rPr>
              <w:t>的</w:t>
            </w:r>
            <w:r>
              <w:rPr>
                <w:rFonts w:hint="eastAsia" w:ascii="幼圆" w:hAnsi="Times New Roman" w:eastAsia="幼圆" w:cs="Times New Roman"/>
                <w:sz w:val="24"/>
                <w:highlight w:val="none"/>
              </w:rPr>
              <w:t>建设，整合中心城区各类型交易市场，将交易市场分类布置于高铁站点南侧区域，构建交易市场商贸群，同时适当加强餐饮住宿、商务办公、休闲娱乐等配套服务功能，推进高铁站区域商贸交易中心功能的整体构建和完善。</w:t>
            </w:r>
          </w:p>
          <w:p w14:paraId="43A3092A">
            <w:pPr>
              <w:numPr>
                <w:ilvl w:val="0"/>
                <w:numId w:val="37"/>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在站前路东侧通过新建销展一体的现代商贸城，发展汽车、家居建材、珠宝首饰等商品的展示洽购功能，同时构建商品展贸平台和电子商务平台，形成线上线下相融合的区域商品体验基地。</w:t>
            </w:r>
          </w:p>
          <w:p w14:paraId="10BB4205">
            <w:pPr>
              <w:numPr>
                <w:ilvl w:val="0"/>
                <w:numId w:val="37"/>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在站前路西侧布局商务办公、小型会展、餐饮、星级连锁酒店等配套功能，同时在站前横一路与站前路交汇处西南侧发展现代购物中心，进一步支撑商贸交易中心的有序发展，为城市居民、高铁客流、展贸区商流、区域游客等提供优质服务。</w:t>
            </w:r>
          </w:p>
          <w:p w14:paraId="61D5E28D">
            <w:pPr>
              <w:numPr>
                <w:ilvl w:val="0"/>
                <w:numId w:val="37"/>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在高铁站北侧设置物流园区，为商贸区企业和商户的经营提供专业的物流服务，加快商贸区的配套设施建设，构建完善的商贸服务体系。</w:t>
            </w:r>
          </w:p>
          <w:p w14:paraId="56E7B3F6">
            <w:pPr>
              <w:numPr>
                <w:ilvl w:val="0"/>
                <w:numId w:val="37"/>
              </w:numPr>
              <w:spacing w:line="300" w:lineRule="exact"/>
              <w:ind w:left="840" w:leftChars="200" w:hanging="420" w:hangingChars="175"/>
              <w:jc w:val="left"/>
              <w:rPr>
                <w:rFonts w:hint="eastAsia" w:ascii="幼圆" w:eastAsia="幼圆"/>
                <w:sz w:val="24"/>
                <w:highlight w:val="none"/>
              </w:rPr>
            </w:pPr>
            <w:r>
              <w:rPr>
                <w:rFonts w:hint="eastAsia" w:ascii="幼圆" w:hAnsi="Times New Roman" w:eastAsia="幼圆" w:cs="Times New Roman"/>
                <w:sz w:val="24"/>
                <w:highlight w:val="none"/>
              </w:rPr>
              <w:t>针对高铁客流和商务人士，打造高效、便捷、高品质的全时态商务和生活方式体验商业中心。鼓励发展TOD模式下</w:t>
            </w:r>
            <w:r>
              <w:rPr>
                <w:rFonts w:hint="eastAsia" w:ascii="幼圆" w:eastAsia="幼圆"/>
                <w:sz w:val="24"/>
                <w:highlight w:val="none"/>
              </w:rPr>
              <w:t>的“快行慢享”消费空间、商务体验与展示中心、城市文化快闪商业等业态。</w:t>
            </w:r>
          </w:p>
          <w:p w14:paraId="7977B628">
            <w:pPr>
              <w:numPr>
                <w:ilvl w:val="0"/>
                <w:numId w:val="36"/>
              </w:numPr>
              <w:spacing w:line="300" w:lineRule="exact"/>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lang w:val="en-US" w:eastAsia="zh-CN"/>
              </w:rPr>
              <w:t>品清湖东岸中轴线两侧新城商业街区</w:t>
            </w:r>
          </w:p>
          <w:p w14:paraId="184FCD2F">
            <w:pPr>
              <w:numPr>
                <w:ilvl w:val="0"/>
                <w:numId w:val="38"/>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以新建大型现代化购物中心、商业综合体为主要方向，全面扩展提升品清湖的综合商业服务能力，打造城东新区城市中轴线的核心商业网点，形成现代化、综合性的新兴城市商圈。</w:t>
            </w:r>
          </w:p>
          <w:p w14:paraId="25068565">
            <w:pPr>
              <w:numPr>
                <w:ilvl w:val="0"/>
                <w:numId w:val="38"/>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在城市中轴线上建设达到城市地标建筑要求的城市商业综合体，以主题型购物中心和五星级酒店为主力店，强化城市综合商业中心的业态复合程度，同时扩展提升高档百货、品牌专业店、星级宾馆、大中型餐饮娱乐、商务办公、会议等类型商业网点的配置规模和业态层级，提升城市商业中心的综合服务能力。</w:t>
            </w:r>
          </w:p>
          <w:p w14:paraId="496E315A">
            <w:pPr>
              <w:numPr>
                <w:ilvl w:val="0"/>
                <w:numId w:val="38"/>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结合城市中轴线的规划设计，沿轴线发展休闲餐饮、酒吧娱乐等类型商业设施，同时注重商业设施与水系的结合，提升品清湖商业中心的商业氛围和活力。</w:t>
            </w:r>
          </w:p>
          <w:p w14:paraId="660F50A4">
            <w:pPr>
              <w:numPr>
                <w:ilvl w:val="0"/>
                <w:numId w:val="38"/>
              </w:numPr>
              <w:spacing w:line="300" w:lineRule="exact"/>
              <w:ind w:left="840" w:leftChars="200" w:hanging="420" w:hangingChars="175"/>
              <w:jc w:val="left"/>
              <w:rPr>
                <w:rFonts w:hint="eastAsia" w:ascii="幼圆" w:hAnsi="Times New Roman" w:eastAsia="幼圆" w:cs="Times New Roman"/>
                <w:sz w:val="24"/>
                <w:highlight w:val="none"/>
              </w:rPr>
            </w:pPr>
            <w:r>
              <w:rPr>
                <w:rFonts w:hint="eastAsia" w:ascii="幼圆" w:hAnsi="Times New Roman" w:eastAsia="幼圆" w:cs="Times New Roman"/>
                <w:sz w:val="24"/>
                <w:highlight w:val="none"/>
              </w:rPr>
              <w:t>按照相关规定，完善停车场所、公共厕所、休憩空间等公共配套设施的配置，营造空间延续、风格错位的城市开放空间。</w:t>
            </w:r>
          </w:p>
          <w:p w14:paraId="0497DF77">
            <w:pPr>
              <w:numPr>
                <w:ilvl w:val="0"/>
                <w:numId w:val="38"/>
              </w:numPr>
              <w:spacing w:line="300" w:lineRule="exact"/>
              <w:ind w:left="840" w:leftChars="200" w:hanging="420" w:hangingChars="175"/>
              <w:jc w:val="left"/>
              <w:rPr>
                <w:rFonts w:hint="eastAsia" w:ascii="幼圆" w:eastAsia="幼圆"/>
                <w:sz w:val="24"/>
              </w:rPr>
            </w:pPr>
            <w:r>
              <w:rPr>
                <w:rFonts w:hint="eastAsia" w:ascii="幼圆" w:hAnsi="Times New Roman" w:eastAsia="幼圆" w:cs="Times New Roman"/>
                <w:sz w:val="24"/>
                <w:highlight w:val="none"/>
              </w:rPr>
              <w:t>依托中国大陆最大滨海潟湖的独特自然景观，打造亲水、运动、慢生活的目的地型体验商业中心。鼓励发展水上运动与休闲中心、环湖生态亲水商业、网红地标消费集群等业态。</w:t>
            </w:r>
          </w:p>
        </w:tc>
      </w:tr>
    </w:tbl>
    <w:p w14:paraId="32AE5F0A">
      <w:pPr>
        <w:rPr>
          <w:color w:val="000000"/>
        </w:rPr>
        <w:sectPr>
          <w:pgSz w:w="23814" w:h="16840" w:orient="landscape"/>
          <w:pgMar w:top="1985" w:right="1985" w:bottom="1701" w:left="1985" w:header="851" w:footer="992" w:gutter="0"/>
          <w:pgNumType w:fmt="decimal"/>
          <w:cols w:space="720" w:num="1"/>
          <w:docGrid w:linePitch="312" w:charSpace="0"/>
        </w:sectPr>
      </w:pPr>
    </w:p>
    <w:p w14:paraId="3D76D2F8">
      <w:pPr>
        <w:pStyle w:val="3"/>
        <w:spacing w:before="120" w:beforeLines="50" w:after="120" w:afterLines="50" w:line="360" w:lineRule="auto"/>
        <w:rPr>
          <w:rFonts w:hint="eastAsia" w:ascii="华文中宋" w:hAnsi="华文中宋" w:eastAsia="华文中宋"/>
          <w:color w:val="000000"/>
          <w:sz w:val="36"/>
          <w:szCs w:val="36"/>
        </w:rPr>
      </w:pPr>
      <w:bookmarkStart w:id="101" w:name="_Toc22050"/>
      <w:r>
        <w:rPr>
          <w:rFonts w:hint="eastAsia" w:ascii="华文中宋" w:hAnsi="华文中宋" w:eastAsia="华文中宋"/>
          <w:color w:val="000000"/>
          <w:sz w:val="36"/>
          <w:szCs w:val="36"/>
        </w:rPr>
        <w:t>附表2：中心城区组团商业中心规划指引</w:t>
      </w:r>
      <w:bookmarkEnd w:id="101"/>
    </w:p>
    <w:tbl>
      <w:tblPr>
        <w:tblStyle w:val="34"/>
        <w:tblW w:w="50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0" w:type="dxa"/>
          <w:right w:w="108" w:type="dxa"/>
        </w:tblCellMar>
      </w:tblPr>
      <w:tblGrid>
        <w:gridCol w:w="1373"/>
        <w:gridCol w:w="2940"/>
        <w:gridCol w:w="1101"/>
        <w:gridCol w:w="1301"/>
        <w:gridCol w:w="13666"/>
      </w:tblGrid>
      <w:tr w14:paraId="2C224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vMerge w:val="restart"/>
            <w:noWrap w:val="0"/>
            <w:vAlign w:val="center"/>
          </w:tcPr>
          <w:p w14:paraId="6192D3D3">
            <w:pPr>
              <w:adjustRightInd w:val="0"/>
              <w:snapToGrid w:val="0"/>
              <w:jc w:val="center"/>
              <w:rPr>
                <w:rFonts w:hint="eastAsia" w:ascii="幼圆" w:eastAsia="幼圆"/>
                <w:b/>
                <w:sz w:val="24"/>
              </w:rPr>
            </w:pPr>
            <w:r>
              <w:rPr>
                <w:rFonts w:hint="eastAsia" w:ascii="幼圆" w:eastAsia="幼圆"/>
                <w:b/>
                <w:sz w:val="24"/>
              </w:rPr>
              <w:t>名称</w:t>
            </w:r>
          </w:p>
        </w:tc>
        <w:tc>
          <w:tcPr>
            <w:tcW w:w="721" w:type="pct"/>
            <w:vMerge w:val="restart"/>
            <w:noWrap w:val="0"/>
            <w:vAlign w:val="center"/>
          </w:tcPr>
          <w:p w14:paraId="797433CD">
            <w:pPr>
              <w:adjustRightInd w:val="0"/>
              <w:snapToGrid w:val="0"/>
              <w:jc w:val="center"/>
              <w:rPr>
                <w:rFonts w:hint="eastAsia" w:ascii="幼圆" w:eastAsia="幼圆"/>
                <w:b/>
                <w:sz w:val="24"/>
              </w:rPr>
            </w:pPr>
            <w:r>
              <w:rPr>
                <w:rFonts w:hint="eastAsia" w:ascii="幼圆" w:eastAsia="幼圆"/>
                <w:b/>
                <w:sz w:val="24"/>
              </w:rPr>
              <w:t>功能定位</w:t>
            </w:r>
          </w:p>
        </w:tc>
        <w:tc>
          <w:tcPr>
            <w:tcW w:w="589" w:type="pct"/>
            <w:gridSpan w:val="2"/>
            <w:noWrap w:val="0"/>
            <w:vAlign w:val="center"/>
          </w:tcPr>
          <w:p w14:paraId="1F5FB43C">
            <w:pPr>
              <w:adjustRightInd w:val="0"/>
              <w:snapToGrid w:val="0"/>
              <w:jc w:val="center"/>
              <w:rPr>
                <w:rFonts w:hint="eastAsia" w:ascii="幼圆" w:eastAsia="幼圆"/>
                <w:b/>
                <w:sz w:val="24"/>
              </w:rPr>
            </w:pPr>
            <w:r>
              <w:rPr>
                <w:rFonts w:hint="eastAsia" w:ascii="幼圆" w:eastAsia="幼圆"/>
                <w:b/>
                <w:sz w:val="24"/>
              </w:rPr>
              <w:t>商业中心规模</w:t>
            </w:r>
          </w:p>
        </w:tc>
        <w:tc>
          <w:tcPr>
            <w:tcW w:w="3352" w:type="pct"/>
            <w:vMerge w:val="restart"/>
            <w:noWrap w:val="0"/>
            <w:vAlign w:val="center"/>
          </w:tcPr>
          <w:p w14:paraId="7F5106D1">
            <w:pPr>
              <w:adjustRightInd w:val="0"/>
              <w:snapToGrid w:val="0"/>
              <w:jc w:val="center"/>
              <w:rPr>
                <w:rFonts w:hint="eastAsia" w:ascii="幼圆" w:eastAsia="幼圆"/>
                <w:b/>
                <w:sz w:val="24"/>
              </w:rPr>
            </w:pPr>
            <w:r>
              <w:rPr>
                <w:rFonts w:hint="eastAsia" w:ascii="幼圆" w:eastAsia="幼圆"/>
                <w:b/>
                <w:sz w:val="24"/>
              </w:rPr>
              <w:t>规划指引</w:t>
            </w:r>
          </w:p>
        </w:tc>
      </w:tr>
      <w:tr w14:paraId="1D995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90" w:hRule="atLeast"/>
          <w:jc w:val="center"/>
        </w:trPr>
        <w:tc>
          <w:tcPr>
            <w:tcW w:w="337" w:type="pct"/>
            <w:vMerge w:val="continue"/>
            <w:noWrap w:val="0"/>
            <w:vAlign w:val="center"/>
          </w:tcPr>
          <w:p w14:paraId="377E849D">
            <w:pPr>
              <w:adjustRightInd w:val="0"/>
              <w:snapToGrid w:val="0"/>
              <w:jc w:val="center"/>
              <w:rPr>
                <w:rFonts w:hint="eastAsia" w:ascii="幼圆" w:eastAsia="幼圆"/>
                <w:b/>
                <w:sz w:val="24"/>
              </w:rPr>
            </w:pPr>
          </w:p>
        </w:tc>
        <w:tc>
          <w:tcPr>
            <w:tcW w:w="721" w:type="pct"/>
            <w:vMerge w:val="continue"/>
            <w:noWrap w:val="0"/>
            <w:vAlign w:val="center"/>
          </w:tcPr>
          <w:p w14:paraId="0258533F">
            <w:pPr>
              <w:adjustRightInd w:val="0"/>
              <w:snapToGrid w:val="0"/>
              <w:jc w:val="center"/>
              <w:rPr>
                <w:rFonts w:hint="eastAsia" w:ascii="幼圆" w:eastAsia="幼圆"/>
                <w:b/>
                <w:sz w:val="24"/>
              </w:rPr>
            </w:pPr>
          </w:p>
        </w:tc>
        <w:tc>
          <w:tcPr>
            <w:tcW w:w="270" w:type="pct"/>
            <w:noWrap w:val="0"/>
            <w:vAlign w:val="center"/>
          </w:tcPr>
          <w:p w14:paraId="488583F1">
            <w:pPr>
              <w:adjustRightInd w:val="0"/>
              <w:snapToGrid w:val="0"/>
              <w:jc w:val="center"/>
              <w:rPr>
                <w:rFonts w:hint="eastAsia" w:ascii="幼圆" w:eastAsia="幼圆"/>
                <w:b/>
                <w:sz w:val="24"/>
              </w:rPr>
            </w:pPr>
            <w:r>
              <w:rPr>
                <w:rFonts w:hint="eastAsia" w:ascii="幼圆" w:eastAsia="幼圆"/>
                <w:b/>
                <w:sz w:val="24"/>
              </w:rPr>
              <w:t>服务人口规模</w:t>
            </w:r>
          </w:p>
        </w:tc>
        <w:tc>
          <w:tcPr>
            <w:tcW w:w="319" w:type="pct"/>
            <w:noWrap w:val="0"/>
            <w:vAlign w:val="center"/>
          </w:tcPr>
          <w:p w14:paraId="6EA9E55E">
            <w:pPr>
              <w:adjustRightInd w:val="0"/>
              <w:snapToGrid w:val="0"/>
              <w:jc w:val="center"/>
              <w:rPr>
                <w:rFonts w:hint="eastAsia" w:ascii="幼圆" w:eastAsia="幼圆"/>
                <w:b/>
                <w:sz w:val="24"/>
              </w:rPr>
            </w:pPr>
            <w:r>
              <w:rPr>
                <w:rFonts w:hint="eastAsia" w:ascii="幼圆" w:eastAsia="幼圆"/>
                <w:b/>
                <w:sz w:val="24"/>
              </w:rPr>
              <w:t>零售商业营业规模</w:t>
            </w:r>
          </w:p>
        </w:tc>
        <w:tc>
          <w:tcPr>
            <w:tcW w:w="3352" w:type="pct"/>
            <w:vMerge w:val="continue"/>
            <w:noWrap w:val="0"/>
            <w:vAlign w:val="center"/>
          </w:tcPr>
          <w:p w14:paraId="5070FD6A">
            <w:pPr>
              <w:adjustRightInd w:val="0"/>
              <w:snapToGrid w:val="0"/>
              <w:jc w:val="center"/>
              <w:rPr>
                <w:rFonts w:hint="eastAsia" w:ascii="幼圆" w:eastAsia="幼圆"/>
                <w:b/>
                <w:sz w:val="24"/>
              </w:rPr>
            </w:pPr>
          </w:p>
        </w:tc>
      </w:tr>
      <w:tr w14:paraId="2D3F7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637BABD2">
            <w:pPr>
              <w:adjustRightInd w:val="0"/>
              <w:snapToGrid w:val="0"/>
              <w:jc w:val="center"/>
              <w:rPr>
                <w:rFonts w:hint="eastAsia" w:ascii="幼圆" w:eastAsia="幼圆"/>
                <w:b/>
                <w:sz w:val="24"/>
              </w:rPr>
            </w:pPr>
            <w:r>
              <w:rPr>
                <w:rFonts w:hint="eastAsia" w:ascii="幼圆" w:eastAsia="幼圆"/>
                <w:b/>
                <w:sz w:val="24"/>
                <w:highlight w:val="none"/>
                <w:lang w:val="en-US" w:eastAsia="zh-CN"/>
              </w:rPr>
              <w:t>品清湖</w:t>
            </w:r>
            <w:r>
              <w:rPr>
                <w:rFonts w:hint="eastAsia" w:ascii="幼圆" w:eastAsia="幼圆"/>
                <w:b/>
                <w:sz w:val="24"/>
                <w:highlight w:val="none"/>
              </w:rPr>
              <w:t>组团商业中心</w:t>
            </w:r>
          </w:p>
        </w:tc>
        <w:tc>
          <w:tcPr>
            <w:tcW w:w="721" w:type="pct"/>
            <w:noWrap w:val="0"/>
            <w:vAlign w:val="center"/>
          </w:tcPr>
          <w:p w14:paraId="0731D070">
            <w:pPr>
              <w:numPr>
                <w:ilvl w:val="0"/>
                <w:numId w:val="36"/>
              </w:numPr>
              <w:adjustRightInd w:val="0"/>
              <w:snapToGrid w:val="0"/>
              <w:rPr>
                <w:rFonts w:hint="eastAsia" w:ascii="幼圆" w:eastAsia="幼圆"/>
                <w:sz w:val="24"/>
                <w:highlight w:val="none"/>
              </w:rPr>
            </w:pPr>
            <w:r>
              <w:rPr>
                <w:rFonts w:hint="eastAsia" w:ascii="幼圆" w:eastAsia="幼圆"/>
                <w:sz w:val="24"/>
                <w:highlight w:val="none"/>
              </w:rPr>
              <w:t>服务</w:t>
            </w:r>
            <w:r>
              <w:rPr>
                <w:rFonts w:hint="eastAsia" w:ascii="幼圆" w:eastAsia="幼圆"/>
                <w:sz w:val="24"/>
                <w:highlight w:val="none"/>
                <w:lang w:val="en-US" w:eastAsia="zh-CN"/>
              </w:rPr>
              <w:t>品清湖东岸</w:t>
            </w:r>
            <w:r>
              <w:rPr>
                <w:rFonts w:hint="eastAsia" w:ascii="幼圆" w:eastAsia="幼圆"/>
                <w:sz w:val="24"/>
                <w:highlight w:val="none"/>
              </w:rPr>
              <w:t>的综合性商业服务中心；</w:t>
            </w:r>
          </w:p>
          <w:p w14:paraId="305E1681">
            <w:pPr>
              <w:numPr>
                <w:ilvl w:val="0"/>
                <w:numId w:val="36"/>
              </w:numPr>
              <w:adjustRightInd w:val="0"/>
              <w:snapToGrid w:val="0"/>
              <w:ind w:left="420" w:leftChars="0" w:hanging="420" w:firstLineChars="0"/>
              <w:rPr>
                <w:rFonts w:hint="eastAsia" w:ascii="幼圆" w:eastAsia="幼圆"/>
                <w:sz w:val="24"/>
              </w:rPr>
            </w:pPr>
            <w:r>
              <w:rPr>
                <w:rFonts w:hint="eastAsia" w:ascii="幼圆" w:eastAsia="幼圆"/>
                <w:sz w:val="24"/>
                <w:highlight w:val="none"/>
              </w:rPr>
              <w:t>为</w:t>
            </w:r>
            <w:r>
              <w:rPr>
                <w:rFonts w:hint="eastAsia" w:ascii="幼圆" w:eastAsia="幼圆"/>
                <w:sz w:val="24"/>
                <w:highlight w:val="none"/>
                <w:lang w:val="en-US" w:eastAsia="zh-CN"/>
              </w:rPr>
              <w:t>品清湖东岸居民</w:t>
            </w:r>
            <w:r>
              <w:rPr>
                <w:rFonts w:hint="eastAsia" w:ascii="幼圆" w:eastAsia="幼圆"/>
                <w:sz w:val="24"/>
                <w:highlight w:val="none"/>
              </w:rPr>
              <w:t>提供</w:t>
            </w:r>
            <w:r>
              <w:rPr>
                <w:rFonts w:hint="eastAsia" w:ascii="幼圆" w:eastAsia="幼圆"/>
                <w:sz w:val="24"/>
                <w:highlight w:val="none"/>
                <w:lang w:val="en-US" w:eastAsia="zh-CN"/>
              </w:rPr>
              <w:t>生活</w:t>
            </w:r>
            <w:r>
              <w:rPr>
                <w:rFonts w:hint="eastAsia" w:ascii="幼圆" w:eastAsia="幼圆"/>
                <w:sz w:val="24"/>
                <w:highlight w:val="none"/>
              </w:rPr>
              <w:t>配套服务。</w:t>
            </w:r>
          </w:p>
        </w:tc>
        <w:tc>
          <w:tcPr>
            <w:tcW w:w="270" w:type="pct"/>
            <w:noWrap w:val="0"/>
            <w:vAlign w:val="center"/>
          </w:tcPr>
          <w:p w14:paraId="3E9FD08D">
            <w:pPr>
              <w:adjustRightInd w:val="0"/>
              <w:snapToGrid w:val="0"/>
              <w:jc w:val="center"/>
              <w:rPr>
                <w:rFonts w:hint="eastAsia" w:ascii="幼圆" w:eastAsia="幼圆"/>
                <w:sz w:val="24"/>
              </w:rPr>
            </w:pPr>
            <w:r>
              <w:rPr>
                <w:rFonts w:hint="eastAsia" w:ascii="幼圆" w:eastAsia="幼圆"/>
                <w:sz w:val="24"/>
                <w:highlight w:val="none"/>
              </w:rPr>
              <w:t>约</w:t>
            </w:r>
            <w:r>
              <w:rPr>
                <w:rFonts w:hint="eastAsia" w:ascii="幼圆" w:eastAsia="幼圆"/>
                <w:sz w:val="24"/>
                <w:highlight w:val="none"/>
                <w:lang w:val="en-US" w:eastAsia="zh-CN"/>
              </w:rPr>
              <w:t>5</w:t>
            </w:r>
            <w:r>
              <w:rPr>
                <w:rFonts w:hint="eastAsia" w:ascii="幼圆" w:eastAsia="幼圆"/>
                <w:sz w:val="24"/>
                <w:highlight w:val="none"/>
              </w:rPr>
              <w:t>万人</w:t>
            </w:r>
          </w:p>
        </w:tc>
        <w:tc>
          <w:tcPr>
            <w:tcW w:w="319" w:type="pct"/>
            <w:noWrap w:val="0"/>
            <w:vAlign w:val="center"/>
          </w:tcPr>
          <w:p w14:paraId="7A4EB384">
            <w:pPr>
              <w:adjustRightInd w:val="0"/>
              <w:snapToGrid w:val="0"/>
              <w:jc w:val="center"/>
              <w:rPr>
                <w:rFonts w:hint="eastAsia" w:ascii="幼圆" w:eastAsia="幼圆"/>
                <w:sz w:val="24"/>
              </w:rPr>
            </w:pPr>
            <w:r>
              <w:rPr>
                <w:rFonts w:hint="eastAsia" w:ascii="幼圆" w:eastAsia="幼圆"/>
                <w:sz w:val="24"/>
                <w:highlight w:val="none"/>
              </w:rPr>
              <w:t>约</w:t>
            </w:r>
            <w:r>
              <w:rPr>
                <w:rFonts w:hint="eastAsia" w:ascii="幼圆" w:eastAsia="幼圆"/>
                <w:sz w:val="24"/>
                <w:highlight w:val="none"/>
                <w:lang w:val="en-US" w:eastAsia="zh-CN"/>
              </w:rPr>
              <w:t>8</w:t>
            </w:r>
            <w:r>
              <w:rPr>
                <w:rFonts w:hint="eastAsia" w:ascii="幼圆" w:eastAsia="幼圆"/>
                <w:sz w:val="24"/>
                <w:highlight w:val="none"/>
              </w:rPr>
              <w:t>万平方米</w:t>
            </w:r>
          </w:p>
        </w:tc>
        <w:tc>
          <w:tcPr>
            <w:tcW w:w="3352" w:type="pct"/>
            <w:noWrap w:val="0"/>
            <w:vAlign w:val="center"/>
          </w:tcPr>
          <w:p w14:paraId="4D5EADF5">
            <w:pPr>
              <w:numPr>
                <w:ilvl w:val="0"/>
                <w:numId w:val="36"/>
              </w:numPr>
              <w:adjustRightInd w:val="0"/>
              <w:snapToGrid w:val="0"/>
              <w:rPr>
                <w:rFonts w:hint="eastAsia" w:ascii="幼圆" w:eastAsia="幼圆"/>
                <w:sz w:val="24"/>
                <w:highlight w:val="none"/>
              </w:rPr>
            </w:pPr>
            <w:r>
              <w:rPr>
                <w:rFonts w:hint="eastAsia" w:ascii="幼圆" w:eastAsia="幼圆"/>
                <w:sz w:val="24"/>
                <w:highlight w:val="none"/>
                <w:lang w:val="en-US" w:eastAsia="zh-CN"/>
              </w:rPr>
              <w:t>重点发展组团级生活配套服务商业和休闲旅游商业。组团级生活配套服务商业方面，优先配置满足居民日常需求的连锁超市、生鲜菜场、社区食堂等生活服务型网点。休闲旅游商业方面，结合滨水特色与妈祖文化资源，引入特色小吃、文创市集、茶座及水上活动服务点等体验式业态。</w:t>
            </w:r>
          </w:p>
          <w:p w14:paraId="4BF76B7F">
            <w:pPr>
              <w:numPr>
                <w:ilvl w:val="0"/>
                <w:numId w:val="36"/>
              </w:numPr>
              <w:adjustRightInd w:val="0"/>
              <w:snapToGrid w:val="0"/>
              <w:ind w:left="420" w:leftChars="0" w:hanging="420" w:firstLineChars="0"/>
              <w:rPr>
                <w:rFonts w:hint="eastAsia" w:ascii="幼圆" w:eastAsia="幼圆"/>
                <w:sz w:val="24"/>
              </w:rPr>
            </w:pPr>
            <w:r>
              <w:rPr>
                <w:rFonts w:hint="eastAsia" w:ascii="幼圆" w:eastAsia="幼圆"/>
                <w:sz w:val="24"/>
                <w:highlight w:val="none"/>
              </w:rPr>
              <w:t>强调“商旅融合”，鼓励利用滨水空间设置低密度、开放式商业设施，并配套休闲广场与观景平台，营造宜人的休闲消费环境。建筑风貌需与湖滨景观相协调，控制建筑体量与高度，保障环湖视廊通透</w:t>
            </w:r>
            <w:r>
              <w:rPr>
                <w:rFonts w:hint="eastAsia" w:ascii="幼圆" w:eastAsia="幼圆"/>
                <w:sz w:val="24"/>
                <w:highlight w:val="none"/>
                <w:lang w:eastAsia="zh-CN"/>
              </w:rPr>
              <w:t>。</w:t>
            </w:r>
          </w:p>
        </w:tc>
      </w:tr>
      <w:tr w14:paraId="6B11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50C537E8">
            <w:pPr>
              <w:adjustRightInd w:val="0"/>
              <w:snapToGrid w:val="0"/>
              <w:jc w:val="center"/>
              <w:rPr>
                <w:rFonts w:hint="eastAsia" w:ascii="幼圆" w:eastAsia="幼圆"/>
                <w:b/>
                <w:sz w:val="24"/>
              </w:rPr>
            </w:pPr>
            <w:r>
              <w:rPr>
                <w:rFonts w:hint="eastAsia" w:ascii="幼圆" w:eastAsia="幼圆"/>
                <w:b/>
                <w:sz w:val="24"/>
              </w:rPr>
              <w:t>红草组团商业中心</w:t>
            </w:r>
          </w:p>
        </w:tc>
        <w:tc>
          <w:tcPr>
            <w:tcW w:w="721" w:type="pct"/>
            <w:noWrap w:val="0"/>
            <w:vAlign w:val="center"/>
          </w:tcPr>
          <w:p w14:paraId="665B2CC4">
            <w:pPr>
              <w:numPr>
                <w:ilvl w:val="0"/>
                <w:numId w:val="36"/>
              </w:numPr>
              <w:adjustRightInd w:val="0"/>
              <w:snapToGrid w:val="0"/>
              <w:rPr>
                <w:rFonts w:hint="eastAsia" w:ascii="幼圆" w:eastAsia="幼圆"/>
                <w:sz w:val="24"/>
              </w:rPr>
            </w:pPr>
            <w:r>
              <w:rPr>
                <w:rFonts w:hint="eastAsia" w:ascii="幼圆" w:eastAsia="幼圆"/>
                <w:sz w:val="24"/>
              </w:rPr>
              <w:t>服务红草组团的综合性商业服务中心；</w:t>
            </w:r>
          </w:p>
          <w:p w14:paraId="58807CF8">
            <w:pPr>
              <w:numPr>
                <w:ilvl w:val="0"/>
                <w:numId w:val="36"/>
              </w:numPr>
              <w:adjustRightInd w:val="0"/>
              <w:snapToGrid w:val="0"/>
              <w:rPr>
                <w:rFonts w:hint="eastAsia" w:ascii="幼圆" w:eastAsia="幼圆"/>
                <w:sz w:val="24"/>
              </w:rPr>
            </w:pPr>
            <w:r>
              <w:rPr>
                <w:rFonts w:hint="eastAsia" w:ascii="幼圆" w:eastAsia="幼圆"/>
                <w:sz w:val="24"/>
              </w:rPr>
              <w:t>为红草产业园提供产业配套服务。</w:t>
            </w:r>
          </w:p>
        </w:tc>
        <w:tc>
          <w:tcPr>
            <w:tcW w:w="270" w:type="pct"/>
            <w:noWrap w:val="0"/>
            <w:vAlign w:val="center"/>
          </w:tcPr>
          <w:p w14:paraId="0CEE2072">
            <w:pPr>
              <w:adjustRightInd w:val="0"/>
              <w:snapToGrid w:val="0"/>
              <w:jc w:val="center"/>
              <w:rPr>
                <w:rFonts w:hint="eastAsia" w:ascii="幼圆" w:eastAsia="幼圆"/>
                <w:sz w:val="24"/>
              </w:rPr>
            </w:pPr>
            <w:r>
              <w:rPr>
                <w:rFonts w:hint="eastAsia" w:ascii="幼圆" w:eastAsia="幼圆"/>
                <w:sz w:val="24"/>
              </w:rPr>
              <w:t>约5.3万人</w:t>
            </w:r>
          </w:p>
        </w:tc>
        <w:tc>
          <w:tcPr>
            <w:tcW w:w="319" w:type="pct"/>
            <w:noWrap w:val="0"/>
            <w:vAlign w:val="center"/>
          </w:tcPr>
          <w:p w14:paraId="383310B9">
            <w:pPr>
              <w:adjustRightInd w:val="0"/>
              <w:snapToGrid w:val="0"/>
              <w:jc w:val="center"/>
              <w:rPr>
                <w:rFonts w:hint="eastAsia" w:ascii="幼圆" w:eastAsia="幼圆"/>
                <w:sz w:val="24"/>
              </w:rPr>
            </w:pPr>
            <w:r>
              <w:rPr>
                <w:rFonts w:hint="eastAsia" w:ascii="幼圆" w:eastAsia="幼圆"/>
                <w:sz w:val="24"/>
              </w:rPr>
              <w:t>约8.0万平方米</w:t>
            </w:r>
          </w:p>
        </w:tc>
        <w:tc>
          <w:tcPr>
            <w:tcW w:w="3352" w:type="pct"/>
            <w:noWrap w:val="0"/>
            <w:vAlign w:val="center"/>
          </w:tcPr>
          <w:p w14:paraId="625AE10B">
            <w:pPr>
              <w:numPr>
                <w:ilvl w:val="0"/>
                <w:numId w:val="36"/>
              </w:numPr>
              <w:adjustRightInd w:val="0"/>
              <w:snapToGrid w:val="0"/>
              <w:rPr>
                <w:rFonts w:hint="eastAsia" w:ascii="幼圆" w:eastAsia="幼圆"/>
                <w:sz w:val="24"/>
              </w:rPr>
            </w:pPr>
            <w:r>
              <w:rPr>
                <w:rFonts w:hint="eastAsia" w:ascii="幼圆" w:eastAsia="幼圆"/>
                <w:sz w:val="24"/>
              </w:rPr>
              <w:t>商业中心布局于海汕路西侧，结合城轨站点采用“商业综合体+商业街区”的模式组织商业网点布局。</w:t>
            </w:r>
          </w:p>
          <w:p w14:paraId="35179E97">
            <w:pPr>
              <w:numPr>
                <w:ilvl w:val="0"/>
                <w:numId w:val="36"/>
              </w:numPr>
              <w:adjustRightInd w:val="0"/>
              <w:snapToGrid w:val="0"/>
              <w:rPr>
                <w:rFonts w:hint="eastAsia" w:ascii="幼圆" w:eastAsia="幼圆"/>
                <w:sz w:val="24"/>
              </w:rPr>
            </w:pPr>
            <w:r>
              <w:rPr>
                <w:rFonts w:hint="eastAsia" w:ascii="幼圆" w:eastAsia="幼圆"/>
                <w:sz w:val="24"/>
              </w:rPr>
              <w:t>结合红草城轨站点的建设，以商业综合体的形式推进红草组团商业中心建设，一体化布局购物、餐饮、住宿、金融、影视娱乐、文化等功能。</w:t>
            </w:r>
          </w:p>
          <w:p w14:paraId="5C258475">
            <w:pPr>
              <w:numPr>
                <w:ilvl w:val="0"/>
                <w:numId w:val="36"/>
              </w:numPr>
              <w:adjustRightInd w:val="0"/>
              <w:snapToGrid w:val="0"/>
              <w:rPr>
                <w:rFonts w:hint="eastAsia" w:ascii="幼圆" w:eastAsia="幼圆"/>
                <w:sz w:val="24"/>
              </w:rPr>
            </w:pPr>
            <w:r>
              <w:rPr>
                <w:rFonts w:hint="eastAsia" w:ascii="幼圆" w:eastAsia="幼圆"/>
                <w:sz w:val="24"/>
              </w:rPr>
              <w:t>积极引入专卖店、专业店、连锁超市、折扣店等现代商业业态。</w:t>
            </w:r>
          </w:p>
          <w:p w14:paraId="7EA1DB86">
            <w:pPr>
              <w:numPr>
                <w:ilvl w:val="0"/>
                <w:numId w:val="36"/>
              </w:numPr>
              <w:adjustRightInd w:val="0"/>
              <w:snapToGrid w:val="0"/>
              <w:rPr>
                <w:rFonts w:hint="eastAsia" w:ascii="幼圆" w:eastAsia="幼圆"/>
                <w:sz w:val="24"/>
              </w:rPr>
            </w:pPr>
            <w:r>
              <w:rPr>
                <w:rFonts w:hint="eastAsia" w:ascii="幼圆" w:eastAsia="幼圆"/>
                <w:sz w:val="24"/>
              </w:rPr>
              <w:t>结合红草产业园的建设，完善其相应的商业配套、物流配套等生产性服务设施。</w:t>
            </w:r>
          </w:p>
        </w:tc>
      </w:tr>
      <w:tr w14:paraId="16CD9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61B2AD02">
            <w:pPr>
              <w:adjustRightInd w:val="0"/>
              <w:snapToGrid w:val="0"/>
              <w:jc w:val="center"/>
              <w:rPr>
                <w:rFonts w:ascii="幼圆" w:eastAsia="幼圆"/>
                <w:b/>
                <w:sz w:val="24"/>
              </w:rPr>
            </w:pPr>
            <w:r>
              <w:rPr>
                <w:rFonts w:hint="eastAsia" w:ascii="幼圆" w:eastAsia="幼圆"/>
                <w:b/>
                <w:sz w:val="24"/>
              </w:rPr>
              <w:t>金町湾</w:t>
            </w:r>
          </w:p>
          <w:p w14:paraId="2E511363">
            <w:pPr>
              <w:adjustRightInd w:val="0"/>
              <w:snapToGrid w:val="0"/>
              <w:jc w:val="center"/>
              <w:rPr>
                <w:rFonts w:hint="eastAsia" w:ascii="幼圆" w:eastAsia="幼圆"/>
                <w:b/>
                <w:sz w:val="24"/>
              </w:rPr>
            </w:pPr>
            <w:r>
              <w:rPr>
                <w:rFonts w:hint="eastAsia" w:ascii="幼圆" w:eastAsia="幼圆"/>
                <w:b/>
                <w:sz w:val="24"/>
              </w:rPr>
              <w:t>组团商业中心</w:t>
            </w:r>
          </w:p>
        </w:tc>
        <w:tc>
          <w:tcPr>
            <w:tcW w:w="721" w:type="pct"/>
            <w:noWrap w:val="0"/>
            <w:vAlign w:val="center"/>
          </w:tcPr>
          <w:p w14:paraId="62B2C8C7">
            <w:pPr>
              <w:numPr>
                <w:ilvl w:val="0"/>
                <w:numId w:val="36"/>
              </w:numPr>
              <w:adjustRightInd w:val="0"/>
              <w:snapToGrid w:val="0"/>
              <w:rPr>
                <w:rFonts w:hint="eastAsia" w:ascii="幼圆" w:eastAsia="幼圆"/>
                <w:sz w:val="24"/>
              </w:rPr>
            </w:pPr>
            <w:r>
              <w:rPr>
                <w:rFonts w:hint="eastAsia" w:ascii="幼圆" w:eastAsia="幼圆"/>
                <w:sz w:val="24"/>
              </w:rPr>
              <w:t>服务金町湾组团的综合性商业服务中心；</w:t>
            </w:r>
          </w:p>
          <w:p w14:paraId="1B88C962">
            <w:pPr>
              <w:numPr>
                <w:ilvl w:val="0"/>
                <w:numId w:val="36"/>
              </w:numPr>
              <w:adjustRightInd w:val="0"/>
              <w:snapToGrid w:val="0"/>
              <w:rPr>
                <w:rFonts w:hint="eastAsia" w:ascii="幼圆" w:eastAsia="幼圆"/>
                <w:sz w:val="24"/>
              </w:rPr>
            </w:pPr>
            <w:r>
              <w:rPr>
                <w:rFonts w:hint="eastAsia" w:ascii="幼圆" w:eastAsia="幼圆"/>
                <w:sz w:val="24"/>
              </w:rPr>
              <w:t>为金町湾的滨海度假旅游提供配套服务。</w:t>
            </w:r>
          </w:p>
        </w:tc>
        <w:tc>
          <w:tcPr>
            <w:tcW w:w="270" w:type="pct"/>
            <w:noWrap w:val="0"/>
            <w:vAlign w:val="center"/>
          </w:tcPr>
          <w:p w14:paraId="53915CFB">
            <w:pPr>
              <w:adjustRightInd w:val="0"/>
              <w:snapToGrid w:val="0"/>
              <w:jc w:val="center"/>
              <w:rPr>
                <w:rFonts w:hint="eastAsia" w:ascii="幼圆" w:eastAsia="幼圆"/>
                <w:sz w:val="24"/>
              </w:rPr>
            </w:pPr>
            <w:r>
              <w:rPr>
                <w:rFonts w:hint="eastAsia" w:ascii="幼圆" w:eastAsia="幼圆"/>
                <w:sz w:val="24"/>
              </w:rPr>
              <w:t>约8.7万人</w:t>
            </w:r>
          </w:p>
        </w:tc>
        <w:tc>
          <w:tcPr>
            <w:tcW w:w="319" w:type="pct"/>
            <w:noWrap w:val="0"/>
            <w:vAlign w:val="center"/>
          </w:tcPr>
          <w:p w14:paraId="166387C4">
            <w:pPr>
              <w:adjustRightInd w:val="0"/>
              <w:snapToGrid w:val="0"/>
              <w:jc w:val="center"/>
              <w:rPr>
                <w:rFonts w:hint="eastAsia" w:ascii="幼圆" w:eastAsia="幼圆"/>
                <w:sz w:val="24"/>
              </w:rPr>
            </w:pPr>
            <w:r>
              <w:rPr>
                <w:rFonts w:hint="eastAsia" w:ascii="幼圆" w:eastAsia="幼圆"/>
                <w:sz w:val="24"/>
              </w:rPr>
              <w:t>约7.8万平方米</w:t>
            </w:r>
          </w:p>
        </w:tc>
        <w:tc>
          <w:tcPr>
            <w:tcW w:w="3352" w:type="pct"/>
            <w:noWrap w:val="0"/>
            <w:vAlign w:val="center"/>
          </w:tcPr>
          <w:p w14:paraId="775294A5">
            <w:pPr>
              <w:numPr>
                <w:ilvl w:val="0"/>
                <w:numId w:val="36"/>
              </w:numPr>
              <w:adjustRightInd w:val="0"/>
              <w:snapToGrid w:val="0"/>
              <w:rPr>
                <w:rFonts w:hint="eastAsia" w:ascii="幼圆" w:eastAsia="幼圆"/>
                <w:sz w:val="24"/>
              </w:rPr>
            </w:pPr>
            <w:r>
              <w:rPr>
                <w:rFonts w:hint="eastAsia" w:ascii="幼圆" w:eastAsia="幼圆"/>
                <w:sz w:val="24"/>
              </w:rPr>
              <w:t>商业中心沿金町湾沙滩布局，采用“商业综合体+商业街区”的模式组织商业网点布局。</w:t>
            </w:r>
          </w:p>
          <w:p w14:paraId="0CFD8E91">
            <w:pPr>
              <w:numPr>
                <w:ilvl w:val="0"/>
                <w:numId w:val="36"/>
              </w:numPr>
              <w:adjustRightInd w:val="0"/>
              <w:snapToGrid w:val="0"/>
              <w:rPr>
                <w:rFonts w:hint="eastAsia" w:ascii="幼圆" w:eastAsia="幼圆"/>
                <w:sz w:val="24"/>
              </w:rPr>
            </w:pPr>
            <w:r>
              <w:rPr>
                <w:rFonts w:hint="eastAsia" w:ascii="幼圆" w:eastAsia="幼圆"/>
                <w:sz w:val="24"/>
              </w:rPr>
              <w:t>以完善生活服务型网点为基础，提高专业店、专卖店、连锁超市等新型业态的比重，适度发展商业综合体、购物中心、主题百货等大中型商业业态，优化金町湾组团的商业服务职能。</w:t>
            </w:r>
          </w:p>
          <w:p w14:paraId="2031B373">
            <w:pPr>
              <w:numPr>
                <w:ilvl w:val="0"/>
                <w:numId w:val="36"/>
              </w:numPr>
              <w:adjustRightInd w:val="0"/>
              <w:snapToGrid w:val="0"/>
              <w:rPr>
                <w:rFonts w:hint="eastAsia" w:ascii="幼圆" w:eastAsia="幼圆"/>
                <w:sz w:val="24"/>
              </w:rPr>
            </w:pPr>
            <w:r>
              <w:rPr>
                <w:rFonts w:hint="eastAsia" w:ascii="幼圆" w:eastAsia="幼圆"/>
                <w:sz w:val="24"/>
              </w:rPr>
              <w:t>结合金町湾旅游景点的开发建设，开发特色商业空间，配置星级酒店、餐饮宾馆、商务金融、文化娱乐、休闲游憩等网点，提升金町湾的滨海度假服务体验。</w:t>
            </w:r>
          </w:p>
        </w:tc>
      </w:tr>
      <w:tr w14:paraId="14415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71284166">
            <w:pPr>
              <w:adjustRightInd w:val="0"/>
              <w:snapToGrid w:val="0"/>
              <w:jc w:val="center"/>
              <w:rPr>
                <w:rFonts w:hint="eastAsia" w:ascii="幼圆" w:eastAsia="幼圆"/>
                <w:b/>
                <w:sz w:val="24"/>
              </w:rPr>
            </w:pPr>
            <w:r>
              <w:rPr>
                <w:rFonts w:hint="eastAsia" w:ascii="幼圆" w:eastAsia="幼圆"/>
                <w:b/>
                <w:sz w:val="24"/>
              </w:rPr>
              <w:t>石洲组团商业中心</w:t>
            </w:r>
          </w:p>
        </w:tc>
        <w:tc>
          <w:tcPr>
            <w:tcW w:w="721" w:type="pct"/>
            <w:noWrap w:val="0"/>
            <w:vAlign w:val="center"/>
          </w:tcPr>
          <w:p w14:paraId="36243093">
            <w:pPr>
              <w:numPr>
                <w:ilvl w:val="0"/>
                <w:numId w:val="36"/>
              </w:numPr>
              <w:adjustRightInd w:val="0"/>
              <w:snapToGrid w:val="0"/>
              <w:rPr>
                <w:rFonts w:hint="eastAsia" w:ascii="幼圆" w:eastAsia="幼圆"/>
                <w:sz w:val="24"/>
              </w:rPr>
            </w:pPr>
            <w:r>
              <w:rPr>
                <w:rFonts w:hint="eastAsia" w:ascii="幼圆" w:eastAsia="幼圆"/>
                <w:sz w:val="24"/>
              </w:rPr>
              <w:t>服务石洲组团的综合性商业服务中心；</w:t>
            </w:r>
          </w:p>
          <w:p w14:paraId="531C3B89">
            <w:pPr>
              <w:numPr>
                <w:ilvl w:val="0"/>
                <w:numId w:val="36"/>
              </w:numPr>
              <w:adjustRightInd w:val="0"/>
              <w:snapToGrid w:val="0"/>
              <w:rPr>
                <w:rFonts w:hint="eastAsia" w:ascii="幼圆" w:eastAsia="幼圆"/>
                <w:sz w:val="24"/>
              </w:rPr>
            </w:pPr>
            <w:r>
              <w:rPr>
                <w:rFonts w:hint="eastAsia" w:ascii="幼圆" w:eastAsia="幼圆"/>
                <w:sz w:val="24"/>
              </w:rPr>
              <w:t>为周边的文化旅游提供配套服务。</w:t>
            </w:r>
          </w:p>
        </w:tc>
        <w:tc>
          <w:tcPr>
            <w:tcW w:w="270" w:type="pct"/>
            <w:noWrap w:val="0"/>
            <w:vAlign w:val="center"/>
          </w:tcPr>
          <w:p w14:paraId="3F435893">
            <w:pPr>
              <w:adjustRightInd w:val="0"/>
              <w:snapToGrid w:val="0"/>
              <w:jc w:val="center"/>
              <w:rPr>
                <w:rFonts w:hint="eastAsia" w:ascii="幼圆" w:eastAsia="幼圆"/>
                <w:sz w:val="24"/>
              </w:rPr>
            </w:pPr>
            <w:r>
              <w:rPr>
                <w:rFonts w:hint="eastAsia" w:ascii="幼圆" w:eastAsia="幼圆"/>
                <w:sz w:val="24"/>
              </w:rPr>
              <w:t>约4.9万人</w:t>
            </w:r>
          </w:p>
        </w:tc>
        <w:tc>
          <w:tcPr>
            <w:tcW w:w="319" w:type="pct"/>
            <w:noWrap w:val="0"/>
            <w:vAlign w:val="center"/>
          </w:tcPr>
          <w:p w14:paraId="139F0D81">
            <w:pPr>
              <w:adjustRightInd w:val="0"/>
              <w:snapToGrid w:val="0"/>
              <w:jc w:val="center"/>
              <w:rPr>
                <w:rFonts w:hint="eastAsia" w:ascii="幼圆" w:eastAsia="幼圆"/>
                <w:sz w:val="24"/>
              </w:rPr>
            </w:pPr>
            <w:r>
              <w:rPr>
                <w:rFonts w:hint="eastAsia" w:ascii="幼圆" w:eastAsia="幼圆"/>
                <w:sz w:val="24"/>
              </w:rPr>
              <w:t>约7.4万平方米</w:t>
            </w:r>
          </w:p>
        </w:tc>
        <w:tc>
          <w:tcPr>
            <w:tcW w:w="3352" w:type="pct"/>
            <w:noWrap w:val="0"/>
            <w:vAlign w:val="center"/>
          </w:tcPr>
          <w:p w14:paraId="2C42E916">
            <w:pPr>
              <w:numPr>
                <w:ilvl w:val="0"/>
                <w:numId w:val="36"/>
              </w:numPr>
              <w:adjustRightInd w:val="0"/>
              <w:snapToGrid w:val="0"/>
              <w:rPr>
                <w:rFonts w:hint="eastAsia" w:ascii="幼圆" w:eastAsia="幼圆"/>
                <w:sz w:val="24"/>
              </w:rPr>
            </w:pPr>
            <w:r>
              <w:rPr>
                <w:rFonts w:hint="eastAsia" w:ascii="幼圆" w:eastAsia="幼圆"/>
                <w:sz w:val="24"/>
              </w:rPr>
              <w:t>商业中心布局于品清湖东侧，采用“商业综合体+商业街区”的模式组织商业网点布局。</w:t>
            </w:r>
          </w:p>
          <w:p w14:paraId="36298470">
            <w:pPr>
              <w:numPr>
                <w:ilvl w:val="0"/>
                <w:numId w:val="36"/>
              </w:numPr>
              <w:adjustRightInd w:val="0"/>
              <w:snapToGrid w:val="0"/>
              <w:rPr>
                <w:rFonts w:hint="eastAsia" w:ascii="幼圆" w:eastAsia="幼圆"/>
                <w:sz w:val="24"/>
              </w:rPr>
            </w:pPr>
            <w:r>
              <w:rPr>
                <w:rFonts w:hint="eastAsia" w:ascii="幼圆" w:eastAsia="幼圆"/>
                <w:sz w:val="24"/>
              </w:rPr>
              <w:t>以完善生活服务型网点为基础，提高专业店、专卖店、连锁超市等新型业态的比重，适度发展商业综合体、购物中心、主题百货等大中型商业业态，优化石洲组团的商业服务职能。</w:t>
            </w:r>
          </w:p>
          <w:p w14:paraId="7377C180">
            <w:pPr>
              <w:numPr>
                <w:ilvl w:val="0"/>
                <w:numId w:val="36"/>
              </w:numPr>
              <w:adjustRightInd w:val="0"/>
              <w:snapToGrid w:val="0"/>
              <w:rPr>
                <w:rFonts w:hint="eastAsia" w:ascii="幼圆" w:eastAsia="幼圆"/>
                <w:sz w:val="24"/>
              </w:rPr>
            </w:pPr>
            <w:r>
              <w:rPr>
                <w:rFonts w:hint="eastAsia" w:ascii="幼圆" w:eastAsia="幼圆"/>
                <w:sz w:val="24"/>
              </w:rPr>
              <w:t>结合品清湖旅游景点的开发建设，开发特色商业空间，配置星级酒店、餐饮宾馆、商务金融、文化娱乐、休闲游憩等网点，提升品清湖的文旅服务体验。</w:t>
            </w:r>
          </w:p>
        </w:tc>
      </w:tr>
      <w:tr w14:paraId="0612C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6BC6F9F5">
            <w:pPr>
              <w:adjustRightInd w:val="0"/>
              <w:snapToGrid w:val="0"/>
              <w:jc w:val="center"/>
              <w:rPr>
                <w:rFonts w:hint="eastAsia" w:ascii="幼圆" w:eastAsia="幼圆"/>
                <w:b/>
                <w:sz w:val="24"/>
              </w:rPr>
            </w:pPr>
            <w:r>
              <w:rPr>
                <w:rFonts w:hint="eastAsia" w:ascii="幼圆" w:eastAsia="幼圆"/>
                <w:b/>
                <w:sz w:val="24"/>
              </w:rPr>
              <w:t>捷胜组团商业中心</w:t>
            </w:r>
          </w:p>
        </w:tc>
        <w:tc>
          <w:tcPr>
            <w:tcW w:w="721" w:type="pct"/>
            <w:noWrap w:val="0"/>
            <w:vAlign w:val="center"/>
          </w:tcPr>
          <w:p w14:paraId="710E6AEE">
            <w:pPr>
              <w:numPr>
                <w:ilvl w:val="0"/>
                <w:numId w:val="36"/>
              </w:numPr>
              <w:adjustRightInd w:val="0"/>
              <w:snapToGrid w:val="0"/>
              <w:rPr>
                <w:rFonts w:hint="eastAsia" w:ascii="幼圆" w:eastAsia="幼圆"/>
                <w:sz w:val="24"/>
              </w:rPr>
            </w:pPr>
            <w:r>
              <w:rPr>
                <w:rFonts w:hint="eastAsia" w:ascii="幼圆" w:eastAsia="幼圆"/>
                <w:sz w:val="24"/>
              </w:rPr>
              <w:t>服务捷胜组团的综合性商业服务中心。</w:t>
            </w:r>
          </w:p>
        </w:tc>
        <w:tc>
          <w:tcPr>
            <w:tcW w:w="270" w:type="pct"/>
            <w:noWrap w:val="0"/>
            <w:vAlign w:val="center"/>
          </w:tcPr>
          <w:p w14:paraId="18E4B76C">
            <w:pPr>
              <w:adjustRightInd w:val="0"/>
              <w:snapToGrid w:val="0"/>
              <w:jc w:val="center"/>
              <w:rPr>
                <w:rFonts w:hint="eastAsia" w:ascii="幼圆" w:eastAsia="幼圆"/>
                <w:sz w:val="24"/>
              </w:rPr>
            </w:pPr>
            <w:r>
              <w:rPr>
                <w:rFonts w:hint="eastAsia" w:ascii="幼圆" w:eastAsia="幼圆"/>
                <w:sz w:val="24"/>
              </w:rPr>
              <w:t>约2.8万人</w:t>
            </w:r>
          </w:p>
        </w:tc>
        <w:tc>
          <w:tcPr>
            <w:tcW w:w="319" w:type="pct"/>
            <w:noWrap w:val="0"/>
            <w:vAlign w:val="center"/>
          </w:tcPr>
          <w:p w14:paraId="6F2C4CAD">
            <w:pPr>
              <w:adjustRightInd w:val="0"/>
              <w:snapToGrid w:val="0"/>
              <w:jc w:val="center"/>
              <w:rPr>
                <w:rFonts w:hint="eastAsia" w:ascii="幼圆" w:eastAsia="幼圆"/>
                <w:sz w:val="24"/>
              </w:rPr>
            </w:pPr>
            <w:r>
              <w:rPr>
                <w:rFonts w:hint="eastAsia" w:ascii="幼圆" w:eastAsia="幼圆"/>
                <w:sz w:val="24"/>
              </w:rPr>
              <w:t>约4.2万平方米</w:t>
            </w:r>
          </w:p>
        </w:tc>
        <w:tc>
          <w:tcPr>
            <w:tcW w:w="3352" w:type="pct"/>
            <w:noWrap w:val="0"/>
            <w:vAlign w:val="center"/>
          </w:tcPr>
          <w:p w14:paraId="04293604">
            <w:pPr>
              <w:numPr>
                <w:ilvl w:val="0"/>
                <w:numId w:val="36"/>
              </w:numPr>
              <w:adjustRightInd w:val="0"/>
              <w:snapToGrid w:val="0"/>
              <w:rPr>
                <w:rFonts w:hint="eastAsia" w:ascii="幼圆" w:eastAsia="幼圆"/>
                <w:sz w:val="24"/>
              </w:rPr>
            </w:pPr>
            <w:r>
              <w:rPr>
                <w:rFonts w:hint="eastAsia" w:ascii="幼圆" w:eastAsia="幼圆"/>
                <w:sz w:val="24"/>
              </w:rPr>
              <w:t>商业中心布局于石岗小学西侧，采用“大中型超市+商业街区”的模式组织商业网点布局。</w:t>
            </w:r>
          </w:p>
          <w:p w14:paraId="18BACD7F">
            <w:pPr>
              <w:numPr>
                <w:ilvl w:val="0"/>
                <w:numId w:val="36"/>
              </w:numPr>
              <w:adjustRightInd w:val="0"/>
              <w:snapToGrid w:val="0"/>
              <w:jc w:val="left"/>
              <w:rPr>
                <w:rFonts w:hint="eastAsia" w:ascii="幼圆" w:eastAsia="幼圆"/>
                <w:sz w:val="24"/>
                <w:szCs w:val="21"/>
              </w:rPr>
            </w:pPr>
            <w:r>
              <w:rPr>
                <w:rFonts w:hint="eastAsia" w:ascii="幼圆" w:eastAsia="幼圆"/>
                <w:sz w:val="24"/>
                <w:szCs w:val="21"/>
              </w:rPr>
              <w:t>依托现状商业网点的布局，加快推进城镇商业中心建设，改变目前商业网点不足、配套滞后的问题，提升商业网点的服务能力，改善城镇居民生活服务水平。</w:t>
            </w:r>
          </w:p>
          <w:p w14:paraId="72937362">
            <w:pPr>
              <w:numPr>
                <w:ilvl w:val="0"/>
                <w:numId w:val="36"/>
              </w:numPr>
              <w:adjustRightInd w:val="0"/>
              <w:snapToGrid w:val="0"/>
              <w:jc w:val="left"/>
              <w:rPr>
                <w:rFonts w:hint="eastAsia" w:ascii="幼圆" w:eastAsia="幼圆"/>
                <w:szCs w:val="21"/>
              </w:rPr>
            </w:pPr>
            <w:r>
              <w:rPr>
                <w:rFonts w:hint="eastAsia" w:ascii="幼圆" w:eastAsia="幼圆"/>
                <w:sz w:val="24"/>
              </w:rPr>
              <w:t>以基本生活服务型网点为主体，完善城镇商业服务职能，同时提高专业店、专卖店、连锁超市等业态的比重，同时可结合实际情况适当发展购物中心、主题百货等新型商业业态。</w:t>
            </w:r>
          </w:p>
        </w:tc>
      </w:tr>
      <w:tr w14:paraId="1E717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27F2C835">
            <w:pPr>
              <w:adjustRightInd w:val="0"/>
              <w:snapToGrid w:val="0"/>
              <w:jc w:val="center"/>
              <w:rPr>
                <w:rFonts w:hint="eastAsia" w:ascii="幼圆" w:eastAsia="幼圆"/>
                <w:b/>
                <w:sz w:val="24"/>
              </w:rPr>
            </w:pPr>
            <w:r>
              <w:rPr>
                <w:rFonts w:hint="eastAsia" w:ascii="幼圆" w:eastAsia="幼圆"/>
                <w:b/>
                <w:sz w:val="24"/>
              </w:rPr>
              <w:t>田墘组团商业中心</w:t>
            </w:r>
          </w:p>
        </w:tc>
        <w:tc>
          <w:tcPr>
            <w:tcW w:w="721" w:type="pct"/>
            <w:noWrap w:val="0"/>
            <w:vAlign w:val="center"/>
          </w:tcPr>
          <w:p w14:paraId="250285D4">
            <w:pPr>
              <w:numPr>
                <w:ilvl w:val="0"/>
                <w:numId w:val="36"/>
              </w:numPr>
              <w:adjustRightInd w:val="0"/>
              <w:snapToGrid w:val="0"/>
              <w:rPr>
                <w:rFonts w:hint="eastAsia" w:ascii="幼圆" w:eastAsia="幼圆"/>
                <w:sz w:val="24"/>
              </w:rPr>
            </w:pPr>
            <w:r>
              <w:rPr>
                <w:rFonts w:hint="eastAsia" w:ascii="幼圆" w:eastAsia="幼圆"/>
                <w:sz w:val="24"/>
              </w:rPr>
              <w:t>服务田墘组团的综合性商业服务中心。</w:t>
            </w:r>
          </w:p>
        </w:tc>
        <w:tc>
          <w:tcPr>
            <w:tcW w:w="270" w:type="pct"/>
            <w:noWrap w:val="0"/>
            <w:vAlign w:val="center"/>
          </w:tcPr>
          <w:p w14:paraId="43F4CC34">
            <w:pPr>
              <w:adjustRightInd w:val="0"/>
              <w:snapToGrid w:val="0"/>
              <w:jc w:val="center"/>
              <w:rPr>
                <w:rFonts w:hint="eastAsia" w:ascii="幼圆" w:eastAsia="幼圆"/>
                <w:sz w:val="24"/>
              </w:rPr>
            </w:pPr>
            <w:r>
              <w:rPr>
                <w:rFonts w:hint="eastAsia" w:ascii="幼圆" w:eastAsia="幼圆"/>
                <w:sz w:val="24"/>
              </w:rPr>
              <w:t>约4.4万人</w:t>
            </w:r>
          </w:p>
        </w:tc>
        <w:tc>
          <w:tcPr>
            <w:tcW w:w="319" w:type="pct"/>
            <w:noWrap w:val="0"/>
            <w:vAlign w:val="center"/>
          </w:tcPr>
          <w:p w14:paraId="083640B8">
            <w:pPr>
              <w:adjustRightInd w:val="0"/>
              <w:snapToGrid w:val="0"/>
              <w:jc w:val="center"/>
              <w:rPr>
                <w:rFonts w:hint="eastAsia" w:ascii="幼圆" w:eastAsia="幼圆"/>
                <w:sz w:val="24"/>
              </w:rPr>
            </w:pPr>
            <w:r>
              <w:rPr>
                <w:rFonts w:hint="eastAsia" w:ascii="幼圆" w:eastAsia="幼圆"/>
                <w:sz w:val="24"/>
              </w:rPr>
              <w:t>约6.6万平方米</w:t>
            </w:r>
          </w:p>
        </w:tc>
        <w:tc>
          <w:tcPr>
            <w:tcW w:w="3352" w:type="pct"/>
            <w:noWrap w:val="0"/>
            <w:vAlign w:val="center"/>
          </w:tcPr>
          <w:p w14:paraId="26B00BE7">
            <w:pPr>
              <w:numPr>
                <w:ilvl w:val="0"/>
                <w:numId w:val="36"/>
              </w:numPr>
              <w:adjustRightInd w:val="0"/>
              <w:snapToGrid w:val="0"/>
              <w:rPr>
                <w:rFonts w:hint="eastAsia" w:ascii="幼圆" w:eastAsia="幼圆"/>
                <w:sz w:val="24"/>
              </w:rPr>
            </w:pPr>
            <w:r>
              <w:rPr>
                <w:rFonts w:hint="eastAsia" w:ascii="幼圆" w:eastAsia="幼圆"/>
                <w:sz w:val="24"/>
              </w:rPr>
              <w:t>商业中心布局于红海湾大道北侧，采用“商业综合体+商业街区”的模式组织商业网点布局。</w:t>
            </w:r>
          </w:p>
          <w:p w14:paraId="0CA8EB44">
            <w:pPr>
              <w:numPr>
                <w:ilvl w:val="0"/>
                <w:numId w:val="36"/>
              </w:numPr>
              <w:adjustRightInd w:val="0"/>
              <w:snapToGrid w:val="0"/>
              <w:rPr>
                <w:rFonts w:hint="eastAsia" w:ascii="幼圆" w:eastAsia="幼圆"/>
                <w:szCs w:val="21"/>
              </w:rPr>
            </w:pPr>
            <w:r>
              <w:rPr>
                <w:rFonts w:hint="eastAsia" w:ascii="幼圆" w:eastAsia="幼圆"/>
                <w:sz w:val="24"/>
              </w:rPr>
              <w:t>以完善生活服务型网点为基础，提高专业店、专卖店、连锁超市等新型业态的比重，适度发展商业综合体、购物中心、主题百货等大中型商业业态，优化田墘组团的商业服务职能。。</w:t>
            </w:r>
          </w:p>
        </w:tc>
      </w:tr>
      <w:tr w14:paraId="42674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0" w:type="dxa"/>
            <w:right w:w="108" w:type="dxa"/>
          </w:tblCellMar>
        </w:tblPrEx>
        <w:trPr>
          <w:trHeight w:val="20" w:hRule="atLeast"/>
          <w:jc w:val="center"/>
        </w:trPr>
        <w:tc>
          <w:tcPr>
            <w:tcW w:w="337" w:type="pct"/>
            <w:noWrap w:val="0"/>
            <w:vAlign w:val="center"/>
          </w:tcPr>
          <w:p w14:paraId="65D7E532">
            <w:pPr>
              <w:adjustRightInd w:val="0"/>
              <w:snapToGrid w:val="0"/>
              <w:jc w:val="center"/>
              <w:rPr>
                <w:rFonts w:hint="eastAsia" w:ascii="幼圆" w:eastAsia="幼圆"/>
                <w:b/>
                <w:sz w:val="24"/>
              </w:rPr>
            </w:pPr>
            <w:r>
              <w:rPr>
                <w:rFonts w:hint="eastAsia" w:ascii="幼圆" w:eastAsia="幼圆"/>
                <w:b/>
                <w:sz w:val="24"/>
              </w:rPr>
              <w:t>遮浪组团商业中心</w:t>
            </w:r>
          </w:p>
        </w:tc>
        <w:tc>
          <w:tcPr>
            <w:tcW w:w="721" w:type="pct"/>
            <w:noWrap w:val="0"/>
            <w:vAlign w:val="center"/>
          </w:tcPr>
          <w:p w14:paraId="6012F887">
            <w:pPr>
              <w:numPr>
                <w:ilvl w:val="0"/>
                <w:numId w:val="36"/>
              </w:numPr>
              <w:adjustRightInd w:val="0"/>
              <w:snapToGrid w:val="0"/>
              <w:rPr>
                <w:rFonts w:hint="eastAsia" w:ascii="幼圆" w:eastAsia="幼圆"/>
                <w:sz w:val="24"/>
              </w:rPr>
            </w:pPr>
            <w:r>
              <w:rPr>
                <w:rFonts w:hint="eastAsia" w:ascii="幼圆" w:eastAsia="幼圆"/>
                <w:sz w:val="24"/>
              </w:rPr>
              <w:t>服务红海湾组团的综合性商业服务中心；</w:t>
            </w:r>
          </w:p>
          <w:p w14:paraId="18462DF5">
            <w:pPr>
              <w:numPr>
                <w:ilvl w:val="0"/>
                <w:numId w:val="36"/>
              </w:numPr>
              <w:adjustRightInd w:val="0"/>
              <w:snapToGrid w:val="0"/>
              <w:rPr>
                <w:rFonts w:hint="eastAsia" w:ascii="幼圆" w:eastAsia="幼圆"/>
                <w:sz w:val="24"/>
              </w:rPr>
            </w:pPr>
            <w:r>
              <w:rPr>
                <w:rFonts w:hint="eastAsia" w:ascii="幼圆" w:eastAsia="幼圆"/>
                <w:sz w:val="24"/>
              </w:rPr>
              <w:t>为汕尾新港、临港产业园提供产业配套服务；</w:t>
            </w:r>
          </w:p>
          <w:p w14:paraId="3C3B4717">
            <w:pPr>
              <w:numPr>
                <w:ilvl w:val="0"/>
                <w:numId w:val="36"/>
              </w:numPr>
              <w:adjustRightInd w:val="0"/>
              <w:snapToGrid w:val="0"/>
              <w:rPr>
                <w:rFonts w:hint="eastAsia" w:ascii="幼圆" w:eastAsia="幼圆"/>
                <w:sz w:val="24"/>
              </w:rPr>
            </w:pPr>
            <w:r>
              <w:rPr>
                <w:rFonts w:hint="eastAsia" w:ascii="幼圆" w:eastAsia="幼圆"/>
                <w:sz w:val="24"/>
              </w:rPr>
              <w:t>为红海湾的休闲旅游提供配套服务。</w:t>
            </w:r>
          </w:p>
        </w:tc>
        <w:tc>
          <w:tcPr>
            <w:tcW w:w="270" w:type="pct"/>
            <w:noWrap w:val="0"/>
            <w:vAlign w:val="center"/>
          </w:tcPr>
          <w:p w14:paraId="05E1477A">
            <w:pPr>
              <w:adjustRightInd w:val="0"/>
              <w:snapToGrid w:val="0"/>
              <w:jc w:val="center"/>
              <w:rPr>
                <w:rFonts w:hint="eastAsia" w:ascii="幼圆" w:eastAsia="幼圆"/>
                <w:sz w:val="24"/>
              </w:rPr>
            </w:pPr>
            <w:r>
              <w:rPr>
                <w:rFonts w:hint="eastAsia" w:ascii="幼圆" w:eastAsia="幼圆"/>
                <w:sz w:val="24"/>
              </w:rPr>
              <w:t>约5.4万人</w:t>
            </w:r>
          </w:p>
        </w:tc>
        <w:tc>
          <w:tcPr>
            <w:tcW w:w="319" w:type="pct"/>
            <w:noWrap w:val="0"/>
            <w:vAlign w:val="center"/>
          </w:tcPr>
          <w:p w14:paraId="6B93662F">
            <w:pPr>
              <w:adjustRightInd w:val="0"/>
              <w:snapToGrid w:val="0"/>
              <w:jc w:val="center"/>
              <w:rPr>
                <w:rFonts w:hint="eastAsia" w:ascii="幼圆" w:eastAsia="幼圆"/>
                <w:sz w:val="24"/>
              </w:rPr>
            </w:pPr>
            <w:r>
              <w:rPr>
                <w:rFonts w:hint="eastAsia" w:ascii="幼圆" w:eastAsia="幼圆"/>
                <w:sz w:val="24"/>
              </w:rPr>
              <w:t>约8.1万平方米</w:t>
            </w:r>
          </w:p>
        </w:tc>
        <w:tc>
          <w:tcPr>
            <w:tcW w:w="3352" w:type="pct"/>
            <w:noWrap w:val="0"/>
            <w:vAlign w:val="center"/>
          </w:tcPr>
          <w:p w14:paraId="62D0408C">
            <w:pPr>
              <w:numPr>
                <w:ilvl w:val="0"/>
                <w:numId w:val="36"/>
              </w:numPr>
              <w:adjustRightInd w:val="0"/>
              <w:snapToGrid w:val="0"/>
              <w:rPr>
                <w:rFonts w:hint="eastAsia" w:ascii="幼圆" w:eastAsia="幼圆"/>
                <w:sz w:val="24"/>
              </w:rPr>
            </w:pPr>
            <w:r>
              <w:rPr>
                <w:rFonts w:hint="eastAsia" w:ascii="幼圆" w:eastAsia="幼圆"/>
                <w:sz w:val="24"/>
              </w:rPr>
              <w:t>商业中心沿红海湾大道两侧布局，采用“商业综合体+商业街区”的模式组织商业网点布局。</w:t>
            </w:r>
          </w:p>
          <w:p w14:paraId="4D6837E8">
            <w:pPr>
              <w:numPr>
                <w:ilvl w:val="0"/>
                <w:numId w:val="36"/>
              </w:numPr>
              <w:adjustRightInd w:val="0"/>
              <w:snapToGrid w:val="0"/>
              <w:rPr>
                <w:rFonts w:hint="eastAsia" w:ascii="幼圆" w:eastAsia="幼圆"/>
                <w:sz w:val="24"/>
              </w:rPr>
            </w:pPr>
            <w:r>
              <w:rPr>
                <w:rFonts w:hint="eastAsia" w:ascii="幼圆" w:eastAsia="幼圆"/>
                <w:sz w:val="24"/>
              </w:rPr>
              <w:t>以完善生活服务型网点为基础，提高专业店、专卖店、连锁超市等新型业态的比重，适度发展商业综合体、购物中心、主题百货等大中型商业业态，优化红海湾组团的商业服务职能。</w:t>
            </w:r>
          </w:p>
          <w:p w14:paraId="5300DA1A">
            <w:pPr>
              <w:numPr>
                <w:ilvl w:val="0"/>
                <w:numId w:val="36"/>
              </w:numPr>
              <w:adjustRightInd w:val="0"/>
              <w:snapToGrid w:val="0"/>
              <w:rPr>
                <w:rFonts w:hint="eastAsia" w:ascii="幼圆" w:eastAsia="幼圆"/>
                <w:sz w:val="24"/>
              </w:rPr>
            </w:pPr>
            <w:r>
              <w:rPr>
                <w:rFonts w:hint="eastAsia" w:ascii="幼圆" w:eastAsia="幼圆"/>
                <w:sz w:val="24"/>
              </w:rPr>
              <w:t>结合红海湾旅游景点的开发建设，开发特色商业空间，配置星级酒店、餐饮宾馆、商务金融、文化娱乐、休闲游憩等网点，提升红海湾的商贸服务体验。</w:t>
            </w:r>
          </w:p>
          <w:p w14:paraId="6E5C3B99">
            <w:pPr>
              <w:numPr>
                <w:ilvl w:val="0"/>
                <w:numId w:val="36"/>
              </w:numPr>
              <w:adjustRightInd w:val="0"/>
              <w:snapToGrid w:val="0"/>
              <w:rPr>
                <w:rFonts w:hint="eastAsia" w:ascii="幼圆" w:eastAsia="幼圆"/>
                <w:sz w:val="24"/>
              </w:rPr>
            </w:pPr>
            <w:r>
              <w:rPr>
                <w:rFonts w:hint="eastAsia" w:ascii="幼圆" w:eastAsia="幼圆"/>
                <w:sz w:val="24"/>
              </w:rPr>
              <w:t>结合汕尾新港、临港产业园的建设，完善其相应的商业配套、物流配套等生产性服务设施。</w:t>
            </w:r>
          </w:p>
        </w:tc>
      </w:tr>
    </w:tbl>
    <w:p w14:paraId="18BFA3DE">
      <w:pPr>
        <w:rPr>
          <w:rFonts w:hint="eastAsia"/>
          <w:color w:val="000000"/>
        </w:rPr>
      </w:pPr>
    </w:p>
    <w:p w14:paraId="5B9CD7BA">
      <w:pPr>
        <w:rPr>
          <w:color w:val="000000"/>
        </w:rPr>
        <w:sectPr>
          <w:pgSz w:w="23814" w:h="16840" w:orient="landscape"/>
          <w:pgMar w:top="1985" w:right="1985" w:bottom="1701" w:left="1985" w:header="851" w:footer="992" w:gutter="0"/>
          <w:pgNumType w:fmt="decimal"/>
          <w:cols w:space="720" w:num="1"/>
          <w:docGrid w:linePitch="312" w:charSpace="0"/>
        </w:sectPr>
      </w:pPr>
    </w:p>
    <w:p w14:paraId="1BBC648D">
      <w:pPr>
        <w:rPr>
          <w:rFonts w:hint="eastAsia"/>
          <w:color w:val="000000"/>
        </w:rPr>
      </w:pPr>
    </w:p>
    <w:p w14:paraId="703B1471">
      <w:pPr>
        <w:pStyle w:val="3"/>
        <w:spacing w:before="120" w:beforeLines="50" w:after="120" w:afterLines="50" w:line="360" w:lineRule="auto"/>
        <w:rPr>
          <w:rFonts w:hint="eastAsia" w:ascii="华文中宋" w:hAnsi="华文中宋" w:eastAsia="华文中宋"/>
          <w:color w:val="000000"/>
          <w:sz w:val="36"/>
          <w:szCs w:val="36"/>
        </w:rPr>
      </w:pPr>
      <w:bookmarkStart w:id="102" w:name="_Toc1710"/>
      <w:r>
        <w:rPr>
          <w:rFonts w:hint="eastAsia" w:ascii="华文中宋" w:hAnsi="华文中宋" w:eastAsia="华文中宋"/>
          <w:color w:val="000000"/>
          <w:sz w:val="36"/>
          <w:szCs w:val="36"/>
        </w:rPr>
        <w:t>附表3：中心城区社区划分及编码</w:t>
      </w:r>
      <w:bookmarkEnd w:id="102"/>
    </w:p>
    <w:tbl>
      <w:tblPr>
        <w:tblStyle w:val="34"/>
        <w:tblW w:w="8672" w:type="dxa"/>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542"/>
        <w:gridCol w:w="1667"/>
        <w:gridCol w:w="2316"/>
        <w:gridCol w:w="2067"/>
      </w:tblGrid>
      <w:tr w14:paraId="05F43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2" w:type="dxa"/>
            <w:gridSpan w:val="2"/>
            <w:noWrap w:val="0"/>
            <w:vAlign w:val="center"/>
          </w:tcPr>
          <w:p w14:paraId="667B19AB">
            <w:pPr>
              <w:widowControl/>
              <w:jc w:val="center"/>
              <w:textAlignment w:val="center"/>
              <w:rPr>
                <w:rFonts w:ascii="幼圆" w:hAnsi="幼圆" w:eastAsia="幼圆" w:cs="幼圆"/>
                <w:b/>
                <w:bCs/>
                <w:color w:val="000000"/>
                <w:szCs w:val="21"/>
              </w:rPr>
            </w:pPr>
            <w:r>
              <w:rPr>
                <w:rFonts w:hint="eastAsia" w:ascii="幼圆" w:hAnsi="幼圆" w:eastAsia="幼圆" w:cs="幼圆"/>
                <w:b/>
                <w:bCs/>
                <w:color w:val="000000"/>
                <w:kern w:val="0"/>
                <w:szCs w:val="21"/>
                <w:lang w:bidi="ar"/>
              </w:rPr>
              <w:t>组团名称</w:t>
            </w:r>
          </w:p>
        </w:tc>
        <w:tc>
          <w:tcPr>
            <w:tcW w:w="1667" w:type="dxa"/>
            <w:noWrap w:val="0"/>
            <w:vAlign w:val="center"/>
          </w:tcPr>
          <w:p w14:paraId="7EE8148A">
            <w:pPr>
              <w:widowControl/>
              <w:jc w:val="center"/>
              <w:textAlignment w:val="center"/>
              <w:rPr>
                <w:rFonts w:hint="eastAsia" w:ascii="幼圆" w:hAnsi="幼圆" w:eastAsia="幼圆" w:cs="幼圆"/>
                <w:b/>
                <w:bCs/>
                <w:color w:val="000000"/>
                <w:szCs w:val="21"/>
              </w:rPr>
            </w:pPr>
            <w:r>
              <w:rPr>
                <w:rFonts w:hint="eastAsia" w:ascii="幼圆" w:hAnsi="幼圆" w:eastAsia="幼圆" w:cs="幼圆"/>
                <w:b/>
                <w:bCs/>
                <w:color w:val="000000"/>
                <w:kern w:val="0"/>
                <w:szCs w:val="21"/>
                <w:lang w:bidi="ar"/>
              </w:rPr>
              <w:t>社区编码</w:t>
            </w:r>
          </w:p>
        </w:tc>
        <w:tc>
          <w:tcPr>
            <w:tcW w:w="2316" w:type="dxa"/>
            <w:noWrap w:val="0"/>
            <w:vAlign w:val="center"/>
          </w:tcPr>
          <w:p w14:paraId="34F93F9E">
            <w:pPr>
              <w:widowControl/>
              <w:jc w:val="center"/>
              <w:textAlignment w:val="center"/>
              <w:rPr>
                <w:rFonts w:hint="eastAsia" w:ascii="幼圆" w:hAnsi="幼圆" w:eastAsia="幼圆" w:cs="幼圆"/>
                <w:b/>
                <w:bCs/>
                <w:color w:val="000000"/>
                <w:szCs w:val="21"/>
              </w:rPr>
            </w:pPr>
            <w:r>
              <w:rPr>
                <w:rFonts w:hint="eastAsia" w:ascii="幼圆" w:hAnsi="幼圆" w:eastAsia="幼圆" w:cs="幼圆"/>
                <w:b/>
                <w:bCs/>
                <w:color w:val="000000"/>
                <w:kern w:val="0"/>
                <w:szCs w:val="21"/>
                <w:lang w:bidi="ar"/>
              </w:rPr>
              <w:t>社区名称</w:t>
            </w:r>
          </w:p>
        </w:tc>
        <w:tc>
          <w:tcPr>
            <w:tcW w:w="2067" w:type="dxa"/>
            <w:noWrap w:val="0"/>
            <w:vAlign w:val="center"/>
          </w:tcPr>
          <w:p w14:paraId="55BF85E9">
            <w:pPr>
              <w:widowControl/>
              <w:jc w:val="center"/>
              <w:textAlignment w:val="center"/>
              <w:rPr>
                <w:rFonts w:hint="eastAsia" w:ascii="幼圆" w:hAnsi="幼圆" w:eastAsia="幼圆" w:cs="幼圆"/>
                <w:b/>
                <w:bCs/>
                <w:color w:val="000000"/>
                <w:szCs w:val="21"/>
              </w:rPr>
            </w:pPr>
            <w:r>
              <w:rPr>
                <w:rFonts w:hint="eastAsia" w:ascii="幼圆" w:hAnsi="幼圆" w:eastAsia="幼圆" w:cs="幼圆"/>
                <w:b/>
                <w:bCs/>
                <w:color w:val="000000"/>
                <w:kern w:val="0"/>
                <w:szCs w:val="21"/>
                <w:lang w:bidi="ar"/>
              </w:rPr>
              <w:t>社区人口（万人）</w:t>
            </w:r>
          </w:p>
        </w:tc>
      </w:tr>
      <w:tr w14:paraId="45627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restart"/>
            <w:noWrap w:val="0"/>
            <w:vAlign w:val="center"/>
          </w:tcPr>
          <w:p w14:paraId="347FD125">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主城区</w:t>
            </w:r>
          </w:p>
        </w:tc>
        <w:tc>
          <w:tcPr>
            <w:tcW w:w="1542" w:type="dxa"/>
            <w:vMerge w:val="restart"/>
            <w:noWrap w:val="0"/>
            <w:vAlign w:val="center"/>
          </w:tcPr>
          <w:p w14:paraId="22233A81">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金町湾组团</w:t>
            </w:r>
          </w:p>
        </w:tc>
        <w:tc>
          <w:tcPr>
            <w:tcW w:w="1667" w:type="dxa"/>
            <w:noWrap w:val="0"/>
            <w:vAlign w:val="center"/>
          </w:tcPr>
          <w:p w14:paraId="452D9FC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A-01</w:t>
            </w:r>
          </w:p>
        </w:tc>
        <w:tc>
          <w:tcPr>
            <w:tcW w:w="2316" w:type="dxa"/>
            <w:noWrap w:val="0"/>
            <w:vAlign w:val="center"/>
          </w:tcPr>
          <w:p w14:paraId="6C26156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金町社区</w:t>
            </w:r>
          </w:p>
        </w:tc>
        <w:tc>
          <w:tcPr>
            <w:tcW w:w="2067" w:type="dxa"/>
            <w:noWrap w:val="0"/>
            <w:vAlign w:val="center"/>
          </w:tcPr>
          <w:p w14:paraId="083CB27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3.5</w:t>
            </w:r>
          </w:p>
        </w:tc>
      </w:tr>
      <w:tr w14:paraId="431D3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64F11E7A">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27814EBE">
            <w:pPr>
              <w:jc w:val="center"/>
              <w:rPr>
                <w:rFonts w:hint="eastAsia" w:ascii="幼圆" w:hAnsi="幼圆" w:eastAsia="幼圆" w:cs="幼圆"/>
                <w:color w:val="000000"/>
                <w:sz w:val="24"/>
              </w:rPr>
            </w:pPr>
          </w:p>
        </w:tc>
        <w:tc>
          <w:tcPr>
            <w:tcW w:w="1667" w:type="dxa"/>
            <w:noWrap w:val="0"/>
            <w:vAlign w:val="center"/>
          </w:tcPr>
          <w:p w14:paraId="3F241200">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A-02</w:t>
            </w:r>
          </w:p>
        </w:tc>
        <w:tc>
          <w:tcPr>
            <w:tcW w:w="2316" w:type="dxa"/>
            <w:noWrap w:val="0"/>
            <w:vAlign w:val="center"/>
          </w:tcPr>
          <w:p w14:paraId="581FB384">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西洋社区</w:t>
            </w:r>
          </w:p>
        </w:tc>
        <w:tc>
          <w:tcPr>
            <w:tcW w:w="2067" w:type="dxa"/>
            <w:noWrap w:val="0"/>
            <w:vAlign w:val="center"/>
          </w:tcPr>
          <w:p w14:paraId="0F9F50A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1.7</w:t>
            </w:r>
          </w:p>
        </w:tc>
      </w:tr>
      <w:tr w14:paraId="1E51F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5DF94DF8">
            <w:pPr>
              <w:widowControl/>
              <w:jc w:val="center"/>
              <w:textAlignment w:val="center"/>
              <w:rPr>
                <w:rFonts w:hint="eastAsia" w:ascii="幼圆" w:hAnsi="幼圆" w:eastAsia="幼圆" w:cs="幼圆"/>
                <w:color w:val="000000"/>
                <w:kern w:val="0"/>
                <w:sz w:val="24"/>
                <w:lang w:bidi="ar"/>
              </w:rPr>
            </w:pPr>
          </w:p>
        </w:tc>
        <w:tc>
          <w:tcPr>
            <w:tcW w:w="1542" w:type="dxa"/>
            <w:vMerge w:val="restart"/>
            <w:noWrap w:val="0"/>
            <w:vAlign w:val="center"/>
          </w:tcPr>
          <w:p w14:paraId="70999711">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老城组团</w:t>
            </w:r>
          </w:p>
        </w:tc>
        <w:tc>
          <w:tcPr>
            <w:tcW w:w="1667" w:type="dxa"/>
            <w:noWrap w:val="0"/>
            <w:vAlign w:val="center"/>
          </w:tcPr>
          <w:p w14:paraId="789FE22F">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A-03</w:t>
            </w:r>
          </w:p>
        </w:tc>
        <w:tc>
          <w:tcPr>
            <w:tcW w:w="2316" w:type="dxa"/>
            <w:noWrap w:val="0"/>
            <w:vAlign w:val="center"/>
          </w:tcPr>
          <w:p w14:paraId="1FEAB96B">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祥兴社区</w:t>
            </w:r>
          </w:p>
        </w:tc>
        <w:tc>
          <w:tcPr>
            <w:tcW w:w="2067" w:type="dxa"/>
            <w:noWrap w:val="0"/>
            <w:vAlign w:val="center"/>
          </w:tcPr>
          <w:p w14:paraId="0A0A342F">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3</w:t>
            </w:r>
          </w:p>
        </w:tc>
      </w:tr>
      <w:tr w14:paraId="5A18A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4DD7265D">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4C65B177">
            <w:pPr>
              <w:jc w:val="center"/>
              <w:rPr>
                <w:rFonts w:hint="eastAsia" w:ascii="幼圆" w:hAnsi="幼圆" w:eastAsia="幼圆" w:cs="幼圆"/>
                <w:color w:val="000000"/>
                <w:sz w:val="24"/>
              </w:rPr>
            </w:pPr>
          </w:p>
        </w:tc>
        <w:tc>
          <w:tcPr>
            <w:tcW w:w="1667" w:type="dxa"/>
            <w:noWrap w:val="0"/>
            <w:vAlign w:val="center"/>
          </w:tcPr>
          <w:p w14:paraId="26C53D85">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A-04</w:t>
            </w:r>
          </w:p>
        </w:tc>
        <w:tc>
          <w:tcPr>
            <w:tcW w:w="2316" w:type="dxa"/>
            <w:noWrap w:val="0"/>
            <w:vAlign w:val="center"/>
          </w:tcPr>
          <w:p w14:paraId="67A45B57">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大鹏山社区</w:t>
            </w:r>
          </w:p>
        </w:tc>
        <w:tc>
          <w:tcPr>
            <w:tcW w:w="2067" w:type="dxa"/>
            <w:noWrap w:val="0"/>
            <w:vAlign w:val="center"/>
          </w:tcPr>
          <w:p w14:paraId="3581827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1.8</w:t>
            </w:r>
          </w:p>
        </w:tc>
      </w:tr>
      <w:tr w14:paraId="0B90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6F4202C1">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07A347EF">
            <w:pPr>
              <w:jc w:val="center"/>
              <w:rPr>
                <w:rFonts w:hint="eastAsia" w:ascii="幼圆" w:hAnsi="幼圆" w:eastAsia="幼圆" w:cs="幼圆"/>
                <w:color w:val="000000"/>
                <w:sz w:val="24"/>
              </w:rPr>
            </w:pPr>
          </w:p>
        </w:tc>
        <w:tc>
          <w:tcPr>
            <w:tcW w:w="1667" w:type="dxa"/>
            <w:noWrap w:val="0"/>
            <w:vAlign w:val="center"/>
          </w:tcPr>
          <w:p w14:paraId="7E679A7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A-05</w:t>
            </w:r>
          </w:p>
        </w:tc>
        <w:tc>
          <w:tcPr>
            <w:tcW w:w="2316" w:type="dxa"/>
            <w:noWrap w:val="0"/>
            <w:vAlign w:val="center"/>
          </w:tcPr>
          <w:p w14:paraId="54F7FE36">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奎山西社区</w:t>
            </w:r>
          </w:p>
        </w:tc>
        <w:tc>
          <w:tcPr>
            <w:tcW w:w="2067" w:type="dxa"/>
            <w:noWrap w:val="0"/>
            <w:vAlign w:val="center"/>
          </w:tcPr>
          <w:p w14:paraId="6F40BB4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0.5</w:t>
            </w:r>
          </w:p>
        </w:tc>
      </w:tr>
      <w:tr w14:paraId="34E39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698B3E29">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2B6BD552">
            <w:pPr>
              <w:jc w:val="center"/>
              <w:rPr>
                <w:rFonts w:hint="eastAsia" w:ascii="幼圆" w:hAnsi="幼圆" w:eastAsia="幼圆" w:cs="幼圆"/>
                <w:color w:val="000000"/>
                <w:sz w:val="24"/>
              </w:rPr>
            </w:pPr>
          </w:p>
        </w:tc>
        <w:tc>
          <w:tcPr>
            <w:tcW w:w="1667" w:type="dxa"/>
            <w:noWrap w:val="0"/>
            <w:vAlign w:val="center"/>
          </w:tcPr>
          <w:p w14:paraId="0543CA6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A-06</w:t>
            </w:r>
          </w:p>
        </w:tc>
        <w:tc>
          <w:tcPr>
            <w:tcW w:w="2316" w:type="dxa"/>
            <w:noWrap w:val="0"/>
            <w:vAlign w:val="center"/>
          </w:tcPr>
          <w:p w14:paraId="3120ECFC">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永昌社区</w:t>
            </w:r>
          </w:p>
        </w:tc>
        <w:tc>
          <w:tcPr>
            <w:tcW w:w="2067" w:type="dxa"/>
            <w:noWrap w:val="0"/>
            <w:vAlign w:val="center"/>
          </w:tcPr>
          <w:p w14:paraId="24766C1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1.4</w:t>
            </w:r>
          </w:p>
        </w:tc>
      </w:tr>
      <w:tr w14:paraId="1E83D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4A766AD3">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61EDDA19">
            <w:pPr>
              <w:jc w:val="center"/>
              <w:rPr>
                <w:rFonts w:hint="eastAsia" w:ascii="幼圆" w:hAnsi="幼圆" w:eastAsia="幼圆" w:cs="幼圆"/>
                <w:color w:val="000000"/>
                <w:sz w:val="24"/>
              </w:rPr>
            </w:pPr>
          </w:p>
        </w:tc>
        <w:tc>
          <w:tcPr>
            <w:tcW w:w="1667" w:type="dxa"/>
            <w:noWrap w:val="0"/>
            <w:vAlign w:val="center"/>
          </w:tcPr>
          <w:p w14:paraId="49324D6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A-07</w:t>
            </w:r>
          </w:p>
        </w:tc>
        <w:tc>
          <w:tcPr>
            <w:tcW w:w="2316" w:type="dxa"/>
            <w:noWrap w:val="0"/>
            <w:vAlign w:val="center"/>
          </w:tcPr>
          <w:p w14:paraId="0C59231E">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联兴社区</w:t>
            </w:r>
          </w:p>
        </w:tc>
        <w:tc>
          <w:tcPr>
            <w:tcW w:w="2067" w:type="dxa"/>
            <w:noWrap w:val="0"/>
            <w:vAlign w:val="center"/>
          </w:tcPr>
          <w:p w14:paraId="7D3AE94E">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1.9</w:t>
            </w:r>
          </w:p>
        </w:tc>
      </w:tr>
      <w:tr w14:paraId="2833C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697B3D34">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76F69BA5">
            <w:pPr>
              <w:jc w:val="center"/>
              <w:rPr>
                <w:rFonts w:hint="eastAsia" w:ascii="幼圆" w:hAnsi="幼圆" w:eastAsia="幼圆" w:cs="幼圆"/>
                <w:color w:val="000000"/>
                <w:sz w:val="24"/>
              </w:rPr>
            </w:pPr>
          </w:p>
        </w:tc>
        <w:tc>
          <w:tcPr>
            <w:tcW w:w="1667" w:type="dxa"/>
            <w:noWrap w:val="0"/>
            <w:vAlign w:val="center"/>
          </w:tcPr>
          <w:p w14:paraId="1B575695">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A-08</w:t>
            </w:r>
          </w:p>
        </w:tc>
        <w:tc>
          <w:tcPr>
            <w:tcW w:w="2316" w:type="dxa"/>
            <w:noWrap w:val="0"/>
            <w:vAlign w:val="center"/>
          </w:tcPr>
          <w:p w14:paraId="54C981FB">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凤山社区</w:t>
            </w:r>
          </w:p>
        </w:tc>
        <w:tc>
          <w:tcPr>
            <w:tcW w:w="2067" w:type="dxa"/>
            <w:noWrap w:val="0"/>
            <w:vAlign w:val="center"/>
          </w:tcPr>
          <w:p w14:paraId="3A44812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1.4</w:t>
            </w:r>
          </w:p>
        </w:tc>
      </w:tr>
      <w:tr w14:paraId="6203C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3F8722CF">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53E60381">
            <w:pPr>
              <w:jc w:val="center"/>
              <w:rPr>
                <w:rFonts w:hint="eastAsia" w:ascii="幼圆" w:hAnsi="幼圆" w:eastAsia="幼圆" w:cs="幼圆"/>
                <w:color w:val="000000"/>
                <w:sz w:val="24"/>
              </w:rPr>
            </w:pPr>
          </w:p>
        </w:tc>
        <w:tc>
          <w:tcPr>
            <w:tcW w:w="1667" w:type="dxa"/>
            <w:noWrap w:val="0"/>
            <w:vAlign w:val="center"/>
          </w:tcPr>
          <w:p w14:paraId="75A403E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A-09</w:t>
            </w:r>
          </w:p>
        </w:tc>
        <w:tc>
          <w:tcPr>
            <w:tcW w:w="2316" w:type="dxa"/>
            <w:noWrap w:val="0"/>
            <w:vAlign w:val="center"/>
          </w:tcPr>
          <w:p w14:paraId="51BE6FFA">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玉台山社区</w:t>
            </w:r>
          </w:p>
        </w:tc>
        <w:tc>
          <w:tcPr>
            <w:tcW w:w="2067" w:type="dxa"/>
            <w:noWrap w:val="0"/>
            <w:vAlign w:val="center"/>
          </w:tcPr>
          <w:p w14:paraId="0F38193A">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1.1</w:t>
            </w:r>
          </w:p>
        </w:tc>
      </w:tr>
      <w:tr w14:paraId="0BD72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07C3D5EA">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3ACDFE1A">
            <w:pPr>
              <w:jc w:val="center"/>
              <w:rPr>
                <w:rFonts w:hint="eastAsia" w:ascii="幼圆" w:hAnsi="幼圆" w:eastAsia="幼圆" w:cs="幼圆"/>
                <w:color w:val="000000"/>
                <w:sz w:val="24"/>
              </w:rPr>
            </w:pPr>
          </w:p>
        </w:tc>
        <w:tc>
          <w:tcPr>
            <w:tcW w:w="1667" w:type="dxa"/>
            <w:noWrap w:val="0"/>
            <w:vAlign w:val="center"/>
          </w:tcPr>
          <w:p w14:paraId="32D12D0E">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A-10</w:t>
            </w:r>
          </w:p>
        </w:tc>
        <w:tc>
          <w:tcPr>
            <w:tcW w:w="2316" w:type="dxa"/>
            <w:noWrap w:val="0"/>
            <w:vAlign w:val="center"/>
          </w:tcPr>
          <w:p w14:paraId="77614F97">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和顺社区</w:t>
            </w:r>
          </w:p>
        </w:tc>
        <w:tc>
          <w:tcPr>
            <w:tcW w:w="2067" w:type="dxa"/>
            <w:noWrap w:val="0"/>
            <w:vAlign w:val="center"/>
          </w:tcPr>
          <w:p w14:paraId="00B9C57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1.6</w:t>
            </w:r>
          </w:p>
        </w:tc>
      </w:tr>
      <w:tr w14:paraId="2D2DF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228D8CFB">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6D72A574">
            <w:pPr>
              <w:jc w:val="center"/>
              <w:rPr>
                <w:rFonts w:hint="eastAsia" w:ascii="幼圆" w:hAnsi="幼圆" w:eastAsia="幼圆" w:cs="幼圆"/>
                <w:color w:val="000000"/>
                <w:sz w:val="24"/>
              </w:rPr>
            </w:pPr>
          </w:p>
        </w:tc>
        <w:tc>
          <w:tcPr>
            <w:tcW w:w="1667" w:type="dxa"/>
            <w:noWrap w:val="0"/>
            <w:vAlign w:val="center"/>
          </w:tcPr>
          <w:p w14:paraId="43FDF89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A-11</w:t>
            </w:r>
          </w:p>
        </w:tc>
        <w:tc>
          <w:tcPr>
            <w:tcW w:w="2316" w:type="dxa"/>
            <w:noWrap w:val="0"/>
            <w:vAlign w:val="center"/>
          </w:tcPr>
          <w:p w14:paraId="53CA6D2A">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林埔山社区</w:t>
            </w:r>
          </w:p>
        </w:tc>
        <w:tc>
          <w:tcPr>
            <w:tcW w:w="2067" w:type="dxa"/>
            <w:noWrap w:val="0"/>
            <w:vAlign w:val="center"/>
          </w:tcPr>
          <w:p w14:paraId="67258F2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1.3</w:t>
            </w:r>
          </w:p>
        </w:tc>
      </w:tr>
      <w:tr w14:paraId="17A6C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0EC4F5CD">
            <w:pPr>
              <w:widowControl/>
              <w:jc w:val="center"/>
              <w:textAlignment w:val="center"/>
              <w:rPr>
                <w:rFonts w:hint="eastAsia" w:ascii="幼圆" w:hAnsi="幼圆" w:eastAsia="幼圆" w:cs="幼圆"/>
                <w:color w:val="000000"/>
                <w:kern w:val="0"/>
                <w:sz w:val="24"/>
                <w:lang w:bidi="ar"/>
              </w:rPr>
            </w:pPr>
          </w:p>
        </w:tc>
        <w:tc>
          <w:tcPr>
            <w:tcW w:w="1542" w:type="dxa"/>
            <w:vMerge w:val="restart"/>
            <w:noWrap w:val="0"/>
            <w:vAlign w:val="center"/>
          </w:tcPr>
          <w:p w14:paraId="7EC77EDC">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品清湖组团</w:t>
            </w:r>
          </w:p>
        </w:tc>
        <w:tc>
          <w:tcPr>
            <w:tcW w:w="1667" w:type="dxa"/>
            <w:noWrap w:val="0"/>
            <w:vAlign w:val="center"/>
          </w:tcPr>
          <w:p w14:paraId="2A6F646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A-12</w:t>
            </w:r>
          </w:p>
        </w:tc>
        <w:tc>
          <w:tcPr>
            <w:tcW w:w="2316" w:type="dxa"/>
            <w:noWrap w:val="0"/>
            <w:vAlign w:val="center"/>
          </w:tcPr>
          <w:p w14:paraId="46B47FFA">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虎洞山社区</w:t>
            </w:r>
          </w:p>
        </w:tc>
        <w:tc>
          <w:tcPr>
            <w:tcW w:w="2067" w:type="dxa"/>
            <w:noWrap w:val="0"/>
            <w:vAlign w:val="center"/>
          </w:tcPr>
          <w:p w14:paraId="630D46AE">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1.2</w:t>
            </w:r>
          </w:p>
        </w:tc>
      </w:tr>
      <w:tr w14:paraId="4D265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7A8FA767">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2335A04A">
            <w:pPr>
              <w:jc w:val="center"/>
              <w:rPr>
                <w:rFonts w:hint="eastAsia" w:ascii="幼圆" w:hAnsi="幼圆" w:eastAsia="幼圆" w:cs="幼圆"/>
                <w:color w:val="000000"/>
                <w:sz w:val="24"/>
              </w:rPr>
            </w:pPr>
          </w:p>
        </w:tc>
        <w:tc>
          <w:tcPr>
            <w:tcW w:w="1667" w:type="dxa"/>
            <w:noWrap w:val="0"/>
            <w:vAlign w:val="center"/>
          </w:tcPr>
          <w:p w14:paraId="5118BDE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A-13</w:t>
            </w:r>
          </w:p>
        </w:tc>
        <w:tc>
          <w:tcPr>
            <w:tcW w:w="2316" w:type="dxa"/>
            <w:noWrap w:val="0"/>
            <w:vAlign w:val="center"/>
          </w:tcPr>
          <w:p w14:paraId="3C494A6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湖田社区</w:t>
            </w:r>
          </w:p>
        </w:tc>
        <w:tc>
          <w:tcPr>
            <w:tcW w:w="2067" w:type="dxa"/>
            <w:noWrap w:val="0"/>
            <w:vAlign w:val="center"/>
          </w:tcPr>
          <w:p w14:paraId="02237B9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0.6</w:t>
            </w:r>
          </w:p>
        </w:tc>
      </w:tr>
      <w:tr w14:paraId="7FE7D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50A6AC7E">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266E6BED">
            <w:pPr>
              <w:jc w:val="center"/>
              <w:rPr>
                <w:rFonts w:hint="eastAsia" w:ascii="幼圆" w:hAnsi="幼圆" w:eastAsia="幼圆" w:cs="幼圆"/>
                <w:color w:val="000000"/>
                <w:sz w:val="24"/>
              </w:rPr>
            </w:pPr>
          </w:p>
        </w:tc>
        <w:tc>
          <w:tcPr>
            <w:tcW w:w="1667" w:type="dxa"/>
            <w:noWrap w:val="0"/>
            <w:vAlign w:val="center"/>
          </w:tcPr>
          <w:p w14:paraId="6E7BADE0">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A-14</w:t>
            </w:r>
          </w:p>
        </w:tc>
        <w:tc>
          <w:tcPr>
            <w:tcW w:w="2316" w:type="dxa"/>
            <w:noWrap w:val="0"/>
            <w:vAlign w:val="center"/>
          </w:tcPr>
          <w:p w14:paraId="042B79FB">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新湖社区</w:t>
            </w:r>
          </w:p>
        </w:tc>
        <w:tc>
          <w:tcPr>
            <w:tcW w:w="2067" w:type="dxa"/>
            <w:noWrap w:val="0"/>
            <w:vAlign w:val="center"/>
          </w:tcPr>
          <w:p w14:paraId="126C9599">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1.1</w:t>
            </w:r>
          </w:p>
        </w:tc>
      </w:tr>
      <w:tr w14:paraId="36F942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3703D4FA">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778F65BC">
            <w:pPr>
              <w:jc w:val="center"/>
              <w:rPr>
                <w:rFonts w:hint="eastAsia" w:ascii="幼圆" w:hAnsi="幼圆" w:eastAsia="幼圆" w:cs="幼圆"/>
                <w:color w:val="000000"/>
                <w:sz w:val="24"/>
              </w:rPr>
            </w:pPr>
          </w:p>
        </w:tc>
        <w:tc>
          <w:tcPr>
            <w:tcW w:w="1667" w:type="dxa"/>
            <w:noWrap w:val="0"/>
            <w:vAlign w:val="center"/>
          </w:tcPr>
          <w:p w14:paraId="08F04970">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A-15</w:t>
            </w:r>
          </w:p>
        </w:tc>
        <w:tc>
          <w:tcPr>
            <w:tcW w:w="2316" w:type="dxa"/>
            <w:noWrap w:val="0"/>
            <w:vAlign w:val="center"/>
          </w:tcPr>
          <w:p w14:paraId="27B1C9B7">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金湖社区</w:t>
            </w:r>
          </w:p>
        </w:tc>
        <w:tc>
          <w:tcPr>
            <w:tcW w:w="2067" w:type="dxa"/>
            <w:noWrap w:val="0"/>
            <w:vAlign w:val="center"/>
          </w:tcPr>
          <w:p w14:paraId="5DE75664">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3.2</w:t>
            </w:r>
          </w:p>
        </w:tc>
      </w:tr>
      <w:tr w14:paraId="05A7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0BF35E50">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7E18714F">
            <w:pPr>
              <w:jc w:val="center"/>
              <w:rPr>
                <w:rFonts w:hint="eastAsia" w:ascii="幼圆" w:hAnsi="幼圆" w:eastAsia="幼圆" w:cs="幼圆"/>
                <w:color w:val="000000"/>
                <w:sz w:val="24"/>
              </w:rPr>
            </w:pPr>
          </w:p>
        </w:tc>
        <w:tc>
          <w:tcPr>
            <w:tcW w:w="1667" w:type="dxa"/>
            <w:noWrap w:val="0"/>
            <w:vAlign w:val="center"/>
          </w:tcPr>
          <w:p w14:paraId="6F8D40C0">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A-16</w:t>
            </w:r>
          </w:p>
        </w:tc>
        <w:tc>
          <w:tcPr>
            <w:tcW w:w="2316" w:type="dxa"/>
            <w:noWrap w:val="0"/>
            <w:vAlign w:val="center"/>
          </w:tcPr>
          <w:p w14:paraId="34B9EB1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东涌社区</w:t>
            </w:r>
          </w:p>
        </w:tc>
        <w:tc>
          <w:tcPr>
            <w:tcW w:w="2067" w:type="dxa"/>
            <w:noWrap w:val="0"/>
            <w:vAlign w:val="center"/>
          </w:tcPr>
          <w:p w14:paraId="78E3D27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3.1</w:t>
            </w:r>
          </w:p>
        </w:tc>
      </w:tr>
      <w:tr w14:paraId="78AB5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4F731634">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6E90DAAF">
            <w:pPr>
              <w:jc w:val="center"/>
              <w:rPr>
                <w:rFonts w:hint="eastAsia" w:ascii="幼圆" w:hAnsi="幼圆" w:eastAsia="幼圆" w:cs="幼圆"/>
                <w:color w:val="000000"/>
                <w:sz w:val="24"/>
              </w:rPr>
            </w:pPr>
          </w:p>
        </w:tc>
        <w:tc>
          <w:tcPr>
            <w:tcW w:w="1667" w:type="dxa"/>
            <w:noWrap w:val="0"/>
            <w:vAlign w:val="center"/>
          </w:tcPr>
          <w:p w14:paraId="0EEF49A9">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A-17</w:t>
            </w:r>
          </w:p>
        </w:tc>
        <w:tc>
          <w:tcPr>
            <w:tcW w:w="2316" w:type="dxa"/>
            <w:noWrap w:val="0"/>
            <w:vAlign w:val="center"/>
          </w:tcPr>
          <w:p w14:paraId="4441D60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四清围社区</w:t>
            </w:r>
          </w:p>
        </w:tc>
        <w:tc>
          <w:tcPr>
            <w:tcW w:w="2067" w:type="dxa"/>
            <w:noWrap w:val="0"/>
            <w:vAlign w:val="center"/>
          </w:tcPr>
          <w:p w14:paraId="19ED0B75">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2.8</w:t>
            </w:r>
          </w:p>
        </w:tc>
      </w:tr>
      <w:tr w14:paraId="4965F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01668732">
            <w:pPr>
              <w:widowControl/>
              <w:jc w:val="center"/>
              <w:textAlignment w:val="center"/>
              <w:rPr>
                <w:rFonts w:hint="eastAsia" w:ascii="幼圆" w:hAnsi="幼圆" w:eastAsia="幼圆" w:cs="幼圆"/>
                <w:color w:val="000000"/>
                <w:kern w:val="0"/>
                <w:sz w:val="24"/>
                <w:lang w:bidi="ar"/>
              </w:rPr>
            </w:pPr>
          </w:p>
        </w:tc>
        <w:tc>
          <w:tcPr>
            <w:tcW w:w="1542" w:type="dxa"/>
            <w:vMerge w:val="restart"/>
            <w:noWrap w:val="0"/>
            <w:vAlign w:val="center"/>
          </w:tcPr>
          <w:p w14:paraId="2C13302C">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站前组团</w:t>
            </w:r>
          </w:p>
        </w:tc>
        <w:tc>
          <w:tcPr>
            <w:tcW w:w="1667" w:type="dxa"/>
            <w:noWrap w:val="0"/>
            <w:vAlign w:val="center"/>
          </w:tcPr>
          <w:p w14:paraId="5FD9DCA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A-18</w:t>
            </w:r>
          </w:p>
        </w:tc>
        <w:tc>
          <w:tcPr>
            <w:tcW w:w="2316" w:type="dxa"/>
            <w:noWrap w:val="0"/>
            <w:vAlign w:val="center"/>
          </w:tcPr>
          <w:p w14:paraId="632D1C4E">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品清北社区</w:t>
            </w:r>
          </w:p>
        </w:tc>
        <w:tc>
          <w:tcPr>
            <w:tcW w:w="2067" w:type="dxa"/>
            <w:noWrap w:val="0"/>
            <w:vAlign w:val="center"/>
          </w:tcPr>
          <w:p w14:paraId="74117261">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2.3</w:t>
            </w:r>
          </w:p>
        </w:tc>
      </w:tr>
      <w:tr w14:paraId="1B65B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1F11431F">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362C7224">
            <w:pPr>
              <w:widowControl/>
              <w:jc w:val="center"/>
              <w:textAlignment w:val="center"/>
              <w:rPr>
                <w:rFonts w:hint="eastAsia" w:ascii="幼圆" w:hAnsi="幼圆" w:eastAsia="幼圆" w:cs="幼圆"/>
                <w:color w:val="000000"/>
                <w:kern w:val="0"/>
                <w:sz w:val="24"/>
                <w:lang w:bidi="ar"/>
              </w:rPr>
            </w:pPr>
          </w:p>
        </w:tc>
        <w:tc>
          <w:tcPr>
            <w:tcW w:w="1667" w:type="dxa"/>
            <w:noWrap w:val="0"/>
            <w:vAlign w:val="center"/>
          </w:tcPr>
          <w:p w14:paraId="6D28658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A-19</w:t>
            </w:r>
          </w:p>
        </w:tc>
        <w:tc>
          <w:tcPr>
            <w:tcW w:w="2316" w:type="dxa"/>
            <w:noWrap w:val="0"/>
            <w:vAlign w:val="center"/>
          </w:tcPr>
          <w:p w14:paraId="6E50117A">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虎兰埔社区</w:t>
            </w:r>
          </w:p>
        </w:tc>
        <w:tc>
          <w:tcPr>
            <w:tcW w:w="2067" w:type="dxa"/>
            <w:noWrap w:val="0"/>
            <w:vAlign w:val="center"/>
          </w:tcPr>
          <w:p w14:paraId="1D7B07F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3.1</w:t>
            </w:r>
          </w:p>
        </w:tc>
      </w:tr>
      <w:tr w14:paraId="3C6D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56CB2043">
            <w:pPr>
              <w:widowControl/>
              <w:jc w:val="center"/>
              <w:textAlignment w:val="center"/>
              <w:rPr>
                <w:rFonts w:hint="eastAsia" w:ascii="幼圆" w:hAnsi="幼圆" w:eastAsia="幼圆" w:cs="幼圆"/>
                <w:color w:val="000000"/>
                <w:kern w:val="0"/>
                <w:sz w:val="24"/>
                <w:lang w:bidi="ar"/>
              </w:rPr>
            </w:pPr>
          </w:p>
        </w:tc>
        <w:tc>
          <w:tcPr>
            <w:tcW w:w="1542" w:type="dxa"/>
            <w:noWrap w:val="0"/>
            <w:vAlign w:val="center"/>
          </w:tcPr>
          <w:p w14:paraId="0BE4A241">
            <w:pPr>
              <w:widowControl/>
              <w:jc w:val="center"/>
              <w:textAlignment w:val="center"/>
              <w:rPr>
                <w:rFonts w:hint="eastAsia" w:ascii="幼圆" w:hAnsi="幼圆" w:eastAsia="幼圆" w:cs="幼圆"/>
                <w:color w:val="000000"/>
                <w:kern w:val="0"/>
                <w:sz w:val="24"/>
                <w:lang w:bidi="ar"/>
              </w:rPr>
            </w:pPr>
            <w:r>
              <w:rPr>
                <w:rFonts w:hint="eastAsia" w:ascii="幼圆" w:eastAsia="幼圆"/>
                <w:sz w:val="24"/>
              </w:rPr>
              <w:t>石洲</w:t>
            </w:r>
            <w:r>
              <w:rPr>
                <w:rFonts w:hint="eastAsia" w:ascii="幼圆" w:hAnsi="幼圆" w:eastAsia="幼圆" w:cs="幼圆"/>
                <w:color w:val="000000"/>
                <w:kern w:val="0"/>
                <w:sz w:val="24"/>
                <w:lang w:bidi="ar"/>
              </w:rPr>
              <w:t>组团</w:t>
            </w:r>
          </w:p>
        </w:tc>
        <w:tc>
          <w:tcPr>
            <w:tcW w:w="1667" w:type="dxa"/>
            <w:noWrap w:val="0"/>
            <w:vAlign w:val="center"/>
          </w:tcPr>
          <w:p w14:paraId="7D943270">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A-20</w:t>
            </w:r>
          </w:p>
        </w:tc>
        <w:tc>
          <w:tcPr>
            <w:tcW w:w="2316" w:type="dxa"/>
            <w:noWrap w:val="0"/>
            <w:vAlign w:val="center"/>
          </w:tcPr>
          <w:p w14:paraId="15BFE2C1">
            <w:pPr>
              <w:widowControl/>
              <w:jc w:val="center"/>
              <w:textAlignment w:val="center"/>
              <w:rPr>
                <w:rFonts w:hint="eastAsia" w:ascii="幼圆" w:hAnsi="幼圆" w:eastAsia="幼圆" w:cs="幼圆"/>
                <w:color w:val="000000"/>
                <w:sz w:val="24"/>
              </w:rPr>
            </w:pPr>
            <w:r>
              <w:rPr>
                <w:rFonts w:hint="eastAsia" w:ascii="幼圆" w:eastAsia="幼圆"/>
                <w:sz w:val="24"/>
              </w:rPr>
              <w:t>石洲</w:t>
            </w:r>
            <w:r>
              <w:rPr>
                <w:rFonts w:hint="eastAsia" w:ascii="幼圆" w:hAnsi="幼圆" w:eastAsia="幼圆" w:cs="幼圆"/>
                <w:color w:val="000000"/>
                <w:kern w:val="0"/>
                <w:sz w:val="24"/>
                <w:lang w:bidi="ar"/>
              </w:rPr>
              <w:t>社区</w:t>
            </w:r>
          </w:p>
        </w:tc>
        <w:tc>
          <w:tcPr>
            <w:tcW w:w="2067" w:type="dxa"/>
            <w:noWrap w:val="0"/>
            <w:vAlign w:val="center"/>
          </w:tcPr>
          <w:p w14:paraId="0A8EEC05">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4.9</w:t>
            </w:r>
          </w:p>
        </w:tc>
      </w:tr>
    </w:tbl>
    <w:p w14:paraId="73334090">
      <w:pPr>
        <w:rPr>
          <w:rFonts w:hint="eastAsia"/>
          <w:color w:val="000000"/>
        </w:rPr>
      </w:pPr>
      <w:r>
        <w:rPr>
          <w:color w:val="000000"/>
        </w:rPr>
        <w:br w:type="column"/>
      </w:r>
    </w:p>
    <w:p w14:paraId="5E1DF892">
      <w:pPr>
        <w:spacing w:after="120" w:afterLines="50" w:line="300" w:lineRule="auto"/>
        <w:ind w:firstLine="480" w:firstLineChars="200"/>
        <w:rPr>
          <w:rFonts w:hint="eastAsia" w:ascii="幼圆" w:eastAsia="幼圆"/>
          <w:color w:val="000000"/>
          <w:sz w:val="24"/>
        </w:rPr>
      </w:pPr>
    </w:p>
    <w:p w14:paraId="22E2ECD6">
      <w:pPr>
        <w:spacing w:after="120" w:afterLines="50" w:line="300" w:lineRule="auto"/>
        <w:rPr>
          <w:rFonts w:hint="eastAsia" w:ascii="幼圆" w:eastAsia="幼圆"/>
          <w:color w:val="000000"/>
          <w:sz w:val="24"/>
        </w:rPr>
      </w:pPr>
    </w:p>
    <w:tbl>
      <w:tblPr>
        <w:tblStyle w:val="34"/>
        <w:tblW w:w="8672" w:type="dxa"/>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542"/>
        <w:gridCol w:w="1667"/>
        <w:gridCol w:w="2316"/>
        <w:gridCol w:w="2067"/>
      </w:tblGrid>
      <w:tr w14:paraId="74A6C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22" w:type="dxa"/>
            <w:gridSpan w:val="2"/>
            <w:noWrap w:val="0"/>
            <w:vAlign w:val="center"/>
          </w:tcPr>
          <w:p w14:paraId="10865B33">
            <w:pPr>
              <w:widowControl/>
              <w:jc w:val="center"/>
              <w:textAlignment w:val="center"/>
              <w:rPr>
                <w:rFonts w:hint="eastAsia" w:ascii="幼圆" w:hAnsi="幼圆" w:eastAsia="幼圆" w:cs="幼圆"/>
                <w:b/>
                <w:bCs/>
                <w:color w:val="000000"/>
                <w:kern w:val="2"/>
                <w:sz w:val="21"/>
                <w:szCs w:val="21"/>
                <w:lang w:val="en-US" w:eastAsia="zh-CN" w:bidi="ar-SA"/>
              </w:rPr>
            </w:pPr>
            <w:r>
              <w:rPr>
                <w:rFonts w:hint="eastAsia" w:ascii="幼圆" w:hAnsi="幼圆" w:eastAsia="幼圆" w:cs="幼圆"/>
                <w:b/>
                <w:bCs/>
                <w:color w:val="000000"/>
                <w:kern w:val="0"/>
                <w:szCs w:val="21"/>
                <w:lang w:bidi="ar"/>
              </w:rPr>
              <w:t>组团名称</w:t>
            </w:r>
          </w:p>
        </w:tc>
        <w:tc>
          <w:tcPr>
            <w:tcW w:w="1667" w:type="dxa"/>
            <w:noWrap w:val="0"/>
            <w:vAlign w:val="center"/>
          </w:tcPr>
          <w:p w14:paraId="70E67120">
            <w:pPr>
              <w:widowControl/>
              <w:jc w:val="center"/>
              <w:textAlignment w:val="center"/>
              <w:rPr>
                <w:rFonts w:hint="eastAsia" w:ascii="幼圆" w:hAnsi="幼圆" w:eastAsia="幼圆" w:cs="幼圆"/>
                <w:b/>
                <w:bCs/>
                <w:color w:val="000000"/>
                <w:kern w:val="2"/>
                <w:sz w:val="21"/>
                <w:szCs w:val="21"/>
                <w:lang w:val="en-US" w:eastAsia="zh-CN" w:bidi="ar-SA"/>
              </w:rPr>
            </w:pPr>
            <w:r>
              <w:rPr>
                <w:rFonts w:hint="eastAsia" w:ascii="幼圆" w:hAnsi="幼圆" w:eastAsia="幼圆" w:cs="幼圆"/>
                <w:b/>
                <w:bCs/>
                <w:color w:val="000000"/>
                <w:kern w:val="0"/>
                <w:szCs w:val="21"/>
                <w:lang w:bidi="ar"/>
              </w:rPr>
              <w:t>社区编码</w:t>
            </w:r>
          </w:p>
        </w:tc>
        <w:tc>
          <w:tcPr>
            <w:tcW w:w="2316" w:type="dxa"/>
            <w:noWrap w:val="0"/>
            <w:vAlign w:val="center"/>
          </w:tcPr>
          <w:p w14:paraId="0B96D245">
            <w:pPr>
              <w:widowControl/>
              <w:jc w:val="center"/>
              <w:textAlignment w:val="center"/>
              <w:rPr>
                <w:rFonts w:hint="eastAsia" w:ascii="幼圆" w:hAnsi="幼圆" w:eastAsia="幼圆" w:cs="幼圆"/>
                <w:b/>
                <w:bCs/>
                <w:color w:val="000000"/>
                <w:kern w:val="2"/>
                <w:sz w:val="21"/>
                <w:szCs w:val="21"/>
                <w:lang w:val="en-US" w:eastAsia="zh-CN" w:bidi="ar-SA"/>
              </w:rPr>
            </w:pPr>
            <w:r>
              <w:rPr>
                <w:rFonts w:hint="eastAsia" w:ascii="幼圆" w:hAnsi="幼圆" w:eastAsia="幼圆" w:cs="幼圆"/>
                <w:b/>
                <w:bCs/>
                <w:color w:val="000000"/>
                <w:kern w:val="0"/>
                <w:szCs w:val="21"/>
                <w:lang w:bidi="ar"/>
              </w:rPr>
              <w:t>社区名称</w:t>
            </w:r>
          </w:p>
        </w:tc>
        <w:tc>
          <w:tcPr>
            <w:tcW w:w="2067" w:type="dxa"/>
            <w:noWrap w:val="0"/>
            <w:vAlign w:val="center"/>
          </w:tcPr>
          <w:p w14:paraId="2B2FAB81">
            <w:pPr>
              <w:widowControl/>
              <w:jc w:val="center"/>
              <w:textAlignment w:val="center"/>
              <w:rPr>
                <w:rFonts w:hint="eastAsia" w:ascii="幼圆" w:hAnsi="幼圆" w:eastAsia="幼圆" w:cs="幼圆"/>
                <w:b/>
                <w:bCs/>
                <w:color w:val="000000"/>
                <w:kern w:val="2"/>
                <w:sz w:val="21"/>
                <w:szCs w:val="21"/>
                <w:lang w:val="en-US" w:eastAsia="zh-CN" w:bidi="ar-SA"/>
              </w:rPr>
            </w:pPr>
            <w:r>
              <w:rPr>
                <w:rFonts w:hint="eastAsia" w:ascii="幼圆" w:hAnsi="幼圆" w:eastAsia="幼圆" w:cs="幼圆"/>
                <w:b/>
                <w:bCs/>
                <w:color w:val="000000"/>
                <w:kern w:val="0"/>
                <w:szCs w:val="21"/>
                <w:lang w:bidi="ar"/>
              </w:rPr>
              <w:t>社区人口（万人）</w:t>
            </w:r>
          </w:p>
        </w:tc>
      </w:tr>
      <w:tr w14:paraId="418F4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restart"/>
            <w:noWrap w:val="0"/>
            <w:vAlign w:val="center"/>
          </w:tcPr>
          <w:p w14:paraId="5F2C2EDB">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红海湾</w:t>
            </w:r>
          </w:p>
          <w:p w14:paraId="30DCC829">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经开区</w:t>
            </w:r>
          </w:p>
        </w:tc>
        <w:tc>
          <w:tcPr>
            <w:tcW w:w="1542" w:type="dxa"/>
            <w:vMerge w:val="restart"/>
            <w:noWrap w:val="0"/>
            <w:vAlign w:val="center"/>
          </w:tcPr>
          <w:p w14:paraId="629FB5B9">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田墘组团</w:t>
            </w:r>
          </w:p>
        </w:tc>
        <w:tc>
          <w:tcPr>
            <w:tcW w:w="1667" w:type="dxa"/>
            <w:noWrap w:val="0"/>
            <w:vAlign w:val="center"/>
          </w:tcPr>
          <w:p w14:paraId="361F9D9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B-01</w:t>
            </w:r>
          </w:p>
        </w:tc>
        <w:tc>
          <w:tcPr>
            <w:tcW w:w="2316" w:type="dxa"/>
            <w:noWrap w:val="0"/>
            <w:vAlign w:val="center"/>
          </w:tcPr>
          <w:p w14:paraId="6D176DD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塔岭社区</w:t>
            </w:r>
          </w:p>
        </w:tc>
        <w:tc>
          <w:tcPr>
            <w:tcW w:w="2067" w:type="dxa"/>
            <w:noWrap w:val="0"/>
            <w:vAlign w:val="center"/>
          </w:tcPr>
          <w:p w14:paraId="01AEF1C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2</w:t>
            </w:r>
          </w:p>
        </w:tc>
      </w:tr>
      <w:tr w14:paraId="0D3B1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11C589B3">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1000E54F">
            <w:pPr>
              <w:widowControl/>
              <w:jc w:val="center"/>
              <w:textAlignment w:val="center"/>
              <w:rPr>
                <w:rFonts w:hint="eastAsia" w:ascii="幼圆" w:hAnsi="幼圆" w:eastAsia="幼圆" w:cs="幼圆"/>
                <w:color w:val="000000"/>
                <w:kern w:val="0"/>
                <w:sz w:val="24"/>
                <w:lang w:bidi="ar"/>
              </w:rPr>
            </w:pPr>
          </w:p>
        </w:tc>
        <w:tc>
          <w:tcPr>
            <w:tcW w:w="1667" w:type="dxa"/>
            <w:noWrap w:val="0"/>
            <w:vAlign w:val="center"/>
          </w:tcPr>
          <w:p w14:paraId="173F0B81">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B-02</w:t>
            </w:r>
          </w:p>
        </w:tc>
        <w:tc>
          <w:tcPr>
            <w:tcW w:w="2316" w:type="dxa"/>
            <w:noWrap w:val="0"/>
            <w:vAlign w:val="center"/>
          </w:tcPr>
          <w:p w14:paraId="3F6580B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田墘社区</w:t>
            </w:r>
          </w:p>
        </w:tc>
        <w:tc>
          <w:tcPr>
            <w:tcW w:w="2067" w:type="dxa"/>
            <w:noWrap w:val="0"/>
            <w:vAlign w:val="center"/>
          </w:tcPr>
          <w:p w14:paraId="420E1F3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2.4</w:t>
            </w:r>
          </w:p>
        </w:tc>
      </w:tr>
      <w:tr w14:paraId="0AC81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ign w:val="center"/>
          </w:tcPr>
          <w:p w14:paraId="6AD95B69">
            <w:pPr>
              <w:widowControl/>
              <w:jc w:val="center"/>
              <w:textAlignment w:val="center"/>
              <w:rPr>
                <w:rFonts w:hint="eastAsia" w:ascii="幼圆" w:hAnsi="幼圆" w:eastAsia="幼圆" w:cs="幼圆"/>
                <w:color w:val="000000"/>
                <w:kern w:val="0"/>
                <w:sz w:val="24"/>
                <w:lang w:bidi="ar"/>
              </w:rPr>
            </w:pPr>
          </w:p>
        </w:tc>
        <w:tc>
          <w:tcPr>
            <w:tcW w:w="1542" w:type="dxa"/>
            <w:vMerge w:val="restart"/>
            <w:noWrap w:val="0"/>
            <w:vAlign w:val="center"/>
          </w:tcPr>
          <w:p w14:paraId="4762424E">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红海湾组团</w:t>
            </w:r>
          </w:p>
        </w:tc>
        <w:tc>
          <w:tcPr>
            <w:tcW w:w="1667" w:type="dxa"/>
            <w:noWrap w:val="0"/>
            <w:vAlign w:val="center"/>
          </w:tcPr>
          <w:p w14:paraId="549F348F">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C-01</w:t>
            </w:r>
          </w:p>
        </w:tc>
        <w:tc>
          <w:tcPr>
            <w:tcW w:w="2316" w:type="dxa"/>
            <w:noWrap w:val="0"/>
            <w:vAlign w:val="center"/>
          </w:tcPr>
          <w:p w14:paraId="5B187097">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东洲社区</w:t>
            </w:r>
          </w:p>
        </w:tc>
        <w:tc>
          <w:tcPr>
            <w:tcW w:w="2067" w:type="dxa"/>
            <w:noWrap w:val="0"/>
            <w:vAlign w:val="center"/>
          </w:tcPr>
          <w:p w14:paraId="483E0133">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1.9</w:t>
            </w:r>
          </w:p>
        </w:tc>
      </w:tr>
      <w:tr w14:paraId="407B2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ign w:val="center"/>
          </w:tcPr>
          <w:p w14:paraId="00556B62">
            <w:pPr>
              <w:widowControl/>
              <w:jc w:val="center"/>
              <w:textAlignment w:val="center"/>
              <w:rPr>
                <w:rFonts w:hint="eastAsia" w:ascii="幼圆" w:hAnsi="幼圆" w:eastAsia="幼圆" w:cs="幼圆"/>
                <w:color w:val="000000"/>
                <w:kern w:val="0"/>
                <w:sz w:val="24"/>
                <w:lang w:bidi="ar"/>
              </w:rPr>
            </w:pPr>
          </w:p>
        </w:tc>
        <w:tc>
          <w:tcPr>
            <w:tcW w:w="1542" w:type="dxa"/>
            <w:vMerge w:val="continue"/>
            <w:noWrap w:val="0"/>
            <w:vAlign w:val="center"/>
          </w:tcPr>
          <w:p w14:paraId="1160F1CB">
            <w:pPr>
              <w:widowControl/>
              <w:jc w:val="center"/>
              <w:textAlignment w:val="center"/>
              <w:rPr>
                <w:rFonts w:hint="eastAsia" w:ascii="幼圆" w:hAnsi="幼圆" w:eastAsia="幼圆" w:cs="幼圆"/>
                <w:color w:val="000000"/>
                <w:kern w:val="0"/>
                <w:sz w:val="24"/>
                <w:lang w:bidi="ar"/>
              </w:rPr>
            </w:pPr>
          </w:p>
        </w:tc>
        <w:tc>
          <w:tcPr>
            <w:tcW w:w="1667" w:type="dxa"/>
            <w:noWrap w:val="0"/>
            <w:vAlign w:val="center"/>
          </w:tcPr>
          <w:p w14:paraId="077626D7">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C-02</w:t>
            </w:r>
          </w:p>
        </w:tc>
        <w:tc>
          <w:tcPr>
            <w:tcW w:w="2316" w:type="dxa"/>
            <w:noWrap w:val="0"/>
            <w:vAlign w:val="center"/>
          </w:tcPr>
          <w:p w14:paraId="4E0D744B">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水龟寮社区</w:t>
            </w:r>
          </w:p>
        </w:tc>
        <w:tc>
          <w:tcPr>
            <w:tcW w:w="2067" w:type="dxa"/>
            <w:noWrap w:val="0"/>
            <w:vAlign w:val="center"/>
          </w:tcPr>
          <w:p w14:paraId="2824BA04">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3.5</w:t>
            </w:r>
          </w:p>
        </w:tc>
      </w:tr>
      <w:tr w14:paraId="7F15B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restart"/>
            <w:noWrap w:val="0"/>
            <w:vAlign w:val="center"/>
          </w:tcPr>
          <w:p w14:paraId="306BC336">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eastAsia="zh-CN" w:bidi="ar"/>
              </w:rPr>
              <w:t>其他</w:t>
            </w:r>
          </w:p>
        </w:tc>
        <w:tc>
          <w:tcPr>
            <w:tcW w:w="1542" w:type="dxa"/>
            <w:vMerge w:val="restart"/>
            <w:noWrap w:val="0"/>
            <w:vAlign w:val="center"/>
          </w:tcPr>
          <w:p w14:paraId="01C8FEAF">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马宫组团</w:t>
            </w:r>
          </w:p>
        </w:tc>
        <w:tc>
          <w:tcPr>
            <w:tcW w:w="1667" w:type="dxa"/>
            <w:noWrap w:val="0"/>
            <w:vAlign w:val="center"/>
          </w:tcPr>
          <w:p w14:paraId="3D3130A9">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D-01</w:t>
            </w:r>
          </w:p>
        </w:tc>
        <w:tc>
          <w:tcPr>
            <w:tcW w:w="2316" w:type="dxa"/>
            <w:noWrap w:val="0"/>
            <w:vAlign w:val="center"/>
          </w:tcPr>
          <w:p w14:paraId="4D112FCE">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马宫社区</w:t>
            </w:r>
          </w:p>
        </w:tc>
        <w:tc>
          <w:tcPr>
            <w:tcW w:w="2067" w:type="dxa"/>
            <w:noWrap w:val="0"/>
            <w:vAlign w:val="center"/>
          </w:tcPr>
          <w:p w14:paraId="3AB8A23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1.5</w:t>
            </w:r>
          </w:p>
        </w:tc>
      </w:tr>
      <w:tr w14:paraId="4DB41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0B14B971">
            <w:pPr>
              <w:jc w:val="center"/>
              <w:rPr>
                <w:rFonts w:hint="eastAsia" w:ascii="幼圆" w:hAnsi="幼圆" w:eastAsia="幼圆" w:cs="幼圆"/>
                <w:color w:val="000000"/>
                <w:szCs w:val="21"/>
              </w:rPr>
            </w:pPr>
          </w:p>
        </w:tc>
        <w:tc>
          <w:tcPr>
            <w:tcW w:w="1542" w:type="dxa"/>
            <w:vMerge w:val="continue"/>
            <w:noWrap w:val="0"/>
            <w:vAlign w:val="center"/>
          </w:tcPr>
          <w:p w14:paraId="53CCE34C">
            <w:pPr>
              <w:widowControl/>
              <w:jc w:val="center"/>
              <w:textAlignment w:val="center"/>
              <w:rPr>
                <w:rFonts w:hint="eastAsia" w:ascii="幼圆" w:hAnsi="幼圆" w:eastAsia="幼圆" w:cs="幼圆"/>
                <w:color w:val="000000"/>
                <w:kern w:val="0"/>
                <w:sz w:val="24"/>
                <w:lang w:bidi="ar"/>
              </w:rPr>
            </w:pPr>
          </w:p>
        </w:tc>
        <w:tc>
          <w:tcPr>
            <w:tcW w:w="1667" w:type="dxa"/>
            <w:noWrap w:val="0"/>
            <w:vAlign w:val="center"/>
          </w:tcPr>
          <w:p w14:paraId="7AA37DDB">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D-02</w:t>
            </w:r>
          </w:p>
        </w:tc>
        <w:tc>
          <w:tcPr>
            <w:tcW w:w="2316" w:type="dxa"/>
            <w:noWrap w:val="0"/>
            <w:vAlign w:val="center"/>
          </w:tcPr>
          <w:p w14:paraId="195D0A29">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新北社区</w:t>
            </w:r>
          </w:p>
        </w:tc>
        <w:tc>
          <w:tcPr>
            <w:tcW w:w="2067" w:type="dxa"/>
            <w:noWrap w:val="0"/>
            <w:vAlign w:val="center"/>
          </w:tcPr>
          <w:p w14:paraId="5A1BAC3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2</w:t>
            </w:r>
          </w:p>
        </w:tc>
      </w:tr>
      <w:tr w14:paraId="36A70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7059B60C">
            <w:pPr>
              <w:jc w:val="center"/>
              <w:rPr>
                <w:rFonts w:hint="eastAsia" w:ascii="幼圆" w:hAnsi="幼圆" w:eastAsia="幼圆" w:cs="幼圆"/>
                <w:color w:val="000000"/>
                <w:szCs w:val="21"/>
              </w:rPr>
            </w:pPr>
          </w:p>
        </w:tc>
        <w:tc>
          <w:tcPr>
            <w:tcW w:w="1542" w:type="dxa"/>
            <w:vMerge w:val="restart"/>
            <w:noWrap w:val="0"/>
            <w:vAlign w:val="center"/>
          </w:tcPr>
          <w:p w14:paraId="09E1E521">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红草组团</w:t>
            </w:r>
          </w:p>
        </w:tc>
        <w:tc>
          <w:tcPr>
            <w:tcW w:w="1667" w:type="dxa"/>
            <w:noWrap w:val="0"/>
            <w:vAlign w:val="center"/>
          </w:tcPr>
          <w:p w14:paraId="355F588C">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E-01</w:t>
            </w:r>
          </w:p>
        </w:tc>
        <w:tc>
          <w:tcPr>
            <w:tcW w:w="2316" w:type="dxa"/>
            <w:noWrap w:val="0"/>
            <w:vAlign w:val="center"/>
          </w:tcPr>
          <w:p w14:paraId="2F714E46">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径口社区</w:t>
            </w:r>
          </w:p>
        </w:tc>
        <w:tc>
          <w:tcPr>
            <w:tcW w:w="2067" w:type="dxa"/>
            <w:noWrap w:val="0"/>
            <w:vAlign w:val="center"/>
          </w:tcPr>
          <w:p w14:paraId="2324426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1.8</w:t>
            </w:r>
          </w:p>
        </w:tc>
      </w:tr>
      <w:tr w14:paraId="6672D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2B6C41D4">
            <w:pPr>
              <w:jc w:val="center"/>
              <w:rPr>
                <w:rFonts w:hint="eastAsia" w:ascii="幼圆" w:hAnsi="幼圆" w:eastAsia="幼圆" w:cs="幼圆"/>
                <w:color w:val="000000"/>
                <w:szCs w:val="21"/>
              </w:rPr>
            </w:pPr>
          </w:p>
        </w:tc>
        <w:tc>
          <w:tcPr>
            <w:tcW w:w="1542" w:type="dxa"/>
            <w:vMerge w:val="continue"/>
            <w:noWrap w:val="0"/>
            <w:vAlign w:val="center"/>
          </w:tcPr>
          <w:p w14:paraId="794EBC4D">
            <w:pPr>
              <w:widowControl/>
              <w:jc w:val="center"/>
              <w:textAlignment w:val="center"/>
              <w:rPr>
                <w:rFonts w:hint="eastAsia" w:ascii="幼圆" w:hAnsi="幼圆" w:eastAsia="幼圆" w:cs="幼圆"/>
                <w:color w:val="000000"/>
                <w:kern w:val="0"/>
                <w:sz w:val="24"/>
                <w:lang w:bidi="ar"/>
              </w:rPr>
            </w:pPr>
          </w:p>
        </w:tc>
        <w:tc>
          <w:tcPr>
            <w:tcW w:w="1667" w:type="dxa"/>
            <w:noWrap w:val="0"/>
            <w:vAlign w:val="top"/>
          </w:tcPr>
          <w:p w14:paraId="2233BA2E">
            <w:pPr>
              <w:widowControl/>
              <w:jc w:val="center"/>
              <w:textAlignment w:val="top"/>
              <w:rPr>
                <w:rFonts w:hint="eastAsia" w:ascii="幼圆" w:hAnsi="幼圆" w:eastAsia="幼圆" w:cs="幼圆"/>
                <w:color w:val="000000"/>
                <w:sz w:val="24"/>
              </w:rPr>
            </w:pPr>
            <w:r>
              <w:rPr>
                <w:rFonts w:hint="eastAsia" w:ascii="幼圆" w:hAnsi="幼圆" w:eastAsia="幼圆" w:cs="幼圆"/>
                <w:color w:val="000000"/>
                <w:kern w:val="0"/>
                <w:sz w:val="24"/>
                <w:lang w:bidi="ar"/>
              </w:rPr>
              <w:t>E-02</w:t>
            </w:r>
          </w:p>
        </w:tc>
        <w:tc>
          <w:tcPr>
            <w:tcW w:w="2316" w:type="dxa"/>
            <w:noWrap w:val="0"/>
            <w:vAlign w:val="center"/>
          </w:tcPr>
          <w:p w14:paraId="4D66405D">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亚洲社区</w:t>
            </w:r>
          </w:p>
        </w:tc>
        <w:tc>
          <w:tcPr>
            <w:tcW w:w="2067" w:type="dxa"/>
            <w:noWrap w:val="0"/>
            <w:vAlign w:val="center"/>
          </w:tcPr>
          <w:p w14:paraId="75F1A472">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w:t>
            </w:r>
          </w:p>
        </w:tc>
      </w:tr>
      <w:tr w14:paraId="177B1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1C5F8243">
            <w:pPr>
              <w:jc w:val="center"/>
              <w:rPr>
                <w:rFonts w:hint="eastAsia" w:ascii="幼圆" w:hAnsi="幼圆" w:eastAsia="幼圆" w:cs="幼圆"/>
                <w:color w:val="000000"/>
                <w:szCs w:val="21"/>
              </w:rPr>
            </w:pPr>
          </w:p>
        </w:tc>
        <w:tc>
          <w:tcPr>
            <w:tcW w:w="1542" w:type="dxa"/>
            <w:vMerge w:val="continue"/>
            <w:noWrap w:val="0"/>
            <w:vAlign w:val="center"/>
          </w:tcPr>
          <w:p w14:paraId="69B10948">
            <w:pPr>
              <w:widowControl/>
              <w:jc w:val="center"/>
              <w:textAlignment w:val="center"/>
              <w:rPr>
                <w:rFonts w:hint="eastAsia" w:ascii="幼圆" w:hAnsi="幼圆" w:eastAsia="幼圆" w:cs="幼圆"/>
                <w:color w:val="000000"/>
                <w:kern w:val="0"/>
                <w:sz w:val="24"/>
                <w:lang w:bidi="ar"/>
              </w:rPr>
            </w:pPr>
          </w:p>
        </w:tc>
        <w:tc>
          <w:tcPr>
            <w:tcW w:w="1667" w:type="dxa"/>
            <w:noWrap w:val="0"/>
            <w:vAlign w:val="top"/>
          </w:tcPr>
          <w:p w14:paraId="0CA5D2A9">
            <w:pPr>
              <w:widowControl/>
              <w:jc w:val="center"/>
              <w:textAlignment w:val="top"/>
              <w:rPr>
                <w:rFonts w:hint="eastAsia" w:ascii="幼圆" w:hAnsi="幼圆" w:eastAsia="幼圆" w:cs="幼圆"/>
                <w:color w:val="000000"/>
                <w:sz w:val="24"/>
              </w:rPr>
            </w:pPr>
            <w:r>
              <w:rPr>
                <w:rFonts w:hint="eastAsia" w:ascii="幼圆" w:hAnsi="幼圆" w:eastAsia="幼圆" w:cs="幼圆"/>
                <w:color w:val="000000"/>
                <w:kern w:val="0"/>
                <w:sz w:val="24"/>
                <w:lang w:bidi="ar"/>
              </w:rPr>
              <w:t>E-03</w:t>
            </w:r>
          </w:p>
        </w:tc>
        <w:tc>
          <w:tcPr>
            <w:tcW w:w="2316" w:type="dxa"/>
            <w:noWrap w:val="0"/>
            <w:vAlign w:val="center"/>
          </w:tcPr>
          <w:p w14:paraId="05C264AC">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三和社区</w:t>
            </w:r>
          </w:p>
        </w:tc>
        <w:tc>
          <w:tcPr>
            <w:tcW w:w="2067" w:type="dxa"/>
            <w:noWrap w:val="0"/>
            <w:vAlign w:val="center"/>
          </w:tcPr>
          <w:p w14:paraId="7B1FF9A5">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1.7</w:t>
            </w:r>
          </w:p>
        </w:tc>
      </w:tr>
      <w:tr w14:paraId="604E9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58B7C9E3">
            <w:pPr>
              <w:jc w:val="center"/>
              <w:rPr>
                <w:rFonts w:hint="eastAsia" w:ascii="幼圆" w:hAnsi="幼圆" w:eastAsia="幼圆" w:cs="幼圆"/>
                <w:color w:val="000000"/>
                <w:szCs w:val="21"/>
              </w:rPr>
            </w:pPr>
          </w:p>
        </w:tc>
        <w:tc>
          <w:tcPr>
            <w:tcW w:w="1542" w:type="dxa"/>
            <w:vMerge w:val="continue"/>
            <w:noWrap w:val="0"/>
            <w:vAlign w:val="center"/>
          </w:tcPr>
          <w:p w14:paraId="22B24CFF">
            <w:pPr>
              <w:widowControl/>
              <w:jc w:val="center"/>
              <w:textAlignment w:val="center"/>
              <w:rPr>
                <w:rFonts w:hint="eastAsia" w:ascii="幼圆" w:hAnsi="幼圆" w:eastAsia="幼圆" w:cs="幼圆"/>
                <w:color w:val="000000"/>
                <w:kern w:val="0"/>
                <w:sz w:val="24"/>
                <w:lang w:bidi="ar"/>
              </w:rPr>
            </w:pPr>
          </w:p>
        </w:tc>
        <w:tc>
          <w:tcPr>
            <w:tcW w:w="1667" w:type="dxa"/>
            <w:noWrap w:val="0"/>
            <w:vAlign w:val="top"/>
          </w:tcPr>
          <w:p w14:paraId="092A396B">
            <w:pPr>
              <w:widowControl/>
              <w:jc w:val="center"/>
              <w:textAlignment w:val="top"/>
              <w:rPr>
                <w:rFonts w:hint="eastAsia" w:ascii="幼圆" w:hAnsi="幼圆" w:eastAsia="幼圆" w:cs="幼圆"/>
                <w:color w:val="000000"/>
                <w:sz w:val="24"/>
              </w:rPr>
            </w:pPr>
            <w:r>
              <w:rPr>
                <w:rFonts w:hint="eastAsia" w:ascii="幼圆" w:hAnsi="幼圆" w:eastAsia="幼圆" w:cs="幼圆"/>
                <w:color w:val="000000"/>
                <w:kern w:val="0"/>
                <w:sz w:val="24"/>
                <w:lang w:bidi="ar"/>
              </w:rPr>
              <w:t>E-04</w:t>
            </w:r>
          </w:p>
        </w:tc>
        <w:tc>
          <w:tcPr>
            <w:tcW w:w="2316" w:type="dxa"/>
            <w:noWrap w:val="0"/>
            <w:vAlign w:val="center"/>
          </w:tcPr>
          <w:p w14:paraId="2656A1F8">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西河社区</w:t>
            </w:r>
          </w:p>
        </w:tc>
        <w:tc>
          <w:tcPr>
            <w:tcW w:w="2067" w:type="dxa"/>
            <w:noWrap w:val="0"/>
            <w:vAlign w:val="center"/>
          </w:tcPr>
          <w:p w14:paraId="6B85BBE6">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0.7</w:t>
            </w:r>
          </w:p>
        </w:tc>
      </w:tr>
      <w:tr w14:paraId="54350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0" w:type="dxa"/>
            <w:vMerge w:val="continue"/>
            <w:noWrap w:val="0"/>
            <w:vAlign w:val="center"/>
          </w:tcPr>
          <w:p w14:paraId="2E39F1E6">
            <w:pPr>
              <w:jc w:val="center"/>
              <w:rPr>
                <w:rFonts w:hint="eastAsia" w:ascii="幼圆" w:hAnsi="幼圆" w:eastAsia="幼圆" w:cs="幼圆"/>
                <w:color w:val="000000"/>
                <w:szCs w:val="21"/>
              </w:rPr>
            </w:pPr>
          </w:p>
        </w:tc>
        <w:tc>
          <w:tcPr>
            <w:tcW w:w="1542" w:type="dxa"/>
            <w:noWrap w:val="0"/>
            <w:vAlign w:val="center"/>
          </w:tcPr>
          <w:p w14:paraId="18917E8E">
            <w:pPr>
              <w:widowControl/>
              <w:jc w:val="center"/>
              <w:textAlignment w:val="center"/>
              <w:rPr>
                <w:rFonts w:hint="eastAsia" w:ascii="幼圆" w:hAnsi="幼圆" w:eastAsia="幼圆" w:cs="幼圆"/>
                <w:color w:val="000000"/>
                <w:kern w:val="0"/>
                <w:sz w:val="24"/>
                <w:lang w:bidi="ar"/>
              </w:rPr>
            </w:pPr>
            <w:r>
              <w:rPr>
                <w:rFonts w:hint="eastAsia" w:ascii="幼圆" w:hAnsi="幼圆" w:eastAsia="幼圆" w:cs="幼圆"/>
                <w:color w:val="000000"/>
                <w:kern w:val="0"/>
                <w:sz w:val="24"/>
                <w:lang w:bidi="ar"/>
              </w:rPr>
              <w:t>捷胜组团</w:t>
            </w:r>
          </w:p>
        </w:tc>
        <w:tc>
          <w:tcPr>
            <w:tcW w:w="1667" w:type="dxa"/>
            <w:noWrap w:val="0"/>
            <w:vAlign w:val="center"/>
          </w:tcPr>
          <w:p w14:paraId="5A5FA760">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F-01</w:t>
            </w:r>
          </w:p>
        </w:tc>
        <w:tc>
          <w:tcPr>
            <w:tcW w:w="2316" w:type="dxa"/>
            <w:noWrap w:val="0"/>
            <w:vAlign w:val="center"/>
          </w:tcPr>
          <w:p w14:paraId="1413A287">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捷胜社区</w:t>
            </w:r>
          </w:p>
        </w:tc>
        <w:tc>
          <w:tcPr>
            <w:tcW w:w="2067" w:type="dxa"/>
            <w:noWrap w:val="0"/>
            <w:vAlign w:val="center"/>
          </w:tcPr>
          <w:p w14:paraId="732F2DFA">
            <w:pPr>
              <w:widowControl/>
              <w:jc w:val="center"/>
              <w:textAlignment w:val="center"/>
              <w:rPr>
                <w:rFonts w:hint="eastAsia" w:ascii="幼圆" w:hAnsi="幼圆" w:eastAsia="幼圆" w:cs="幼圆"/>
                <w:color w:val="000000"/>
                <w:sz w:val="24"/>
              </w:rPr>
            </w:pPr>
            <w:r>
              <w:rPr>
                <w:rFonts w:hint="eastAsia" w:ascii="幼圆" w:hAnsi="幼圆" w:eastAsia="幼圆" w:cs="幼圆"/>
                <w:color w:val="000000"/>
                <w:kern w:val="0"/>
                <w:sz w:val="24"/>
                <w:lang w:bidi="ar"/>
              </w:rPr>
              <w:t>2.8</w:t>
            </w:r>
          </w:p>
        </w:tc>
      </w:tr>
    </w:tbl>
    <w:p w14:paraId="7A29C56B">
      <w:pPr>
        <w:spacing w:after="120" w:afterLines="50" w:line="360" w:lineRule="auto"/>
        <w:rPr>
          <w:rFonts w:ascii="幼圆" w:eastAsia="幼圆"/>
          <w:color w:val="000000"/>
          <w:sz w:val="24"/>
        </w:rPr>
        <w:sectPr>
          <w:pgSz w:w="23814" w:h="16840" w:orient="landscape"/>
          <w:pgMar w:top="1985" w:right="1985" w:bottom="1701" w:left="1985" w:header="851" w:footer="992" w:gutter="0"/>
          <w:pgNumType w:fmt="decimal"/>
          <w:cols w:space="630" w:num="2"/>
          <w:docGrid w:linePitch="312" w:charSpace="0"/>
        </w:sectPr>
      </w:pPr>
      <w:r>
        <w:rPr>
          <w:rFonts w:ascii="幼圆" w:eastAsia="幼圆"/>
          <w:color w:val="000000"/>
          <w:sz w:val="24"/>
        </w:rPr>
        <w:t xml:space="preserve"> </w:t>
      </w:r>
    </w:p>
    <w:p w14:paraId="2CF95770">
      <w:pPr>
        <w:pStyle w:val="3"/>
        <w:spacing w:before="120" w:beforeLines="50" w:after="120" w:afterLines="50" w:line="360" w:lineRule="auto"/>
        <w:rPr>
          <w:rFonts w:hint="eastAsia" w:ascii="华文中宋" w:hAnsi="华文中宋" w:eastAsia="华文中宋" w:cs="Times New Roman"/>
          <w:b/>
          <w:bCs/>
          <w:color w:val="000000"/>
          <w:sz w:val="36"/>
          <w:szCs w:val="36"/>
        </w:rPr>
      </w:pPr>
      <w:bookmarkStart w:id="103" w:name="_Toc11566"/>
      <w:r>
        <w:rPr>
          <w:rFonts w:hint="eastAsia" w:ascii="华文中宋" w:hAnsi="华文中宋" w:eastAsia="华文中宋"/>
          <w:color w:val="000000"/>
          <w:sz w:val="36"/>
          <w:szCs w:val="36"/>
        </w:rPr>
        <w:t>附表</w:t>
      </w:r>
      <w:r>
        <w:rPr>
          <w:rFonts w:hint="eastAsia" w:ascii="华文中宋" w:hAnsi="华文中宋" w:eastAsia="华文中宋" w:cs="Times New Roman"/>
          <w:b/>
          <w:bCs/>
          <w:color w:val="000000"/>
          <w:sz w:val="36"/>
          <w:szCs w:val="36"/>
        </w:rPr>
        <w:t>4：社区商业中心规划指引</w:t>
      </w:r>
      <w:bookmarkEnd w:id="103"/>
    </w:p>
    <w:tbl>
      <w:tblPr>
        <w:tblStyle w:val="34"/>
        <w:tblW w:w="4969"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2"/>
        <w:gridCol w:w="1428"/>
        <w:gridCol w:w="1627"/>
        <w:gridCol w:w="1755"/>
        <w:gridCol w:w="2194"/>
        <w:gridCol w:w="2266"/>
        <w:gridCol w:w="2202"/>
        <w:gridCol w:w="2194"/>
        <w:gridCol w:w="1727"/>
        <w:gridCol w:w="3291"/>
      </w:tblGrid>
      <w:tr w14:paraId="01E35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2" w:type="pct"/>
            <w:gridSpan w:val="2"/>
            <w:vMerge w:val="restart"/>
            <w:noWrap w:val="0"/>
            <w:vAlign w:val="center"/>
          </w:tcPr>
          <w:p w14:paraId="66FECE0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组团名称</w:t>
            </w:r>
          </w:p>
        </w:tc>
        <w:tc>
          <w:tcPr>
            <w:tcW w:w="408" w:type="pct"/>
            <w:vMerge w:val="restart"/>
            <w:noWrap/>
            <w:vAlign w:val="center"/>
          </w:tcPr>
          <w:p w14:paraId="686E63B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社区编码</w:t>
            </w:r>
          </w:p>
        </w:tc>
        <w:tc>
          <w:tcPr>
            <w:tcW w:w="440" w:type="pct"/>
            <w:vMerge w:val="restart"/>
            <w:noWrap/>
            <w:vAlign w:val="center"/>
          </w:tcPr>
          <w:p w14:paraId="6BAE780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社区名称</w:t>
            </w:r>
          </w:p>
        </w:tc>
        <w:tc>
          <w:tcPr>
            <w:tcW w:w="550" w:type="pct"/>
            <w:vMerge w:val="restart"/>
            <w:noWrap/>
            <w:vAlign w:val="center"/>
          </w:tcPr>
          <w:p w14:paraId="32BA9FB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社区人口（万人）</w:t>
            </w:r>
          </w:p>
        </w:tc>
        <w:tc>
          <w:tcPr>
            <w:tcW w:w="568" w:type="pct"/>
            <w:vMerge w:val="restart"/>
            <w:noWrap/>
            <w:vAlign w:val="center"/>
          </w:tcPr>
          <w:p w14:paraId="22284FA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社区类型</w:t>
            </w:r>
          </w:p>
        </w:tc>
        <w:tc>
          <w:tcPr>
            <w:tcW w:w="1102" w:type="pct"/>
            <w:gridSpan w:val="2"/>
            <w:noWrap/>
            <w:vAlign w:val="center"/>
          </w:tcPr>
          <w:p w14:paraId="4676C4A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建设规模</w:t>
            </w:r>
          </w:p>
        </w:tc>
        <w:tc>
          <w:tcPr>
            <w:tcW w:w="1258" w:type="pct"/>
            <w:gridSpan w:val="2"/>
            <w:noWrap/>
            <w:vAlign w:val="center"/>
          </w:tcPr>
          <w:p w14:paraId="3F546B5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建设要求</w:t>
            </w:r>
          </w:p>
        </w:tc>
      </w:tr>
      <w:tr w14:paraId="6A8BC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2" w:type="pct"/>
            <w:gridSpan w:val="2"/>
            <w:vMerge w:val="continue"/>
            <w:noWrap w:val="0"/>
            <w:vAlign w:val="center"/>
          </w:tcPr>
          <w:p w14:paraId="57F0AC3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p>
        </w:tc>
        <w:tc>
          <w:tcPr>
            <w:tcW w:w="408" w:type="pct"/>
            <w:vMerge w:val="continue"/>
            <w:noWrap/>
            <w:vAlign w:val="center"/>
          </w:tcPr>
          <w:p w14:paraId="2E21C8B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p>
        </w:tc>
        <w:tc>
          <w:tcPr>
            <w:tcW w:w="440" w:type="pct"/>
            <w:vMerge w:val="continue"/>
            <w:noWrap/>
            <w:vAlign w:val="center"/>
          </w:tcPr>
          <w:p w14:paraId="7C17FAF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p>
        </w:tc>
        <w:tc>
          <w:tcPr>
            <w:tcW w:w="550" w:type="pct"/>
            <w:vMerge w:val="continue"/>
            <w:noWrap/>
            <w:vAlign w:val="center"/>
          </w:tcPr>
          <w:p w14:paraId="10E594F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p>
        </w:tc>
        <w:tc>
          <w:tcPr>
            <w:tcW w:w="568" w:type="pct"/>
            <w:vMerge w:val="continue"/>
            <w:noWrap/>
            <w:vAlign w:val="center"/>
          </w:tcPr>
          <w:p w14:paraId="7DCF786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p>
        </w:tc>
        <w:tc>
          <w:tcPr>
            <w:tcW w:w="552" w:type="pct"/>
            <w:noWrap/>
            <w:vAlign w:val="center"/>
          </w:tcPr>
          <w:p w14:paraId="66681C9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商业用地（ha）</w:t>
            </w:r>
          </w:p>
        </w:tc>
        <w:tc>
          <w:tcPr>
            <w:tcW w:w="550" w:type="pct"/>
            <w:noWrap/>
            <w:vAlign w:val="center"/>
          </w:tcPr>
          <w:p w14:paraId="5CA4D12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营业面积（万㎡）</w:t>
            </w:r>
          </w:p>
        </w:tc>
        <w:tc>
          <w:tcPr>
            <w:tcW w:w="433" w:type="pct"/>
            <w:noWrap/>
            <w:vAlign w:val="center"/>
          </w:tcPr>
          <w:p w14:paraId="487ECC5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建设模式</w:t>
            </w:r>
          </w:p>
        </w:tc>
        <w:tc>
          <w:tcPr>
            <w:tcW w:w="824" w:type="pct"/>
            <w:noWrap/>
            <w:vAlign w:val="center"/>
          </w:tcPr>
          <w:p w14:paraId="3EFC336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b/>
                <w:kern w:val="0"/>
                <w:sz w:val="24"/>
                <w:szCs w:val="24"/>
              </w:rPr>
            </w:pPr>
            <w:r>
              <w:rPr>
                <w:rFonts w:hint="eastAsia" w:ascii="幼圆" w:hAnsi="宋体" w:eastAsia="幼圆" w:cs="宋体"/>
                <w:b/>
                <w:kern w:val="0"/>
                <w:sz w:val="24"/>
                <w:szCs w:val="24"/>
              </w:rPr>
              <w:t>建设类别</w:t>
            </w:r>
          </w:p>
        </w:tc>
      </w:tr>
      <w:tr w14:paraId="3D0EE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restart"/>
            <w:noWrap w:val="0"/>
            <w:vAlign w:val="center"/>
          </w:tcPr>
          <w:p w14:paraId="03CF546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主城区</w:t>
            </w:r>
          </w:p>
        </w:tc>
        <w:tc>
          <w:tcPr>
            <w:tcW w:w="358" w:type="pct"/>
            <w:vMerge w:val="restart"/>
            <w:noWrap w:val="0"/>
            <w:vAlign w:val="center"/>
          </w:tcPr>
          <w:p w14:paraId="6639637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金町湾组团</w:t>
            </w:r>
          </w:p>
        </w:tc>
        <w:tc>
          <w:tcPr>
            <w:tcW w:w="408" w:type="pct"/>
            <w:noWrap/>
            <w:vAlign w:val="center"/>
          </w:tcPr>
          <w:p w14:paraId="376282F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A-01</w:t>
            </w:r>
          </w:p>
        </w:tc>
        <w:tc>
          <w:tcPr>
            <w:tcW w:w="440" w:type="pct"/>
            <w:noWrap/>
            <w:vAlign w:val="center"/>
          </w:tcPr>
          <w:p w14:paraId="571E1F7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ascii="幼圆" w:hAnsi="宋体" w:eastAsia="幼圆" w:cs="宋体"/>
                <w:kern w:val="0"/>
                <w:sz w:val="24"/>
                <w:szCs w:val="24"/>
              </w:rPr>
            </w:pPr>
            <w:r>
              <w:rPr>
                <w:rFonts w:hint="eastAsia" w:ascii="幼圆" w:hAnsi="宋体" w:eastAsia="幼圆" w:cs="宋体"/>
                <w:kern w:val="0"/>
                <w:sz w:val="24"/>
                <w:szCs w:val="24"/>
              </w:rPr>
              <w:t>金町社区</w:t>
            </w:r>
          </w:p>
        </w:tc>
        <w:tc>
          <w:tcPr>
            <w:tcW w:w="550" w:type="pct"/>
            <w:noWrap/>
            <w:vAlign w:val="center"/>
          </w:tcPr>
          <w:p w14:paraId="75CF3FBE">
            <w:pPr>
              <w:keepNext w:val="0"/>
              <w:keepLines w:val="0"/>
              <w:pageBreakBefore w:val="0"/>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3.5</w:t>
            </w:r>
          </w:p>
        </w:tc>
        <w:tc>
          <w:tcPr>
            <w:tcW w:w="568" w:type="pct"/>
            <w:noWrap/>
            <w:vAlign w:val="center"/>
          </w:tcPr>
          <w:p w14:paraId="784522B1">
            <w:pPr>
              <w:keepNext w:val="0"/>
              <w:keepLines w:val="0"/>
              <w:pageBreakBefore w:val="0"/>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0F0CA0B0">
            <w:pPr>
              <w:keepNext w:val="0"/>
              <w:keepLines w:val="0"/>
              <w:pageBreakBefore w:val="0"/>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085EBA48">
            <w:pPr>
              <w:keepNext w:val="0"/>
              <w:keepLines w:val="0"/>
              <w:pageBreakBefore w:val="0"/>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0945F443">
            <w:pPr>
              <w:keepNext w:val="0"/>
              <w:keepLines w:val="0"/>
              <w:pageBreakBefore w:val="0"/>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10161CA8">
            <w:pPr>
              <w:keepNext w:val="0"/>
              <w:keepLines w:val="0"/>
              <w:pageBreakBefore w:val="0"/>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r w14:paraId="04A3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6148B93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5D4FFC3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3223698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A-02</w:t>
            </w:r>
          </w:p>
        </w:tc>
        <w:tc>
          <w:tcPr>
            <w:tcW w:w="440" w:type="pct"/>
            <w:noWrap/>
            <w:vAlign w:val="center"/>
          </w:tcPr>
          <w:p w14:paraId="399E37E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西洋社区</w:t>
            </w:r>
          </w:p>
        </w:tc>
        <w:tc>
          <w:tcPr>
            <w:tcW w:w="550" w:type="pct"/>
            <w:noWrap/>
            <w:vAlign w:val="center"/>
          </w:tcPr>
          <w:p w14:paraId="4024132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1.7</w:t>
            </w:r>
          </w:p>
        </w:tc>
        <w:tc>
          <w:tcPr>
            <w:tcW w:w="568" w:type="pct"/>
            <w:noWrap/>
            <w:vAlign w:val="center"/>
          </w:tcPr>
          <w:p w14:paraId="22620FF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31D55FC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1.6</w:t>
            </w:r>
          </w:p>
        </w:tc>
        <w:tc>
          <w:tcPr>
            <w:tcW w:w="550" w:type="pct"/>
            <w:noWrap/>
            <w:vAlign w:val="center"/>
          </w:tcPr>
          <w:p w14:paraId="611B932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1.6</w:t>
            </w:r>
          </w:p>
        </w:tc>
        <w:tc>
          <w:tcPr>
            <w:tcW w:w="433" w:type="pct"/>
            <w:noWrap/>
            <w:vAlign w:val="center"/>
          </w:tcPr>
          <w:p w14:paraId="698B316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5367521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22143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7EB7EFC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restart"/>
            <w:noWrap w:val="0"/>
            <w:vAlign w:val="center"/>
          </w:tcPr>
          <w:p w14:paraId="37EBEAD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老城组团</w:t>
            </w:r>
          </w:p>
        </w:tc>
        <w:tc>
          <w:tcPr>
            <w:tcW w:w="408" w:type="pct"/>
            <w:noWrap/>
            <w:vAlign w:val="center"/>
          </w:tcPr>
          <w:p w14:paraId="6DD0AB3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A-03</w:t>
            </w:r>
          </w:p>
        </w:tc>
        <w:tc>
          <w:tcPr>
            <w:tcW w:w="440" w:type="pct"/>
            <w:noWrap/>
            <w:vAlign w:val="center"/>
          </w:tcPr>
          <w:p w14:paraId="706D700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祥兴社区</w:t>
            </w:r>
          </w:p>
        </w:tc>
        <w:tc>
          <w:tcPr>
            <w:tcW w:w="550" w:type="pct"/>
            <w:noWrap/>
            <w:vAlign w:val="center"/>
          </w:tcPr>
          <w:p w14:paraId="5AB4FF5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3.0</w:t>
            </w:r>
          </w:p>
        </w:tc>
        <w:tc>
          <w:tcPr>
            <w:tcW w:w="568" w:type="pct"/>
            <w:noWrap/>
            <w:vAlign w:val="center"/>
          </w:tcPr>
          <w:p w14:paraId="6919315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13D8DA4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2.8</w:t>
            </w:r>
          </w:p>
        </w:tc>
        <w:tc>
          <w:tcPr>
            <w:tcW w:w="550" w:type="pct"/>
            <w:noWrap/>
            <w:vAlign w:val="center"/>
          </w:tcPr>
          <w:p w14:paraId="381AA59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2.7</w:t>
            </w:r>
          </w:p>
        </w:tc>
        <w:tc>
          <w:tcPr>
            <w:tcW w:w="433" w:type="pct"/>
            <w:noWrap/>
            <w:vAlign w:val="center"/>
          </w:tcPr>
          <w:p w14:paraId="4513334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1F8307C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47349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5B739B3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5D5BA5D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3B84215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A-04</w:t>
            </w:r>
          </w:p>
        </w:tc>
        <w:tc>
          <w:tcPr>
            <w:tcW w:w="440" w:type="pct"/>
            <w:noWrap/>
            <w:vAlign w:val="center"/>
          </w:tcPr>
          <w:p w14:paraId="020EC6F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大鹏山社区</w:t>
            </w:r>
          </w:p>
        </w:tc>
        <w:tc>
          <w:tcPr>
            <w:tcW w:w="550" w:type="pct"/>
            <w:noWrap/>
            <w:vAlign w:val="center"/>
          </w:tcPr>
          <w:p w14:paraId="4CE0FBD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1.8</w:t>
            </w:r>
          </w:p>
        </w:tc>
        <w:tc>
          <w:tcPr>
            <w:tcW w:w="568" w:type="pct"/>
            <w:noWrap/>
            <w:vAlign w:val="center"/>
          </w:tcPr>
          <w:p w14:paraId="1A3AC57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7D9AAE5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1.7</w:t>
            </w:r>
          </w:p>
        </w:tc>
        <w:tc>
          <w:tcPr>
            <w:tcW w:w="550" w:type="pct"/>
            <w:noWrap/>
            <w:vAlign w:val="center"/>
          </w:tcPr>
          <w:p w14:paraId="3EC0288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1.6</w:t>
            </w:r>
          </w:p>
        </w:tc>
        <w:tc>
          <w:tcPr>
            <w:tcW w:w="433" w:type="pct"/>
            <w:noWrap/>
            <w:vAlign w:val="center"/>
          </w:tcPr>
          <w:p w14:paraId="2C6CD52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700FE3C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7018A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6082497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0184DEF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109CF8D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A-05</w:t>
            </w:r>
          </w:p>
        </w:tc>
        <w:tc>
          <w:tcPr>
            <w:tcW w:w="440" w:type="pct"/>
            <w:noWrap/>
            <w:vAlign w:val="center"/>
          </w:tcPr>
          <w:p w14:paraId="6624339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奎山西社区</w:t>
            </w:r>
          </w:p>
        </w:tc>
        <w:tc>
          <w:tcPr>
            <w:tcW w:w="550" w:type="pct"/>
            <w:noWrap/>
            <w:vAlign w:val="center"/>
          </w:tcPr>
          <w:p w14:paraId="7B30004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0.5</w:t>
            </w:r>
          </w:p>
        </w:tc>
        <w:tc>
          <w:tcPr>
            <w:tcW w:w="568" w:type="pct"/>
            <w:noWrap/>
            <w:vAlign w:val="center"/>
          </w:tcPr>
          <w:p w14:paraId="7382774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33D2667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0.5</w:t>
            </w:r>
          </w:p>
        </w:tc>
        <w:tc>
          <w:tcPr>
            <w:tcW w:w="550" w:type="pct"/>
            <w:noWrap/>
            <w:vAlign w:val="center"/>
          </w:tcPr>
          <w:p w14:paraId="7F3787B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0.5</w:t>
            </w:r>
          </w:p>
        </w:tc>
        <w:tc>
          <w:tcPr>
            <w:tcW w:w="433" w:type="pct"/>
            <w:noWrap/>
            <w:vAlign w:val="center"/>
          </w:tcPr>
          <w:p w14:paraId="4074346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2BB9A03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邻里商业中心</w:t>
            </w:r>
          </w:p>
        </w:tc>
      </w:tr>
      <w:tr w14:paraId="41105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0132434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320CC63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1B3037F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A-06</w:t>
            </w:r>
          </w:p>
        </w:tc>
        <w:tc>
          <w:tcPr>
            <w:tcW w:w="440" w:type="pct"/>
            <w:noWrap/>
            <w:vAlign w:val="center"/>
          </w:tcPr>
          <w:p w14:paraId="3A6249B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永昌社区</w:t>
            </w:r>
          </w:p>
        </w:tc>
        <w:tc>
          <w:tcPr>
            <w:tcW w:w="550" w:type="pct"/>
            <w:noWrap/>
            <w:vAlign w:val="center"/>
          </w:tcPr>
          <w:p w14:paraId="0D82363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1.4</w:t>
            </w:r>
          </w:p>
        </w:tc>
        <w:tc>
          <w:tcPr>
            <w:tcW w:w="568" w:type="pct"/>
            <w:noWrap/>
            <w:vAlign w:val="center"/>
          </w:tcPr>
          <w:p w14:paraId="2FBCBCF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7A43B0A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1.3</w:t>
            </w:r>
          </w:p>
        </w:tc>
        <w:tc>
          <w:tcPr>
            <w:tcW w:w="550" w:type="pct"/>
            <w:noWrap/>
            <w:vAlign w:val="center"/>
          </w:tcPr>
          <w:p w14:paraId="5795FE7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1.3</w:t>
            </w:r>
          </w:p>
        </w:tc>
        <w:tc>
          <w:tcPr>
            <w:tcW w:w="433" w:type="pct"/>
            <w:noWrap/>
            <w:vAlign w:val="center"/>
          </w:tcPr>
          <w:p w14:paraId="271F337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0FD2EC2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2114F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3470CB4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1EB3E99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66E5613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A-07</w:t>
            </w:r>
          </w:p>
        </w:tc>
        <w:tc>
          <w:tcPr>
            <w:tcW w:w="440" w:type="pct"/>
            <w:noWrap/>
            <w:vAlign w:val="center"/>
          </w:tcPr>
          <w:p w14:paraId="56166B5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联兴社区</w:t>
            </w:r>
          </w:p>
        </w:tc>
        <w:tc>
          <w:tcPr>
            <w:tcW w:w="550" w:type="pct"/>
            <w:noWrap/>
            <w:vAlign w:val="center"/>
          </w:tcPr>
          <w:p w14:paraId="5D1FC7C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1.9</w:t>
            </w:r>
          </w:p>
        </w:tc>
        <w:tc>
          <w:tcPr>
            <w:tcW w:w="568" w:type="pct"/>
            <w:noWrap/>
            <w:vAlign w:val="center"/>
          </w:tcPr>
          <w:p w14:paraId="401B4BC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6531954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1273051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52BC546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05DFE4A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由城市商业中心提供服务</w:t>
            </w:r>
          </w:p>
        </w:tc>
      </w:tr>
      <w:tr w14:paraId="65A09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48E77F9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71E3498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4199189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A-08</w:t>
            </w:r>
          </w:p>
        </w:tc>
        <w:tc>
          <w:tcPr>
            <w:tcW w:w="440" w:type="pct"/>
            <w:noWrap/>
            <w:vAlign w:val="center"/>
          </w:tcPr>
          <w:p w14:paraId="1AA7886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凤山社区</w:t>
            </w:r>
          </w:p>
        </w:tc>
        <w:tc>
          <w:tcPr>
            <w:tcW w:w="550" w:type="pct"/>
            <w:noWrap/>
            <w:vAlign w:val="center"/>
          </w:tcPr>
          <w:p w14:paraId="34062C7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1.4</w:t>
            </w:r>
          </w:p>
        </w:tc>
        <w:tc>
          <w:tcPr>
            <w:tcW w:w="568" w:type="pct"/>
            <w:noWrap/>
            <w:vAlign w:val="center"/>
          </w:tcPr>
          <w:p w14:paraId="0E6375D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3B1D638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1.4</w:t>
            </w:r>
          </w:p>
        </w:tc>
        <w:tc>
          <w:tcPr>
            <w:tcW w:w="550" w:type="pct"/>
            <w:noWrap/>
            <w:vAlign w:val="center"/>
          </w:tcPr>
          <w:p w14:paraId="6CA8D10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1.3</w:t>
            </w:r>
          </w:p>
        </w:tc>
        <w:tc>
          <w:tcPr>
            <w:tcW w:w="433" w:type="pct"/>
            <w:noWrap/>
            <w:vAlign w:val="center"/>
          </w:tcPr>
          <w:p w14:paraId="4C84987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66FCF67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社区商业街</w:t>
            </w:r>
          </w:p>
        </w:tc>
      </w:tr>
      <w:tr w14:paraId="38B4F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4C21BC9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247820C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2741054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A-09</w:t>
            </w:r>
          </w:p>
        </w:tc>
        <w:tc>
          <w:tcPr>
            <w:tcW w:w="440" w:type="pct"/>
            <w:noWrap/>
            <w:vAlign w:val="center"/>
          </w:tcPr>
          <w:p w14:paraId="414A4C2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玉台山社区</w:t>
            </w:r>
          </w:p>
        </w:tc>
        <w:tc>
          <w:tcPr>
            <w:tcW w:w="550" w:type="pct"/>
            <w:noWrap/>
            <w:vAlign w:val="center"/>
          </w:tcPr>
          <w:p w14:paraId="0861E95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1.1</w:t>
            </w:r>
          </w:p>
        </w:tc>
        <w:tc>
          <w:tcPr>
            <w:tcW w:w="568" w:type="pct"/>
            <w:noWrap/>
            <w:vAlign w:val="center"/>
          </w:tcPr>
          <w:p w14:paraId="1541051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7263C44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1.0</w:t>
            </w:r>
          </w:p>
        </w:tc>
        <w:tc>
          <w:tcPr>
            <w:tcW w:w="550" w:type="pct"/>
            <w:noWrap/>
            <w:vAlign w:val="center"/>
          </w:tcPr>
          <w:p w14:paraId="1DE5BBE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1.0</w:t>
            </w:r>
          </w:p>
        </w:tc>
        <w:tc>
          <w:tcPr>
            <w:tcW w:w="433" w:type="pct"/>
            <w:noWrap/>
            <w:vAlign w:val="center"/>
          </w:tcPr>
          <w:p w14:paraId="479C61F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076D3B7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2BC83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130AA66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1BDC719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1E2694A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A-10</w:t>
            </w:r>
          </w:p>
        </w:tc>
        <w:tc>
          <w:tcPr>
            <w:tcW w:w="440" w:type="pct"/>
            <w:noWrap/>
            <w:vAlign w:val="center"/>
          </w:tcPr>
          <w:p w14:paraId="23FA96E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和顺社区</w:t>
            </w:r>
          </w:p>
        </w:tc>
        <w:tc>
          <w:tcPr>
            <w:tcW w:w="550" w:type="pct"/>
            <w:noWrap/>
            <w:vAlign w:val="center"/>
          </w:tcPr>
          <w:p w14:paraId="755A3AA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1.6</w:t>
            </w:r>
          </w:p>
        </w:tc>
        <w:tc>
          <w:tcPr>
            <w:tcW w:w="568" w:type="pct"/>
            <w:noWrap/>
            <w:vAlign w:val="center"/>
          </w:tcPr>
          <w:p w14:paraId="06B087B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264315F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1.5</w:t>
            </w:r>
          </w:p>
        </w:tc>
        <w:tc>
          <w:tcPr>
            <w:tcW w:w="550" w:type="pct"/>
            <w:noWrap/>
            <w:vAlign w:val="center"/>
          </w:tcPr>
          <w:p w14:paraId="73D4300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1.5</w:t>
            </w:r>
          </w:p>
        </w:tc>
        <w:tc>
          <w:tcPr>
            <w:tcW w:w="433" w:type="pct"/>
            <w:noWrap/>
            <w:vAlign w:val="center"/>
          </w:tcPr>
          <w:p w14:paraId="27D84A8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7C8091F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社区商业街</w:t>
            </w:r>
          </w:p>
        </w:tc>
      </w:tr>
      <w:tr w14:paraId="212C1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71A867D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6C488D3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76277EF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A-11</w:t>
            </w:r>
          </w:p>
        </w:tc>
        <w:tc>
          <w:tcPr>
            <w:tcW w:w="440" w:type="pct"/>
            <w:noWrap/>
            <w:vAlign w:val="center"/>
          </w:tcPr>
          <w:p w14:paraId="3C165B9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林埔山社区</w:t>
            </w:r>
          </w:p>
        </w:tc>
        <w:tc>
          <w:tcPr>
            <w:tcW w:w="550" w:type="pct"/>
            <w:noWrap/>
            <w:vAlign w:val="center"/>
          </w:tcPr>
          <w:p w14:paraId="690DEF6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1.3</w:t>
            </w:r>
          </w:p>
        </w:tc>
        <w:tc>
          <w:tcPr>
            <w:tcW w:w="568" w:type="pct"/>
            <w:noWrap/>
            <w:vAlign w:val="center"/>
          </w:tcPr>
          <w:p w14:paraId="0DA74EA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24F0634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1.2</w:t>
            </w:r>
          </w:p>
        </w:tc>
        <w:tc>
          <w:tcPr>
            <w:tcW w:w="550" w:type="pct"/>
            <w:noWrap/>
            <w:vAlign w:val="center"/>
          </w:tcPr>
          <w:p w14:paraId="2D8A8D0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1.2</w:t>
            </w:r>
          </w:p>
        </w:tc>
        <w:tc>
          <w:tcPr>
            <w:tcW w:w="433" w:type="pct"/>
            <w:noWrap/>
            <w:vAlign w:val="center"/>
          </w:tcPr>
          <w:p w14:paraId="5FE7C35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03D12A0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7226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71CA3B9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restart"/>
            <w:noWrap w:val="0"/>
            <w:vAlign w:val="center"/>
          </w:tcPr>
          <w:p w14:paraId="63B4678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品清湖组团</w:t>
            </w:r>
          </w:p>
        </w:tc>
        <w:tc>
          <w:tcPr>
            <w:tcW w:w="408" w:type="pct"/>
            <w:noWrap/>
            <w:vAlign w:val="center"/>
          </w:tcPr>
          <w:p w14:paraId="373F3EF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A-12</w:t>
            </w:r>
          </w:p>
        </w:tc>
        <w:tc>
          <w:tcPr>
            <w:tcW w:w="440" w:type="pct"/>
            <w:noWrap/>
            <w:vAlign w:val="center"/>
          </w:tcPr>
          <w:p w14:paraId="67E6438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虎洞山社区</w:t>
            </w:r>
          </w:p>
        </w:tc>
        <w:tc>
          <w:tcPr>
            <w:tcW w:w="550" w:type="pct"/>
            <w:noWrap/>
            <w:vAlign w:val="center"/>
          </w:tcPr>
          <w:p w14:paraId="730DCDB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1.2</w:t>
            </w:r>
          </w:p>
        </w:tc>
        <w:tc>
          <w:tcPr>
            <w:tcW w:w="568" w:type="pct"/>
            <w:noWrap/>
            <w:vAlign w:val="center"/>
          </w:tcPr>
          <w:p w14:paraId="6E39888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27B9639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0.9</w:t>
            </w:r>
          </w:p>
        </w:tc>
        <w:tc>
          <w:tcPr>
            <w:tcW w:w="550" w:type="pct"/>
            <w:noWrap/>
            <w:vAlign w:val="center"/>
          </w:tcPr>
          <w:p w14:paraId="3B98BFA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1.0</w:t>
            </w:r>
          </w:p>
        </w:tc>
        <w:tc>
          <w:tcPr>
            <w:tcW w:w="433" w:type="pct"/>
            <w:noWrap/>
            <w:vAlign w:val="center"/>
          </w:tcPr>
          <w:p w14:paraId="337EF3D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622D43A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545EA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4E83369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6A39C06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5BDA7CC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A-13</w:t>
            </w:r>
          </w:p>
        </w:tc>
        <w:tc>
          <w:tcPr>
            <w:tcW w:w="440" w:type="pct"/>
            <w:noWrap/>
            <w:vAlign w:val="center"/>
          </w:tcPr>
          <w:p w14:paraId="39B3019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湖田社区</w:t>
            </w:r>
          </w:p>
        </w:tc>
        <w:tc>
          <w:tcPr>
            <w:tcW w:w="550" w:type="pct"/>
            <w:noWrap/>
            <w:vAlign w:val="center"/>
          </w:tcPr>
          <w:p w14:paraId="2E078EE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0.6</w:t>
            </w:r>
          </w:p>
        </w:tc>
        <w:tc>
          <w:tcPr>
            <w:tcW w:w="568" w:type="pct"/>
            <w:noWrap/>
            <w:vAlign w:val="center"/>
          </w:tcPr>
          <w:p w14:paraId="0154232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产业园区型</w:t>
            </w:r>
          </w:p>
        </w:tc>
        <w:tc>
          <w:tcPr>
            <w:tcW w:w="552" w:type="pct"/>
            <w:noWrap/>
            <w:vAlign w:val="center"/>
          </w:tcPr>
          <w:p w14:paraId="3C3B772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0.4</w:t>
            </w:r>
          </w:p>
        </w:tc>
        <w:tc>
          <w:tcPr>
            <w:tcW w:w="550" w:type="pct"/>
            <w:noWrap/>
            <w:vAlign w:val="center"/>
          </w:tcPr>
          <w:p w14:paraId="69A092F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0.4</w:t>
            </w:r>
          </w:p>
        </w:tc>
        <w:tc>
          <w:tcPr>
            <w:tcW w:w="433" w:type="pct"/>
            <w:noWrap/>
            <w:vAlign w:val="center"/>
          </w:tcPr>
          <w:p w14:paraId="3FA4CC2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3AAD257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社区商业街</w:t>
            </w:r>
          </w:p>
        </w:tc>
      </w:tr>
      <w:tr w14:paraId="769C0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3C4637A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4BF2FEA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06B537C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A-14</w:t>
            </w:r>
          </w:p>
        </w:tc>
        <w:tc>
          <w:tcPr>
            <w:tcW w:w="440" w:type="pct"/>
            <w:noWrap/>
            <w:vAlign w:val="center"/>
          </w:tcPr>
          <w:p w14:paraId="7A3D6D1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新湖社区</w:t>
            </w:r>
          </w:p>
        </w:tc>
        <w:tc>
          <w:tcPr>
            <w:tcW w:w="550" w:type="pct"/>
            <w:noWrap/>
            <w:vAlign w:val="center"/>
          </w:tcPr>
          <w:p w14:paraId="3CC2B9C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1.1</w:t>
            </w:r>
          </w:p>
        </w:tc>
        <w:tc>
          <w:tcPr>
            <w:tcW w:w="568" w:type="pct"/>
            <w:noWrap/>
            <w:vAlign w:val="center"/>
          </w:tcPr>
          <w:p w14:paraId="3A1D7F4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7E21ADD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043CBD0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6FDA8A3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34882E6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由城市商业中心提供服务</w:t>
            </w:r>
          </w:p>
        </w:tc>
      </w:tr>
      <w:tr w14:paraId="6D978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3A7E718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55AF0FC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4BEB3D9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A-15</w:t>
            </w:r>
          </w:p>
        </w:tc>
        <w:tc>
          <w:tcPr>
            <w:tcW w:w="440" w:type="pct"/>
            <w:noWrap/>
            <w:vAlign w:val="center"/>
          </w:tcPr>
          <w:p w14:paraId="1681DD6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金湖社区</w:t>
            </w:r>
          </w:p>
        </w:tc>
        <w:tc>
          <w:tcPr>
            <w:tcW w:w="550" w:type="pct"/>
            <w:noWrap/>
            <w:vAlign w:val="center"/>
          </w:tcPr>
          <w:p w14:paraId="42AB23B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3.2</w:t>
            </w:r>
          </w:p>
        </w:tc>
        <w:tc>
          <w:tcPr>
            <w:tcW w:w="568" w:type="pct"/>
            <w:noWrap/>
            <w:vAlign w:val="center"/>
          </w:tcPr>
          <w:p w14:paraId="0543F58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219C996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3.0</w:t>
            </w:r>
          </w:p>
        </w:tc>
        <w:tc>
          <w:tcPr>
            <w:tcW w:w="550" w:type="pct"/>
            <w:noWrap/>
            <w:vAlign w:val="center"/>
          </w:tcPr>
          <w:p w14:paraId="172D0A8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2.9</w:t>
            </w:r>
          </w:p>
        </w:tc>
        <w:tc>
          <w:tcPr>
            <w:tcW w:w="433" w:type="pct"/>
            <w:noWrap/>
            <w:vAlign w:val="center"/>
          </w:tcPr>
          <w:p w14:paraId="075F251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2D29403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3D079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56F160A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36852A9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0898FA9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A-16</w:t>
            </w:r>
          </w:p>
        </w:tc>
        <w:tc>
          <w:tcPr>
            <w:tcW w:w="440" w:type="pct"/>
            <w:noWrap/>
            <w:vAlign w:val="center"/>
          </w:tcPr>
          <w:p w14:paraId="15578B7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东涌社区</w:t>
            </w:r>
          </w:p>
        </w:tc>
        <w:tc>
          <w:tcPr>
            <w:tcW w:w="550" w:type="pct"/>
            <w:noWrap/>
            <w:vAlign w:val="center"/>
          </w:tcPr>
          <w:p w14:paraId="1B33E13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3.1</w:t>
            </w:r>
          </w:p>
        </w:tc>
        <w:tc>
          <w:tcPr>
            <w:tcW w:w="568" w:type="pct"/>
            <w:noWrap/>
            <w:vAlign w:val="center"/>
          </w:tcPr>
          <w:p w14:paraId="4616267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69C7C4D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2.9</w:t>
            </w:r>
          </w:p>
        </w:tc>
        <w:tc>
          <w:tcPr>
            <w:tcW w:w="550" w:type="pct"/>
            <w:noWrap/>
            <w:vAlign w:val="center"/>
          </w:tcPr>
          <w:p w14:paraId="7BD3633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2.8</w:t>
            </w:r>
          </w:p>
        </w:tc>
        <w:tc>
          <w:tcPr>
            <w:tcW w:w="433" w:type="pct"/>
            <w:noWrap/>
            <w:vAlign w:val="center"/>
          </w:tcPr>
          <w:p w14:paraId="1BFB95E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65D385D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15953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1A47334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743CC59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14FEF3F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A-17</w:t>
            </w:r>
          </w:p>
        </w:tc>
        <w:tc>
          <w:tcPr>
            <w:tcW w:w="440" w:type="pct"/>
            <w:noWrap/>
            <w:vAlign w:val="center"/>
          </w:tcPr>
          <w:p w14:paraId="4D5E26D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四清围社区</w:t>
            </w:r>
          </w:p>
        </w:tc>
        <w:tc>
          <w:tcPr>
            <w:tcW w:w="550" w:type="pct"/>
            <w:noWrap/>
            <w:vAlign w:val="center"/>
          </w:tcPr>
          <w:p w14:paraId="70D00CA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2.8</w:t>
            </w:r>
          </w:p>
        </w:tc>
        <w:tc>
          <w:tcPr>
            <w:tcW w:w="568" w:type="pct"/>
            <w:noWrap/>
            <w:vAlign w:val="center"/>
          </w:tcPr>
          <w:p w14:paraId="18BFBF9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1D596C8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2.6</w:t>
            </w:r>
          </w:p>
        </w:tc>
        <w:tc>
          <w:tcPr>
            <w:tcW w:w="550" w:type="pct"/>
            <w:noWrap/>
            <w:vAlign w:val="center"/>
          </w:tcPr>
          <w:p w14:paraId="37E1721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2.5</w:t>
            </w:r>
          </w:p>
        </w:tc>
        <w:tc>
          <w:tcPr>
            <w:tcW w:w="433" w:type="pct"/>
            <w:noWrap/>
            <w:vAlign w:val="center"/>
          </w:tcPr>
          <w:p w14:paraId="6982E55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0360607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2DC14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771C467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restart"/>
            <w:noWrap w:val="0"/>
            <w:vAlign w:val="center"/>
          </w:tcPr>
          <w:p w14:paraId="6044B14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站前组团</w:t>
            </w:r>
          </w:p>
        </w:tc>
        <w:tc>
          <w:tcPr>
            <w:tcW w:w="408" w:type="pct"/>
            <w:noWrap/>
            <w:vAlign w:val="center"/>
          </w:tcPr>
          <w:p w14:paraId="30D892A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A-18</w:t>
            </w:r>
          </w:p>
        </w:tc>
        <w:tc>
          <w:tcPr>
            <w:tcW w:w="440" w:type="pct"/>
            <w:noWrap/>
            <w:vAlign w:val="center"/>
          </w:tcPr>
          <w:p w14:paraId="6A0D0B4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品清北社区</w:t>
            </w:r>
          </w:p>
        </w:tc>
        <w:tc>
          <w:tcPr>
            <w:tcW w:w="550" w:type="pct"/>
            <w:noWrap/>
            <w:vAlign w:val="center"/>
          </w:tcPr>
          <w:p w14:paraId="7A99389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2.3</w:t>
            </w:r>
          </w:p>
        </w:tc>
        <w:tc>
          <w:tcPr>
            <w:tcW w:w="568" w:type="pct"/>
            <w:noWrap/>
            <w:vAlign w:val="center"/>
          </w:tcPr>
          <w:p w14:paraId="5C6CF83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605B4B3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7739EC4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3A592C0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586B5AF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由城市商业中心提供服务</w:t>
            </w:r>
          </w:p>
        </w:tc>
      </w:tr>
      <w:tr w14:paraId="40783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17208A2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683520D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26474D8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A-19</w:t>
            </w:r>
          </w:p>
        </w:tc>
        <w:tc>
          <w:tcPr>
            <w:tcW w:w="440" w:type="pct"/>
            <w:noWrap/>
            <w:vAlign w:val="center"/>
          </w:tcPr>
          <w:p w14:paraId="0F856A1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虎兰埔社区</w:t>
            </w:r>
          </w:p>
        </w:tc>
        <w:tc>
          <w:tcPr>
            <w:tcW w:w="550" w:type="pct"/>
            <w:noWrap/>
            <w:vAlign w:val="center"/>
          </w:tcPr>
          <w:p w14:paraId="40C34A1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3.1</w:t>
            </w:r>
          </w:p>
        </w:tc>
        <w:tc>
          <w:tcPr>
            <w:tcW w:w="568" w:type="pct"/>
            <w:noWrap/>
            <w:vAlign w:val="center"/>
          </w:tcPr>
          <w:p w14:paraId="114E3D3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5FFB641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2.9</w:t>
            </w:r>
          </w:p>
        </w:tc>
        <w:tc>
          <w:tcPr>
            <w:tcW w:w="550" w:type="pct"/>
            <w:noWrap/>
            <w:vAlign w:val="center"/>
          </w:tcPr>
          <w:p w14:paraId="06A1304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2.8</w:t>
            </w:r>
          </w:p>
        </w:tc>
        <w:tc>
          <w:tcPr>
            <w:tcW w:w="433" w:type="pct"/>
            <w:noWrap/>
            <w:vAlign w:val="center"/>
          </w:tcPr>
          <w:p w14:paraId="57CE3BB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7C7AA1C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3A8FA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3750D67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noWrap w:val="0"/>
            <w:vAlign w:val="center"/>
          </w:tcPr>
          <w:p w14:paraId="18A8CED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石洲组团</w:t>
            </w:r>
          </w:p>
        </w:tc>
        <w:tc>
          <w:tcPr>
            <w:tcW w:w="408" w:type="pct"/>
            <w:noWrap/>
            <w:vAlign w:val="center"/>
          </w:tcPr>
          <w:p w14:paraId="138AB76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A-20</w:t>
            </w:r>
          </w:p>
        </w:tc>
        <w:tc>
          <w:tcPr>
            <w:tcW w:w="440" w:type="pct"/>
            <w:noWrap/>
            <w:vAlign w:val="center"/>
          </w:tcPr>
          <w:p w14:paraId="6F35401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石洲社区</w:t>
            </w:r>
          </w:p>
        </w:tc>
        <w:tc>
          <w:tcPr>
            <w:tcW w:w="550" w:type="pct"/>
            <w:noWrap/>
            <w:vAlign w:val="center"/>
          </w:tcPr>
          <w:p w14:paraId="63340EE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4.9</w:t>
            </w:r>
          </w:p>
        </w:tc>
        <w:tc>
          <w:tcPr>
            <w:tcW w:w="568" w:type="pct"/>
            <w:noWrap/>
            <w:vAlign w:val="center"/>
          </w:tcPr>
          <w:p w14:paraId="25F6E9A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城市居住区型</w:t>
            </w:r>
          </w:p>
        </w:tc>
        <w:tc>
          <w:tcPr>
            <w:tcW w:w="552" w:type="pct"/>
            <w:noWrap/>
            <w:vAlign w:val="center"/>
          </w:tcPr>
          <w:p w14:paraId="35D492F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03F3BAF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47011DE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61C20B9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r w14:paraId="6CEB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restart"/>
            <w:noWrap w:val="0"/>
            <w:vAlign w:val="center"/>
          </w:tcPr>
          <w:p w14:paraId="2E5649F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红海湾</w:t>
            </w:r>
          </w:p>
          <w:p w14:paraId="030BA59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经开区</w:t>
            </w:r>
          </w:p>
        </w:tc>
        <w:tc>
          <w:tcPr>
            <w:tcW w:w="358" w:type="pct"/>
            <w:vMerge w:val="restart"/>
            <w:noWrap w:val="0"/>
            <w:vAlign w:val="center"/>
          </w:tcPr>
          <w:p w14:paraId="4A95985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田墘组团</w:t>
            </w:r>
          </w:p>
        </w:tc>
        <w:tc>
          <w:tcPr>
            <w:tcW w:w="408" w:type="pct"/>
            <w:noWrap/>
            <w:vAlign w:val="center"/>
          </w:tcPr>
          <w:p w14:paraId="643440C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B-01</w:t>
            </w:r>
          </w:p>
        </w:tc>
        <w:tc>
          <w:tcPr>
            <w:tcW w:w="440" w:type="pct"/>
            <w:noWrap/>
            <w:vAlign w:val="center"/>
          </w:tcPr>
          <w:p w14:paraId="53FA00D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塔岭社区</w:t>
            </w:r>
          </w:p>
        </w:tc>
        <w:tc>
          <w:tcPr>
            <w:tcW w:w="550" w:type="pct"/>
            <w:noWrap/>
            <w:vAlign w:val="center"/>
          </w:tcPr>
          <w:p w14:paraId="3583088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2.0</w:t>
            </w:r>
          </w:p>
        </w:tc>
        <w:tc>
          <w:tcPr>
            <w:tcW w:w="568" w:type="pct"/>
            <w:noWrap/>
            <w:vAlign w:val="center"/>
          </w:tcPr>
          <w:p w14:paraId="1840FBA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1F752A0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162FF01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191BDF3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7E24373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r w14:paraId="716BA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3E37A20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11C7963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3F238AA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B-02</w:t>
            </w:r>
          </w:p>
        </w:tc>
        <w:tc>
          <w:tcPr>
            <w:tcW w:w="440" w:type="pct"/>
            <w:noWrap/>
            <w:vAlign w:val="center"/>
          </w:tcPr>
          <w:p w14:paraId="051E32D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田墘社区</w:t>
            </w:r>
          </w:p>
        </w:tc>
        <w:tc>
          <w:tcPr>
            <w:tcW w:w="550" w:type="pct"/>
            <w:noWrap/>
            <w:vAlign w:val="center"/>
          </w:tcPr>
          <w:p w14:paraId="7924B89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2.4</w:t>
            </w:r>
          </w:p>
        </w:tc>
        <w:tc>
          <w:tcPr>
            <w:tcW w:w="568" w:type="pct"/>
            <w:noWrap/>
            <w:vAlign w:val="center"/>
          </w:tcPr>
          <w:p w14:paraId="2AE7D5E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546E053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1.8</w:t>
            </w:r>
          </w:p>
        </w:tc>
        <w:tc>
          <w:tcPr>
            <w:tcW w:w="550" w:type="pct"/>
            <w:noWrap/>
            <w:vAlign w:val="center"/>
          </w:tcPr>
          <w:p w14:paraId="20FDE80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1.9</w:t>
            </w:r>
          </w:p>
        </w:tc>
        <w:tc>
          <w:tcPr>
            <w:tcW w:w="433" w:type="pct"/>
            <w:noWrap/>
            <w:vAlign w:val="center"/>
          </w:tcPr>
          <w:p w14:paraId="138EC14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6AE96FC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5F932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567D461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restart"/>
            <w:noWrap w:val="0"/>
            <w:vAlign w:val="center"/>
          </w:tcPr>
          <w:p w14:paraId="3135F49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红海湾组团</w:t>
            </w:r>
          </w:p>
        </w:tc>
        <w:tc>
          <w:tcPr>
            <w:tcW w:w="408" w:type="pct"/>
            <w:noWrap/>
            <w:vAlign w:val="center"/>
          </w:tcPr>
          <w:p w14:paraId="18F343A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C-01</w:t>
            </w:r>
          </w:p>
        </w:tc>
        <w:tc>
          <w:tcPr>
            <w:tcW w:w="440" w:type="pct"/>
            <w:noWrap/>
            <w:vAlign w:val="center"/>
          </w:tcPr>
          <w:p w14:paraId="2707FEF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东洲社区</w:t>
            </w:r>
          </w:p>
        </w:tc>
        <w:tc>
          <w:tcPr>
            <w:tcW w:w="550" w:type="pct"/>
            <w:noWrap/>
            <w:vAlign w:val="center"/>
          </w:tcPr>
          <w:p w14:paraId="7FBC0AB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1.9</w:t>
            </w:r>
          </w:p>
        </w:tc>
        <w:tc>
          <w:tcPr>
            <w:tcW w:w="568" w:type="pct"/>
            <w:noWrap/>
            <w:vAlign w:val="center"/>
          </w:tcPr>
          <w:p w14:paraId="38E115C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33E7CC5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1.4</w:t>
            </w:r>
          </w:p>
        </w:tc>
        <w:tc>
          <w:tcPr>
            <w:tcW w:w="550" w:type="pct"/>
            <w:noWrap/>
            <w:vAlign w:val="center"/>
          </w:tcPr>
          <w:p w14:paraId="467A1F0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1.5</w:t>
            </w:r>
          </w:p>
        </w:tc>
        <w:tc>
          <w:tcPr>
            <w:tcW w:w="433" w:type="pct"/>
            <w:noWrap/>
            <w:vAlign w:val="center"/>
          </w:tcPr>
          <w:p w14:paraId="1BF616B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0AFC9F9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65166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07C5AC4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23EECB7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4EFDBD4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C-02</w:t>
            </w:r>
          </w:p>
        </w:tc>
        <w:tc>
          <w:tcPr>
            <w:tcW w:w="440" w:type="pct"/>
            <w:noWrap/>
            <w:vAlign w:val="center"/>
          </w:tcPr>
          <w:p w14:paraId="603A97C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水龟寮社区</w:t>
            </w:r>
          </w:p>
        </w:tc>
        <w:tc>
          <w:tcPr>
            <w:tcW w:w="550" w:type="pct"/>
            <w:noWrap/>
            <w:vAlign w:val="center"/>
          </w:tcPr>
          <w:p w14:paraId="4B4D571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3.5</w:t>
            </w:r>
          </w:p>
        </w:tc>
        <w:tc>
          <w:tcPr>
            <w:tcW w:w="568" w:type="pct"/>
            <w:noWrap/>
            <w:vAlign w:val="center"/>
          </w:tcPr>
          <w:p w14:paraId="725A4FB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0D00EC2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3420AD9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7D79E4B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4131141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r w14:paraId="7D7A7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restart"/>
            <w:noWrap w:val="0"/>
            <w:vAlign w:val="center"/>
          </w:tcPr>
          <w:p w14:paraId="301FAD5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lang w:eastAsia="zh-CN"/>
              </w:rPr>
              <w:t>其他</w:t>
            </w:r>
          </w:p>
        </w:tc>
        <w:tc>
          <w:tcPr>
            <w:tcW w:w="358" w:type="pct"/>
            <w:vMerge w:val="restart"/>
            <w:noWrap w:val="0"/>
            <w:vAlign w:val="center"/>
          </w:tcPr>
          <w:p w14:paraId="68DB081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马宫组团</w:t>
            </w:r>
          </w:p>
        </w:tc>
        <w:tc>
          <w:tcPr>
            <w:tcW w:w="408" w:type="pct"/>
            <w:noWrap/>
            <w:vAlign w:val="center"/>
          </w:tcPr>
          <w:p w14:paraId="27FE9A3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D-01</w:t>
            </w:r>
          </w:p>
        </w:tc>
        <w:tc>
          <w:tcPr>
            <w:tcW w:w="440" w:type="pct"/>
            <w:noWrap/>
            <w:vAlign w:val="center"/>
          </w:tcPr>
          <w:p w14:paraId="78D3D4D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马宫社区</w:t>
            </w:r>
          </w:p>
        </w:tc>
        <w:tc>
          <w:tcPr>
            <w:tcW w:w="550" w:type="pct"/>
            <w:noWrap/>
            <w:vAlign w:val="center"/>
          </w:tcPr>
          <w:p w14:paraId="53F3C81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1.5</w:t>
            </w:r>
          </w:p>
        </w:tc>
        <w:tc>
          <w:tcPr>
            <w:tcW w:w="568" w:type="pct"/>
            <w:noWrap/>
            <w:vAlign w:val="center"/>
          </w:tcPr>
          <w:p w14:paraId="5742C51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0F397F4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0.9</w:t>
            </w:r>
          </w:p>
        </w:tc>
        <w:tc>
          <w:tcPr>
            <w:tcW w:w="550" w:type="pct"/>
            <w:noWrap/>
            <w:vAlign w:val="center"/>
          </w:tcPr>
          <w:p w14:paraId="0A932D9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1.0</w:t>
            </w:r>
          </w:p>
        </w:tc>
        <w:tc>
          <w:tcPr>
            <w:tcW w:w="433" w:type="pct"/>
            <w:noWrap/>
            <w:vAlign w:val="center"/>
          </w:tcPr>
          <w:p w14:paraId="00A3CB2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优化</w:t>
            </w:r>
          </w:p>
        </w:tc>
        <w:tc>
          <w:tcPr>
            <w:tcW w:w="824" w:type="pct"/>
            <w:noWrap/>
            <w:vAlign w:val="center"/>
          </w:tcPr>
          <w:p w14:paraId="75EFC9B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5B11C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232E44E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7B335EF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0760564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D-02</w:t>
            </w:r>
          </w:p>
        </w:tc>
        <w:tc>
          <w:tcPr>
            <w:tcW w:w="440" w:type="pct"/>
            <w:noWrap/>
            <w:vAlign w:val="center"/>
          </w:tcPr>
          <w:p w14:paraId="66E27FE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新北社区</w:t>
            </w:r>
          </w:p>
        </w:tc>
        <w:tc>
          <w:tcPr>
            <w:tcW w:w="550" w:type="pct"/>
            <w:noWrap/>
            <w:vAlign w:val="center"/>
          </w:tcPr>
          <w:p w14:paraId="301EE59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2.0</w:t>
            </w:r>
          </w:p>
        </w:tc>
        <w:tc>
          <w:tcPr>
            <w:tcW w:w="568" w:type="pct"/>
            <w:noWrap/>
            <w:vAlign w:val="center"/>
          </w:tcPr>
          <w:p w14:paraId="77E3810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0AFE2801">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77BE272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609475D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4592B24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r w14:paraId="6205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273A36F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restart"/>
            <w:noWrap w:val="0"/>
            <w:vAlign w:val="center"/>
          </w:tcPr>
          <w:p w14:paraId="7D1181C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红草组团</w:t>
            </w:r>
          </w:p>
        </w:tc>
        <w:tc>
          <w:tcPr>
            <w:tcW w:w="408" w:type="pct"/>
            <w:noWrap/>
            <w:vAlign w:val="center"/>
          </w:tcPr>
          <w:p w14:paraId="6C0384F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E-01</w:t>
            </w:r>
          </w:p>
        </w:tc>
        <w:tc>
          <w:tcPr>
            <w:tcW w:w="440" w:type="pct"/>
            <w:noWrap/>
            <w:vAlign w:val="center"/>
          </w:tcPr>
          <w:p w14:paraId="4D68D93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径口社区</w:t>
            </w:r>
          </w:p>
        </w:tc>
        <w:tc>
          <w:tcPr>
            <w:tcW w:w="550" w:type="pct"/>
            <w:noWrap/>
            <w:vAlign w:val="center"/>
          </w:tcPr>
          <w:p w14:paraId="2F3C53E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1.8</w:t>
            </w:r>
          </w:p>
        </w:tc>
        <w:tc>
          <w:tcPr>
            <w:tcW w:w="568" w:type="pct"/>
            <w:noWrap/>
            <w:vAlign w:val="center"/>
          </w:tcPr>
          <w:p w14:paraId="4CEC779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产业园区型</w:t>
            </w:r>
          </w:p>
        </w:tc>
        <w:tc>
          <w:tcPr>
            <w:tcW w:w="552" w:type="pct"/>
            <w:noWrap/>
            <w:vAlign w:val="center"/>
          </w:tcPr>
          <w:p w14:paraId="397025E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1.1</w:t>
            </w:r>
          </w:p>
        </w:tc>
        <w:tc>
          <w:tcPr>
            <w:tcW w:w="550" w:type="pct"/>
            <w:noWrap/>
            <w:vAlign w:val="center"/>
          </w:tcPr>
          <w:p w14:paraId="092F1AA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1.3</w:t>
            </w:r>
          </w:p>
        </w:tc>
        <w:tc>
          <w:tcPr>
            <w:tcW w:w="433" w:type="pct"/>
            <w:noWrap/>
            <w:vAlign w:val="center"/>
          </w:tcPr>
          <w:p w14:paraId="05F61C1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0E3FB09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79734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1819ABA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19EE736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2AB2C42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ascii="幼圆" w:hAnsi="宋体" w:eastAsia="幼圆" w:cs="宋体"/>
                <w:kern w:val="0"/>
                <w:sz w:val="24"/>
                <w:szCs w:val="24"/>
              </w:rPr>
            </w:pPr>
            <w:r>
              <w:rPr>
                <w:rFonts w:ascii="幼圆" w:hAnsi="宋体" w:eastAsia="幼圆" w:cs="宋体"/>
                <w:kern w:val="0"/>
                <w:sz w:val="24"/>
                <w:szCs w:val="24"/>
              </w:rPr>
              <w:t>E-02</w:t>
            </w:r>
          </w:p>
        </w:tc>
        <w:tc>
          <w:tcPr>
            <w:tcW w:w="440" w:type="pct"/>
            <w:noWrap/>
            <w:vAlign w:val="center"/>
          </w:tcPr>
          <w:p w14:paraId="4E0B79A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亚洲社区</w:t>
            </w:r>
          </w:p>
        </w:tc>
        <w:tc>
          <w:tcPr>
            <w:tcW w:w="550" w:type="pct"/>
            <w:noWrap/>
            <w:vAlign w:val="center"/>
          </w:tcPr>
          <w:p w14:paraId="40DCC98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1.0</w:t>
            </w:r>
          </w:p>
        </w:tc>
        <w:tc>
          <w:tcPr>
            <w:tcW w:w="568" w:type="pct"/>
            <w:noWrap/>
            <w:vAlign w:val="center"/>
          </w:tcPr>
          <w:p w14:paraId="1457BE9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产业园区型</w:t>
            </w:r>
          </w:p>
        </w:tc>
        <w:tc>
          <w:tcPr>
            <w:tcW w:w="552" w:type="pct"/>
            <w:noWrap/>
            <w:vAlign w:val="center"/>
          </w:tcPr>
          <w:p w14:paraId="6E98BB4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0.6</w:t>
            </w:r>
          </w:p>
        </w:tc>
        <w:tc>
          <w:tcPr>
            <w:tcW w:w="550" w:type="pct"/>
            <w:noWrap/>
            <w:vAlign w:val="center"/>
          </w:tcPr>
          <w:p w14:paraId="4FCA378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0.7</w:t>
            </w:r>
          </w:p>
        </w:tc>
        <w:tc>
          <w:tcPr>
            <w:tcW w:w="433" w:type="pct"/>
            <w:noWrap/>
            <w:vAlign w:val="center"/>
          </w:tcPr>
          <w:p w14:paraId="7F9A43C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5D36081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超市+社区商业街</w:t>
            </w:r>
          </w:p>
        </w:tc>
      </w:tr>
      <w:tr w14:paraId="221C5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56BBEF8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68458B0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39ACE508">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ascii="幼圆" w:hAnsi="宋体" w:eastAsia="幼圆" w:cs="宋体"/>
                <w:kern w:val="0"/>
                <w:sz w:val="24"/>
                <w:szCs w:val="24"/>
              </w:rPr>
            </w:pPr>
            <w:r>
              <w:rPr>
                <w:rFonts w:ascii="幼圆" w:hAnsi="宋体" w:eastAsia="幼圆" w:cs="宋体"/>
                <w:kern w:val="0"/>
                <w:sz w:val="24"/>
                <w:szCs w:val="24"/>
              </w:rPr>
              <w:t>E-03</w:t>
            </w:r>
          </w:p>
        </w:tc>
        <w:tc>
          <w:tcPr>
            <w:tcW w:w="440" w:type="pct"/>
            <w:noWrap/>
            <w:vAlign w:val="center"/>
          </w:tcPr>
          <w:p w14:paraId="3DB9272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三和社区</w:t>
            </w:r>
          </w:p>
        </w:tc>
        <w:tc>
          <w:tcPr>
            <w:tcW w:w="550" w:type="pct"/>
            <w:noWrap/>
            <w:vAlign w:val="center"/>
          </w:tcPr>
          <w:p w14:paraId="023F0B1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1.7</w:t>
            </w:r>
          </w:p>
        </w:tc>
        <w:tc>
          <w:tcPr>
            <w:tcW w:w="568" w:type="pct"/>
            <w:noWrap/>
            <w:vAlign w:val="center"/>
          </w:tcPr>
          <w:p w14:paraId="260B3FB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102456E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20B82CB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198D8C3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3501CEA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r w14:paraId="64B01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3FD8585D">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vMerge w:val="continue"/>
            <w:noWrap w:val="0"/>
            <w:vAlign w:val="center"/>
          </w:tcPr>
          <w:p w14:paraId="6C5CE8B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408" w:type="pct"/>
            <w:noWrap/>
            <w:vAlign w:val="center"/>
          </w:tcPr>
          <w:p w14:paraId="1D0438B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ascii="幼圆" w:hAnsi="宋体" w:eastAsia="幼圆" w:cs="宋体"/>
                <w:kern w:val="0"/>
                <w:sz w:val="24"/>
                <w:szCs w:val="24"/>
              </w:rPr>
            </w:pPr>
            <w:r>
              <w:rPr>
                <w:rFonts w:ascii="幼圆" w:hAnsi="宋体" w:eastAsia="幼圆" w:cs="宋体"/>
                <w:kern w:val="0"/>
                <w:sz w:val="24"/>
                <w:szCs w:val="24"/>
              </w:rPr>
              <w:t>E-04</w:t>
            </w:r>
          </w:p>
        </w:tc>
        <w:tc>
          <w:tcPr>
            <w:tcW w:w="440" w:type="pct"/>
            <w:noWrap/>
            <w:vAlign w:val="center"/>
          </w:tcPr>
          <w:p w14:paraId="453E879B">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西河社区</w:t>
            </w:r>
          </w:p>
        </w:tc>
        <w:tc>
          <w:tcPr>
            <w:tcW w:w="550" w:type="pct"/>
            <w:noWrap/>
            <w:vAlign w:val="center"/>
          </w:tcPr>
          <w:p w14:paraId="714061A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0.7</w:t>
            </w:r>
          </w:p>
        </w:tc>
        <w:tc>
          <w:tcPr>
            <w:tcW w:w="568" w:type="pct"/>
            <w:noWrap/>
            <w:vAlign w:val="center"/>
          </w:tcPr>
          <w:p w14:paraId="075F181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产业园区型</w:t>
            </w:r>
          </w:p>
        </w:tc>
        <w:tc>
          <w:tcPr>
            <w:tcW w:w="552" w:type="pct"/>
            <w:noWrap/>
            <w:vAlign w:val="center"/>
          </w:tcPr>
          <w:p w14:paraId="04FC4DD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0.4</w:t>
            </w:r>
          </w:p>
        </w:tc>
        <w:tc>
          <w:tcPr>
            <w:tcW w:w="550" w:type="pct"/>
            <w:noWrap/>
            <w:vAlign w:val="center"/>
          </w:tcPr>
          <w:p w14:paraId="63A31D59">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0.5</w:t>
            </w:r>
          </w:p>
        </w:tc>
        <w:tc>
          <w:tcPr>
            <w:tcW w:w="433" w:type="pct"/>
            <w:noWrap/>
            <w:vAlign w:val="center"/>
          </w:tcPr>
          <w:p w14:paraId="41EC88B4">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新建</w:t>
            </w:r>
          </w:p>
        </w:tc>
        <w:tc>
          <w:tcPr>
            <w:tcW w:w="824" w:type="pct"/>
            <w:noWrap/>
            <w:vAlign w:val="center"/>
          </w:tcPr>
          <w:p w14:paraId="20AFAD97">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邻里商业中心</w:t>
            </w:r>
          </w:p>
        </w:tc>
      </w:tr>
      <w:tr w14:paraId="42157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14" w:type="pct"/>
            <w:vMerge w:val="continue"/>
            <w:noWrap w:val="0"/>
            <w:vAlign w:val="center"/>
          </w:tcPr>
          <w:p w14:paraId="6486694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p>
        </w:tc>
        <w:tc>
          <w:tcPr>
            <w:tcW w:w="358" w:type="pct"/>
            <w:noWrap w:val="0"/>
            <w:vAlign w:val="center"/>
          </w:tcPr>
          <w:p w14:paraId="63A61710">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捷胜组团</w:t>
            </w:r>
          </w:p>
        </w:tc>
        <w:tc>
          <w:tcPr>
            <w:tcW w:w="408" w:type="pct"/>
            <w:noWrap/>
            <w:vAlign w:val="center"/>
          </w:tcPr>
          <w:p w14:paraId="089DFFC2">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F-01</w:t>
            </w:r>
          </w:p>
        </w:tc>
        <w:tc>
          <w:tcPr>
            <w:tcW w:w="440" w:type="pct"/>
            <w:noWrap/>
            <w:vAlign w:val="center"/>
          </w:tcPr>
          <w:p w14:paraId="5394E9A6">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捷胜社区</w:t>
            </w:r>
          </w:p>
        </w:tc>
        <w:tc>
          <w:tcPr>
            <w:tcW w:w="550" w:type="pct"/>
            <w:noWrap/>
            <w:vAlign w:val="center"/>
          </w:tcPr>
          <w:p w14:paraId="39FB3C83">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2.8</w:t>
            </w:r>
          </w:p>
        </w:tc>
        <w:tc>
          <w:tcPr>
            <w:tcW w:w="568" w:type="pct"/>
            <w:noWrap/>
            <w:vAlign w:val="center"/>
          </w:tcPr>
          <w:p w14:paraId="486630A5">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混合功能型</w:t>
            </w:r>
          </w:p>
        </w:tc>
        <w:tc>
          <w:tcPr>
            <w:tcW w:w="552" w:type="pct"/>
            <w:noWrap/>
            <w:vAlign w:val="center"/>
          </w:tcPr>
          <w:p w14:paraId="3A0DED3C">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550" w:type="pct"/>
            <w:noWrap/>
            <w:vAlign w:val="center"/>
          </w:tcPr>
          <w:p w14:paraId="781CAA5E">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433" w:type="pct"/>
            <w:noWrap/>
            <w:vAlign w:val="center"/>
          </w:tcPr>
          <w:p w14:paraId="4456B8DF">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w:t>
            </w:r>
          </w:p>
        </w:tc>
        <w:tc>
          <w:tcPr>
            <w:tcW w:w="824" w:type="pct"/>
            <w:noWrap/>
            <w:vAlign w:val="center"/>
          </w:tcPr>
          <w:p w14:paraId="25843A3A">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由组团商业中心提供服务</w:t>
            </w:r>
          </w:p>
        </w:tc>
      </w:tr>
    </w:tbl>
    <w:p w14:paraId="40A3C28C">
      <w:pPr>
        <w:spacing w:after="100" w:afterAutospacing="1"/>
        <w:jc w:val="left"/>
        <w:rPr>
          <w:rFonts w:hint="eastAsia" w:ascii="幼圆" w:eastAsia="幼圆"/>
          <w:color w:val="000000"/>
          <w:szCs w:val="21"/>
        </w:rPr>
      </w:pPr>
      <w:r>
        <w:rPr>
          <w:rFonts w:hint="eastAsia" w:ascii="幼圆" w:eastAsia="幼圆"/>
          <w:color w:val="000000"/>
          <w:szCs w:val="21"/>
        </w:rPr>
        <w:t>注：上表中“商业用地</w:t>
      </w:r>
      <w:r>
        <w:rPr>
          <w:rFonts w:hint="eastAsia" w:ascii="幼圆" w:eastAsia="幼圆"/>
          <w:color w:val="000000"/>
          <w:szCs w:val="21"/>
          <w:lang w:eastAsia="zh-CN"/>
        </w:rPr>
        <w:t>”“</w:t>
      </w:r>
      <w:r>
        <w:rPr>
          <w:rFonts w:hint="eastAsia" w:ascii="幼圆" w:eastAsia="幼圆"/>
          <w:color w:val="000000"/>
          <w:szCs w:val="21"/>
        </w:rPr>
        <w:t>营业面积”不计为区域服务的酒店、商务办公、专业商业街等商业服务设施。</w:t>
      </w:r>
    </w:p>
    <w:p w14:paraId="4A6D1FDA">
      <w:pPr>
        <w:spacing w:after="100" w:afterAutospacing="1"/>
        <w:jc w:val="left"/>
        <w:rPr>
          <w:rFonts w:ascii="幼圆" w:eastAsia="幼圆"/>
          <w:color w:val="000000"/>
          <w:szCs w:val="21"/>
        </w:rPr>
        <w:sectPr>
          <w:pgSz w:w="23814" w:h="16840" w:orient="landscape"/>
          <w:pgMar w:top="1985" w:right="1985" w:bottom="1701" w:left="1985" w:header="851" w:footer="992" w:gutter="0"/>
          <w:pgNumType w:fmt="decimal"/>
          <w:cols w:space="720" w:num="1"/>
          <w:docGrid w:linePitch="312" w:charSpace="0"/>
        </w:sectPr>
      </w:pPr>
    </w:p>
    <w:p w14:paraId="0FB5EC10">
      <w:pPr>
        <w:pStyle w:val="3"/>
        <w:spacing w:before="120" w:beforeLines="50" w:after="120" w:afterLines="50" w:line="360" w:lineRule="auto"/>
        <w:rPr>
          <w:rFonts w:hint="eastAsia" w:ascii="华文中宋" w:hAnsi="华文中宋" w:eastAsia="华文中宋"/>
          <w:color w:val="000000"/>
          <w:sz w:val="36"/>
          <w:szCs w:val="36"/>
        </w:rPr>
      </w:pPr>
      <w:bookmarkStart w:id="104" w:name="_Toc17847"/>
      <w:r>
        <w:rPr>
          <w:rFonts w:hint="eastAsia" w:ascii="华文中宋" w:hAnsi="华文中宋" w:eastAsia="华文中宋"/>
          <w:color w:val="000000"/>
          <w:sz w:val="36"/>
          <w:szCs w:val="36"/>
        </w:rPr>
        <w:t>附表5：社区商业网点基本配置标准</w:t>
      </w:r>
      <w:bookmarkEnd w:id="104"/>
    </w:p>
    <w:tbl>
      <w:tblPr>
        <w:tblStyle w:val="34"/>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2231"/>
        <w:gridCol w:w="1813"/>
        <w:gridCol w:w="1392"/>
        <w:gridCol w:w="2371"/>
        <w:gridCol w:w="5300"/>
        <w:gridCol w:w="1954"/>
        <w:gridCol w:w="2508"/>
        <w:gridCol w:w="1842"/>
      </w:tblGrid>
      <w:tr w14:paraId="39BE5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pct"/>
            <w:gridSpan w:val="2"/>
            <w:noWrap w:val="0"/>
            <w:vAlign w:val="top"/>
          </w:tcPr>
          <w:p w14:paraId="258607BC">
            <w:pPr>
              <w:widowControl/>
              <w:spacing w:before="24" w:beforeLines="10" w:after="24" w:afterLines="10"/>
              <w:jc w:val="center"/>
              <w:rPr>
                <w:rFonts w:hint="eastAsia" w:ascii="幼圆" w:hAnsi="ˎ̥" w:eastAsia="幼圆"/>
                <w:b/>
                <w:szCs w:val="21"/>
              </w:rPr>
            </w:pPr>
            <w:r>
              <w:rPr>
                <w:rFonts w:hint="eastAsia" w:ascii="幼圆" w:hAnsi="ˎ̥" w:eastAsia="幼圆"/>
                <w:b/>
                <w:szCs w:val="21"/>
              </w:rPr>
              <w:t>业种、业态</w:t>
            </w:r>
          </w:p>
        </w:tc>
        <w:tc>
          <w:tcPr>
            <w:tcW w:w="452" w:type="pct"/>
            <w:noWrap w:val="0"/>
            <w:vAlign w:val="center"/>
          </w:tcPr>
          <w:p w14:paraId="0ED247D8">
            <w:pPr>
              <w:widowControl/>
              <w:spacing w:before="24" w:beforeLines="10" w:after="24" w:afterLines="10"/>
              <w:jc w:val="center"/>
              <w:rPr>
                <w:rFonts w:hint="eastAsia" w:ascii="幼圆" w:hAnsi="ˎ̥" w:eastAsia="幼圆"/>
                <w:b/>
                <w:szCs w:val="21"/>
              </w:rPr>
            </w:pPr>
            <w:r>
              <w:rPr>
                <w:rFonts w:hint="eastAsia" w:ascii="幼圆" w:hAnsi="ˎ̥" w:eastAsia="幼圆"/>
                <w:b/>
                <w:szCs w:val="21"/>
              </w:rPr>
              <w:t>服务半径</w:t>
            </w:r>
          </w:p>
        </w:tc>
        <w:tc>
          <w:tcPr>
            <w:tcW w:w="347" w:type="pct"/>
            <w:noWrap w:val="0"/>
            <w:vAlign w:val="center"/>
          </w:tcPr>
          <w:p w14:paraId="03CDA1D2">
            <w:pPr>
              <w:widowControl/>
              <w:spacing w:before="24" w:beforeLines="10" w:after="24" w:afterLines="10"/>
              <w:jc w:val="center"/>
              <w:rPr>
                <w:rFonts w:hint="eastAsia" w:ascii="幼圆" w:hAnsi="ˎ̥" w:eastAsia="幼圆"/>
                <w:b/>
                <w:szCs w:val="21"/>
              </w:rPr>
            </w:pPr>
            <w:r>
              <w:rPr>
                <w:rFonts w:hint="eastAsia" w:ascii="幼圆" w:hAnsi="ˎ̥" w:eastAsia="幼圆"/>
                <w:b/>
                <w:szCs w:val="21"/>
              </w:rPr>
              <w:t>服务人口</w:t>
            </w:r>
          </w:p>
        </w:tc>
        <w:tc>
          <w:tcPr>
            <w:tcW w:w="591" w:type="pct"/>
            <w:noWrap w:val="0"/>
            <w:vAlign w:val="center"/>
          </w:tcPr>
          <w:p w14:paraId="1E1321DA">
            <w:pPr>
              <w:widowControl/>
              <w:spacing w:before="24" w:beforeLines="10" w:after="24" w:afterLines="10"/>
              <w:jc w:val="center"/>
              <w:rPr>
                <w:rFonts w:hint="eastAsia" w:ascii="幼圆" w:hAnsi="ˎ̥" w:eastAsia="幼圆"/>
                <w:b/>
                <w:szCs w:val="21"/>
              </w:rPr>
            </w:pPr>
            <w:r>
              <w:rPr>
                <w:rFonts w:hint="eastAsia" w:ascii="幼圆" w:hAnsi="ˎ̥" w:eastAsia="幼圆"/>
                <w:b/>
                <w:szCs w:val="21"/>
              </w:rPr>
              <w:t>营业面积</w:t>
            </w:r>
          </w:p>
        </w:tc>
        <w:tc>
          <w:tcPr>
            <w:tcW w:w="1321" w:type="pct"/>
            <w:noWrap w:val="0"/>
            <w:vAlign w:val="center"/>
          </w:tcPr>
          <w:p w14:paraId="3140BE83">
            <w:pPr>
              <w:widowControl/>
              <w:spacing w:before="24" w:beforeLines="10" w:after="24" w:afterLines="10"/>
              <w:jc w:val="center"/>
              <w:rPr>
                <w:rFonts w:hint="eastAsia" w:ascii="幼圆" w:hAnsi="ˎ̥" w:eastAsia="幼圆"/>
                <w:b/>
                <w:szCs w:val="21"/>
              </w:rPr>
            </w:pPr>
            <w:r>
              <w:rPr>
                <w:rFonts w:hint="eastAsia" w:ascii="幼圆" w:hAnsi="ˎ̥" w:eastAsia="幼圆"/>
                <w:b/>
                <w:szCs w:val="21"/>
              </w:rPr>
              <w:t>经营内容</w:t>
            </w:r>
          </w:p>
        </w:tc>
        <w:tc>
          <w:tcPr>
            <w:tcW w:w="487" w:type="pct"/>
            <w:noWrap w:val="0"/>
            <w:vAlign w:val="center"/>
          </w:tcPr>
          <w:p w14:paraId="73278EDD">
            <w:pPr>
              <w:widowControl/>
              <w:spacing w:before="24" w:beforeLines="10" w:after="24" w:afterLines="10"/>
              <w:jc w:val="center"/>
              <w:rPr>
                <w:rFonts w:hint="eastAsia" w:ascii="幼圆" w:hAnsi="ˎ̥" w:eastAsia="幼圆"/>
                <w:b/>
                <w:szCs w:val="21"/>
              </w:rPr>
            </w:pPr>
            <w:r>
              <w:rPr>
                <w:rFonts w:hint="eastAsia" w:ascii="幼圆" w:hAnsi="ˎ̥" w:eastAsia="幼圆"/>
                <w:b/>
                <w:szCs w:val="21"/>
              </w:rPr>
              <w:t>单位社区配建数量</w:t>
            </w:r>
          </w:p>
        </w:tc>
        <w:tc>
          <w:tcPr>
            <w:tcW w:w="625" w:type="pct"/>
            <w:noWrap w:val="0"/>
            <w:vAlign w:val="center"/>
          </w:tcPr>
          <w:p w14:paraId="59D47BFE">
            <w:pPr>
              <w:widowControl/>
              <w:spacing w:before="24" w:beforeLines="10" w:after="24" w:afterLines="10"/>
              <w:jc w:val="center"/>
              <w:rPr>
                <w:rFonts w:hint="eastAsia" w:ascii="幼圆" w:hAnsi="ˎ̥" w:eastAsia="幼圆"/>
                <w:b/>
                <w:szCs w:val="21"/>
              </w:rPr>
            </w:pPr>
            <w:r>
              <w:rPr>
                <w:rFonts w:hint="eastAsia" w:ascii="幼圆" w:hAnsi="ˎ̥" w:eastAsia="幼圆"/>
                <w:b/>
                <w:szCs w:val="21"/>
              </w:rPr>
              <w:t>布局要求</w:t>
            </w:r>
          </w:p>
        </w:tc>
        <w:tc>
          <w:tcPr>
            <w:tcW w:w="459" w:type="pct"/>
            <w:noWrap w:val="0"/>
            <w:vAlign w:val="center"/>
          </w:tcPr>
          <w:p w14:paraId="04BC7BD6">
            <w:pPr>
              <w:widowControl/>
              <w:spacing w:before="24" w:beforeLines="10" w:after="24" w:afterLines="10"/>
              <w:jc w:val="center"/>
              <w:rPr>
                <w:rFonts w:hint="eastAsia" w:ascii="幼圆" w:hAnsi="ˎ̥" w:eastAsia="幼圆"/>
                <w:b/>
                <w:szCs w:val="21"/>
              </w:rPr>
            </w:pPr>
            <w:r>
              <w:rPr>
                <w:rFonts w:hint="eastAsia" w:ascii="幼圆" w:hAnsi="ˎ̥" w:eastAsia="幼圆"/>
                <w:b/>
                <w:szCs w:val="21"/>
              </w:rPr>
              <w:t>建造形式</w:t>
            </w:r>
          </w:p>
        </w:tc>
      </w:tr>
      <w:tr w14:paraId="6F21C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75A80A2F">
            <w:pPr>
              <w:widowControl/>
              <w:spacing w:before="24" w:beforeLines="10" w:after="24" w:afterLines="10"/>
              <w:jc w:val="center"/>
              <w:rPr>
                <w:rFonts w:hint="eastAsia" w:ascii="幼圆" w:hAnsi="ˎ̥" w:eastAsia="幼圆"/>
                <w:b/>
                <w:szCs w:val="21"/>
              </w:rPr>
            </w:pPr>
            <w:r>
              <w:rPr>
                <w:rFonts w:hint="eastAsia" w:ascii="幼圆" w:hAnsi="ˎ̥" w:eastAsia="幼圆"/>
                <w:b/>
                <w:szCs w:val="21"/>
              </w:rPr>
              <w:t>1</w:t>
            </w:r>
          </w:p>
        </w:tc>
        <w:tc>
          <w:tcPr>
            <w:tcW w:w="556" w:type="pct"/>
            <w:noWrap w:val="0"/>
            <w:vAlign w:val="center"/>
          </w:tcPr>
          <w:p w14:paraId="693E5F06">
            <w:pPr>
              <w:widowControl/>
              <w:spacing w:before="24" w:beforeLines="10" w:after="24" w:afterLines="10"/>
              <w:jc w:val="center"/>
              <w:rPr>
                <w:rFonts w:hint="eastAsia" w:ascii="幼圆" w:hAnsi="ˎ̥" w:eastAsia="幼圆"/>
                <w:szCs w:val="21"/>
              </w:rPr>
            </w:pPr>
            <w:r>
              <w:rPr>
                <w:rFonts w:hint="eastAsia" w:ascii="幼圆" w:hAnsi="ˎ̥" w:eastAsia="幼圆"/>
                <w:szCs w:val="21"/>
              </w:rPr>
              <w:t>生鲜超市（农贸市场）</w:t>
            </w:r>
          </w:p>
        </w:tc>
        <w:tc>
          <w:tcPr>
            <w:tcW w:w="452" w:type="pct"/>
            <w:noWrap w:val="0"/>
            <w:vAlign w:val="center"/>
          </w:tcPr>
          <w:p w14:paraId="1BA75477">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500-1000米</w:t>
            </w:r>
          </w:p>
        </w:tc>
        <w:tc>
          <w:tcPr>
            <w:tcW w:w="347" w:type="pct"/>
            <w:noWrap w:val="0"/>
            <w:vAlign w:val="center"/>
          </w:tcPr>
          <w:p w14:paraId="6A9C4773">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lang w:eastAsia="zh-CN"/>
              </w:rPr>
              <w:t>2万—5万</w:t>
            </w:r>
            <w:r>
              <w:rPr>
                <w:rFonts w:hint="eastAsia" w:ascii="幼圆" w:hAnsi="ˎ̥" w:eastAsia="幼圆" w:cs="宋体"/>
                <w:kern w:val="0"/>
                <w:szCs w:val="21"/>
              </w:rPr>
              <w:t>人</w:t>
            </w:r>
          </w:p>
        </w:tc>
        <w:tc>
          <w:tcPr>
            <w:tcW w:w="591" w:type="pct"/>
            <w:noWrap w:val="0"/>
            <w:vAlign w:val="center"/>
          </w:tcPr>
          <w:p w14:paraId="5D893D26">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1000-4000平方米</w:t>
            </w:r>
          </w:p>
        </w:tc>
        <w:tc>
          <w:tcPr>
            <w:tcW w:w="1321" w:type="pct"/>
            <w:noWrap w:val="0"/>
            <w:vAlign w:val="center"/>
          </w:tcPr>
          <w:p w14:paraId="1093876B">
            <w:pPr>
              <w:widowControl/>
              <w:spacing w:before="24" w:beforeLines="10" w:after="24" w:afterLines="10"/>
              <w:rPr>
                <w:rFonts w:hint="eastAsia" w:ascii="幼圆" w:hAnsi="ˎ̥" w:eastAsia="幼圆"/>
                <w:szCs w:val="21"/>
              </w:rPr>
            </w:pPr>
            <w:r>
              <w:rPr>
                <w:rFonts w:hint="eastAsia" w:ascii="幼圆" w:hAnsi="ˎ̥" w:eastAsia="幼圆"/>
                <w:szCs w:val="21"/>
              </w:rPr>
              <w:t>以生鲜蔬菜、肉类、</w:t>
            </w:r>
            <w:r>
              <w:rPr>
                <w:rFonts w:hint="eastAsia" w:ascii="幼圆" w:hAnsi="ˎ̥" w:eastAsia="幼圆" w:cs="宋体"/>
                <w:kern w:val="0"/>
                <w:szCs w:val="21"/>
              </w:rPr>
              <w:t>水产品、粮油、</w:t>
            </w:r>
            <w:r>
              <w:rPr>
                <w:rFonts w:hint="eastAsia" w:ascii="幼圆" w:hAnsi="ˎ̥" w:eastAsia="幼圆"/>
                <w:szCs w:val="21"/>
              </w:rPr>
              <w:t>大众水果为主，日杂用品为辅，营业时间在10小时以上。</w:t>
            </w:r>
          </w:p>
        </w:tc>
        <w:tc>
          <w:tcPr>
            <w:tcW w:w="487" w:type="pct"/>
            <w:noWrap w:val="0"/>
            <w:vAlign w:val="center"/>
          </w:tcPr>
          <w:p w14:paraId="287E2D23">
            <w:pPr>
              <w:widowControl/>
              <w:spacing w:before="24" w:beforeLines="10" w:after="24" w:afterLines="10"/>
              <w:jc w:val="center"/>
              <w:rPr>
                <w:rFonts w:hint="eastAsia" w:ascii="幼圆" w:hAnsi="ˎ̥" w:eastAsia="幼圆"/>
                <w:szCs w:val="21"/>
              </w:rPr>
            </w:pPr>
            <w:r>
              <w:rPr>
                <w:rFonts w:hint="eastAsia" w:ascii="幼圆" w:hAnsi="ˎ̥" w:eastAsia="幼圆"/>
                <w:szCs w:val="21"/>
              </w:rPr>
              <w:t>1</w:t>
            </w:r>
            <w:r>
              <w:rPr>
                <w:rFonts w:hint="eastAsia" w:ascii="幼圆" w:hAnsi="ˎ̥" w:eastAsia="幼圆" w:cs="宋体"/>
                <w:kern w:val="0"/>
                <w:szCs w:val="21"/>
              </w:rPr>
              <w:t>-</w:t>
            </w:r>
            <w:r>
              <w:rPr>
                <w:rFonts w:hint="eastAsia" w:ascii="幼圆" w:hAnsi="ˎ̥" w:eastAsia="幼圆"/>
                <w:szCs w:val="21"/>
              </w:rPr>
              <w:t>2处</w:t>
            </w:r>
          </w:p>
        </w:tc>
        <w:tc>
          <w:tcPr>
            <w:tcW w:w="625" w:type="pct"/>
            <w:noWrap w:val="0"/>
            <w:vAlign w:val="center"/>
          </w:tcPr>
          <w:p w14:paraId="2619D971">
            <w:pPr>
              <w:widowControl/>
              <w:spacing w:before="24" w:beforeLines="10" w:after="24" w:afterLines="10"/>
              <w:rPr>
                <w:rFonts w:hint="eastAsia" w:ascii="幼圆" w:hAnsi="ˎ̥" w:eastAsia="幼圆"/>
                <w:szCs w:val="21"/>
              </w:rPr>
            </w:pPr>
            <w:r>
              <w:rPr>
                <w:rFonts w:hint="eastAsia" w:ascii="幼圆" w:hAnsi="ˎ̥" w:eastAsia="幼圆"/>
                <w:szCs w:val="21"/>
              </w:rPr>
              <w:t>交通便利，人流集中的地方，可在原有农贸市场基础上改造。</w:t>
            </w:r>
          </w:p>
        </w:tc>
        <w:tc>
          <w:tcPr>
            <w:tcW w:w="459" w:type="pct"/>
            <w:noWrap w:val="0"/>
            <w:vAlign w:val="center"/>
          </w:tcPr>
          <w:p w14:paraId="2C2AC4D3">
            <w:pPr>
              <w:widowControl/>
              <w:spacing w:before="24" w:beforeLines="10" w:after="24" w:afterLines="10"/>
              <w:rPr>
                <w:rFonts w:hint="eastAsia" w:ascii="幼圆" w:hAnsi="ˎ̥" w:eastAsia="幼圆"/>
                <w:szCs w:val="21"/>
              </w:rPr>
            </w:pPr>
            <w:r>
              <w:rPr>
                <w:rFonts w:hint="eastAsia" w:ascii="幼圆" w:hAnsi="ˎ̥" w:eastAsia="幼圆" w:cs="宋体"/>
                <w:kern w:val="0"/>
                <w:szCs w:val="21"/>
              </w:rPr>
              <w:t>室内或棚顶式，可于建筑物底层附建</w:t>
            </w:r>
          </w:p>
        </w:tc>
      </w:tr>
      <w:tr w14:paraId="0C90D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vMerge w:val="restart"/>
            <w:noWrap w:val="0"/>
            <w:vAlign w:val="center"/>
          </w:tcPr>
          <w:p w14:paraId="3542DECF">
            <w:pPr>
              <w:widowControl/>
              <w:spacing w:before="24" w:beforeLines="10" w:after="24" w:afterLines="10"/>
              <w:jc w:val="center"/>
              <w:rPr>
                <w:rFonts w:hint="eastAsia" w:ascii="幼圆" w:hAnsi="ˎ̥" w:eastAsia="幼圆"/>
                <w:b/>
                <w:szCs w:val="21"/>
              </w:rPr>
            </w:pPr>
            <w:r>
              <w:rPr>
                <w:rFonts w:hint="eastAsia" w:ascii="幼圆" w:hAnsi="ˎ̥" w:eastAsia="幼圆"/>
                <w:b/>
                <w:szCs w:val="21"/>
              </w:rPr>
              <w:t>2</w:t>
            </w:r>
          </w:p>
        </w:tc>
        <w:tc>
          <w:tcPr>
            <w:tcW w:w="556" w:type="pct"/>
            <w:noWrap w:val="0"/>
            <w:vAlign w:val="center"/>
          </w:tcPr>
          <w:p w14:paraId="22A18656">
            <w:pPr>
              <w:widowControl/>
              <w:spacing w:before="24" w:beforeLines="10" w:after="24" w:afterLines="10"/>
              <w:jc w:val="center"/>
              <w:rPr>
                <w:rFonts w:hint="eastAsia" w:ascii="幼圆" w:hAnsi="ˎ̥" w:eastAsia="幼圆"/>
                <w:szCs w:val="21"/>
              </w:rPr>
            </w:pPr>
            <w:r>
              <w:rPr>
                <w:rFonts w:hint="eastAsia" w:ascii="幼圆" w:hAnsi="ˎ̥" w:eastAsia="幼圆"/>
                <w:szCs w:val="21"/>
              </w:rPr>
              <w:t>中型超市</w:t>
            </w:r>
          </w:p>
        </w:tc>
        <w:tc>
          <w:tcPr>
            <w:tcW w:w="452" w:type="pct"/>
            <w:noWrap w:val="0"/>
            <w:vAlign w:val="center"/>
          </w:tcPr>
          <w:p w14:paraId="63F2E172">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500-1000米</w:t>
            </w:r>
          </w:p>
        </w:tc>
        <w:tc>
          <w:tcPr>
            <w:tcW w:w="347" w:type="pct"/>
            <w:noWrap w:val="0"/>
            <w:vAlign w:val="center"/>
          </w:tcPr>
          <w:p w14:paraId="39ECAE75">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lang w:eastAsia="zh-CN"/>
              </w:rPr>
              <w:t>2万—5万</w:t>
            </w:r>
            <w:r>
              <w:rPr>
                <w:rFonts w:hint="eastAsia" w:ascii="幼圆" w:hAnsi="ˎ̥" w:eastAsia="幼圆" w:cs="宋体"/>
                <w:kern w:val="0"/>
                <w:szCs w:val="21"/>
              </w:rPr>
              <w:t>人</w:t>
            </w:r>
          </w:p>
        </w:tc>
        <w:tc>
          <w:tcPr>
            <w:tcW w:w="591" w:type="pct"/>
            <w:noWrap w:val="0"/>
            <w:vAlign w:val="center"/>
          </w:tcPr>
          <w:p w14:paraId="546A9E9C">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2000-6000平方米</w:t>
            </w:r>
          </w:p>
        </w:tc>
        <w:tc>
          <w:tcPr>
            <w:tcW w:w="1321" w:type="pct"/>
            <w:noWrap w:val="0"/>
            <w:vAlign w:val="center"/>
          </w:tcPr>
          <w:p w14:paraId="4E151C89">
            <w:pPr>
              <w:widowControl/>
              <w:spacing w:before="24" w:beforeLines="10" w:after="24" w:afterLines="10"/>
              <w:rPr>
                <w:rFonts w:hint="eastAsia" w:ascii="幼圆" w:hAnsi="ˎ̥" w:eastAsia="幼圆"/>
                <w:szCs w:val="21"/>
              </w:rPr>
            </w:pPr>
            <w:r>
              <w:rPr>
                <w:rFonts w:hint="eastAsia" w:ascii="幼圆" w:hAnsi="ˎ̥" w:eastAsia="幼圆" w:cs="宋体"/>
                <w:kern w:val="0"/>
                <w:szCs w:val="21"/>
              </w:rPr>
              <w:t>各类生鲜蔬菜、肉类、水产品、粮油、日用生活用品等，品种一般在</w:t>
            </w:r>
            <w:r>
              <w:rPr>
                <w:rFonts w:hint="eastAsia" w:ascii="幼圆" w:hAnsi="ˎ̥" w:eastAsia="幼圆" w:cs="宋体"/>
                <w:kern w:val="0"/>
                <w:szCs w:val="21"/>
                <w:lang w:eastAsia="zh-CN"/>
              </w:rPr>
              <w:t>0.8万—1万</w:t>
            </w:r>
            <w:r>
              <w:rPr>
                <w:rFonts w:hint="eastAsia" w:ascii="幼圆" w:hAnsi="ˎ̥" w:eastAsia="幼圆" w:cs="宋体"/>
                <w:kern w:val="0"/>
                <w:szCs w:val="21"/>
              </w:rPr>
              <w:t>种。</w:t>
            </w:r>
          </w:p>
        </w:tc>
        <w:tc>
          <w:tcPr>
            <w:tcW w:w="487" w:type="pct"/>
            <w:noWrap w:val="0"/>
            <w:vAlign w:val="center"/>
          </w:tcPr>
          <w:p w14:paraId="1C110A0A">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1-2处</w:t>
            </w:r>
          </w:p>
        </w:tc>
        <w:tc>
          <w:tcPr>
            <w:tcW w:w="625" w:type="pct"/>
            <w:noWrap w:val="0"/>
            <w:vAlign w:val="center"/>
          </w:tcPr>
          <w:p w14:paraId="6DEB922F">
            <w:pPr>
              <w:widowControl/>
              <w:spacing w:before="24" w:beforeLines="10" w:after="24" w:afterLines="10"/>
              <w:rPr>
                <w:rFonts w:hint="eastAsia" w:ascii="幼圆" w:hAnsi="ˎ̥" w:eastAsia="幼圆"/>
                <w:szCs w:val="21"/>
              </w:rPr>
            </w:pPr>
            <w:r>
              <w:rPr>
                <w:rFonts w:hint="eastAsia" w:ascii="幼圆" w:hAnsi="ˎ̥" w:eastAsia="幼圆" w:cs="宋体"/>
                <w:kern w:val="0"/>
                <w:szCs w:val="21"/>
              </w:rPr>
              <w:t>与大型综合超市、农贸市场（或生鲜超市）可互相替代设置；原则上在部分新建城区和成片改造区域，已建设中型超市的社区不再规划建设农贸市场。</w:t>
            </w:r>
          </w:p>
        </w:tc>
        <w:tc>
          <w:tcPr>
            <w:tcW w:w="459" w:type="pct"/>
            <w:noWrap w:val="0"/>
            <w:vAlign w:val="center"/>
          </w:tcPr>
          <w:p w14:paraId="7AD0A5BD">
            <w:pPr>
              <w:widowControl/>
              <w:spacing w:before="24" w:beforeLines="10" w:after="24" w:afterLines="10"/>
              <w:rPr>
                <w:rFonts w:hint="eastAsia" w:ascii="幼圆" w:hAnsi="ˎ̥" w:eastAsia="幼圆"/>
                <w:szCs w:val="21"/>
              </w:rPr>
            </w:pPr>
            <w:r>
              <w:rPr>
                <w:rFonts w:hint="eastAsia" w:ascii="幼圆" w:hAnsi="ˎ̥" w:eastAsia="幼圆" w:cs="宋体"/>
                <w:kern w:val="0"/>
                <w:szCs w:val="21"/>
              </w:rPr>
              <w:t>室内，</w:t>
            </w:r>
            <w:r>
              <w:rPr>
                <w:rFonts w:hint="eastAsia" w:ascii="幼圆" w:hAnsi="ˎ̥" w:eastAsia="幼圆"/>
                <w:szCs w:val="21"/>
              </w:rPr>
              <w:t>社区底商、商业街</w:t>
            </w:r>
          </w:p>
        </w:tc>
      </w:tr>
      <w:tr w14:paraId="16873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vMerge w:val="continue"/>
            <w:noWrap w:val="0"/>
            <w:vAlign w:val="center"/>
          </w:tcPr>
          <w:p w14:paraId="683D0E02">
            <w:pPr>
              <w:widowControl/>
              <w:spacing w:before="24" w:beforeLines="10" w:after="24" w:afterLines="10"/>
              <w:jc w:val="center"/>
              <w:rPr>
                <w:rFonts w:hint="eastAsia" w:ascii="幼圆" w:hAnsi="ˎ̥" w:eastAsia="幼圆" w:cs="宋体"/>
                <w:b/>
                <w:kern w:val="0"/>
                <w:szCs w:val="21"/>
              </w:rPr>
            </w:pPr>
          </w:p>
        </w:tc>
        <w:tc>
          <w:tcPr>
            <w:tcW w:w="556" w:type="pct"/>
            <w:noWrap w:val="0"/>
            <w:vAlign w:val="center"/>
          </w:tcPr>
          <w:p w14:paraId="7A20F39E">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小超市</w:t>
            </w:r>
          </w:p>
        </w:tc>
        <w:tc>
          <w:tcPr>
            <w:tcW w:w="452" w:type="pct"/>
            <w:noWrap w:val="0"/>
            <w:vAlign w:val="center"/>
          </w:tcPr>
          <w:p w14:paraId="37BA88E7">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500米左右</w:t>
            </w:r>
          </w:p>
        </w:tc>
        <w:tc>
          <w:tcPr>
            <w:tcW w:w="347" w:type="pct"/>
            <w:noWrap w:val="0"/>
            <w:vAlign w:val="center"/>
          </w:tcPr>
          <w:p w14:paraId="1A986281">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1万—2万</w:t>
            </w:r>
            <w:r>
              <w:rPr>
                <w:rFonts w:hint="eastAsia" w:ascii="幼圆" w:hAnsi="ˎ̥" w:eastAsia="幼圆"/>
                <w:szCs w:val="21"/>
              </w:rPr>
              <w:t>人</w:t>
            </w:r>
          </w:p>
        </w:tc>
        <w:tc>
          <w:tcPr>
            <w:tcW w:w="591" w:type="pct"/>
            <w:noWrap w:val="0"/>
            <w:vAlign w:val="center"/>
          </w:tcPr>
          <w:p w14:paraId="235607F1">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150-500平方米</w:t>
            </w:r>
          </w:p>
        </w:tc>
        <w:tc>
          <w:tcPr>
            <w:tcW w:w="1321" w:type="pct"/>
            <w:noWrap w:val="0"/>
            <w:vAlign w:val="center"/>
          </w:tcPr>
          <w:p w14:paraId="668D2642">
            <w:pPr>
              <w:widowControl/>
              <w:spacing w:before="24" w:beforeLines="10" w:after="24" w:afterLines="10"/>
              <w:rPr>
                <w:rFonts w:hint="eastAsia" w:ascii="幼圆" w:hAnsi="ˎ̥" w:eastAsia="幼圆"/>
                <w:szCs w:val="21"/>
              </w:rPr>
            </w:pPr>
            <w:r>
              <w:rPr>
                <w:rFonts w:hint="eastAsia" w:ascii="幼圆" w:hAnsi="ˎ̥" w:eastAsia="幼圆" w:cs="宋体"/>
                <w:kern w:val="0"/>
                <w:szCs w:val="21"/>
              </w:rPr>
              <w:t>主要经营各类生鲜蔬菜、肉类、水产品、粮油、日用生活用品等，商品品种一般在4000-6000种，营业时间12小时以上。</w:t>
            </w:r>
          </w:p>
        </w:tc>
        <w:tc>
          <w:tcPr>
            <w:tcW w:w="487" w:type="pct"/>
            <w:noWrap w:val="0"/>
            <w:vAlign w:val="center"/>
          </w:tcPr>
          <w:p w14:paraId="4177B489">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2-3处</w:t>
            </w:r>
          </w:p>
        </w:tc>
        <w:tc>
          <w:tcPr>
            <w:tcW w:w="625" w:type="pct"/>
            <w:noWrap w:val="0"/>
            <w:vAlign w:val="center"/>
          </w:tcPr>
          <w:p w14:paraId="2FA85E86">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在大中型超市的服务半径内，原则上不再另行设置。</w:t>
            </w:r>
          </w:p>
        </w:tc>
        <w:tc>
          <w:tcPr>
            <w:tcW w:w="459" w:type="pct"/>
            <w:noWrap w:val="0"/>
            <w:vAlign w:val="center"/>
          </w:tcPr>
          <w:p w14:paraId="0054FD75">
            <w:pPr>
              <w:widowControl/>
              <w:spacing w:before="24" w:beforeLines="10" w:after="24" w:afterLines="10"/>
              <w:rPr>
                <w:rFonts w:hint="eastAsia" w:ascii="幼圆" w:hAnsi="ˎ̥" w:eastAsia="幼圆"/>
                <w:szCs w:val="21"/>
              </w:rPr>
            </w:pPr>
            <w:r>
              <w:rPr>
                <w:rFonts w:hint="eastAsia" w:ascii="幼圆" w:hAnsi="ˎ̥" w:eastAsia="幼圆"/>
                <w:szCs w:val="21"/>
              </w:rPr>
              <w:t>社区底商、单点式</w:t>
            </w:r>
          </w:p>
        </w:tc>
      </w:tr>
      <w:tr w14:paraId="7EC04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vMerge w:val="continue"/>
            <w:noWrap w:val="0"/>
            <w:vAlign w:val="center"/>
          </w:tcPr>
          <w:p w14:paraId="2D2EB1EF">
            <w:pPr>
              <w:widowControl/>
              <w:spacing w:before="24" w:beforeLines="10" w:after="24" w:afterLines="10"/>
              <w:jc w:val="center"/>
              <w:rPr>
                <w:rFonts w:hint="eastAsia" w:ascii="幼圆" w:hAnsi="ˎ̥" w:eastAsia="幼圆" w:cs="宋体"/>
                <w:b/>
                <w:kern w:val="0"/>
                <w:szCs w:val="21"/>
              </w:rPr>
            </w:pPr>
          </w:p>
        </w:tc>
        <w:tc>
          <w:tcPr>
            <w:tcW w:w="556" w:type="pct"/>
            <w:noWrap w:val="0"/>
            <w:vAlign w:val="center"/>
          </w:tcPr>
          <w:p w14:paraId="6A427F9D">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便利店</w:t>
            </w:r>
          </w:p>
        </w:tc>
        <w:tc>
          <w:tcPr>
            <w:tcW w:w="452" w:type="pct"/>
            <w:noWrap w:val="0"/>
            <w:vAlign w:val="center"/>
          </w:tcPr>
          <w:p w14:paraId="461CFC3E">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200-300米</w:t>
            </w:r>
          </w:p>
        </w:tc>
        <w:tc>
          <w:tcPr>
            <w:tcW w:w="347" w:type="pct"/>
            <w:noWrap w:val="0"/>
            <w:vAlign w:val="center"/>
          </w:tcPr>
          <w:p w14:paraId="4F3B2F53">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0.5万—1万</w:t>
            </w:r>
            <w:r>
              <w:rPr>
                <w:rFonts w:hint="eastAsia" w:ascii="幼圆" w:hAnsi="ˎ̥" w:eastAsia="幼圆"/>
                <w:szCs w:val="21"/>
              </w:rPr>
              <w:t>人</w:t>
            </w:r>
          </w:p>
        </w:tc>
        <w:tc>
          <w:tcPr>
            <w:tcW w:w="591" w:type="pct"/>
            <w:noWrap w:val="0"/>
            <w:vAlign w:val="center"/>
          </w:tcPr>
          <w:p w14:paraId="0665ECE5">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50-150平方米</w:t>
            </w:r>
          </w:p>
        </w:tc>
        <w:tc>
          <w:tcPr>
            <w:tcW w:w="1321" w:type="pct"/>
            <w:noWrap w:val="0"/>
            <w:vAlign w:val="center"/>
          </w:tcPr>
          <w:p w14:paraId="6AE028FD">
            <w:pPr>
              <w:widowControl/>
              <w:spacing w:before="24" w:beforeLines="10" w:after="24" w:afterLines="10"/>
              <w:rPr>
                <w:rFonts w:hint="eastAsia" w:ascii="幼圆" w:hAnsi="ˎ̥" w:eastAsia="幼圆"/>
                <w:szCs w:val="21"/>
              </w:rPr>
            </w:pPr>
            <w:r>
              <w:rPr>
                <w:rFonts w:hint="eastAsia" w:ascii="幼圆" w:hAnsi="ˎ̥" w:eastAsia="幼圆" w:cs="宋体"/>
                <w:kern w:val="0"/>
                <w:szCs w:val="21"/>
              </w:rPr>
              <w:t>主要经营食品、饮料、调味品、日用生活用品等即时消费商品，商品品种一般在1500-3000种，营业时间16小时以上；每个社区应有1个以上便利店实行24小时营业。</w:t>
            </w:r>
          </w:p>
        </w:tc>
        <w:tc>
          <w:tcPr>
            <w:tcW w:w="487" w:type="pct"/>
            <w:noWrap w:val="0"/>
            <w:vAlign w:val="center"/>
          </w:tcPr>
          <w:p w14:paraId="1F990A87">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5-10处</w:t>
            </w:r>
          </w:p>
        </w:tc>
        <w:tc>
          <w:tcPr>
            <w:tcW w:w="625" w:type="pct"/>
            <w:noWrap w:val="0"/>
            <w:vAlign w:val="center"/>
          </w:tcPr>
          <w:p w14:paraId="05F6057B">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在中型超市、小超市的服务半径内，原则上不再另行设置。</w:t>
            </w:r>
          </w:p>
        </w:tc>
        <w:tc>
          <w:tcPr>
            <w:tcW w:w="459" w:type="pct"/>
            <w:noWrap w:val="0"/>
            <w:vAlign w:val="center"/>
          </w:tcPr>
          <w:p w14:paraId="208365AE">
            <w:pPr>
              <w:widowControl/>
              <w:spacing w:before="24" w:beforeLines="10" w:after="24" w:afterLines="10"/>
              <w:rPr>
                <w:rFonts w:hint="eastAsia" w:ascii="幼圆" w:hAnsi="ˎ̥" w:eastAsia="幼圆"/>
                <w:szCs w:val="21"/>
              </w:rPr>
            </w:pPr>
            <w:r>
              <w:rPr>
                <w:rFonts w:hint="eastAsia" w:ascii="幼圆" w:hAnsi="ˎ̥" w:eastAsia="幼圆"/>
                <w:szCs w:val="21"/>
              </w:rPr>
              <w:t>社区底商、单点式</w:t>
            </w:r>
          </w:p>
        </w:tc>
      </w:tr>
      <w:tr w14:paraId="4C081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4747DB9C">
            <w:pPr>
              <w:widowControl/>
              <w:spacing w:before="24" w:beforeLines="10" w:after="24" w:afterLines="10"/>
              <w:jc w:val="center"/>
              <w:rPr>
                <w:rFonts w:hint="eastAsia" w:ascii="幼圆" w:hAnsi="ˎ̥" w:eastAsia="幼圆" w:cs="宋体"/>
                <w:b/>
                <w:kern w:val="0"/>
                <w:szCs w:val="21"/>
              </w:rPr>
            </w:pPr>
            <w:r>
              <w:rPr>
                <w:rFonts w:hint="eastAsia" w:ascii="幼圆" w:hAnsi="ˎ̥" w:eastAsia="幼圆" w:cs="宋体"/>
                <w:b/>
                <w:kern w:val="0"/>
                <w:szCs w:val="21"/>
              </w:rPr>
              <w:t>3</w:t>
            </w:r>
          </w:p>
        </w:tc>
        <w:tc>
          <w:tcPr>
            <w:tcW w:w="556" w:type="pct"/>
            <w:noWrap w:val="0"/>
            <w:vAlign w:val="center"/>
          </w:tcPr>
          <w:p w14:paraId="30B84DEB">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餐饮店</w:t>
            </w:r>
          </w:p>
        </w:tc>
        <w:tc>
          <w:tcPr>
            <w:tcW w:w="452" w:type="pct"/>
            <w:noWrap w:val="0"/>
            <w:vAlign w:val="center"/>
          </w:tcPr>
          <w:p w14:paraId="745CA598">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200-300米</w:t>
            </w:r>
          </w:p>
        </w:tc>
        <w:tc>
          <w:tcPr>
            <w:tcW w:w="347" w:type="pct"/>
            <w:noWrap w:val="0"/>
            <w:vAlign w:val="center"/>
          </w:tcPr>
          <w:p w14:paraId="2F9D2C75">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0.5万—1万</w:t>
            </w:r>
            <w:r>
              <w:rPr>
                <w:rFonts w:hint="eastAsia" w:ascii="幼圆" w:hAnsi="ˎ̥" w:eastAsia="幼圆"/>
                <w:szCs w:val="21"/>
              </w:rPr>
              <w:t>人</w:t>
            </w:r>
          </w:p>
        </w:tc>
        <w:tc>
          <w:tcPr>
            <w:tcW w:w="591" w:type="pct"/>
            <w:noWrap w:val="0"/>
            <w:vAlign w:val="center"/>
          </w:tcPr>
          <w:p w14:paraId="48BE983E">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宜80平方米以上</w:t>
            </w:r>
          </w:p>
        </w:tc>
        <w:tc>
          <w:tcPr>
            <w:tcW w:w="1321" w:type="pct"/>
            <w:noWrap w:val="0"/>
            <w:vAlign w:val="center"/>
          </w:tcPr>
          <w:p w14:paraId="18DC0934">
            <w:pPr>
              <w:widowControl/>
              <w:spacing w:before="24" w:beforeLines="10" w:after="24" w:afterLines="10"/>
              <w:rPr>
                <w:rFonts w:hint="eastAsia" w:ascii="幼圆" w:hAnsi="ˎ̥" w:eastAsia="幼圆"/>
                <w:szCs w:val="21"/>
              </w:rPr>
            </w:pPr>
            <w:r>
              <w:rPr>
                <w:rFonts w:hint="eastAsia" w:ascii="幼圆" w:hAnsi="ˎ̥" w:eastAsia="幼圆" w:cs="宋体"/>
                <w:kern w:val="0"/>
                <w:szCs w:val="21"/>
              </w:rPr>
              <w:t>经营品种、价格和档次与所在社区消费水平相适应，能提供订餐、送餐以及早餐服务，营业时间10小时以上。</w:t>
            </w:r>
          </w:p>
        </w:tc>
        <w:tc>
          <w:tcPr>
            <w:tcW w:w="487" w:type="pct"/>
            <w:noWrap w:val="0"/>
            <w:vAlign w:val="center"/>
          </w:tcPr>
          <w:p w14:paraId="510BC8BB">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5-10处</w:t>
            </w:r>
          </w:p>
        </w:tc>
        <w:tc>
          <w:tcPr>
            <w:tcW w:w="625" w:type="pct"/>
            <w:vMerge w:val="restart"/>
            <w:noWrap w:val="0"/>
            <w:vAlign w:val="center"/>
          </w:tcPr>
          <w:p w14:paraId="07B6A964">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在社区中商业设施相对较为集中的区域设置。</w:t>
            </w:r>
          </w:p>
        </w:tc>
        <w:tc>
          <w:tcPr>
            <w:tcW w:w="459" w:type="pct"/>
            <w:noWrap w:val="0"/>
            <w:vAlign w:val="center"/>
          </w:tcPr>
          <w:p w14:paraId="4B49A01C">
            <w:pPr>
              <w:widowControl/>
              <w:spacing w:before="24" w:beforeLines="10" w:after="24" w:afterLines="10"/>
              <w:rPr>
                <w:rFonts w:hint="eastAsia" w:ascii="幼圆" w:hAnsi="ˎ̥" w:eastAsia="幼圆"/>
                <w:szCs w:val="21"/>
              </w:rPr>
            </w:pPr>
            <w:r>
              <w:rPr>
                <w:rFonts w:hint="eastAsia" w:ascii="幼圆" w:hAnsi="ˎ̥" w:eastAsia="幼圆"/>
                <w:szCs w:val="21"/>
              </w:rPr>
              <w:t>社区底商、商业街、单点式</w:t>
            </w:r>
          </w:p>
        </w:tc>
      </w:tr>
      <w:tr w14:paraId="1FD16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1AB1067F">
            <w:pPr>
              <w:widowControl/>
              <w:spacing w:before="24" w:beforeLines="10" w:after="24" w:afterLines="10"/>
              <w:jc w:val="center"/>
              <w:rPr>
                <w:rFonts w:hint="eastAsia" w:ascii="幼圆" w:hAnsi="ˎ̥" w:eastAsia="幼圆" w:cs="宋体"/>
                <w:b/>
                <w:kern w:val="0"/>
                <w:szCs w:val="21"/>
              </w:rPr>
            </w:pPr>
            <w:r>
              <w:rPr>
                <w:rFonts w:hint="eastAsia" w:ascii="幼圆" w:hAnsi="ˎ̥" w:eastAsia="幼圆" w:cs="宋体"/>
                <w:b/>
                <w:kern w:val="0"/>
                <w:szCs w:val="21"/>
              </w:rPr>
              <w:t>4</w:t>
            </w:r>
          </w:p>
        </w:tc>
        <w:tc>
          <w:tcPr>
            <w:tcW w:w="556" w:type="pct"/>
            <w:noWrap w:val="0"/>
            <w:vAlign w:val="center"/>
          </w:tcPr>
          <w:p w14:paraId="7E1B08E9">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美容美发店</w:t>
            </w:r>
          </w:p>
        </w:tc>
        <w:tc>
          <w:tcPr>
            <w:tcW w:w="452" w:type="pct"/>
            <w:noWrap w:val="0"/>
            <w:vAlign w:val="center"/>
          </w:tcPr>
          <w:p w14:paraId="7BD0C33C">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300-500米</w:t>
            </w:r>
          </w:p>
        </w:tc>
        <w:tc>
          <w:tcPr>
            <w:tcW w:w="347" w:type="pct"/>
            <w:noWrap w:val="0"/>
            <w:vAlign w:val="center"/>
          </w:tcPr>
          <w:p w14:paraId="28A25785">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1万—2.5万</w:t>
            </w:r>
            <w:r>
              <w:rPr>
                <w:rFonts w:hint="eastAsia" w:ascii="幼圆" w:hAnsi="ˎ̥" w:eastAsia="幼圆"/>
                <w:szCs w:val="21"/>
              </w:rPr>
              <w:t>人</w:t>
            </w:r>
          </w:p>
        </w:tc>
        <w:tc>
          <w:tcPr>
            <w:tcW w:w="591" w:type="pct"/>
            <w:noWrap w:val="0"/>
            <w:vAlign w:val="center"/>
          </w:tcPr>
          <w:p w14:paraId="68734775">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宜30平方米以上</w:t>
            </w:r>
          </w:p>
        </w:tc>
        <w:tc>
          <w:tcPr>
            <w:tcW w:w="1321" w:type="pct"/>
            <w:noWrap w:val="0"/>
            <w:vAlign w:val="center"/>
          </w:tcPr>
          <w:p w14:paraId="2979833D">
            <w:pPr>
              <w:widowControl/>
              <w:spacing w:before="24" w:beforeLines="10" w:after="24" w:afterLines="10"/>
              <w:rPr>
                <w:rFonts w:hint="eastAsia" w:ascii="幼圆" w:hAnsi="ˎ̥" w:eastAsia="幼圆"/>
                <w:szCs w:val="21"/>
              </w:rPr>
            </w:pPr>
            <w:r>
              <w:rPr>
                <w:rFonts w:hint="eastAsia" w:ascii="幼圆" w:hAnsi="ˎ̥" w:eastAsia="幼圆" w:cs="宋体"/>
                <w:kern w:val="0"/>
                <w:szCs w:val="21"/>
              </w:rPr>
              <w:t>提供美容美发及相关的服务，并能为老年人、儿童及病残人等提供上门服务，营业时间宜10小时以上。</w:t>
            </w:r>
          </w:p>
        </w:tc>
        <w:tc>
          <w:tcPr>
            <w:tcW w:w="487" w:type="pct"/>
            <w:noWrap w:val="0"/>
            <w:vAlign w:val="center"/>
          </w:tcPr>
          <w:p w14:paraId="6EFFE123">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2-5处</w:t>
            </w:r>
          </w:p>
        </w:tc>
        <w:tc>
          <w:tcPr>
            <w:tcW w:w="625" w:type="pct"/>
            <w:vMerge w:val="continue"/>
            <w:noWrap w:val="0"/>
            <w:vAlign w:val="center"/>
          </w:tcPr>
          <w:p w14:paraId="57567DDA">
            <w:pPr>
              <w:widowControl/>
              <w:spacing w:before="24" w:beforeLines="10" w:after="24" w:afterLines="10"/>
              <w:rPr>
                <w:rFonts w:hint="eastAsia" w:ascii="幼圆" w:hAnsi="ˎ̥" w:eastAsia="幼圆" w:cs="宋体"/>
                <w:kern w:val="0"/>
                <w:szCs w:val="21"/>
              </w:rPr>
            </w:pPr>
          </w:p>
        </w:tc>
        <w:tc>
          <w:tcPr>
            <w:tcW w:w="459" w:type="pct"/>
            <w:noWrap w:val="0"/>
            <w:vAlign w:val="center"/>
          </w:tcPr>
          <w:p w14:paraId="34FC0886">
            <w:pPr>
              <w:widowControl/>
              <w:spacing w:before="24" w:beforeLines="10" w:after="24" w:afterLines="10"/>
              <w:rPr>
                <w:rFonts w:hint="eastAsia" w:ascii="幼圆" w:hAnsi="ˎ̥" w:eastAsia="幼圆"/>
                <w:szCs w:val="21"/>
              </w:rPr>
            </w:pPr>
            <w:r>
              <w:rPr>
                <w:rFonts w:hint="eastAsia" w:ascii="幼圆" w:hAnsi="ˎ̥" w:eastAsia="幼圆"/>
                <w:szCs w:val="21"/>
              </w:rPr>
              <w:t>社区底商、商业群楼2</w:t>
            </w:r>
            <w:r>
              <w:rPr>
                <w:rFonts w:hint="eastAsia" w:ascii="幼圆" w:hAnsi="ˎ̥" w:eastAsia="幼圆" w:cs="宋体"/>
                <w:kern w:val="0"/>
                <w:szCs w:val="21"/>
              </w:rPr>
              <w:t>-</w:t>
            </w:r>
            <w:r>
              <w:rPr>
                <w:rFonts w:hint="eastAsia" w:ascii="幼圆" w:hAnsi="ˎ̥" w:eastAsia="幼圆"/>
                <w:szCs w:val="21"/>
              </w:rPr>
              <w:t>3层</w:t>
            </w:r>
          </w:p>
        </w:tc>
      </w:tr>
      <w:tr w14:paraId="55950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5E81642B">
            <w:pPr>
              <w:widowControl/>
              <w:spacing w:before="24" w:beforeLines="10" w:after="24" w:afterLines="10"/>
              <w:jc w:val="center"/>
              <w:rPr>
                <w:rFonts w:hint="eastAsia" w:ascii="幼圆" w:hAnsi="ˎ̥" w:eastAsia="幼圆" w:cs="宋体"/>
                <w:b/>
                <w:kern w:val="0"/>
                <w:szCs w:val="21"/>
              </w:rPr>
            </w:pPr>
            <w:r>
              <w:rPr>
                <w:rFonts w:hint="eastAsia" w:ascii="幼圆" w:hAnsi="ˎ̥" w:eastAsia="幼圆" w:cs="宋体"/>
                <w:b/>
                <w:kern w:val="0"/>
                <w:szCs w:val="21"/>
              </w:rPr>
              <w:t>5</w:t>
            </w:r>
          </w:p>
        </w:tc>
        <w:tc>
          <w:tcPr>
            <w:tcW w:w="556" w:type="pct"/>
            <w:noWrap w:val="0"/>
            <w:vAlign w:val="center"/>
          </w:tcPr>
          <w:p w14:paraId="52E8A404">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医药店</w:t>
            </w:r>
          </w:p>
        </w:tc>
        <w:tc>
          <w:tcPr>
            <w:tcW w:w="452" w:type="pct"/>
            <w:noWrap w:val="0"/>
            <w:vAlign w:val="center"/>
          </w:tcPr>
          <w:p w14:paraId="5F69316C">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300-500米</w:t>
            </w:r>
          </w:p>
        </w:tc>
        <w:tc>
          <w:tcPr>
            <w:tcW w:w="347" w:type="pct"/>
            <w:noWrap w:val="0"/>
            <w:vAlign w:val="center"/>
          </w:tcPr>
          <w:p w14:paraId="0716204D">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1万—2.5万</w:t>
            </w:r>
            <w:r>
              <w:rPr>
                <w:rFonts w:hint="eastAsia" w:ascii="幼圆" w:hAnsi="ˎ̥" w:eastAsia="幼圆"/>
                <w:szCs w:val="21"/>
              </w:rPr>
              <w:t>人</w:t>
            </w:r>
          </w:p>
        </w:tc>
        <w:tc>
          <w:tcPr>
            <w:tcW w:w="591" w:type="pct"/>
            <w:noWrap w:val="0"/>
            <w:vAlign w:val="center"/>
          </w:tcPr>
          <w:p w14:paraId="3CCBD56A">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宜50平方米以上</w:t>
            </w:r>
          </w:p>
        </w:tc>
        <w:tc>
          <w:tcPr>
            <w:tcW w:w="1321" w:type="pct"/>
            <w:noWrap w:val="0"/>
            <w:vAlign w:val="center"/>
          </w:tcPr>
          <w:p w14:paraId="2FD5CFBA">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包括70%以上的国家基本药物品种，宜提供24小时服务。</w:t>
            </w:r>
          </w:p>
        </w:tc>
        <w:tc>
          <w:tcPr>
            <w:tcW w:w="487" w:type="pct"/>
            <w:noWrap w:val="0"/>
            <w:vAlign w:val="center"/>
          </w:tcPr>
          <w:p w14:paraId="45E6773E">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2-5处</w:t>
            </w:r>
          </w:p>
        </w:tc>
        <w:tc>
          <w:tcPr>
            <w:tcW w:w="625" w:type="pct"/>
            <w:noWrap w:val="0"/>
            <w:vAlign w:val="center"/>
          </w:tcPr>
          <w:p w14:paraId="6C5E2096">
            <w:pPr>
              <w:widowControl/>
              <w:spacing w:before="24" w:beforeLines="10" w:after="24" w:afterLines="10"/>
              <w:rPr>
                <w:rFonts w:hint="eastAsia" w:ascii="幼圆" w:hAnsi="ˎ̥" w:eastAsia="幼圆" w:cs="宋体"/>
                <w:kern w:val="0"/>
                <w:szCs w:val="21"/>
              </w:rPr>
            </w:pPr>
            <w:r>
              <w:rPr>
                <w:rFonts w:hint="eastAsia" w:ascii="幼圆" w:hAnsi="ˎ̥" w:eastAsia="幼圆"/>
                <w:szCs w:val="21"/>
              </w:rPr>
              <w:t>交通便利，人流集中的地方，可依托社区主力店布局。</w:t>
            </w:r>
          </w:p>
        </w:tc>
        <w:tc>
          <w:tcPr>
            <w:tcW w:w="459" w:type="pct"/>
            <w:noWrap w:val="0"/>
            <w:vAlign w:val="center"/>
          </w:tcPr>
          <w:p w14:paraId="217FBA5A">
            <w:pPr>
              <w:widowControl/>
              <w:spacing w:before="24" w:beforeLines="10" w:after="24" w:afterLines="10"/>
              <w:rPr>
                <w:rFonts w:hint="eastAsia" w:ascii="幼圆" w:hAnsi="ˎ̥" w:eastAsia="幼圆"/>
                <w:szCs w:val="21"/>
              </w:rPr>
            </w:pPr>
            <w:r>
              <w:rPr>
                <w:rFonts w:hint="eastAsia" w:ascii="幼圆" w:hAnsi="ˎ̥" w:eastAsia="幼圆"/>
                <w:szCs w:val="21"/>
              </w:rPr>
              <w:t>社区底商、商业街</w:t>
            </w:r>
          </w:p>
        </w:tc>
      </w:tr>
      <w:tr w14:paraId="636FC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11CFE1DD">
            <w:pPr>
              <w:widowControl/>
              <w:spacing w:before="24" w:beforeLines="10" w:after="24" w:afterLines="10"/>
              <w:jc w:val="center"/>
              <w:rPr>
                <w:rFonts w:hint="eastAsia" w:ascii="幼圆" w:hAnsi="ˎ̥" w:eastAsia="幼圆" w:cs="宋体"/>
                <w:b/>
                <w:kern w:val="0"/>
                <w:szCs w:val="21"/>
              </w:rPr>
            </w:pPr>
            <w:r>
              <w:rPr>
                <w:rFonts w:hint="eastAsia" w:ascii="幼圆" w:hAnsi="ˎ̥" w:eastAsia="幼圆" w:cs="宋体"/>
                <w:b/>
                <w:kern w:val="0"/>
                <w:szCs w:val="21"/>
              </w:rPr>
              <w:t>6</w:t>
            </w:r>
          </w:p>
        </w:tc>
        <w:tc>
          <w:tcPr>
            <w:tcW w:w="556" w:type="pct"/>
            <w:noWrap w:val="0"/>
            <w:vAlign w:val="center"/>
          </w:tcPr>
          <w:p w14:paraId="52D1AE01">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洗染店</w:t>
            </w:r>
          </w:p>
        </w:tc>
        <w:tc>
          <w:tcPr>
            <w:tcW w:w="452" w:type="pct"/>
            <w:noWrap w:val="0"/>
            <w:vAlign w:val="center"/>
          </w:tcPr>
          <w:p w14:paraId="143B919A">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300-500米</w:t>
            </w:r>
          </w:p>
        </w:tc>
        <w:tc>
          <w:tcPr>
            <w:tcW w:w="347" w:type="pct"/>
            <w:noWrap w:val="0"/>
            <w:vAlign w:val="center"/>
          </w:tcPr>
          <w:p w14:paraId="5371FBA5">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1万—2.5万</w:t>
            </w:r>
            <w:r>
              <w:rPr>
                <w:rFonts w:hint="eastAsia" w:ascii="幼圆" w:hAnsi="ˎ̥" w:eastAsia="幼圆"/>
                <w:szCs w:val="21"/>
              </w:rPr>
              <w:t>人</w:t>
            </w:r>
          </w:p>
        </w:tc>
        <w:tc>
          <w:tcPr>
            <w:tcW w:w="591" w:type="pct"/>
            <w:noWrap w:val="0"/>
            <w:vAlign w:val="center"/>
          </w:tcPr>
          <w:p w14:paraId="6E8135E4">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50平方米以上（连锁分店20平方米以上）</w:t>
            </w:r>
          </w:p>
        </w:tc>
        <w:tc>
          <w:tcPr>
            <w:tcW w:w="1321" w:type="pct"/>
            <w:noWrap w:val="0"/>
            <w:vAlign w:val="center"/>
          </w:tcPr>
          <w:p w14:paraId="59260FCD">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能提供洗衣、熨烫和皮革衣物的清洗、上光等服务。</w:t>
            </w:r>
          </w:p>
        </w:tc>
        <w:tc>
          <w:tcPr>
            <w:tcW w:w="487" w:type="pct"/>
            <w:noWrap w:val="0"/>
            <w:vAlign w:val="center"/>
          </w:tcPr>
          <w:p w14:paraId="2E1924FA">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2-5处</w:t>
            </w:r>
          </w:p>
        </w:tc>
        <w:tc>
          <w:tcPr>
            <w:tcW w:w="625" w:type="pct"/>
            <w:vMerge w:val="restart"/>
            <w:noWrap w:val="0"/>
            <w:vAlign w:val="center"/>
          </w:tcPr>
          <w:p w14:paraId="1FBEFB87">
            <w:pPr>
              <w:widowControl/>
              <w:spacing w:before="24" w:beforeLines="10" w:after="24" w:afterLines="10"/>
              <w:rPr>
                <w:rFonts w:hint="eastAsia" w:ascii="幼圆" w:hAnsi="ˎ̥" w:eastAsia="幼圆" w:cs="宋体"/>
                <w:kern w:val="0"/>
                <w:szCs w:val="21"/>
              </w:rPr>
            </w:pPr>
            <w:r>
              <w:rPr>
                <w:rFonts w:hint="eastAsia" w:ascii="幼圆" w:hAnsi="ˎ̥" w:eastAsia="幼圆"/>
                <w:szCs w:val="21"/>
              </w:rPr>
              <w:t>交通便利，人流集中的地方。</w:t>
            </w:r>
          </w:p>
        </w:tc>
        <w:tc>
          <w:tcPr>
            <w:tcW w:w="459" w:type="pct"/>
            <w:vMerge w:val="restart"/>
            <w:noWrap w:val="0"/>
            <w:vAlign w:val="center"/>
          </w:tcPr>
          <w:p w14:paraId="16FBAD08">
            <w:pPr>
              <w:spacing w:before="24" w:beforeLines="10" w:after="24" w:afterLines="10"/>
              <w:rPr>
                <w:rFonts w:hint="eastAsia" w:ascii="幼圆" w:hAnsi="ˎ̥" w:eastAsia="幼圆"/>
                <w:szCs w:val="21"/>
              </w:rPr>
            </w:pPr>
            <w:r>
              <w:rPr>
                <w:rFonts w:hint="eastAsia" w:ascii="幼圆" w:hAnsi="ˎ̥" w:eastAsia="幼圆"/>
                <w:szCs w:val="21"/>
              </w:rPr>
              <w:t>社区底商、商业街、商业群楼2</w:t>
            </w:r>
            <w:r>
              <w:rPr>
                <w:rFonts w:hint="eastAsia" w:ascii="幼圆" w:hAnsi="ˎ̥" w:eastAsia="幼圆" w:cs="宋体"/>
                <w:kern w:val="0"/>
                <w:szCs w:val="21"/>
              </w:rPr>
              <w:t>-</w:t>
            </w:r>
            <w:r>
              <w:rPr>
                <w:rFonts w:hint="eastAsia" w:ascii="幼圆" w:hAnsi="ˎ̥" w:eastAsia="幼圆"/>
                <w:szCs w:val="21"/>
              </w:rPr>
              <w:t>3层</w:t>
            </w:r>
          </w:p>
        </w:tc>
      </w:tr>
      <w:tr w14:paraId="6B659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7D90274D">
            <w:pPr>
              <w:widowControl/>
              <w:spacing w:before="24" w:beforeLines="10" w:after="24" w:afterLines="10"/>
              <w:jc w:val="center"/>
              <w:rPr>
                <w:rFonts w:hint="eastAsia" w:ascii="幼圆" w:hAnsi="ˎ̥" w:eastAsia="幼圆" w:cs="宋体"/>
                <w:b/>
                <w:kern w:val="0"/>
                <w:szCs w:val="21"/>
              </w:rPr>
            </w:pPr>
            <w:r>
              <w:rPr>
                <w:rFonts w:hint="eastAsia" w:ascii="幼圆" w:hAnsi="ˎ̥" w:eastAsia="幼圆" w:cs="宋体"/>
                <w:b/>
                <w:kern w:val="0"/>
                <w:szCs w:val="21"/>
              </w:rPr>
              <w:t>7</w:t>
            </w:r>
          </w:p>
        </w:tc>
        <w:tc>
          <w:tcPr>
            <w:tcW w:w="556" w:type="pct"/>
            <w:noWrap w:val="0"/>
            <w:vAlign w:val="center"/>
          </w:tcPr>
          <w:p w14:paraId="2DF38622">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金融服务网点</w:t>
            </w:r>
          </w:p>
        </w:tc>
        <w:tc>
          <w:tcPr>
            <w:tcW w:w="452" w:type="pct"/>
            <w:noWrap w:val="0"/>
            <w:vAlign w:val="center"/>
          </w:tcPr>
          <w:p w14:paraId="0E91BE33">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500-800米</w:t>
            </w:r>
          </w:p>
        </w:tc>
        <w:tc>
          <w:tcPr>
            <w:tcW w:w="347" w:type="pct"/>
            <w:noWrap w:val="0"/>
            <w:vAlign w:val="center"/>
          </w:tcPr>
          <w:p w14:paraId="5948AB63">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0.5万—1万</w:t>
            </w:r>
            <w:r>
              <w:rPr>
                <w:rFonts w:hint="eastAsia" w:ascii="幼圆" w:hAnsi="ˎ̥" w:eastAsia="幼圆"/>
                <w:szCs w:val="21"/>
              </w:rPr>
              <w:t>人</w:t>
            </w:r>
          </w:p>
        </w:tc>
        <w:tc>
          <w:tcPr>
            <w:tcW w:w="591" w:type="pct"/>
            <w:noWrap w:val="0"/>
            <w:vAlign w:val="center"/>
          </w:tcPr>
          <w:p w14:paraId="25076D02">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100平方米以上</w:t>
            </w:r>
          </w:p>
        </w:tc>
        <w:tc>
          <w:tcPr>
            <w:tcW w:w="1321" w:type="pct"/>
            <w:noWrap w:val="0"/>
            <w:vAlign w:val="center"/>
          </w:tcPr>
          <w:p w14:paraId="1361D27F">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提供储蓄、汇款、代收费、兑换等基本的金融服务</w:t>
            </w:r>
          </w:p>
        </w:tc>
        <w:tc>
          <w:tcPr>
            <w:tcW w:w="487" w:type="pct"/>
            <w:noWrap w:val="0"/>
            <w:vAlign w:val="center"/>
          </w:tcPr>
          <w:p w14:paraId="240A5DCE">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1-3处</w:t>
            </w:r>
          </w:p>
        </w:tc>
        <w:tc>
          <w:tcPr>
            <w:tcW w:w="625" w:type="pct"/>
            <w:vMerge w:val="continue"/>
            <w:noWrap w:val="0"/>
            <w:vAlign w:val="center"/>
          </w:tcPr>
          <w:p w14:paraId="02E49CC4">
            <w:pPr>
              <w:widowControl/>
              <w:spacing w:before="24" w:beforeLines="10" w:after="24" w:afterLines="10"/>
              <w:rPr>
                <w:rFonts w:hint="eastAsia" w:ascii="幼圆" w:hAnsi="ˎ̥" w:eastAsia="幼圆" w:cs="宋体"/>
                <w:kern w:val="0"/>
                <w:szCs w:val="21"/>
              </w:rPr>
            </w:pPr>
          </w:p>
        </w:tc>
        <w:tc>
          <w:tcPr>
            <w:tcW w:w="459" w:type="pct"/>
            <w:vMerge w:val="continue"/>
            <w:noWrap w:val="0"/>
            <w:vAlign w:val="center"/>
          </w:tcPr>
          <w:p w14:paraId="1B3655C9">
            <w:pPr>
              <w:widowControl/>
              <w:spacing w:before="24" w:beforeLines="10" w:after="24" w:afterLines="10"/>
              <w:rPr>
                <w:rFonts w:hint="eastAsia" w:ascii="幼圆" w:hAnsi="ˎ̥" w:eastAsia="幼圆"/>
                <w:szCs w:val="21"/>
              </w:rPr>
            </w:pPr>
          </w:p>
        </w:tc>
      </w:tr>
      <w:tr w14:paraId="3985B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2D9C2CE2">
            <w:pPr>
              <w:widowControl/>
              <w:spacing w:before="24" w:beforeLines="10" w:after="24" w:afterLines="10"/>
              <w:jc w:val="center"/>
              <w:rPr>
                <w:rFonts w:hint="eastAsia" w:ascii="幼圆" w:hAnsi="ˎ̥" w:eastAsia="幼圆" w:cs="宋体"/>
                <w:b/>
                <w:kern w:val="0"/>
                <w:szCs w:val="21"/>
              </w:rPr>
            </w:pPr>
            <w:r>
              <w:rPr>
                <w:rFonts w:hint="eastAsia" w:ascii="幼圆" w:hAnsi="ˎ̥" w:eastAsia="幼圆" w:cs="宋体"/>
                <w:b/>
                <w:kern w:val="0"/>
                <w:szCs w:val="21"/>
              </w:rPr>
              <w:t>8</w:t>
            </w:r>
          </w:p>
        </w:tc>
        <w:tc>
          <w:tcPr>
            <w:tcW w:w="556" w:type="pct"/>
            <w:noWrap w:val="0"/>
            <w:vAlign w:val="center"/>
          </w:tcPr>
          <w:p w14:paraId="4D3D9DA0">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文化用品网点</w:t>
            </w:r>
          </w:p>
        </w:tc>
        <w:tc>
          <w:tcPr>
            <w:tcW w:w="452" w:type="pct"/>
            <w:noWrap w:val="0"/>
            <w:vAlign w:val="center"/>
          </w:tcPr>
          <w:p w14:paraId="7016B196">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500-1000米</w:t>
            </w:r>
          </w:p>
        </w:tc>
        <w:tc>
          <w:tcPr>
            <w:tcW w:w="347" w:type="pct"/>
            <w:noWrap w:val="0"/>
            <w:vAlign w:val="center"/>
          </w:tcPr>
          <w:p w14:paraId="6C807D88">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lang w:eastAsia="zh-CN"/>
              </w:rPr>
              <w:t>2万—5万</w:t>
            </w:r>
            <w:r>
              <w:rPr>
                <w:rFonts w:hint="eastAsia" w:ascii="幼圆" w:hAnsi="ˎ̥" w:eastAsia="幼圆" w:cs="宋体"/>
                <w:kern w:val="0"/>
                <w:szCs w:val="21"/>
              </w:rPr>
              <w:t>人</w:t>
            </w:r>
          </w:p>
        </w:tc>
        <w:tc>
          <w:tcPr>
            <w:tcW w:w="591" w:type="pct"/>
            <w:noWrap w:val="0"/>
            <w:vAlign w:val="center"/>
          </w:tcPr>
          <w:p w14:paraId="4D5DBB8D">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单店面积50平方米以上</w:t>
            </w:r>
          </w:p>
        </w:tc>
        <w:tc>
          <w:tcPr>
            <w:tcW w:w="1321" w:type="pct"/>
            <w:noWrap w:val="0"/>
            <w:vAlign w:val="center"/>
          </w:tcPr>
          <w:p w14:paraId="647944DC">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经营生活、科技、美术、文艺等书籍和音像制品5大类以上，可同时提供租赁业务；营业时间10小时以上。</w:t>
            </w:r>
          </w:p>
        </w:tc>
        <w:tc>
          <w:tcPr>
            <w:tcW w:w="487" w:type="pct"/>
            <w:noWrap w:val="0"/>
            <w:vAlign w:val="center"/>
          </w:tcPr>
          <w:p w14:paraId="38578032">
            <w:pPr>
              <w:widowControl/>
              <w:spacing w:before="24" w:beforeLines="10" w:after="24" w:afterLines="10"/>
              <w:jc w:val="center"/>
              <w:rPr>
                <w:rFonts w:hint="eastAsia" w:ascii="幼圆" w:hAnsi="ˎ̥" w:eastAsia="幼圆" w:cs="宋体"/>
                <w:kern w:val="0"/>
                <w:szCs w:val="21"/>
              </w:rPr>
            </w:pPr>
            <w:r>
              <w:rPr>
                <w:rFonts w:hint="eastAsia" w:ascii="幼圆" w:hAnsi="ˎ̥" w:eastAsia="幼圆"/>
                <w:szCs w:val="21"/>
              </w:rPr>
              <w:t>1</w:t>
            </w:r>
            <w:r>
              <w:rPr>
                <w:rFonts w:hint="eastAsia" w:ascii="幼圆" w:hAnsi="ˎ̥" w:eastAsia="幼圆" w:cs="宋体"/>
                <w:kern w:val="0"/>
                <w:szCs w:val="21"/>
              </w:rPr>
              <w:t>-</w:t>
            </w:r>
            <w:r>
              <w:rPr>
                <w:rFonts w:hint="eastAsia" w:ascii="幼圆" w:hAnsi="ˎ̥" w:eastAsia="幼圆"/>
                <w:szCs w:val="21"/>
              </w:rPr>
              <w:t>2处</w:t>
            </w:r>
          </w:p>
        </w:tc>
        <w:tc>
          <w:tcPr>
            <w:tcW w:w="625" w:type="pct"/>
            <w:noWrap w:val="0"/>
            <w:vAlign w:val="center"/>
          </w:tcPr>
          <w:p w14:paraId="2EC59255">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在社区中商业设施相对较为集中的区域设置。</w:t>
            </w:r>
          </w:p>
        </w:tc>
        <w:tc>
          <w:tcPr>
            <w:tcW w:w="459" w:type="pct"/>
            <w:noWrap w:val="0"/>
            <w:vAlign w:val="center"/>
          </w:tcPr>
          <w:p w14:paraId="631FB1F3">
            <w:pPr>
              <w:widowControl/>
              <w:spacing w:before="24" w:beforeLines="10" w:after="24" w:afterLines="10"/>
              <w:rPr>
                <w:rFonts w:hint="eastAsia" w:ascii="幼圆" w:hAnsi="ˎ̥" w:eastAsia="幼圆"/>
                <w:szCs w:val="21"/>
              </w:rPr>
            </w:pPr>
            <w:r>
              <w:rPr>
                <w:rFonts w:hint="eastAsia" w:ascii="幼圆" w:hAnsi="ˎ̥" w:eastAsia="幼圆"/>
                <w:szCs w:val="21"/>
              </w:rPr>
              <w:t>社区底商、商业群楼2</w:t>
            </w:r>
            <w:r>
              <w:rPr>
                <w:rFonts w:hint="eastAsia" w:ascii="幼圆" w:hAnsi="ˎ̥" w:eastAsia="幼圆" w:cs="宋体"/>
                <w:kern w:val="0"/>
                <w:szCs w:val="21"/>
              </w:rPr>
              <w:t>-</w:t>
            </w:r>
            <w:r>
              <w:rPr>
                <w:rFonts w:hint="eastAsia" w:ascii="幼圆" w:hAnsi="ˎ̥" w:eastAsia="幼圆"/>
                <w:szCs w:val="21"/>
              </w:rPr>
              <w:t>3层</w:t>
            </w:r>
          </w:p>
        </w:tc>
      </w:tr>
      <w:tr w14:paraId="3E774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5FC85465">
            <w:pPr>
              <w:widowControl/>
              <w:spacing w:before="24" w:beforeLines="10" w:after="24" w:afterLines="10"/>
              <w:jc w:val="center"/>
              <w:rPr>
                <w:rFonts w:hint="eastAsia" w:ascii="幼圆" w:hAnsi="宋体" w:eastAsia="幼圆" w:cs="Arial"/>
                <w:b/>
                <w:szCs w:val="21"/>
              </w:rPr>
            </w:pPr>
            <w:r>
              <w:rPr>
                <w:rFonts w:hint="eastAsia" w:ascii="幼圆" w:hAnsi="宋体" w:eastAsia="幼圆" w:cs="Arial"/>
                <w:b/>
                <w:szCs w:val="21"/>
              </w:rPr>
              <w:t>9</w:t>
            </w:r>
          </w:p>
        </w:tc>
        <w:tc>
          <w:tcPr>
            <w:tcW w:w="556" w:type="pct"/>
            <w:noWrap w:val="0"/>
            <w:vAlign w:val="center"/>
          </w:tcPr>
          <w:p w14:paraId="2DC64E93">
            <w:pPr>
              <w:widowControl/>
              <w:spacing w:before="24" w:beforeLines="10" w:after="24" w:afterLines="10"/>
              <w:jc w:val="center"/>
              <w:rPr>
                <w:rFonts w:hint="eastAsia" w:ascii="幼圆" w:hAnsi="ˎ̥" w:eastAsia="幼圆" w:cs="宋体"/>
                <w:kern w:val="0"/>
                <w:szCs w:val="21"/>
              </w:rPr>
            </w:pPr>
            <w:r>
              <w:rPr>
                <w:rFonts w:hint="eastAsia" w:ascii="幼圆" w:hAnsi="宋体" w:eastAsia="幼圆" w:cs="Arial"/>
                <w:szCs w:val="21"/>
              </w:rPr>
              <w:t>维修店</w:t>
            </w:r>
          </w:p>
        </w:tc>
        <w:tc>
          <w:tcPr>
            <w:tcW w:w="452" w:type="pct"/>
            <w:noWrap w:val="0"/>
            <w:vAlign w:val="center"/>
          </w:tcPr>
          <w:p w14:paraId="2BEDC986">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500-800米</w:t>
            </w:r>
          </w:p>
        </w:tc>
        <w:tc>
          <w:tcPr>
            <w:tcW w:w="347" w:type="pct"/>
            <w:noWrap w:val="0"/>
            <w:vAlign w:val="center"/>
          </w:tcPr>
          <w:p w14:paraId="33C9AB53">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0.5万—1万</w:t>
            </w:r>
            <w:r>
              <w:rPr>
                <w:rFonts w:hint="eastAsia" w:ascii="幼圆" w:hAnsi="ˎ̥" w:eastAsia="幼圆"/>
                <w:szCs w:val="21"/>
              </w:rPr>
              <w:t>人</w:t>
            </w:r>
          </w:p>
        </w:tc>
        <w:tc>
          <w:tcPr>
            <w:tcW w:w="591" w:type="pct"/>
            <w:noWrap w:val="0"/>
            <w:vAlign w:val="center"/>
          </w:tcPr>
          <w:p w14:paraId="657A09BA">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宜在20平方米以上</w:t>
            </w:r>
          </w:p>
        </w:tc>
        <w:tc>
          <w:tcPr>
            <w:tcW w:w="1321" w:type="pct"/>
            <w:noWrap w:val="0"/>
            <w:vAlign w:val="center"/>
          </w:tcPr>
          <w:p w14:paraId="37FEEA72">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应能提供家电维修（含微机及外设维修）、自行车修理、汽车维修、修鞋、配钥匙等服务。营业时间宜在10小时以上。应有维修店提供家电维修上门服务。</w:t>
            </w:r>
          </w:p>
        </w:tc>
        <w:tc>
          <w:tcPr>
            <w:tcW w:w="487" w:type="pct"/>
            <w:noWrap w:val="0"/>
            <w:vAlign w:val="center"/>
          </w:tcPr>
          <w:p w14:paraId="341CFDB9">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1-3处</w:t>
            </w:r>
          </w:p>
        </w:tc>
        <w:tc>
          <w:tcPr>
            <w:tcW w:w="625" w:type="pct"/>
            <w:noWrap w:val="0"/>
            <w:vAlign w:val="center"/>
          </w:tcPr>
          <w:p w14:paraId="2AE68884">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在社区中商业设施相对较为集中的外围区域设置。</w:t>
            </w:r>
          </w:p>
        </w:tc>
        <w:tc>
          <w:tcPr>
            <w:tcW w:w="459" w:type="pct"/>
            <w:noWrap w:val="0"/>
            <w:vAlign w:val="center"/>
          </w:tcPr>
          <w:p w14:paraId="22518B90">
            <w:pPr>
              <w:widowControl/>
              <w:spacing w:before="24" w:beforeLines="10" w:after="24" w:afterLines="10"/>
              <w:rPr>
                <w:rFonts w:hint="eastAsia" w:ascii="幼圆" w:hAnsi="ˎ̥" w:eastAsia="幼圆"/>
                <w:szCs w:val="21"/>
              </w:rPr>
            </w:pPr>
            <w:r>
              <w:rPr>
                <w:rFonts w:hint="eastAsia" w:ascii="幼圆" w:hAnsi="ˎ̥" w:eastAsia="幼圆"/>
                <w:szCs w:val="21"/>
              </w:rPr>
              <w:t>社区底商、单点式</w:t>
            </w:r>
          </w:p>
        </w:tc>
      </w:tr>
      <w:tr w14:paraId="6B29A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06FB24D3">
            <w:pPr>
              <w:widowControl/>
              <w:spacing w:before="24" w:beforeLines="10" w:after="24" w:afterLines="10"/>
              <w:jc w:val="center"/>
              <w:rPr>
                <w:rFonts w:hint="eastAsia" w:ascii="幼圆" w:hAnsi="宋体" w:eastAsia="幼圆" w:cs="Arial"/>
                <w:b/>
                <w:szCs w:val="21"/>
              </w:rPr>
            </w:pPr>
            <w:r>
              <w:rPr>
                <w:rFonts w:hint="eastAsia" w:ascii="幼圆" w:hAnsi="宋体" w:eastAsia="幼圆" w:cs="Arial"/>
                <w:b/>
                <w:szCs w:val="21"/>
              </w:rPr>
              <w:t>10</w:t>
            </w:r>
          </w:p>
        </w:tc>
        <w:tc>
          <w:tcPr>
            <w:tcW w:w="556" w:type="pct"/>
            <w:noWrap w:val="0"/>
            <w:vAlign w:val="center"/>
          </w:tcPr>
          <w:p w14:paraId="699CF7D3">
            <w:pPr>
              <w:widowControl/>
              <w:spacing w:before="24" w:beforeLines="10" w:after="24" w:afterLines="10"/>
              <w:jc w:val="center"/>
              <w:rPr>
                <w:rFonts w:hint="eastAsia" w:ascii="幼圆" w:hAnsi="宋体" w:eastAsia="幼圆" w:cs="Arial"/>
                <w:szCs w:val="21"/>
              </w:rPr>
            </w:pPr>
            <w:r>
              <w:rPr>
                <w:rFonts w:hint="eastAsia" w:ascii="幼圆" w:hAnsi="宋体" w:eastAsia="幼圆" w:cs="Arial"/>
                <w:szCs w:val="21"/>
              </w:rPr>
              <w:t>再生资源回收站</w:t>
            </w:r>
          </w:p>
        </w:tc>
        <w:tc>
          <w:tcPr>
            <w:tcW w:w="452" w:type="pct"/>
            <w:noWrap w:val="0"/>
            <w:vAlign w:val="center"/>
          </w:tcPr>
          <w:p w14:paraId="5189137C">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500-800米</w:t>
            </w:r>
          </w:p>
        </w:tc>
        <w:tc>
          <w:tcPr>
            <w:tcW w:w="347" w:type="pct"/>
            <w:noWrap w:val="0"/>
            <w:vAlign w:val="center"/>
          </w:tcPr>
          <w:p w14:paraId="76FC4BED">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0.5万—1万</w:t>
            </w:r>
            <w:r>
              <w:rPr>
                <w:rFonts w:hint="eastAsia" w:ascii="幼圆" w:hAnsi="ˎ̥" w:eastAsia="幼圆"/>
                <w:szCs w:val="21"/>
              </w:rPr>
              <w:t>人</w:t>
            </w:r>
          </w:p>
        </w:tc>
        <w:tc>
          <w:tcPr>
            <w:tcW w:w="591" w:type="pct"/>
            <w:noWrap w:val="0"/>
            <w:vAlign w:val="center"/>
          </w:tcPr>
          <w:p w14:paraId="1B4AB36E">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宜在10平方米以上</w:t>
            </w:r>
          </w:p>
        </w:tc>
        <w:tc>
          <w:tcPr>
            <w:tcW w:w="1321" w:type="pct"/>
            <w:noWrap w:val="0"/>
            <w:vAlign w:val="center"/>
          </w:tcPr>
          <w:p w14:paraId="252BC44D">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实行重点企业统一经营管理，专业物资运输配送的社区回收经营模式。回收网点实行定点、定人、定时回收，积极引导企业运用连锁经营的方式进行回收。</w:t>
            </w:r>
          </w:p>
        </w:tc>
        <w:tc>
          <w:tcPr>
            <w:tcW w:w="487" w:type="pct"/>
            <w:noWrap w:val="0"/>
            <w:vAlign w:val="center"/>
          </w:tcPr>
          <w:p w14:paraId="2C1A2D8F">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1-3处</w:t>
            </w:r>
          </w:p>
        </w:tc>
        <w:tc>
          <w:tcPr>
            <w:tcW w:w="625" w:type="pct"/>
            <w:noWrap w:val="0"/>
            <w:vAlign w:val="center"/>
          </w:tcPr>
          <w:p w14:paraId="43CE7B6F">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在社区中商业设施相对较为集中的外围区域设置。</w:t>
            </w:r>
          </w:p>
        </w:tc>
        <w:tc>
          <w:tcPr>
            <w:tcW w:w="459" w:type="pct"/>
            <w:noWrap w:val="0"/>
            <w:vAlign w:val="center"/>
          </w:tcPr>
          <w:p w14:paraId="02CB8DEB">
            <w:pPr>
              <w:widowControl/>
              <w:spacing w:before="24" w:beforeLines="10" w:after="24" w:afterLines="10"/>
              <w:rPr>
                <w:rFonts w:hint="eastAsia" w:ascii="幼圆" w:hAnsi="ˎ̥" w:eastAsia="幼圆"/>
                <w:szCs w:val="21"/>
              </w:rPr>
            </w:pPr>
            <w:r>
              <w:rPr>
                <w:rFonts w:hint="eastAsia" w:ascii="幼圆" w:hAnsi="ˎ̥" w:eastAsia="幼圆"/>
                <w:szCs w:val="21"/>
              </w:rPr>
              <w:t>社区底商、单点式</w:t>
            </w:r>
          </w:p>
        </w:tc>
      </w:tr>
      <w:tr w14:paraId="3DF3E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394BBB9E">
            <w:pPr>
              <w:widowControl/>
              <w:spacing w:before="24" w:beforeLines="10" w:after="24" w:afterLines="10"/>
              <w:jc w:val="center"/>
              <w:rPr>
                <w:rFonts w:hint="eastAsia" w:ascii="幼圆" w:hAnsi="宋体" w:eastAsia="幼圆" w:cs="Arial"/>
                <w:b/>
                <w:szCs w:val="21"/>
              </w:rPr>
            </w:pPr>
            <w:r>
              <w:rPr>
                <w:rFonts w:hint="eastAsia" w:ascii="幼圆" w:hAnsi="宋体" w:eastAsia="幼圆" w:cs="Arial"/>
                <w:b/>
                <w:szCs w:val="21"/>
              </w:rPr>
              <w:t>11</w:t>
            </w:r>
          </w:p>
        </w:tc>
        <w:tc>
          <w:tcPr>
            <w:tcW w:w="556" w:type="pct"/>
            <w:noWrap w:val="0"/>
            <w:vAlign w:val="center"/>
          </w:tcPr>
          <w:p w14:paraId="65754FE2">
            <w:pPr>
              <w:widowControl/>
              <w:spacing w:before="24" w:beforeLines="10" w:after="24" w:afterLines="10"/>
              <w:jc w:val="center"/>
              <w:rPr>
                <w:rFonts w:hint="eastAsia" w:ascii="幼圆" w:hAnsi="宋体" w:eastAsia="幼圆" w:cs="Arial"/>
                <w:szCs w:val="21"/>
              </w:rPr>
            </w:pPr>
            <w:r>
              <w:rPr>
                <w:rFonts w:hint="eastAsia" w:ascii="幼圆" w:hAnsi="宋体" w:eastAsia="幼圆" w:cs="Arial"/>
                <w:szCs w:val="21"/>
              </w:rPr>
              <w:t>照相冲印</w:t>
            </w:r>
          </w:p>
        </w:tc>
        <w:tc>
          <w:tcPr>
            <w:tcW w:w="452" w:type="pct"/>
            <w:noWrap w:val="0"/>
            <w:vAlign w:val="center"/>
          </w:tcPr>
          <w:p w14:paraId="5006BE10">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500-800米</w:t>
            </w:r>
          </w:p>
        </w:tc>
        <w:tc>
          <w:tcPr>
            <w:tcW w:w="347" w:type="pct"/>
            <w:noWrap w:val="0"/>
            <w:vAlign w:val="center"/>
          </w:tcPr>
          <w:p w14:paraId="40646034">
            <w:pPr>
              <w:widowControl/>
              <w:spacing w:before="24" w:beforeLines="10" w:after="24" w:afterLines="10"/>
              <w:jc w:val="center"/>
              <w:rPr>
                <w:rFonts w:hint="eastAsia" w:ascii="幼圆" w:hAnsi="ˎ̥" w:eastAsia="幼圆"/>
                <w:szCs w:val="21"/>
              </w:rPr>
            </w:pPr>
            <w:r>
              <w:rPr>
                <w:rFonts w:hint="eastAsia" w:ascii="幼圆" w:hAnsi="ˎ̥" w:eastAsia="幼圆"/>
                <w:szCs w:val="21"/>
                <w:lang w:eastAsia="zh-CN"/>
              </w:rPr>
              <w:t>0.5万—1万</w:t>
            </w:r>
            <w:r>
              <w:rPr>
                <w:rFonts w:hint="eastAsia" w:ascii="幼圆" w:hAnsi="ˎ̥" w:eastAsia="幼圆"/>
                <w:szCs w:val="21"/>
              </w:rPr>
              <w:t>人</w:t>
            </w:r>
          </w:p>
        </w:tc>
        <w:tc>
          <w:tcPr>
            <w:tcW w:w="591" w:type="pct"/>
            <w:noWrap w:val="0"/>
            <w:vAlign w:val="center"/>
          </w:tcPr>
          <w:p w14:paraId="37CFE28A">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单店20-100平方米</w:t>
            </w:r>
          </w:p>
        </w:tc>
        <w:tc>
          <w:tcPr>
            <w:tcW w:w="1321" w:type="pct"/>
            <w:noWrap w:val="0"/>
            <w:vAlign w:val="center"/>
          </w:tcPr>
          <w:p w14:paraId="51CA85BC">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应能提供照相、胶卷冲洗及数码照片的冲印、扩印、胶卷销售等服务。应提供立等可取的证件照服务。</w:t>
            </w:r>
          </w:p>
        </w:tc>
        <w:tc>
          <w:tcPr>
            <w:tcW w:w="487" w:type="pct"/>
            <w:noWrap w:val="0"/>
            <w:vAlign w:val="center"/>
          </w:tcPr>
          <w:p w14:paraId="4755A636">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rPr>
              <w:t>1-3处</w:t>
            </w:r>
          </w:p>
        </w:tc>
        <w:tc>
          <w:tcPr>
            <w:tcW w:w="625" w:type="pct"/>
            <w:noWrap w:val="0"/>
            <w:vAlign w:val="center"/>
          </w:tcPr>
          <w:p w14:paraId="3D629B1F">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在社区中商业设施相对较为集中的区域设置。</w:t>
            </w:r>
          </w:p>
        </w:tc>
        <w:tc>
          <w:tcPr>
            <w:tcW w:w="459" w:type="pct"/>
            <w:noWrap w:val="0"/>
            <w:vAlign w:val="center"/>
          </w:tcPr>
          <w:p w14:paraId="34AB7AA5">
            <w:pPr>
              <w:widowControl/>
              <w:spacing w:before="24" w:beforeLines="10" w:after="24" w:afterLines="10"/>
              <w:rPr>
                <w:rFonts w:hint="eastAsia" w:ascii="幼圆" w:hAnsi="ˎ̥" w:eastAsia="幼圆"/>
                <w:szCs w:val="21"/>
              </w:rPr>
            </w:pPr>
            <w:r>
              <w:rPr>
                <w:rFonts w:hint="eastAsia" w:ascii="幼圆" w:hAnsi="ˎ̥" w:eastAsia="幼圆"/>
                <w:szCs w:val="21"/>
              </w:rPr>
              <w:t>社区底商、商业群楼2</w:t>
            </w:r>
            <w:r>
              <w:rPr>
                <w:rFonts w:hint="eastAsia" w:ascii="幼圆" w:hAnsi="ˎ̥" w:eastAsia="幼圆" w:cs="宋体"/>
                <w:kern w:val="0"/>
                <w:szCs w:val="21"/>
              </w:rPr>
              <w:t>-</w:t>
            </w:r>
            <w:r>
              <w:rPr>
                <w:rFonts w:hint="eastAsia" w:ascii="幼圆" w:hAnsi="ˎ̥" w:eastAsia="幼圆"/>
                <w:szCs w:val="21"/>
              </w:rPr>
              <w:t>3层</w:t>
            </w:r>
          </w:p>
        </w:tc>
      </w:tr>
      <w:tr w14:paraId="0358B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 w:type="pct"/>
            <w:noWrap w:val="0"/>
            <w:vAlign w:val="center"/>
          </w:tcPr>
          <w:p w14:paraId="31B31F6E">
            <w:pPr>
              <w:widowControl/>
              <w:spacing w:before="24" w:beforeLines="10" w:after="24" w:afterLines="10"/>
              <w:jc w:val="center"/>
              <w:rPr>
                <w:rFonts w:hint="eastAsia" w:ascii="幼圆" w:hAnsi="宋体" w:eastAsia="幼圆" w:cs="Arial"/>
                <w:b/>
                <w:szCs w:val="21"/>
              </w:rPr>
            </w:pPr>
            <w:r>
              <w:rPr>
                <w:rFonts w:hint="eastAsia" w:ascii="幼圆" w:hAnsi="宋体" w:eastAsia="幼圆" w:cs="Arial"/>
                <w:b/>
                <w:szCs w:val="21"/>
              </w:rPr>
              <w:t>12</w:t>
            </w:r>
          </w:p>
        </w:tc>
        <w:tc>
          <w:tcPr>
            <w:tcW w:w="556" w:type="pct"/>
            <w:noWrap w:val="0"/>
            <w:vAlign w:val="center"/>
          </w:tcPr>
          <w:p w14:paraId="114DF06C">
            <w:pPr>
              <w:widowControl/>
              <w:spacing w:before="24" w:beforeLines="10" w:after="24" w:afterLines="10"/>
              <w:jc w:val="center"/>
              <w:rPr>
                <w:rFonts w:hint="eastAsia" w:ascii="幼圆" w:hAnsi="宋体" w:eastAsia="幼圆" w:cs="Arial"/>
                <w:szCs w:val="21"/>
              </w:rPr>
            </w:pPr>
            <w:r>
              <w:rPr>
                <w:rFonts w:hint="eastAsia" w:ascii="幼圆" w:hAnsi="宋体" w:eastAsia="幼圆" w:cs="Arial"/>
                <w:szCs w:val="21"/>
              </w:rPr>
              <w:t>家庭服务</w:t>
            </w:r>
          </w:p>
        </w:tc>
        <w:tc>
          <w:tcPr>
            <w:tcW w:w="452" w:type="pct"/>
            <w:noWrap w:val="0"/>
            <w:vAlign w:val="center"/>
          </w:tcPr>
          <w:p w14:paraId="26D4AACC">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500-1000米</w:t>
            </w:r>
          </w:p>
        </w:tc>
        <w:tc>
          <w:tcPr>
            <w:tcW w:w="347" w:type="pct"/>
            <w:noWrap w:val="0"/>
            <w:vAlign w:val="center"/>
          </w:tcPr>
          <w:p w14:paraId="09EEBC44">
            <w:pPr>
              <w:widowControl/>
              <w:spacing w:before="24" w:beforeLines="10" w:after="24" w:afterLines="10"/>
              <w:jc w:val="center"/>
              <w:rPr>
                <w:rFonts w:hint="eastAsia" w:ascii="幼圆" w:hAnsi="ˎ̥" w:eastAsia="幼圆"/>
                <w:szCs w:val="21"/>
              </w:rPr>
            </w:pPr>
            <w:r>
              <w:rPr>
                <w:rFonts w:hint="eastAsia" w:ascii="幼圆" w:hAnsi="ˎ̥" w:eastAsia="幼圆" w:cs="宋体"/>
                <w:kern w:val="0"/>
                <w:szCs w:val="21"/>
                <w:lang w:eastAsia="zh-CN"/>
              </w:rPr>
              <w:t>2万—5万</w:t>
            </w:r>
            <w:r>
              <w:rPr>
                <w:rFonts w:hint="eastAsia" w:ascii="幼圆" w:hAnsi="ˎ̥" w:eastAsia="幼圆" w:cs="宋体"/>
                <w:kern w:val="0"/>
                <w:szCs w:val="21"/>
              </w:rPr>
              <w:t>人</w:t>
            </w:r>
          </w:p>
        </w:tc>
        <w:tc>
          <w:tcPr>
            <w:tcW w:w="591" w:type="pct"/>
            <w:noWrap w:val="0"/>
            <w:vAlign w:val="center"/>
          </w:tcPr>
          <w:p w14:paraId="348AB9DA">
            <w:pPr>
              <w:widowControl/>
              <w:spacing w:before="24" w:beforeLines="10" w:after="24" w:afterLines="10"/>
              <w:jc w:val="center"/>
              <w:rPr>
                <w:rFonts w:hint="eastAsia" w:ascii="幼圆" w:hAnsi="ˎ̥" w:eastAsia="幼圆" w:cs="宋体"/>
                <w:kern w:val="0"/>
                <w:szCs w:val="21"/>
              </w:rPr>
            </w:pPr>
            <w:r>
              <w:rPr>
                <w:rFonts w:hint="eastAsia" w:ascii="幼圆" w:hAnsi="ˎ̥" w:eastAsia="幼圆" w:cs="宋体"/>
                <w:kern w:val="0"/>
                <w:szCs w:val="21"/>
              </w:rPr>
              <w:t>单店面积50平方米以上</w:t>
            </w:r>
          </w:p>
        </w:tc>
        <w:tc>
          <w:tcPr>
            <w:tcW w:w="1321" w:type="pct"/>
            <w:noWrap w:val="0"/>
            <w:vAlign w:val="center"/>
          </w:tcPr>
          <w:p w14:paraId="4B81DB32">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有家庭服务网点提供家庭钟点工、家政服务、家庭护理等服务。</w:t>
            </w:r>
          </w:p>
        </w:tc>
        <w:tc>
          <w:tcPr>
            <w:tcW w:w="487" w:type="pct"/>
            <w:noWrap w:val="0"/>
            <w:vAlign w:val="center"/>
          </w:tcPr>
          <w:p w14:paraId="541B052B">
            <w:pPr>
              <w:widowControl/>
              <w:spacing w:before="24" w:beforeLines="10" w:after="24" w:afterLines="10"/>
              <w:jc w:val="center"/>
              <w:rPr>
                <w:rFonts w:hint="eastAsia" w:ascii="幼圆" w:hAnsi="ˎ̥" w:eastAsia="幼圆" w:cs="宋体"/>
                <w:kern w:val="0"/>
                <w:szCs w:val="21"/>
              </w:rPr>
            </w:pPr>
            <w:r>
              <w:rPr>
                <w:rFonts w:hint="eastAsia" w:ascii="幼圆" w:hAnsi="ˎ̥" w:eastAsia="幼圆"/>
                <w:szCs w:val="21"/>
              </w:rPr>
              <w:t>1</w:t>
            </w:r>
            <w:r>
              <w:rPr>
                <w:rFonts w:hint="eastAsia" w:ascii="幼圆" w:hAnsi="ˎ̥" w:eastAsia="幼圆" w:cs="宋体"/>
                <w:kern w:val="0"/>
                <w:szCs w:val="21"/>
              </w:rPr>
              <w:t>-</w:t>
            </w:r>
            <w:r>
              <w:rPr>
                <w:rFonts w:hint="eastAsia" w:ascii="幼圆" w:hAnsi="ˎ̥" w:eastAsia="幼圆"/>
                <w:szCs w:val="21"/>
              </w:rPr>
              <w:t>2处</w:t>
            </w:r>
          </w:p>
        </w:tc>
        <w:tc>
          <w:tcPr>
            <w:tcW w:w="625" w:type="pct"/>
            <w:noWrap w:val="0"/>
            <w:vAlign w:val="center"/>
          </w:tcPr>
          <w:p w14:paraId="15C82DED">
            <w:pPr>
              <w:widowControl/>
              <w:spacing w:before="24" w:beforeLines="10" w:after="24" w:afterLines="10"/>
              <w:rPr>
                <w:rFonts w:hint="eastAsia" w:ascii="幼圆" w:hAnsi="ˎ̥" w:eastAsia="幼圆" w:cs="宋体"/>
                <w:kern w:val="0"/>
                <w:szCs w:val="21"/>
              </w:rPr>
            </w:pPr>
            <w:r>
              <w:rPr>
                <w:rFonts w:hint="eastAsia" w:ascii="幼圆" w:hAnsi="ˎ̥" w:eastAsia="幼圆" w:cs="宋体"/>
                <w:kern w:val="0"/>
                <w:szCs w:val="21"/>
              </w:rPr>
              <w:t>在社区中商业设施相对较为集中的区域设置。</w:t>
            </w:r>
          </w:p>
        </w:tc>
        <w:tc>
          <w:tcPr>
            <w:tcW w:w="459" w:type="pct"/>
            <w:noWrap w:val="0"/>
            <w:vAlign w:val="center"/>
          </w:tcPr>
          <w:p w14:paraId="4C5FE605">
            <w:pPr>
              <w:widowControl/>
              <w:spacing w:before="24" w:beforeLines="10" w:after="24" w:afterLines="10"/>
              <w:rPr>
                <w:rFonts w:hint="eastAsia" w:ascii="幼圆" w:hAnsi="ˎ̥" w:eastAsia="幼圆"/>
                <w:szCs w:val="21"/>
              </w:rPr>
            </w:pPr>
            <w:r>
              <w:rPr>
                <w:rFonts w:hint="eastAsia" w:ascii="幼圆" w:hAnsi="ˎ̥" w:eastAsia="幼圆"/>
                <w:szCs w:val="21"/>
              </w:rPr>
              <w:t>社区底商、商业群楼2</w:t>
            </w:r>
            <w:r>
              <w:rPr>
                <w:rFonts w:hint="eastAsia" w:ascii="幼圆" w:hAnsi="ˎ̥" w:eastAsia="幼圆" w:cs="宋体"/>
                <w:kern w:val="0"/>
                <w:szCs w:val="21"/>
              </w:rPr>
              <w:t>-</w:t>
            </w:r>
            <w:r>
              <w:rPr>
                <w:rFonts w:hint="eastAsia" w:ascii="幼圆" w:hAnsi="ˎ̥" w:eastAsia="幼圆"/>
                <w:szCs w:val="21"/>
              </w:rPr>
              <w:t>3层</w:t>
            </w:r>
          </w:p>
        </w:tc>
      </w:tr>
    </w:tbl>
    <w:p w14:paraId="04825334">
      <w:pPr>
        <w:spacing w:after="120" w:afterLines="50" w:line="360" w:lineRule="auto"/>
        <w:rPr>
          <w:rFonts w:ascii="幼圆" w:eastAsia="幼圆"/>
          <w:color w:val="000000"/>
          <w:sz w:val="24"/>
        </w:rPr>
        <w:sectPr>
          <w:pgSz w:w="23814" w:h="16840" w:orient="landscape"/>
          <w:pgMar w:top="1985" w:right="1985" w:bottom="1985" w:left="1985" w:header="851" w:footer="992" w:gutter="0"/>
          <w:pgNumType w:fmt="decimal"/>
          <w:cols w:space="720" w:num="1"/>
          <w:docGrid w:linePitch="312" w:charSpace="0"/>
        </w:sectPr>
      </w:pPr>
    </w:p>
    <w:p w14:paraId="505AF875">
      <w:pPr>
        <w:pStyle w:val="3"/>
        <w:spacing w:before="0" w:after="0" w:line="240" w:lineRule="auto"/>
        <w:rPr>
          <w:rFonts w:hint="eastAsia" w:ascii="华文中宋" w:hAnsi="华文中宋" w:eastAsia="华文中宋"/>
          <w:color w:val="000000"/>
          <w:sz w:val="36"/>
          <w:szCs w:val="36"/>
        </w:rPr>
      </w:pPr>
      <w:bookmarkStart w:id="105" w:name="_Toc31407"/>
      <w:r>
        <w:rPr>
          <w:rFonts w:hint="eastAsia" w:ascii="华文中宋" w:hAnsi="华文中宋" w:eastAsia="华文中宋"/>
          <w:color w:val="000000"/>
          <w:sz w:val="36"/>
          <w:szCs w:val="36"/>
        </w:rPr>
        <w:t>附表6：各级商业综合体建设控制要求</w:t>
      </w:r>
      <w:bookmarkEnd w:id="105"/>
    </w:p>
    <w:tbl>
      <w:tblPr>
        <w:tblStyle w:val="34"/>
        <w:tblW w:w="4937" w:type="pct"/>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1272"/>
        <w:gridCol w:w="2271"/>
        <w:gridCol w:w="3262"/>
        <w:gridCol w:w="1696"/>
        <w:gridCol w:w="1700"/>
        <w:gridCol w:w="1419"/>
        <w:gridCol w:w="1280"/>
        <w:gridCol w:w="2267"/>
        <w:gridCol w:w="2267"/>
        <w:gridCol w:w="1526"/>
      </w:tblGrid>
      <w:tr w14:paraId="48758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right"/>
        </w:trPr>
        <w:tc>
          <w:tcPr>
            <w:tcW w:w="214" w:type="pct"/>
            <w:vMerge w:val="restart"/>
            <w:noWrap w:val="0"/>
            <w:vAlign w:val="center"/>
          </w:tcPr>
          <w:p w14:paraId="11ED1284">
            <w:pPr>
              <w:spacing w:before="72" w:beforeLines="30" w:after="72" w:afterLines="30" w:line="360" w:lineRule="auto"/>
              <w:jc w:val="center"/>
              <w:rPr>
                <w:rFonts w:hint="eastAsia" w:ascii="幼圆" w:eastAsia="幼圆"/>
                <w:b/>
                <w:sz w:val="24"/>
              </w:rPr>
            </w:pPr>
            <w:r>
              <w:rPr>
                <w:rFonts w:hint="eastAsia" w:ascii="幼圆" w:eastAsia="幼圆"/>
                <w:b/>
                <w:sz w:val="24"/>
              </w:rPr>
              <w:t>级别</w:t>
            </w:r>
          </w:p>
        </w:tc>
        <w:tc>
          <w:tcPr>
            <w:tcW w:w="321" w:type="pct"/>
            <w:vMerge w:val="restart"/>
            <w:noWrap w:val="0"/>
            <w:vAlign w:val="center"/>
          </w:tcPr>
          <w:p w14:paraId="1C19CAEE">
            <w:pPr>
              <w:spacing w:before="72" w:beforeLines="30" w:after="72" w:afterLines="30" w:line="360" w:lineRule="auto"/>
              <w:jc w:val="center"/>
              <w:rPr>
                <w:rFonts w:hint="eastAsia" w:ascii="幼圆" w:eastAsia="幼圆"/>
                <w:b/>
                <w:sz w:val="24"/>
              </w:rPr>
            </w:pPr>
            <w:r>
              <w:rPr>
                <w:rFonts w:hint="eastAsia" w:ascii="幼圆" w:eastAsia="幼圆"/>
                <w:b/>
                <w:sz w:val="24"/>
              </w:rPr>
              <w:t>所在社区</w:t>
            </w:r>
          </w:p>
        </w:tc>
        <w:tc>
          <w:tcPr>
            <w:tcW w:w="573" w:type="pct"/>
            <w:vMerge w:val="restart"/>
            <w:noWrap w:val="0"/>
            <w:vAlign w:val="center"/>
          </w:tcPr>
          <w:p w14:paraId="0473DD57">
            <w:pPr>
              <w:spacing w:before="72" w:beforeLines="30" w:after="72" w:afterLines="30" w:line="360" w:lineRule="auto"/>
              <w:jc w:val="center"/>
              <w:rPr>
                <w:rFonts w:hint="eastAsia" w:ascii="幼圆" w:eastAsia="幼圆"/>
                <w:b/>
                <w:sz w:val="24"/>
              </w:rPr>
            </w:pPr>
            <w:r>
              <w:rPr>
                <w:rFonts w:hint="eastAsia" w:ascii="幼圆" w:eastAsia="幼圆"/>
                <w:b/>
                <w:sz w:val="24"/>
              </w:rPr>
              <w:t>商业综合体名称</w:t>
            </w:r>
          </w:p>
        </w:tc>
        <w:tc>
          <w:tcPr>
            <w:tcW w:w="823" w:type="pct"/>
            <w:vMerge w:val="restart"/>
            <w:noWrap w:val="0"/>
            <w:vAlign w:val="center"/>
          </w:tcPr>
          <w:p w14:paraId="01AF1263">
            <w:pPr>
              <w:spacing w:before="72" w:beforeLines="30" w:after="72" w:afterLines="30" w:line="360" w:lineRule="auto"/>
              <w:jc w:val="center"/>
              <w:rPr>
                <w:rFonts w:hint="eastAsia" w:ascii="幼圆" w:eastAsia="幼圆"/>
                <w:b/>
                <w:sz w:val="24"/>
              </w:rPr>
            </w:pPr>
            <w:r>
              <w:rPr>
                <w:rFonts w:hint="eastAsia" w:ascii="幼圆" w:eastAsia="幼圆"/>
                <w:b/>
                <w:sz w:val="24"/>
              </w:rPr>
              <w:t>布局位置</w:t>
            </w:r>
          </w:p>
        </w:tc>
        <w:tc>
          <w:tcPr>
            <w:tcW w:w="1538" w:type="pct"/>
            <w:gridSpan w:val="4"/>
            <w:noWrap w:val="0"/>
            <w:vAlign w:val="center"/>
          </w:tcPr>
          <w:p w14:paraId="290D5510">
            <w:pPr>
              <w:spacing w:before="72" w:beforeLines="30" w:after="72" w:afterLines="30" w:line="360" w:lineRule="auto"/>
              <w:jc w:val="center"/>
              <w:rPr>
                <w:rFonts w:hint="eastAsia" w:ascii="幼圆" w:eastAsia="幼圆"/>
                <w:b/>
                <w:sz w:val="24"/>
              </w:rPr>
            </w:pPr>
            <w:r>
              <w:rPr>
                <w:rFonts w:hint="eastAsia" w:ascii="幼圆" w:eastAsia="幼圆"/>
                <w:b/>
                <w:sz w:val="24"/>
              </w:rPr>
              <w:t>建设要求</w:t>
            </w:r>
          </w:p>
        </w:tc>
        <w:tc>
          <w:tcPr>
            <w:tcW w:w="1529" w:type="pct"/>
            <w:gridSpan w:val="3"/>
            <w:noWrap w:val="0"/>
            <w:vAlign w:val="center"/>
          </w:tcPr>
          <w:p w14:paraId="52C99763">
            <w:pPr>
              <w:spacing w:before="72" w:beforeLines="30" w:after="72" w:afterLines="30" w:line="360" w:lineRule="auto"/>
              <w:jc w:val="center"/>
              <w:rPr>
                <w:rFonts w:hint="eastAsia" w:ascii="幼圆" w:eastAsia="幼圆"/>
                <w:b/>
                <w:sz w:val="24"/>
              </w:rPr>
            </w:pPr>
            <w:r>
              <w:rPr>
                <w:rFonts w:hint="eastAsia" w:ascii="幼圆" w:eastAsia="幼圆"/>
                <w:b/>
                <w:sz w:val="24"/>
              </w:rPr>
              <w:t>业态组合</w:t>
            </w:r>
          </w:p>
        </w:tc>
      </w:tr>
      <w:tr w14:paraId="6737D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jc w:val="right"/>
        </w:trPr>
        <w:tc>
          <w:tcPr>
            <w:tcW w:w="214" w:type="pct"/>
            <w:vMerge w:val="continue"/>
            <w:noWrap w:val="0"/>
            <w:vAlign w:val="center"/>
          </w:tcPr>
          <w:p w14:paraId="175F940B">
            <w:pPr>
              <w:spacing w:before="72" w:beforeLines="30" w:after="72" w:afterLines="30" w:line="360" w:lineRule="auto"/>
              <w:jc w:val="center"/>
              <w:rPr>
                <w:rFonts w:hint="eastAsia" w:ascii="幼圆" w:eastAsia="幼圆"/>
                <w:b/>
                <w:sz w:val="24"/>
              </w:rPr>
            </w:pPr>
          </w:p>
        </w:tc>
        <w:tc>
          <w:tcPr>
            <w:tcW w:w="321" w:type="pct"/>
            <w:vMerge w:val="continue"/>
            <w:noWrap w:val="0"/>
            <w:vAlign w:val="center"/>
          </w:tcPr>
          <w:p w14:paraId="2FF0DCE4">
            <w:pPr>
              <w:spacing w:before="72" w:beforeLines="30" w:after="72" w:afterLines="30" w:line="360" w:lineRule="auto"/>
              <w:jc w:val="center"/>
              <w:rPr>
                <w:rFonts w:hint="eastAsia" w:ascii="幼圆" w:eastAsia="幼圆"/>
                <w:b/>
                <w:sz w:val="24"/>
              </w:rPr>
            </w:pPr>
          </w:p>
        </w:tc>
        <w:tc>
          <w:tcPr>
            <w:tcW w:w="573" w:type="pct"/>
            <w:vMerge w:val="continue"/>
            <w:noWrap w:val="0"/>
            <w:vAlign w:val="center"/>
          </w:tcPr>
          <w:p w14:paraId="38825F64">
            <w:pPr>
              <w:spacing w:before="72" w:beforeLines="30" w:after="72" w:afterLines="30" w:line="360" w:lineRule="auto"/>
              <w:jc w:val="center"/>
              <w:rPr>
                <w:rFonts w:hint="eastAsia" w:ascii="幼圆" w:eastAsia="幼圆"/>
                <w:b/>
                <w:sz w:val="24"/>
              </w:rPr>
            </w:pPr>
          </w:p>
        </w:tc>
        <w:tc>
          <w:tcPr>
            <w:tcW w:w="823" w:type="pct"/>
            <w:vMerge w:val="continue"/>
            <w:noWrap w:val="0"/>
            <w:vAlign w:val="center"/>
          </w:tcPr>
          <w:p w14:paraId="7DE91341">
            <w:pPr>
              <w:spacing w:before="72" w:beforeLines="30" w:after="72" w:afterLines="30" w:line="360" w:lineRule="auto"/>
              <w:jc w:val="center"/>
              <w:rPr>
                <w:rFonts w:hint="eastAsia" w:ascii="幼圆" w:eastAsia="幼圆"/>
                <w:b/>
                <w:sz w:val="24"/>
              </w:rPr>
            </w:pPr>
          </w:p>
        </w:tc>
        <w:tc>
          <w:tcPr>
            <w:tcW w:w="428" w:type="pct"/>
            <w:noWrap w:val="0"/>
            <w:vAlign w:val="center"/>
          </w:tcPr>
          <w:p w14:paraId="50DF4A10">
            <w:pPr>
              <w:spacing w:before="72" w:beforeLines="30" w:after="72" w:afterLines="30" w:line="360" w:lineRule="auto"/>
              <w:jc w:val="center"/>
              <w:rPr>
                <w:rFonts w:hint="eastAsia" w:ascii="幼圆" w:eastAsia="幼圆"/>
                <w:b/>
                <w:sz w:val="24"/>
              </w:rPr>
            </w:pPr>
            <w:r>
              <w:rPr>
                <w:rFonts w:hint="eastAsia" w:ascii="幼圆" w:eastAsia="幼圆"/>
                <w:b/>
                <w:sz w:val="24"/>
              </w:rPr>
              <w:t>所在商业片区用地面积（ha）</w:t>
            </w:r>
          </w:p>
        </w:tc>
        <w:tc>
          <w:tcPr>
            <w:tcW w:w="429" w:type="pct"/>
            <w:noWrap w:val="0"/>
            <w:vAlign w:val="center"/>
          </w:tcPr>
          <w:p w14:paraId="5AB8C241">
            <w:pPr>
              <w:spacing w:before="72" w:beforeLines="30" w:after="72" w:afterLines="30" w:line="360" w:lineRule="auto"/>
              <w:jc w:val="center"/>
              <w:rPr>
                <w:rFonts w:hint="eastAsia" w:ascii="幼圆" w:eastAsia="幼圆"/>
                <w:b/>
                <w:sz w:val="24"/>
              </w:rPr>
            </w:pPr>
            <w:r>
              <w:rPr>
                <w:rFonts w:hint="eastAsia" w:ascii="幼圆" w:eastAsia="幼圆"/>
                <w:b/>
                <w:sz w:val="24"/>
              </w:rPr>
              <w:t>商业建筑面积</w:t>
            </w:r>
          </w:p>
          <w:p w14:paraId="074C7108">
            <w:pPr>
              <w:spacing w:before="72" w:beforeLines="30" w:after="72" w:afterLines="30" w:line="360" w:lineRule="auto"/>
              <w:jc w:val="center"/>
              <w:rPr>
                <w:rFonts w:hint="eastAsia" w:ascii="幼圆" w:eastAsia="幼圆"/>
                <w:b/>
                <w:sz w:val="24"/>
              </w:rPr>
            </w:pPr>
            <w:r>
              <w:rPr>
                <w:rFonts w:hint="eastAsia" w:ascii="幼圆" w:eastAsia="幼圆"/>
                <w:b/>
                <w:sz w:val="24"/>
              </w:rPr>
              <w:t>（㎡）</w:t>
            </w:r>
          </w:p>
        </w:tc>
        <w:tc>
          <w:tcPr>
            <w:tcW w:w="358" w:type="pct"/>
            <w:noWrap w:val="0"/>
            <w:vAlign w:val="center"/>
          </w:tcPr>
          <w:p w14:paraId="3B44E8B3">
            <w:pPr>
              <w:spacing w:before="72" w:beforeLines="30" w:after="72" w:afterLines="30" w:line="360" w:lineRule="auto"/>
              <w:jc w:val="center"/>
              <w:rPr>
                <w:rFonts w:hint="eastAsia" w:ascii="幼圆" w:eastAsia="幼圆"/>
                <w:b/>
                <w:sz w:val="24"/>
              </w:rPr>
            </w:pPr>
            <w:r>
              <w:rPr>
                <w:rFonts w:hint="eastAsia" w:ascii="幼圆" w:eastAsia="幼圆"/>
                <w:b/>
                <w:sz w:val="24"/>
              </w:rPr>
              <w:t>建设类别</w:t>
            </w:r>
          </w:p>
        </w:tc>
        <w:tc>
          <w:tcPr>
            <w:tcW w:w="323" w:type="pct"/>
            <w:noWrap w:val="0"/>
            <w:vAlign w:val="center"/>
          </w:tcPr>
          <w:p w14:paraId="7F7E989D">
            <w:pPr>
              <w:spacing w:before="72" w:beforeLines="30" w:after="72" w:afterLines="30" w:line="360" w:lineRule="auto"/>
              <w:jc w:val="center"/>
              <w:rPr>
                <w:rFonts w:hint="eastAsia" w:ascii="幼圆" w:eastAsia="幼圆"/>
                <w:b/>
                <w:sz w:val="24"/>
              </w:rPr>
            </w:pPr>
            <w:r>
              <w:rPr>
                <w:rFonts w:hint="eastAsia" w:ascii="幼圆" w:eastAsia="幼圆"/>
                <w:b/>
                <w:sz w:val="24"/>
              </w:rPr>
              <w:t>建设时序</w:t>
            </w:r>
          </w:p>
        </w:tc>
        <w:tc>
          <w:tcPr>
            <w:tcW w:w="572" w:type="pct"/>
            <w:noWrap w:val="0"/>
            <w:vAlign w:val="center"/>
          </w:tcPr>
          <w:p w14:paraId="79950DD1">
            <w:pPr>
              <w:spacing w:before="72" w:beforeLines="30" w:after="72" w:afterLines="30" w:line="360" w:lineRule="auto"/>
              <w:jc w:val="center"/>
              <w:rPr>
                <w:rFonts w:hint="eastAsia" w:ascii="幼圆" w:eastAsia="幼圆"/>
                <w:b/>
                <w:sz w:val="24"/>
              </w:rPr>
            </w:pPr>
            <w:r>
              <w:rPr>
                <w:rFonts w:hint="eastAsia" w:ascii="幼圆" w:eastAsia="幼圆"/>
                <w:b/>
                <w:sz w:val="24"/>
              </w:rPr>
              <w:t>综合体主要功能</w:t>
            </w:r>
          </w:p>
        </w:tc>
        <w:tc>
          <w:tcPr>
            <w:tcW w:w="572" w:type="pct"/>
            <w:noWrap w:val="0"/>
            <w:vAlign w:val="center"/>
          </w:tcPr>
          <w:p w14:paraId="5E66ED97">
            <w:pPr>
              <w:spacing w:before="72" w:beforeLines="30" w:after="72" w:afterLines="30" w:line="360" w:lineRule="auto"/>
              <w:jc w:val="center"/>
              <w:rPr>
                <w:rFonts w:hint="eastAsia" w:ascii="幼圆" w:eastAsia="幼圆"/>
                <w:b/>
                <w:sz w:val="24"/>
              </w:rPr>
            </w:pPr>
            <w:r>
              <w:rPr>
                <w:rFonts w:hint="eastAsia" w:ascii="幼圆" w:eastAsia="幼圆"/>
                <w:b/>
                <w:sz w:val="24"/>
              </w:rPr>
              <w:t>主力店</w:t>
            </w:r>
          </w:p>
        </w:tc>
        <w:tc>
          <w:tcPr>
            <w:tcW w:w="385" w:type="pct"/>
            <w:noWrap w:val="0"/>
            <w:vAlign w:val="center"/>
          </w:tcPr>
          <w:p w14:paraId="60DBD845">
            <w:pPr>
              <w:spacing w:before="72" w:beforeLines="30" w:after="72" w:afterLines="30" w:line="360" w:lineRule="auto"/>
              <w:jc w:val="center"/>
              <w:rPr>
                <w:rFonts w:hint="eastAsia" w:ascii="幼圆" w:eastAsia="幼圆"/>
                <w:b/>
                <w:sz w:val="24"/>
              </w:rPr>
            </w:pPr>
            <w:r>
              <w:rPr>
                <w:rFonts w:hint="eastAsia" w:ascii="幼圆" w:eastAsia="幼圆"/>
                <w:b/>
                <w:sz w:val="24"/>
              </w:rPr>
              <w:t>零售商业面积控制（㎡）</w:t>
            </w:r>
          </w:p>
        </w:tc>
      </w:tr>
      <w:tr w14:paraId="3642E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right"/>
        </w:trPr>
        <w:tc>
          <w:tcPr>
            <w:tcW w:w="214" w:type="pct"/>
            <w:noWrap w:val="0"/>
            <w:vAlign w:val="center"/>
          </w:tcPr>
          <w:p w14:paraId="28695B54">
            <w:pPr>
              <w:spacing w:before="72" w:beforeLines="30" w:after="72" w:afterLines="30" w:line="360" w:lineRule="auto"/>
              <w:jc w:val="center"/>
              <w:rPr>
                <w:rFonts w:hint="eastAsia" w:ascii="幼圆" w:eastAsia="幼圆"/>
                <w:sz w:val="24"/>
              </w:rPr>
            </w:pPr>
            <w:r>
              <w:rPr>
                <w:rFonts w:hint="eastAsia" w:ascii="幼圆" w:eastAsia="幼圆"/>
                <w:sz w:val="24"/>
              </w:rPr>
              <w:t>城市</w:t>
            </w:r>
          </w:p>
        </w:tc>
        <w:tc>
          <w:tcPr>
            <w:tcW w:w="321" w:type="pct"/>
            <w:noWrap w:val="0"/>
            <w:vAlign w:val="center"/>
          </w:tcPr>
          <w:p w14:paraId="3875A3E4">
            <w:pPr>
              <w:spacing w:before="72" w:beforeLines="30" w:after="72" w:afterLines="30" w:line="360" w:lineRule="auto"/>
              <w:jc w:val="center"/>
              <w:rPr>
                <w:rFonts w:hint="eastAsia" w:ascii="幼圆" w:eastAsia="幼圆"/>
                <w:sz w:val="24"/>
              </w:rPr>
            </w:pPr>
            <w:r>
              <w:rPr>
                <w:rFonts w:ascii="幼圆" w:eastAsia="幼圆"/>
                <w:sz w:val="24"/>
              </w:rPr>
              <w:t>A-1</w:t>
            </w:r>
            <w:r>
              <w:rPr>
                <w:rFonts w:hint="eastAsia" w:ascii="幼圆" w:eastAsia="幼圆"/>
                <w:sz w:val="24"/>
              </w:rPr>
              <w:t>4</w:t>
            </w:r>
          </w:p>
        </w:tc>
        <w:tc>
          <w:tcPr>
            <w:tcW w:w="573" w:type="pct"/>
            <w:noWrap w:val="0"/>
            <w:vAlign w:val="center"/>
          </w:tcPr>
          <w:p w14:paraId="1FB67572">
            <w:pPr>
              <w:spacing w:before="72" w:beforeLines="30" w:after="72" w:afterLines="30" w:line="360" w:lineRule="auto"/>
              <w:jc w:val="center"/>
              <w:rPr>
                <w:rFonts w:hint="eastAsia" w:ascii="幼圆" w:eastAsia="幼圆"/>
                <w:sz w:val="24"/>
              </w:rPr>
            </w:pPr>
            <w:r>
              <w:rPr>
                <w:rFonts w:hint="eastAsia" w:ascii="幼圆" w:eastAsia="幼圆"/>
                <w:sz w:val="24"/>
              </w:rPr>
              <w:t>城东商业综合体</w:t>
            </w:r>
          </w:p>
        </w:tc>
        <w:tc>
          <w:tcPr>
            <w:tcW w:w="823" w:type="pct"/>
            <w:noWrap w:val="0"/>
            <w:vAlign w:val="center"/>
          </w:tcPr>
          <w:p w14:paraId="2D1EFDAA">
            <w:pPr>
              <w:spacing w:before="72" w:beforeLines="30" w:after="72" w:afterLines="30" w:line="360" w:lineRule="auto"/>
              <w:jc w:val="center"/>
              <w:rPr>
                <w:rFonts w:ascii="幼圆" w:eastAsia="幼圆"/>
                <w:sz w:val="24"/>
              </w:rPr>
            </w:pPr>
            <w:r>
              <w:rPr>
                <w:rFonts w:hint="eastAsia" w:ascii="幼圆" w:eastAsia="幼圆"/>
                <w:sz w:val="24"/>
              </w:rPr>
              <w:t>东城路北侧（城市中轴线）</w:t>
            </w:r>
          </w:p>
        </w:tc>
        <w:tc>
          <w:tcPr>
            <w:tcW w:w="428" w:type="pct"/>
            <w:noWrap w:val="0"/>
            <w:vAlign w:val="center"/>
          </w:tcPr>
          <w:p w14:paraId="27C9C501">
            <w:pPr>
              <w:spacing w:before="72" w:beforeLines="30" w:after="72" w:afterLines="30" w:line="360" w:lineRule="auto"/>
              <w:jc w:val="center"/>
              <w:rPr>
                <w:rFonts w:ascii="幼圆" w:eastAsia="幼圆"/>
                <w:sz w:val="24"/>
              </w:rPr>
            </w:pPr>
            <w:r>
              <w:rPr>
                <w:rFonts w:hint="eastAsia" w:ascii="幼圆" w:eastAsia="幼圆"/>
                <w:sz w:val="24"/>
              </w:rPr>
              <w:t>8</w:t>
            </w:r>
          </w:p>
        </w:tc>
        <w:tc>
          <w:tcPr>
            <w:tcW w:w="429" w:type="pct"/>
            <w:noWrap w:val="0"/>
            <w:vAlign w:val="center"/>
          </w:tcPr>
          <w:p w14:paraId="5355DE94">
            <w:pPr>
              <w:spacing w:before="72" w:beforeLines="30" w:after="72" w:afterLines="30" w:line="360" w:lineRule="auto"/>
              <w:jc w:val="center"/>
              <w:rPr>
                <w:rFonts w:hint="eastAsia" w:ascii="幼圆" w:eastAsia="幼圆"/>
                <w:sz w:val="24"/>
              </w:rPr>
            </w:pPr>
            <w:r>
              <w:rPr>
                <w:rFonts w:hint="eastAsia" w:ascii="幼圆" w:eastAsia="幼圆"/>
                <w:sz w:val="24"/>
              </w:rPr>
              <w:t>20</w:t>
            </w:r>
          </w:p>
        </w:tc>
        <w:tc>
          <w:tcPr>
            <w:tcW w:w="358" w:type="pct"/>
            <w:noWrap w:val="0"/>
            <w:vAlign w:val="center"/>
          </w:tcPr>
          <w:p w14:paraId="5CF0B4BF">
            <w:pPr>
              <w:spacing w:before="72" w:beforeLines="30" w:after="72" w:afterLines="30" w:line="360" w:lineRule="auto"/>
              <w:jc w:val="center"/>
              <w:rPr>
                <w:rFonts w:ascii="幼圆" w:eastAsia="幼圆"/>
                <w:sz w:val="24"/>
              </w:rPr>
            </w:pPr>
            <w:r>
              <w:rPr>
                <w:rFonts w:hint="eastAsia" w:ascii="幼圆" w:eastAsia="幼圆"/>
                <w:sz w:val="24"/>
              </w:rPr>
              <w:t>新建</w:t>
            </w:r>
          </w:p>
        </w:tc>
        <w:tc>
          <w:tcPr>
            <w:tcW w:w="323" w:type="pct"/>
            <w:noWrap w:val="0"/>
            <w:vAlign w:val="center"/>
          </w:tcPr>
          <w:p w14:paraId="0783B034">
            <w:pPr>
              <w:spacing w:before="72" w:beforeLines="30" w:after="72" w:afterLines="30" w:line="360" w:lineRule="auto"/>
              <w:jc w:val="center"/>
              <w:rPr>
                <w:rFonts w:ascii="幼圆" w:eastAsia="幼圆"/>
                <w:sz w:val="24"/>
              </w:rPr>
            </w:pPr>
            <w:r>
              <w:rPr>
                <w:rFonts w:hint="eastAsia" w:ascii="幼圆" w:eastAsia="幼圆"/>
                <w:sz w:val="24"/>
              </w:rPr>
              <w:t>远期</w:t>
            </w:r>
          </w:p>
        </w:tc>
        <w:tc>
          <w:tcPr>
            <w:tcW w:w="572" w:type="pct"/>
            <w:noWrap w:val="0"/>
            <w:vAlign w:val="center"/>
          </w:tcPr>
          <w:p w14:paraId="48B0177C">
            <w:pPr>
              <w:spacing w:before="72" w:beforeLines="30" w:after="72" w:afterLines="30" w:line="360" w:lineRule="auto"/>
              <w:jc w:val="center"/>
              <w:rPr>
                <w:rFonts w:ascii="幼圆" w:eastAsia="幼圆"/>
                <w:sz w:val="24"/>
              </w:rPr>
            </w:pPr>
            <w:r>
              <w:rPr>
                <w:rFonts w:hint="eastAsia" w:ascii="幼圆" w:eastAsia="幼圆"/>
                <w:sz w:val="24"/>
              </w:rPr>
              <w:t>休闲购物、酒店公寓、商务办公</w:t>
            </w:r>
          </w:p>
        </w:tc>
        <w:tc>
          <w:tcPr>
            <w:tcW w:w="572" w:type="pct"/>
            <w:noWrap w:val="0"/>
            <w:vAlign w:val="center"/>
          </w:tcPr>
          <w:p w14:paraId="56D19525">
            <w:pPr>
              <w:spacing w:before="72" w:beforeLines="30" w:after="72" w:afterLines="30" w:line="360" w:lineRule="auto"/>
              <w:jc w:val="center"/>
              <w:rPr>
                <w:rFonts w:ascii="幼圆" w:eastAsia="幼圆"/>
                <w:sz w:val="24"/>
              </w:rPr>
            </w:pPr>
            <w:r>
              <w:rPr>
                <w:rFonts w:hint="eastAsia" w:ascii="幼圆" w:eastAsia="幼圆"/>
                <w:sz w:val="24"/>
              </w:rPr>
              <w:t>购物中心、星级酒店</w:t>
            </w:r>
          </w:p>
        </w:tc>
        <w:tc>
          <w:tcPr>
            <w:tcW w:w="385" w:type="pct"/>
            <w:noWrap w:val="0"/>
            <w:vAlign w:val="center"/>
          </w:tcPr>
          <w:p w14:paraId="7025042C">
            <w:pPr>
              <w:spacing w:before="72" w:beforeLines="30" w:after="72" w:afterLines="30" w:line="360" w:lineRule="auto"/>
              <w:jc w:val="center"/>
              <w:rPr>
                <w:rFonts w:ascii="幼圆" w:eastAsia="幼圆"/>
                <w:sz w:val="24"/>
              </w:rPr>
            </w:pPr>
            <w:r>
              <w:rPr>
                <w:rFonts w:hint="eastAsia" w:ascii="幼圆" w:eastAsia="幼圆"/>
                <w:sz w:val="24"/>
              </w:rPr>
              <w:t>1.5-2</w:t>
            </w:r>
          </w:p>
        </w:tc>
      </w:tr>
      <w:tr w14:paraId="6C9A1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right"/>
        </w:trPr>
        <w:tc>
          <w:tcPr>
            <w:tcW w:w="214" w:type="pct"/>
            <w:vMerge w:val="restart"/>
            <w:noWrap w:val="0"/>
            <w:vAlign w:val="center"/>
          </w:tcPr>
          <w:p w14:paraId="59D66849">
            <w:pPr>
              <w:spacing w:before="72" w:beforeLines="30" w:after="72" w:afterLines="30" w:line="360" w:lineRule="auto"/>
              <w:jc w:val="center"/>
              <w:rPr>
                <w:rFonts w:hint="eastAsia" w:ascii="幼圆" w:eastAsia="幼圆"/>
                <w:sz w:val="24"/>
              </w:rPr>
            </w:pPr>
            <w:r>
              <w:rPr>
                <w:rFonts w:hint="eastAsia" w:ascii="幼圆" w:eastAsia="幼圆"/>
                <w:sz w:val="24"/>
              </w:rPr>
              <w:t>片区</w:t>
            </w:r>
          </w:p>
        </w:tc>
        <w:tc>
          <w:tcPr>
            <w:tcW w:w="321" w:type="pct"/>
            <w:noWrap w:val="0"/>
            <w:vAlign w:val="center"/>
          </w:tcPr>
          <w:p w14:paraId="5BB99150">
            <w:pPr>
              <w:spacing w:before="72" w:beforeLines="30" w:after="72" w:afterLines="30" w:line="360" w:lineRule="auto"/>
              <w:jc w:val="center"/>
              <w:rPr>
                <w:rFonts w:hint="eastAsia" w:ascii="幼圆" w:eastAsia="幼圆"/>
                <w:sz w:val="24"/>
              </w:rPr>
            </w:pPr>
            <w:r>
              <w:rPr>
                <w:rFonts w:ascii="幼圆" w:eastAsia="幼圆"/>
                <w:sz w:val="24"/>
              </w:rPr>
              <w:t>A-10</w:t>
            </w:r>
          </w:p>
        </w:tc>
        <w:tc>
          <w:tcPr>
            <w:tcW w:w="2271" w:type="dxa"/>
            <w:noWrap w:val="0"/>
            <w:vAlign w:val="center"/>
          </w:tcPr>
          <w:p w14:paraId="4F0A1800">
            <w:pPr>
              <w:spacing w:before="72" w:beforeLines="30" w:after="72" w:afterLines="30" w:line="360" w:lineRule="auto"/>
              <w:jc w:val="center"/>
              <w:rPr>
                <w:rFonts w:hint="eastAsia" w:ascii="幼圆" w:eastAsia="幼圆"/>
                <w:sz w:val="24"/>
              </w:rPr>
            </w:pPr>
            <w:r>
              <w:rPr>
                <w:rFonts w:hint="eastAsia" w:ascii="幼圆" w:eastAsia="幼圆"/>
                <w:sz w:val="24"/>
                <w:highlight w:val="none"/>
                <w:lang w:val="en-US" w:eastAsia="zh-CN"/>
              </w:rPr>
              <w:t>老城</w:t>
            </w:r>
            <w:r>
              <w:rPr>
                <w:rFonts w:hint="eastAsia" w:ascii="幼圆" w:eastAsia="幼圆"/>
                <w:sz w:val="24"/>
                <w:highlight w:val="none"/>
              </w:rPr>
              <w:t>商业综合体</w:t>
            </w:r>
            <w:r>
              <w:rPr>
                <w:rFonts w:hint="eastAsia" w:ascii="幼圆" w:eastAsia="幼圆"/>
                <w:sz w:val="24"/>
                <w:highlight w:val="none"/>
                <w:lang w:val="en-US" w:eastAsia="zh-CN"/>
              </w:rPr>
              <w:t>一</w:t>
            </w:r>
          </w:p>
        </w:tc>
        <w:tc>
          <w:tcPr>
            <w:tcW w:w="823" w:type="pct"/>
            <w:noWrap w:val="0"/>
            <w:vAlign w:val="center"/>
          </w:tcPr>
          <w:p w14:paraId="6E647EA1">
            <w:pPr>
              <w:spacing w:before="72" w:beforeLines="30" w:after="72" w:afterLines="30" w:line="360" w:lineRule="auto"/>
              <w:rPr>
                <w:rFonts w:hint="eastAsia" w:ascii="幼圆" w:eastAsia="幼圆"/>
                <w:sz w:val="24"/>
              </w:rPr>
            </w:pPr>
            <w:r>
              <w:rPr>
                <w:rFonts w:hint="eastAsia" w:ascii="幼圆" w:eastAsia="幼圆"/>
                <w:sz w:val="24"/>
              </w:rPr>
              <w:t>红海湾大道和香洲路交汇处</w:t>
            </w:r>
          </w:p>
        </w:tc>
        <w:tc>
          <w:tcPr>
            <w:tcW w:w="428" w:type="pct"/>
            <w:noWrap w:val="0"/>
            <w:vAlign w:val="center"/>
          </w:tcPr>
          <w:p w14:paraId="307FAB90">
            <w:pPr>
              <w:spacing w:before="72" w:beforeLines="30" w:after="72" w:afterLines="30" w:line="360" w:lineRule="auto"/>
              <w:jc w:val="center"/>
              <w:rPr>
                <w:rFonts w:ascii="幼圆" w:eastAsia="幼圆"/>
                <w:sz w:val="24"/>
              </w:rPr>
            </w:pPr>
            <w:r>
              <w:rPr>
                <w:rFonts w:hint="eastAsia" w:ascii="幼圆" w:eastAsia="幼圆"/>
                <w:sz w:val="24"/>
              </w:rPr>
              <w:t>3</w:t>
            </w:r>
          </w:p>
        </w:tc>
        <w:tc>
          <w:tcPr>
            <w:tcW w:w="429" w:type="pct"/>
            <w:noWrap w:val="0"/>
            <w:vAlign w:val="center"/>
          </w:tcPr>
          <w:p w14:paraId="293255D4">
            <w:pPr>
              <w:spacing w:before="72" w:beforeLines="30" w:after="72" w:afterLines="30" w:line="360" w:lineRule="auto"/>
              <w:jc w:val="center"/>
              <w:rPr>
                <w:rFonts w:hint="eastAsia" w:ascii="幼圆" w:eastAsia="幼圆"/>
                <w:sz w:val="24"/>
              </w:rPr>
            </w:pPr>
            <w:r>
              <w:rPr>
                <w:rFonts w:hint="eastAsia" w:ascii="幼圆" w:eastAsia="幼圆"/>
                <w:sz w:val="24"/>
              </w:rPr>
              <w:t>18</w:t>
            </w:r>
          </w:p>
        </w:tc>
        <w:tc>
          <w:tcPr>
            <w:tcW w:w="1419" w:type="dxa"/>
            <w:noWrap w:val="0"/>
            <w:vAlign w:val="center"/>
          </w:tcPr>
          <w:p w14:paraId="784193E4">
            <w:pPr>
              <w:spacing w:before="72" w:beforeLines="30" w:after="72" w:afterLines="30" w:line="360" w:lineRule="auto"/>
              <w:jc w:val="center"/>
              <w:rPr>
                <w:rFonts w:ascii="幼圆" w:eastAsia="幼圆"/>
                <w:sz w:val="24"/>
              </w:rPr>
            </w:pPr>
            <w:r>
              <w:rPr>
                <w:rFonts w:hint="eastAsia" w:ascii="幼圆" w:eastAsia="幼圆"/>
                <w:sz w:val="24"/>
              </w:rPr>
              <w:t>现状优化</w:t>
            </w:r>
          </w:p>
        </w:tc>
        <w:tc>
          <w:tcPr>
            <w:tcW w:w="1280" w:type="dxa"/>
            <w:noWrap w:val="0"/>
            <w:vAlign w:val="center"/>
          </w:tcPr>
          <w:p w14:paraId="2E882CCB">
            <w:pPr>
              <w:spacing w:before="72" w:beforeLines="30" w:after="72" w:afterLines="30" w:line="360" w:lineRule="auto"/>
              <w:jc w:val="center"/>
              <w:rPr>
                <w:rFonts w:ascii="幼圆" w:eastAsia="幼圆"/>
                <w:sz w:val="24"/>
              </w:rPr>
            </w:pPr>
            <w:r>
              <w:rPr>
                <w:rFonts w:hint="eastAsia" w:ascii="幼圆" w:eastAsia="幼圆"/>
                <w:sz w:val="24"/>
              </w:rPr>
              <w:t>—</w:t>
            </w:r>
          </w:p>
        </w:tc>
        <w:tc>
          <w:tcPr>
            <w:tcW w:w="572" w:type="pct"/>
            <w:noWrap w:val="0"/>
            <w:vAlign w:val="center"/>
          </w:tcPr>
          <w:p w14:paraId="16A0B5EA">
            <w:pPr>
              <w:spacing w:before="72" w:beforeLines="30" w:after="72" w:afterLines="30" w:line="360" w:lineRule="auto"/>
              <w:jc w:val="center"/>
              <w:rPr>
                <w:rFonts w:ascii="幼圆" w:eastAsia="幼圆"/>
                <w:sz w:val="24"/>
              </w:rPr>
            </w:pPr>
            <w:r>
              <w:rPr>
                <w:rFonts w:hint="eastAsia" w:ascii="幼圆" w:eastAsia="幼圆"/>
                <w:sz w:val="24"/>
              </w:rPr>
              <w:t>休闲购物、酒店公寓、商务办公</w:t>
            </w:r>
          </w:p>
        </w:tc>
        <w:tc>
          <w:tcPr>
            <w:tcW w:w="572" w:type="pct"/>
            <w:noWrap w:val="0"/>
            <w:vAlign w:val="center"/>
          </w:tcPr>
          <w:p w14:paraId="694F1A64">
            <w:pPr>
              <w:spacing w:before="72" w:beforeLines="30" w:after="72" w:afterLines="30" w:line="360" w:lineRule="auto"/>
              <w:jc w:val="center"/>
              <w:rPr>
                <w:rFonts w:ascii="幼圆" w:eastAsia="幼圆"/>
                <w:sz w:val="24"/>
              </w:rPr>
            </w:pPr>
            <w:r>
              <w:rPr>
                <w:rFonts w:hint="eastAsia" w:ascii="幼圆" w:eastAsia="幼圆"/>
                <w:sz w:val="24"/>
              </w:rPr>
              <w:t>购物中心、大型超市</w:t>
            </w:r>
          </w:p>
        </w:tc>
        <w:tc>
          <w:tcPr>
            <w:tcW w:w="385" w:type="pct"/>
            <w:noWrap w:val="0"/>
            <w:vAlign w:val="center"/>
          </w:tcPr>
          <w:p w14:paraId="7A2E16EA">
            <w:pPr>
              <w:spacing w:before="72" w:beforeLines="30" w:after="72" w:afterLines="30" w:line="360" w:lineRule="auto"/>
              <w:jc w:val="center"/>
              <w:rPr>
                <w:rFonts w:ascii="幼圆" w:eastAsia="幼圆"/>
                <w:sz w:val="24"/>
              </w:rPr>
            </w:pPr>
            <w:r>
              <w:rPr>
                <w:rFonts w:hint="eastAsia" w:ascii="幼圆" w:eastAsia="幼圆"/>
                <w:sz w:val="24"/>
              </w:rPr>
              <w:t>2-3</w:t>
            </w:r>
          </w:p>
        </w:tc>
      </w:tr>
      <w:tr w14:paraId="70E9A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right"/>
        </w:trPr>
        <w:tc>
          <w:tcPr>
            <w:tcW w:w="214" w:type="pct"/>
            <w:vMerge w:val="continue"/>
            <w:noWrap w:val="0"/>
            <w:vAlign w:val="center"/>
          </w:tcPr>
          <w:p w14:paraId="70E8B162">
            <w:pPr>
              <w:spacing w:before="72" w:beforeLines="30" w:after="72" w:afterLines="30" w:line="360" w:lineRule="auto"/>
              <w:jc w:val="center"/>
              <w:rPr>
                <w:rFonts w:hint="eastAsia" w:ascii="幼圆" w:eastAsia="幼圆"/>
                <w:sz w:val="24"/>
              </w:rPr>
            </w:pPr>
          </w:p>
        </w:tc>
        <w:tc>
          <w:tcPr>
            <w:tcW w:w="321" w:type="pct"/>
            <w:noWrap w:val="0"/>
            <w:vAlign w:val="center"/>
          </w:tcPr>
          <w:p w14:paraId="29452EAC">
            <w:pPr>
              <w:spacing w:before="72" w:beforeLines="30" w:after="72" w:afterLines="30" w:line="360" w:lineRule="auto"/>
              <w:jc w:val="center"/>
              <w:rPr>
                <w:rFonts w:hint="eastAsia" w:ascii="幼圆" w:eastAsia="幼圆"/>
                <w:sz w:val="24"/>
              </w:rPr>
            </w:pPr>
            <w:r>
              <w:rPr>
                <w:rFonts w:ascii="幼圆" w:eastAsia="幼圆"/>
                <w:sz w:val="24"/>
              </w:rPr>
              <w:t>A-11</w:t>
            </w:r>
          </w:p>
        </w:tc>
        <w:tc>
          <w:tcPr>
            <w:tcW w:w="2271" w:type="dxa"/>
            <w:noWrap w:val="0"/>
            <w:vAlign w:val="center"/>
          </w:tcPr>
          <w:p w14:paraId="404A2451">
            <w:pPr>
              <w:spacing w:before="72" w:beforeLines="30" w:after="72" w:afterLines="30" w:line="360" w:lineRule="auto"/>
              <w:jc w:val="center"/>
              <w:rPr>
                <w:rFonts w:hint="eastAsia" w:ascii="幼圆" w:eastAsia="幼圆"/>
                <w:sz w:val="24"/>
              </w:rPr>
            </w:pPr>
            <w:r>
              <w:rPr>
                <w:rFonts w:hint="eastAsia" w:ascii="幼圆" w:eastAsia="幼圆"/>
                <w:sz w:val="24"/>
                <w:highlight w:val="none"/>
                <w:lang w:val="en-US" w:eastAsia="zh-CN"/>
              </w:rPr>
              <w:t>老城</w:t>
            </w:r>
            <w:r>
              <w:rPr>
                <w:rFonts w:hint="eastAsia" w:ascii="幼圆" w:eastAsia="幼圆"/>
                <w:sz w:val="24"/>
                <w:highlight w:val="none"/>
              </w:rPr>
              <w:t>商业综合体</w:t>
            </w:r>
            <w:r>
              <w:rPr>
                <w:rFonts w:hint="eastAsia" w:ascii="幼圆" w:eastAsia="幼圆"/>
                <w:sz w:val="24"/>
                <w:highlight w:val="none"/>
                <w:lang w:val="en-US" w:eastAsia="zh-CN"/>
              </w:rPr>
              <w:t>二</w:t>
            </w:r>
          </w:p>
        </w:tc>
        <w:tc>
          <w:tcPr>
            <w:tcW w:w="823" w:type="pct"/>
            <w:noWrap w:val="0"/>
            <w:vAlign w:val="center"/>
          </w:tcPr>
          <w:p w14:paraId="44D1736B">
            <w:pPr>
              <w:spacing w:before="72" w:beforeLines="30" w:after="72" w:afterLines="30" w:line="360" w:lineRule="auto"/>
              <w:jc w:val="center"/>
              <w:rPr>
                <w:rFonts w:ascii="幼圆" w:eastAsia="幼圆"/>
                <w:sz w:val="24"/>
              </w:rPr>
            </w:pPr>
            <w:r>
              <w:rPr>
                <w:rFonts w:hint="eastAsia" w:ascii="幼圆" w:eastAsia="幼圆"/>
                <w:sz w:val="24"/>
              </w:rPr>
              <w:t>香洲路黄金海岸金玉湾南侧</w:t>
            </w:r>
          </w:p>
        </w:tc>
        <w:tc>
          <w:tcPr>
            <w:tcW w:w="428" w:type="pct"/>
            <w:noWrap w:val="0"/>
            <w:vAlign w:val="center"/>
          </w:tcPr>
          <w:p w14:paraId="1F7FBB10">
            <w:pPr>
              <w:spacing w:before="72" w:beforeLines="30" w:after="72" w:afterLines="30" w:line="360" w:lineRule="auto"/>
              <w:jc w:val="center"/>
              <w:rPr>
                <w:rFonts w:ascii="幼圆" w:eastAsia="幼圆"/>
                <w:sz w:val="24"/>
              </w:rPr>
            </w:pPr>
            <w:r>
              <w:rPr>
                <w:rFonts w:hint="eastAsia" w:ascii="幼圆" w:eastAsia="幼圆"/>
                <w:sz w:val="24"/>
              </w:rPr>
              <w:t>2.6</w:t>
            </w:r>
          </w:p>
        </w:tc>
        <w:tc>
          <w:tcPr>
            <w:tcW w:w="429" w:type="pct"/>
            <w:noWrap w:val="0"/>
            <w:vAlign w:val="center"/>
          </w:tcPr>
          <w:p w14:paraId="65EC7A00">
            <w:pPr>
              <w:spacing w:before="72" w:beforeLines="30" w:after="72" w:afterLines="30" w:line="360" w:lineRule="auto"/>
              <w:jc w:val="center"/>
              <w:rPr>
                <w:rFonts w:ascii="幼圆" w:eastAsia="幼圆"/>
                <w:sz w:val="24"/>
              </w:rPr>
            </w:pPr>
            <w:r>
              <w:rPr>
                <w:rFonts w:hint="eastAsia" w:ascii="幼圆" w:eastAsia="幼圆"/>
                <w:sz w:val="24"/>
              </w:rPr>
              <w:t>18</w:t>
            </w:r>
          </w:p>
        </w:tc>
        <w:tc>
          <w:tcPr>
            <w:tcW w:w="358" w:type="pct"/>
            <w:noWrap w:val="0"/>
            <w:vAlign w:val="center"/>
          </w:tcPr>
          <w:p w14:paraId="26138125">
            <w:pPr>
              <w:spacing w:before="72" w:beforeLines="30" w:after="72" w:afterLines="30" w:line="360" w:lineRule="auto"/>
              <w:jc w:val="center"/>
              <w:rPr>
                <w:rFonts w:ascii="幼圆" w:eastAsia="幼圆"/>
                <w:sz w:val="24"/>
              </w:rPr>
            </w:pPr>
            <w:r>
              <w:rPr>
                <w:rFonts w:hint="eastAsia" w:ascii="幼圆" w:eastAsia="幼圆"/>
                <w:sz w:val="24"/>
              </w:rPr>
              <w:t>现状优化</w:t>
            </w:r>
          </w:p>
        </w:tc>
        <w:tc>
          <w:tcPr>
            <w:tcW w:w="323" w:type="pct"/>
            <w:noWrap w:val="0"/>
            <w:vAlign w:val="center"/>
          </w:tcPr>
          <w:p w14:paraId="6F6C92E2">
            <w:pPr>
              <w:spacing w:before="72" w:beforeLines="30" w:after="72" w:afterLines="30" w:line="360" w:lineRule="auto"/>
              <w:jc w:val="center"/>
              <w:rPr>
                <w:rFonts w:ascii="幼圆" w:eastAsia="幼圆"/>
                <w:sz w:val="24"/>
              </w:rPr>
            </w:pPr>
            <w:r>
              <w:rPr>
                <w:rFonts w:hint="eastAsia" w:ascii="幼圆" w:eastAsia="幼圆"/>
                <w:sz w:val="24"/>
              </w:rPr>
              <w:t>—</w:t>
            </w:r>
          </w:p>
        </w:tc>
        <w:tc>
          <w:tcPr>
            <w:tcW w:w="572" w:type="pct"/>
            <w:noWrap w:val="0"/>
            <w:vAlign w:val="center"/>
          </w:tcPr>
          <w:p w14:paraId="33F9A716">
            <w:pPr>
              <w:spacing w:before="72" w:beforeLines="30" w:after="72" w:afterLines="30" w:line="360" w:lineRule="auto"/>
              <w:jc w:val="center"/>
              <w:rPr>
                <w:rFonts w:ascii="幼圆" w:eastAsia="幼圆"/>
                <w:sz w:val="24"/>
              </w:rPr>
            </w:pPr>
            <w:r>
              <w:rPr>
                <w:rFonts w:hint="eastAsia" w:ascii="幼圆" w:eastAsia="幼圆"/>
                <w:sz w:val="24"/>
              </w:rPr>
              <w:t>休闲购物、酒店公寓、商务办公</w:t>
            </w:r>
          </w:p>
        </w:tc>
        <w:tc>
          <w:tcPr>
            <w:tcW w:w="572" w:type="pct"/>
            <w:noWrap w:val="0"/>
            <w:vAlign w:val="center"/>
          </w:tcPr>
          <w:p w14:paraId="57E38936">
            <w:pPr>
              <w:spacing w:before="72" w:beforeLines="30" w:after="72" w:afterLines="30" w:line="360" w:lineRule="auto"/>
              <w:jc w:val="center"/>
              <w:rPr>
                <w:rFonts w:ascii="幼圆" w:eastAsia="幼圆"/>
                <w:sz w:val="24"/>
              </w:rPr>
            </w:pPr>
            <w:r>
              <w:rPr>
                <w:rFonts w:hint="eastAsia" w:ascii="幼圆" w:eastAsia="幼圆"/>
                <w:sz w:val="24"/>
              </w:rPr>
              <w:t>购物中心、星级酒店</w:t>
            </w:r>
          </w:p>
        </w:tc>
        <w:tc>
          <w:tcPr>
            <w:tcW w:w="385" w:type="pct"/>
            <w:noWrap w:val="0"/>
            <w:vAlign w:val="center"/>
          </w:tcPr>
          <w:p w14:paraId="0E590080">
            <w:pPr>
              <w:spacing w:before="72" w:beforeLines="30" w:after="72" w:afterLines="30" w:line="360" w:lineRule="auto"/>
              <w:jc w:val="center"/>
              <w:rPr>
                <w:rFonts w:ascii="幼圆" w:eastAsia="幼圆"/>
                <w:sz w:val="24"/>
              </w:rPr>
            </w:pPr>
            <w:r>
              <w:rPr>
                <w:rFonts w:hint="eastAsia" w:ascii="幼圆" w:eastAsia="幼圆"/>
                <w:sz w:val="24"/>
              </w:rPr>
              <w:t>1-1.5</w:t>
            </w:r>
          </w:p>
        </w:tc>
      </w:tr>
      <w:tr w14:paraId="01DF1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right"/>
        </w:trPr>
        <w:tc>
          <w:tcPr>
            <w:tcW w:w="214" w:type="pct"/>
            <w:vMerge w:val="restart"/>
            <w:noWrap w:val="0"/>
            <w:vAlign w:val="center"/>
          </w:tcPr>
          <w:p w14:paraId="792A9D56">
            <w:pPr>
              <w:spacing w:before="72" w:beforeLines="30" w:after="72" w:afterLines="30" w:line="360" w:lineRule="auto"/>
              <w:jc w:val="center"/>
              <w:rPr>
                <w:rFonts w:hint="eastAsia" w:ascii="幼圆" w:eastAsia="幼圆"/>
                <w:sz w:val="24"/>
              </w:rPr>
            </w:pPr>
            <w:r>
              <w:rPr>
                <w:rFonts w:hint="eastAsia" w:ascii="幼圆" w:eastAsia="幼圆"/>
                <w:sz w:val="24"/>
              </w:rPr>
              <w:t>社区</w:t>
            </w:r>
          </w:p>
        </w:tc>
        <w:tc>
          <w:tcPr>
            <w:tcW w:w="321" w:type="pct"/>
            <w:noWrap w:val="0"/>
            <w:vAlign w:val="center"/>
          </w:tcPr>
          <w:p w14:paraId="5D2F1AAD">
            <w:pPr>
              <w:spacing w:before="72" w:beforeLines="30" w:after="72" w:afterLines="30" w:line="360" w:lineRule="auto"/>
              <w:jc w:val="center"/>
              <w:rPr>
                <w:rFonts w:hint="eastAsia" w:ascii="幼圆" w:eastAsia="幼圆"/>
                <w:sz w:val="24"/>
              </w:rPr>
            </w:pPr>
            <w:r>
              <w:rPr>
                <w:rFonts w:ascii="幼圆" w:eastAsia="幼圆"/>
                <w:sz w:val="24"/>
              </w:rPr>
              <w:t>A-01</w:t>
            </w:r>
          </w:p>
        </w:tc>
        <w:tc>
          <w:tcPr>
            <w:tcW w:w="573" w:type="pct"/>
            <w:noWrap w:val="0"/>
            <w:vAlign w:val="center"/>
          </w:tcPr>
          <w:p w14:paraId="73306787">
            <w:pPr>
              <w:spacing w:before="72" w:beforeLines="30" w:after="72" w:afterLines="30" w:line="360" w:lineRule="auto"/>
              <w:jc w:val="center"/>
              <w:rPr>
                <w:rFonts w:hint="eastAsia" w:ascii="幼圆" w:eastAsia="幼圆"/>
                <w:sz w:val="24"/>
              </w:rPr>
            </w:pPr>
            <w:r>
              <w:rPr>
                <w:rFonts w:hint="eastAsia" w:ascii="幼圆" w:eastAsia="幼圆"/>
                <w:sz w:val="24"/>
              </w:rPr>
              <w:t>金町湾商业综合体</w:t>
            </w:r>
          </w:p>
        </w:tc>
        <w:tc>
          <w:tcPr>
            <w:tcW w:w="823" w:type="pct"/>
            <w:noWrap w:val="0"/>
            <w:vAlign w:val="center"/>
          </w:tcPr>
          <w:p w14:paraId="555937A1">
            <w:pPr>
              <w:spacing w:before="72" w:beforeLines="30" w:after="72" w:afterLines="30" w:line="360" w:lineRule="auto"/>
              <w:jc w:val="center"/>
              <w:rPr>
                <w:rFonts w:ascii="幼圆" w:eastAsia="幼圆"/>
                <w:sz w:val="24"/>
              </w:rPr>
            </w:pPr>
            <w:r>
              <w:rPr>
                <w:rFonts w:hint="eastAsia" w:ascii="幼圆" w:eastAsia="幼圆"/>
                <w:sz w:val="24"/>
              </w:rPr>
              <w:t>保利金町湾北侧</w:t>
            </w:r>
          </w:p>
        </w:tc>
        <w:tc>
          <w:tcPr>
            <w:tcW w:w="428" w:type="pct"/>
            <w:noWrap w:val="0"/>
            <w:vAlign w:val="center"/>
          </w:tcPr>
          <w:p w14:paraId="77D6AE25">
            <w:pPr>
              <w:spacing w:before="72" w:beforeLines="30" w:after="72" w:afterLines="30" w:line="360" w:lineRule="auto"/>
              <w:jc w:val="center"/>
              <w:rPr>
                <w:rFonts w:ascii="幼圆" w:eastAsia="幼圆"/>
                <w:sz w:val="24"/>
              </w:rPr>
            </w:pPr>
            <w:r>
              <w:rPr>
                <w:rFonts w:hint="eastAsia" w:ascii="幼圆" w:eastAsia="幼圆"/>
                <w:sz w:val="24"/>
              </w:rPr>
              <w:t>3</w:t>
            </w:r>
          </w:p>
        </w:tc>
        <w:tc>
          <w:tcPr>
            <w:tcW w:w="429" w:type="pct"/>
            <w:noWrap w:val="0"/>
            <w:vAlign w:val="center"/>
          </w:tcPr>
          <w:p w14:paraId="7B01B198">
            <w:pPr>
              <w:spacing w:before="72" w:beforeLines="30" w:after="72" w:afterLines="30" w:line="360" w:lineRule="auto"/>
              <w:jc w:val="center"/>
              <w:rPr>
                <w:rFonts w:ascii="幼圆" w:eastAsia="幼圆"/>
                <w:sz w:val="24"/>
              </w:rPr>
            </w:pPr>
            <w:r>
              <w:rPr>
                <w:rFonts w:hint="eastAsia" w:ascii="幼圆" w:eastAsia="幼圆"/>
                <w:sz w:val="24"/>
              </w:rPr>
              <w:t>6</w:t>
            </w:r>
          </w:p>
        </w:tc>
        <w:tc>
          <w:tcPr>
            <w:tcW w:w="358" w:type="pct"/>
            <w:noWrap w:val="0"/>
            <w:vAlign w:val="center"/>
          </w:tcPr>
          <w:p w14:paraId="69A87F4D">
            <w:pPr>
              <w:spacing w:before="72" w:beforeLines="30" w:after="72" w:afterLines="30" w:line="360" w:lineRule="auto"/>
              <w:jc w:val="center"/>
              <w:rPr>
                <w:rFonts w:ascii="幼圆" w:eastAsia="幼圆"/>
                <w:sz w:val="24"/>
              </w:rPr>
            </w:pPr>
            <w:r>
              <w:rPr>
                <w:rFonts w:hint="eastAsia" w:ascii="幼圆" w:eastAsia="幼圆"/>
                <w:sz w:val="24"/>
              </w:rPr>
              <w:t>新建</w:t>
            </w:r>
          </w:p>
        </w:tc>
        <w:tc>
          <w:tcPr>
            <w:tcW w:w="323" w:type="pct"/>
            <w:noWrap w:val="0"/>
            <w:vAlign w:val="center"/>
          </w:tcPr>
          <w:p w14:paraId="19A42EAF">
            <w:pPr>
              <w:spacing w:before="72" w:beforeLines="30" w:after="72" w:afterLines="30" w:line="360" w:lineRule="auto"/>
              <w:jc w:val="center"/>
              <w:rPr>
                <w:rFonts w:ascii="幼圆" w:eastAsia="幼圆"/>
                <w:sz w:val="24"/>
              </w:rPr>
            </w:pPr>
            <w:r>
              <w:rPr>
                <w:rFonts w:hint="eastAsia" w:ascii="幼圆" w:eastAsia="幼圆"/>
                <w:sz w:val="24"/>
              </w:rPr>
              <w:t>近期</w:t>
            </w:r>
          </w:p>
        </w:tc>
        <w:tc>
          <w:tcPr>
            <w:tcW w:w="572" w:type="pct"/>
            <w:noWrap w:val="0"/>
            <w:vAlign w:val="center"/>
          </w:tcPr>
          <w:p w14:paraId="0BEF0220">
            <w:pPr>
              <w:spacing w:before="72" w:beforeLines="30" w:after="72" w:afterLines="30" w:line="360" w:lineRule="auto"/>
              <w:jc w:val="center"/>
              <w:rPr>
                <w:rFonts w:ascii="幼圆" w:eastAsia="幼圆"/>
                <w:sz w:val="24"/>
              </w:rPr>
            </w:pPr>
            <w:r>
              <w:rPr>
                <w:rFonts w:hint="eastAsia" w:ascii="幼圆" w:eastAsia="幼圆"/>
                <w:sz w:val="24"/>
              </w:rPr>
              <w:t>购物、休闲、酒店</w:t>
            </w:r>
          </w:p>
        </w:tc>
        <w:tc>
          <w:tcPr>
            <w:tcW w:w="572" w:type="pct"/>
            <w:noWrap w:val="0"/>
            <w:vAlign w:val="center"/>
          </w:tcPr>
          <w:p w14:paraId="45902D83">
            <w:pPr>
              <w:spacing w:before="72" w:beforeLines="30" w:after="72" w:afterLines="30" w:line="360" w:lineRule="auto"/>
              <w:jc w:val="center"/>
              <w:rPr>
                <w:rFonts w:ascii="幼圆" w:eastAsia="幼圆"/>
                <w:sz w:val="24"/>
              </w:rPr>
            </w:pPr>
            <w:r>
              <w:rPr>
                <w:rFonts w:hint="eastAsia" w:ascii="幼圆" w:eastAsia="幼圆"/>
                <w:sz w:val="24"/>
              </w:rPr>
              <w:t>社区级购物中心、星级酒店</w:t>
            </w:r>
          </w:p>
        </w:tc>
        <w:tc>
          <w:tcPr>
            <w:tcW w:w="385" w:type="pct"/>
            <w:noWrap w:val="0"/>
            <w:vAlign w:val="center"/>
          </w:tcPr>
          <w:p w14:paraId="4A54783A">
            <w:pPr>
              <w:spacing w:before="72" w:beforeLines="30" w:after="72" w:afterLines="30" w:line="360" w:lineRule="auto"/>
              <w:jc w:val="center"/>
              <w:rPr>
                <w:rFonts w:ascii="幼圆" w:eastAsia="幼圆"/>
                <w:sz w:val="24"/>
              </w:rPr>
            </w:pPr>
            <w:r>
              <w:rPr>
                <w:rFonts w:hint="eastAsia" w:ascii="幼圆" w:eastAsia="幼圆"/>
                <w:sz w:val="24"/>
              </w:rPr>
              <w:t>0.5-1</w:t>
            </w:r>
          </w:p>
        </w:tc>
      </w:tr>
      <w:tr w14:paraId="424C0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right"/>
        </w:trPr>
        <w:tc>
          <w:tcPr>
            <w:tcW w:w="214" w:type="pct"/>
            <w:vMerge w:val="continue"/>
            <w:noWrap w:val="0"/>
            <w:vAlign w:val="center"/>
          </w:tcPr>
          <w:p w14:paraId="41D8DFE0">
            <w:pPr>
              <w:spacing w:before="72" w:beforeLines="30" w:after="72" w:afterLines="30" w:line="360" w:lineRule="auto"/>
              <w:jc w:val="center"/>
              <w:rPr>
                <w:rFonts w:hint="eastAsia" w:ascii="幼圆" w:eastAsia="幼圆"/>
                <w:sz w:val="24"/>
              </w:rPr>
            </w:pPr>
          </w:p>
        </w:tc>
        <w:tc>
          <w:tcPr>
            <w:tcW w:w="321" w:type="pct"/>
            <w:noWrap w:val="0"/>
            <w:vAlign w:val="center"/>
          </w:tcPr>
          <w:p w14:paraId="141DFC2E">
            <w:pPr>
              <w:spacing w:before="72" w:beforeLines="30" w:after="72" w:afterLines="30" w:line="360" w:lineRule="auto"/>
              <w:jc w:val="center"/>
              <w:rPr>
                <w:rFonts w:ascii="幼圆" w:eastAsia="幼圆"/>
                <w:sz w:val="24"/>
              </w:rPr>
            </w:pPr>
            <w:r>
              <w:rPr>
                <w:rFonts w:hint="eastAsia" w:ascii="幼圆" w:eastAsia="幼圆"/>
                <w:sz w:val="24"/>
              </w:rPr>
              <w:t>B</w:t>
            </w:r>
            <w:r>
              <w:rPr>
                <w:rFonts w:ascii="幼圆" w:eastAsia="幼圆"/>
                <w:sz w:val="24"/>
              </w:rPr>
              <w:t>-01</w:t>
            </w:r>
          </w:p>
        </w:tc>
        <w:tc>
          <w:tcPr>
            <w:tcW w:w="573" w:type="pct"/>
            <w:noWrap w:val="0"/>
            <w:vAlign w:val="center"/>
          </w:tcPr>
          <w:p w14:paraId="5EB2D674">
            <w:pPr>
              <w:spacing w:before="72" w:beforeLines="30" w:after="72" w:afterLines="30" w:line="360" w:lineRule="auto"/>
              <w:jc w:val="center"/>
              <w:rPr>
                <w:rFonts w:hint="eastAsia" w:ascii="幼圆" w:eastAsia="幼圆"/>
                <w:sz w:val="24"/>
              </w:rPr>
            </w:pPr>
            <w:r>
              <w:rPr>
                <w:rFonts w:hint="eastAsia" w:ascii="幼圆" w:eastAsia="幼圆"/>
                <w:sz w:val="24"/>
              </w:rPr>
              <w:t>田墘商业综合体</w:t>
            </w:r>
          </w:p>
        </w:tc>
        <w:tc>
          <w:tcPr>
            <w:tcW w:w="823" w:type="pct"/>
            <w:noWrap w:val="0"/>
            <w:vAlign w:val="center"/>
          </w:tcPr>
          <w:p w14:paraId="50A825D6">
            <w:pPr>
              <w:spacing w:before="72" w:beforeLines="30" w:after="72" w:afterLines="30" w:line="360" w:lineRule="auto"/>
              <w:jc w:val="center"/>
              <w:rPr>
                <w:rFonts w:hint="eastAsia" w:ascii="幼圆" w:eastAsia="幼圆"/>
                <w:sz w:val="24"/>
              </w:rPr>
            </w:pPr>
            <w:r>
              <w:rPr>
                <w:rFonts w:hint="eastAsia" w:ascii="幼圆" w:eastAsia="幼圆"/>
                <w:sz w:val="24"/>
              </w:rPr>
              <w:t>红海湾大道北侧</w:t>
            </w:r>
          </w:p>
        </w:tc>
        <w:tc>
          <w:tcPr>
            <w:tcW w:w="428" w:type="pct"/>
            <w:noWrap w:val="0"/>
            <w:vAlign w:val="center"/>
          </w:tcPr>
          <w:p w14:paraId="2C1301B3">
            <w:pPr>
              <w:spacing w:before="72" w:beforeLines="30" w:after="72" w:afterLines="30" w:line="360" w:lineRule="auto"/>
              <w:jc w:val="center"/>
              <w:rPr>
                <w:rFonts w:ascii="幼圆" w:eastAsia="幼圆"/>
                <w:sz w:val="24"/>
              </w:rPr>
            </w:pPr>
            <w:r>
              <w:rPr>
                <w:rFonts w:hint="eastAsia" w:ascii="幼圆" w:eastAsia="幼圆"/>
                <w:sz w:val="24"/>
              </w:rPr>
              <w:t>1</w:t>
            </w:r>
          </w:p>
        </w:tc>
        <w:tc>
          <w:tcPr>
            <w:tcW w:w="429" w:type="pct"/>
            <w:noWrap w:val="0"/>
            <w:vAlign w:val="center"/>
          </w:tcPr>
          <w:p w14:paraId="4B9AB2B4">
            <w:pPr>
              <w:spacing w:before="72" w:beforeLines="30" w:after="72" w:afterLines="30" w:line="360" w:lineRule="auto"/>
              <w:jc w:val="center"/>
              <w:rPr>
                <w:rFonts w:ascii="幼圆" w:eastAsia="幼圆"/>
                <w:sz w:val="24"/>
              </w:rPr>
            </w:pPr>
            <w:r>
              <w:rPr>
                <w:rFonts w:hint="eastAsia" w:ascii="幼圆" w:eastAsia="幼圆"/>
                <w:sz w:val="24"/>
              </w:rPr>
              <w:t>2</w:t>
            </w:r>
          </w:p>
        </w:tc>
        <w:tc>
          <w:tcPr>
            <w:tcW w:w="358" w:type="pct"/>
            <w:noWrap w:val="0"/>
            <w:vAlign w:val="center"/>
          </w:tcPr>
          <w:p w14:paraId="701A2390">
            <w:pPr>
              <w:spacing w:before="72" w:beforeLines="30" w:after="72" w:afterLines="30" w:line="360" w:lineRule="auto"/>
              <w:jc w:val="center"/>
              <w:rPr>
                <w:rFonts w:hint="eastAsia" w:ascii="幼圆" w:eastAsia="幼圆"/>
                <w:sz w:val="24"/>
              </w:rPr>
            </w:pPr>
            <w:r>
              <w:rPr>
                <w:rFonts w:hint="eastAsia" w:ascii="幼圆" w:eastAsia="幼圆"/>
                <w:sz w:val="24"/>
              </w:rPr>
              <w:t>新建</w:t>
            </w:r>
          </w:p>
        </w:tc>
        <w:tc>
          <w:tcPr>
            <w:tcW w:w="323" w:type="pct"/>
            <w:noWrap w:val="0"/>
            <w:vAlign w:val="center"/>
          </w:tcPr>
          <w:p w14:paraId="7CA4FBA2">
            <w:pPr>
              <w:spacing w:before="72" w:beforeLines="30" w:after="72" w:afterLines="30" w:line="360" w:lineRule="auto"/>
              <w:jc w:val="center"/>
              <w:rPr>
                <w:rFonts w:hint="eastAsia" w:ascii="幼圆" w:eastAsia="幼圆"/>
                <w:sz w:val="24"/>
              </w:rPr>
            </w:pPr>
            <w:r>
              <w:rPr>
                <w:rFonts w:hint="eastAsia" w:ascii="幼圆" w:eastAsia="幼圆"/>
                <w:sz w:val="24"/>
              </w:rPr>
              <w:t>远期</w:t>
            </w:r>
          </w:p>
        </w:tc>
        <w:tc>
          <w:tcPr>
            <w:tcW w:w="572" w:type="pct"/>
            <w:noWrap w:val="0"/>
            <w:vAlign w:val="center"/>
          </w:tcPr>
          <w:p w14:paraId="1E7F6012">
            <w:pPr>
              <w:spacing w:before="72" w:beforeLines="30" w:after="72" w:afterLines="30" w:line="360" w:lineRule="auto"/>
              <w:jc w:val="center"/>
              <w:rPr>
                <w:rFonts w:hint="eastAsia" w:ascii="幼圆" w:eastAsia="幼圆"/>
                <w:sz w:val="24"/>
              </w:rPr>
            </w:pPr>
            <w:r>
              <w:rPr>
                <w:rFonts w:hint="eastAsia" w:ascii="幼圆" w:eastAsia="幼圆"/>
                <w:sz w:val="24"/>
              </w:rPr>
              <w:t>购物、休闲、酒店</w:t>
            </w:r>
          </w:p>
        </w:tc>
        <w:tc>
          <w:tcPr>
            <w:tcW w:w="572" w:type="pct"/>
            <w:noWrap w:val="0"/>
            <w:vAlign w:val="center"/>
          </w:tcPr>
          <w:p w14:paraId="00E06162">
            <w:pPr>
              <w:spacing w:before="72" w:beforeLines="30" w:after="72" w:afterLines="30" w:line="360" w:lineRule="auto"/>
              <w:jc w:val="center"/>
              <w:rPr>
                <w:rFonts w:hint="eastAsia" w:ascii="幼圆" w:eastAsia="幼圆"/>
                <w:sz w:val="24"/>
              </w:rPr>
            </w:pPr>
            <w:r>
              <w:rPr>
                <w:rFonts w:hint="eastAsia" w:ascii="幼圆" w:eastAsia="幼圆"/>
                <w:sz w:val="24"/>
              </w:rPr>
              <w:t>中型超市、酒店公寓</w:t>
            </w:r>
          </w:p>
        </w:tc>
        <w:tc>
          <w:tcPr>
            <w:tcW w:w="385" w:type="pct"/>
            <w:noWrap w:val="0"/>
            <w:vAlign w:val="center"/>
          </w:tcPr>
          <w:p w14:paraId="51BFB800">
            <w:pPr>
              <w:spacing w:before="72" w:beforeLines="30" w:after="72" w:afterLines="30" w:line="360" w:lineRule="auto"/>
              <w:jc w:val="center"/>
              <w:rPr>
                <w:rFonts w:hint="eastAsia" w:ascii="幼圆" w:eastAsia="幼圆"/>
                <w:sz w:val="24"/>
              </w:rPr>
            </w:pPr>
            <w:r>
              <w:rPr>
                <w:rFonts w:hint="eastAsia" w:ascii="幼圆" w:eastAsia="幼圆"/>
                <w:sz w:val="24"/>
              </w:rPr>
              <w:t>0.5-1</w:t>
            </w:r>
          </w:p>
        </w:tc>
      </w:tr>
      <w:tr w14:paraId="5BE25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right"/>
        </w:trPr>
        <w:tc>
          <w:tcPr>
            <w:tcW w:w="214" w:type="pct"/>
            <w:vMerge w:val="continue"/>
            <w:noWrap w:val="0"/>
            <w:vAlign w:val="center"/>
          </w:tcPr>
          <w:p w14:paraId="257E97BC">
            <w:pPr>
              <w:spacing w:before="72" w:beforeLines="30" w:after="72" w:afterLines="30" w:line="360" w:lineRule="auto"/>
              <w:jc w:val="center"/>
              <w:rPr>
                <w:rFonts w:hint="eastAsia" w:ascii="幼圆" w:eastAsia="幼圆"/>
                <w:sz w:val="24"/>
              </w:rPr>
            </w:pPr>
          </w:p>
        </w:tc>
        <w:tc>
          <w:tcPr>
            <w:tcW w:w="321" w:type="pct"/>
            <w:noWrap w:val="0"/>
            <w:vAlign w:val="center"/>
          </w:tcPr>
          <w:p w14:paraId="7BF5D30A">
            <w:pPr>
              <w:spacing w:before="72" w:beforeLines="30" w:after="72" w:afterLines="30" w:line="360" w:lineRule="auto"/>
              <w:jc w:val="center"/>
              <w:rPr>
                <w:rFonts w:hint="eastAsia" w:ascii="幼圆" w:eastAsia="幼圆"/>
                <w:sz w:val="24"/>
              </w:rPr>
            </w:pPr>
            <w:r>
              <w:rPr>
                <w:rFonts w:hint="eastAsia" w:ascii="幼圆" w:eastAsia="幼圆"/>
                <w:sz w:val="24"/>
              </w:rPr>
              <w:t>C</w:t>
            </w:r>
            <w:r>
              <w:rPr>
                <w:rFonts w:ascii="幼圆" w:eastAsia="幼圆"/>
                <w:sz w:val="24"/>
              </w:rPr>
              <w:t>-0</w:t>
            </w:r>
            <w:r>
              <w:rPr>
                <w:rFonts w:hint="eastAsia" w:ascii="幼圆" w:eastAsia="幼圆"/>
                <w:sz w:val="24"/>
              </w:rPr>
              <w:t>2</w:t>
            </w:r>
          </w:p>
        </w:tc>
        <w:tc>
          <w:tcPr>
            <w:tcW w:w="573" w:type="pct"/>
            <w:noWrap w:val="0"/>
            <w:vAlign w:val="center"/>
          </w:tcPr>
          <w:p w14:paraId="19844978">
            <w:pPr>
              <w:spacing w:before="72" w:beforeLines="30" w:after="72" w:afterLines="30" w:line="360" w:lineRule="auto"/>
              <w:jc w:val="center"/>
              <w:rPr>
                <w:rFonts w:hint="eastAsia" w:ascii="幼圆" w:eastAsia="幼圆"/>
                <w:sz w:val="24"/>
              </w:rPr>
            </w:pPr>
            <w:r>
              <w:rPr>
                <w:rFonts w:hint="eastAsia" w:ascii="幼圆" w:eastAsia="幼圆"/>
                <w:sz w:val="24"/>
              </w:rPr>
              <w:t>红海湾商业综合体</w:t>
            </w:r>
          </w:p>
        </w:tc>
        <w:tc>
          <w:tcPr>
            <w:tcW w:w="823" w:type="pct"/>
            <w:noWrap w:val="0"/>
            <w:vAlign w:val="center"/>
          </w:tcPr>
          <w:p w14:paraId="65C060DE">
            <w:pPr>
              <w:spacing w:before="72" w:beforeLines="30" w:after="72" w:afterLines="30" w:line="360" w:lineRule="auto"/>
              <w:jc w:val="center"/>
              <w:rPr>
                <w:rFonts w:ascii="幼圆" w:eastAsia="幼圆"/>
                <w:sz w:val="24"/>
              </w:rPr>
            </w:pPr>
            <w:r>
              <w:rPr>
                <w:rFonts w:hint="eastAsia" w:ascii="幼圆" w:eastAsia="幼圆"/>
                <w:sz w:val="24"/>
              </w:rPr>
              <w:t>红海湾大道西南侧</w:t>
            </w:r>
          </w:p>
        </w:tc>
        <w:tc>
          <w:tcPr>
            <w:tcW w:w="428" w:type="pct"/>
            <w:noWrap w:val="0"/>
            <w:vAlign w:val="center"/>
          </w:tcPr>
          <w:p w14:paraId="539816F7">
            <w:pPr>
              <w:spacing w:before="72" w:beforeLines="30" w:after="72" w:afterLines="30" w:line="360" w:lineRule="auto"/>
              <w:jc w:val="center"/>
              <w:rPr>
                <w:rFonts w:ascii="幼圆" w:eastAsia="幼圆"/>
                <w:sz w:val="24"/>
              </w:rPr>
            </w:pPr>
            <w:r>
              <w:rPr>
                <w:rFonts w:hint="eastAsia" w:ascii="幼圆" w:eastAsia="幼圆"/>
                <w:sz w:val="24"/>
              </w:rPr>
              <w:t>2</w:t>
            </w:r>
          </w:p>
        </w:tc>
        <w:tc>
          <w:tcPr>
            <w:tcW w:w="429" w:type="pct"/>
            <w:noWrap w:val="0"/>
            <w:vAlign w:val="center"/>
          </w:tcPr>
          <w:p w14:paraId="01FA18F0">
            <w:pPr>
              <w:spacing w:before="72" w:beforeLines="30" w:after="72" w:afterLines="30" w:line="360" w:lineRule="auto"/>
              <w:jc w:val="center"/>
              <w:rPr>
                <w:rFonts w:ascii="幼圆" w:eastAsia="幼圆"/>
                <w:sz w:val="24"/>
              </w:rPr>
            </w:pPr>
            <w:r>
              <w:rPr>
                <w:rFonts w:hint="eastAsia" w:ascii="幼圆" w:eastAsia="幼圆"/>
                <w:sz w:val="24"/>
              </w:rPr>
              <w:t>4</w:t>
            </w:r>
          </w:p>
        </w:tc>
        <w:tc>
          <w:tcPr>
            <w:tcW w:w="358" w:type="pct"/>
            <w:noWrap w:val="0"/>
            <w:vAlign w:val="center"/>
          </w:tcPr>
          <w:p w14:paraId="52A4E4B0">
            <w:pPr>
              <w:spacing w:before="72" w:beforeLines="30" w:after="72" w:afterLines="30" w:line="360" w:lineRule="auto"/>
              <w:jc w:val="center"/>
              <w:rPr>
                <w:rFonts w:ascii="幼圆" w:eastAsia="幼圆"/>
                <w:sz w:val="24"/>
              </w:rPr>
            </w:pPr>
            <w:r>
              <w:rPr>
                <w:rFonts w:hint="eastAsia" w:ascii="幼圆" w:eastAsia="幼圆"/>
                <w:sz w:val="24"/>
              </w:rPr>
              <w:t>新建</w:t>
            </w:r>
          </w:p>
        </w:tc>
        <w:tc>
          <w:tcPr>
            <w:tcW w:w="323" w:type="pct"/>
            <w:noWrap w:val="0"/>
            <w:vAlign w:val="center"/>
          </w:tcPr>
          <w:p w14:paraId="677466BC">
            <w:pPr>
              <w:spacing w:before="72" w:beforeLines="30" w:after="72" w:afterLines="30" w:line="360" w:lineRule="auto"/>
              <w:jc w:val="center"/>
              <w:rPr>
                <w:rFonts w:ascii="幼圆" w:eastAsia="幼圆"/>
                <w:sz w:val="24"/>
              </w:rPr>
            </w:pPr>
            <w:r>
              <w:rPr>
                <w:rFonts w:hint="eastAsia" w:ascii="幼圆" w:eastAsia="幼圆"/>
                <w:sz w:val="24"/>
              </w:rPr>
              <w:t>近期</w:t>
            </w:r>
          </w:p>
        </w:tc>
        <w:tc>
          <w:tcPr>
            <w:tcW w:w="572" w:type="pct"/>
            <w:noWrap w:val="0"/>
            <w:vAlign w:val="center"/>
          </w:tcPr>
          <w:p w14:paraId="3F031541">
            <w:pPr>
              <w:spacing w:before="72" w:beforeLines="30" w:after="72" w:afterLines="30" w:line="360" w:lineRule="auto"/>
              <w:jc w:val="center"/>
              <w:rPr>
                <w:rFonts w:ascii="幼圆" w:eastAsia="幼圆"/>
                <w:sz w:val="24"/>
              </w:rPr>
            </w:pPr>
            <w:r>
              <w:rPr>
                <w:rFonts w:hint="eastAsia" w:ascii="幼圆" w:eastAsia="幼圆"/>
                <w:sz w:val="24"/>
              </w:rPr>
              <w:t>购物、休闲、酒店</w:t>
            </w:r>
          </w:p>
        </w:tc>
        <w:tc>
          <w:tcPr>
            <w:tcW w:w="572" w:type="pct"/>
            <w:noWrap w:val="0"/>
            <w:vAlign w:val="center"/>
          </w:tcPr>
          <w:p w14:paraId="1944A207">
            <w:pPr>
              <w:spacing w:before="72" w:beforeLines="30" w:after="72" w:afterLines="30" w:line="360" w:lineRule="auto"/>
              <w:jc w:val="center"/>
              <w:rPr>
                <w:rFonts w:ascii="幼圆" w:eastAsia="幼圆"/>
                <w:sz w:val="24"/>
              </w:rPr>
            </w:pPr>
            <w:r>
              <w:rPr>
                <w:rFonts w:hint="eastAsia" w:ascii="幼圆" w:eastAsia="幼圆"/>
                <w:sz w:val="24"/>
              </w:rPr>
              <w:t>社区级购物中心、星级酒店</w:t>
            </w:r>
          </w:p>
        </w:tc>
        <w:tc>
          <w:tcPr>
            <w:tcW w:w="385" w:type="pct"/>
            <w:noWrap w:val="0"/>
            <w:vAlign w:val="center"/>
          </w:tcPr>
          <w:p w14:paraId="7065B146">
            <w:pPr>
              <w:spacing w:before="72" w:beforeLines="30" w:after="72" w:afterLines="30" w:line="360" w:lineRule="auto"/>
              <w:jc w:val="center"/>
              <w:rPr>
                <w:rFonts w:ascii="幼圆" w:eastAsia="幼圆"/>
                <w:sz w:val="24"/>
              </w:rPr>
            </w:pPr>
            <w:r>
              <w:rPr>
                <w:rFonts w:hint="eastAsia" w:ascii="幼圆" w:eastAsia="幼圆"/>
                <w:sz w:val="24"/>
              </w:rPr>
              <w:t>0.5-1</w:t>
            </w:r>
          </w:p>
        </w:tc>
      </w:tr>
      <w:tr w14:paraId="09CAB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right"/>
        </w:trPr>
        <w:tc>
          <w:tcPr>
            <w:tcW w:w="214" w:type="pct"/>
            <w:vMerge w:val="continue"/>
            <w:noWrap w:val="0"/>
            <w:vAlign w:val="center"/>
          </w:tcPr>
          <w:p w14:paraId="40887E4F">
            <w:pPr>
              <w:spacing w:before="72" w:beforeLines="30" w:after="72" w:afterLines="30" w:line="360" w:lineRule="auto"/>
              <w:jc w:val="center"/>
              <w:rPr>
                <w:rFonts w:hint="eastAsia" w:ascii="幼圆" w:eastAsia="幼圆"/>
                <w:sz w:val="24"/>
              </w:rPr>
            </w:pPr>
          </w:p>
        </w:tc>
        <w:tc>
          <w:tcPr>
            <w:tcW w:w="321" w:type="pct"/>
            <w:noWrap w:val="0"/>
            <w:vAlign w:val="center"/>
          </w:tcPr>
          <w:p w14:paraId="5886ED20">
            <w:pPr>
              <w:spacing w:before="72" w:beforeLines="30" w:after="72" w:afterLines="30" w:line="360" w:lineRule="auto"/>
              <w:jc w:val="center"/>
              <w:rPr>
                <w:rFonts w:hint="eastAsia" w:ascii="幼圆" w:eastAsia="幼圆"/>
                <w:sz w:val="24"/>
              </w:rPr>
            </w:pPr>
            <w:r>
              <w:rPr>
                <w:rFonts w:hint="eastAsia" w:ascii="幼圆" w:eastAsia="幼圆"/>
                <w:sz w:val="24"/>
              </w:rPr>
              <w:t>D</w:t>
            </w:r>
            <w:r>
              <w:rPr>
                <w:rFonts w:ascii="幼圆" w:eastAsia="幼圆"/>
                <w:sz w:val="24"/>
              </w:rPr>
              <w:t>-0</w:t>
            </w:r>
            <w:r>
              <w:rPr>
                <w:rFonts w:hint="eastAsia" w:ascii="幼圆" w:eastAsia="幼圆"/>
                <w:sz w:val="24"/>
              </w:rPr>
              <w:t>2</w:t>
            </w:r>
          </w:p>
        </w:tc>
        <w:tc>
          <w:tcPr>
            <w:tcW w:w="573" w:type="pct"/>
            <w:noWrap w:val="0"/>
            <w:vAlign w:val="center"/>
          </w:tcPr>
          <w:p w14:paraId="534101C9">
            <w:pPr>
              <w:spacing w:before="72" w:beforeLines="30" w:after="72" w:afterLines="30" w:line="360" w:lineRule="auto"/>
              <w:jc w:val="center"/>
              <w:rPr>
                <w:rFonts w:hint="eastAsia" w:ascii="幼圆" w:eastAsia="幼圆"/>
                <w:sz w:val="24"/>
              </w:rPr>
            </w:pPr>
            <w:r>
              <w:rPr>
                <w:rFonts w:hint="eastAsia" w:ascii="幼圆" w:eastAsia="幼圆"/>
                <w:sz w:val="24"/>
              </w:rPr>
              <w:t>马宫商业综合体</w:t>
            </w:r>
          </w:p>
        </w:tc>
        <w:tc>
          <w:tcPr>
            <w:tcW w:w="823" w:type="pct"/>
            <w:noWrap w:val="0"/>
            <w:vAlign w:val="center"/>
          </w:tcPr>
          <w:p w14:paraId="27360109">
            <w:pPr>
              <w:spacing w:before="72" w:beforeLines="30" w:after="72" w:afterLines="30" w:line="360" w:lineRule="auto"/>
              <w:jc w:val="center"/>
              <w:rPr>
                <w:rFonts w:hint="eastAsia" w:ascii="幼圆" w:eastAsia="幼圆"/>
                <w:sz w:val="24"/>
              </w:rPr>
            </w:pPr>
            <w:r>
              <w:rPr>
                <w:rFonts w:hint="eastAsia" w:ascii="幼圆" w:eastAsia="幼圆"/>
                <w:sz w:val="24"/>
              </w:rPr>
              <w:t>职业教育园区南侧</w:t>
            </w:r>
          </w:p>
        </w:tc>
        <w:tc>
          <w:tcPr>
            <w:tcW w:w="428" w:type="pct"/>
            <w:noWrap w:val="0"/>
            <w:vAlign w:val="center"/>
          </w:tcPr>
          <w:p w14:paraId="0FA8084B">
            <w:pPr>
              <w:spacing w:before="72" w:beforeLines="30" w:after="72" w:afterLines="30" w:line="360" w:lineRule="auto"/>
              <w:jc w:val="center"/>
              <w:rPr>
                <w:rFonts w:ascii="幼圆" w:eastAsia="幼圆"/>
                <w:sz w:val="24"/>
              </w:rPr>
            </w:pPr>
            <w:r>
              <w:rPr>
                <w:rFonts w:hint="eastAsia" w:ascii="幼圆" w:eastAsia="幼圆"/>
                <w:sz w:val="24"/>
              </w:rPr>
              <w:t>2</w:t>
            </w:r>
          </w:p>
        </w:tc>
        <w:tc>
          <w:tcPr>
            <w:tcW w:w="429" w:type="pct"/>
            <w:noWrap w:val="0"/>
            <w:vAlign w:val="center"/>
          </w:tcPr>
          <w:p w14:paraId="0C9116B4">
            <w:pPr>
              <w:spacing w:before="72" w:beforeLines="30" w:after="72" w:afterLines="30" w:line="360" w:lineRule="auto"/>
              <w:jc w:val="center"/>
              <w:rPr>
                <w:rFonts w:ascii="幼圆" w:eastAsia="幼圆"/>
                <w:sz w:val="24"/>
              </w:rPr>
            </w:pPr>
            <w:r>
              <w:rPr>
                <w:rFonts w:hint="eastAsia" w:ascii="幼圆" w:eastAsia="幼圆"/>
                <w:sz w:val="24"/>
              </w:rPr>
              <w:t>4</w:t>
            </w:r>
          </w:p>
        </w:tc>
        <w:tc>
          <w:tcPr>
            <w:tcW w:w="358" w:type="pct"/>
            <w:noWrap w:val="0"/>
            <w:vAlign w:val="center"/>
          </w:tcPr>
          <w:p w14:paraId="6FFA4D2B">
            <w:pPr>
              <w:spacing w:before="72" w:beforeLines="30" w:after="72" w:afterLines="30" w:line="360" w:lineRule="auto"/>
              <w:jc w:val="center"/>
              <w:rPr>
                <w:rFonts w:hint="eastAsia" w:ascii="幼圆" w:eastAsia="幼圆"/>
                <w:sz w:val="24"/>
              </w:rPr>
            </w:pPr>
            <w:r>
              <w:rPr>
                <w:rFonts w:hint="eastAsia" w:ascii="幼圆" w:eastAsia="幼圆"/>
                <w:sz w:val="24"/>
              </w:rPr>
              <w:t>新建</w:t>
            </w:r>
          </w:p>
        </w:tc>
        <w:tc>
          <w:tcPr>
            <w:tcW w:w="323" w:type="pct"/>
            <w:noWrap w:val="0"/>
            <w:vAlign w:val="center"/>
          </w:tcPr>
          <w:p w14:paraId="444C06C1">
            <w:pPr>
              <w:spacing w:before="72" w:beforeLines="30" w:after="72" w:afterLines="30" w:line="360" w:lineRule="auto"/>
              <w:jc w:val="center"/>
              <w:rPr>
                <w:rFonts w:hint="eastAsia" w:ascii="幼圆" w:eastAsia="幼圆"/>
                <w:sz w:val="24"/>
              </w:rPr>
            </w:pPr>
            <w:r>
              <w:rPr>
                <w:rFonts w:hint="eastAsia" w:ascii="幼圆" w:eastAsia="幼圆"/>
                <w:sz w:val="24"/>
              </w:rPr>
              <w:t>远期</w:t>
            </w:r>
          </w:p>
        </w:tc>
        <w:tc>
          <w:tcPr>
            <w:tcW w:w="572" w:type="pct"/>
            <w:noWrap w:val="0"/>
            <w:vAlign w:val="center"/>
          </w:tcPr>
          <w:p w14:paraId="0005219C">
            <w:pPr>
              <w:spacing w:before="72" w:beforeLines="30" w:after="72" w:afterLines="30" w:line="360" w:lineRule="auto"/>
              <w:jc w:val="center"/>
              <w:rPr>
                <w:rFonts w:hint="eastAsia" w:ascii="幼圆" w:eastAsia="幼圆"/>
                <w:sz w:val="24"/>
              </w:rPr>
            </w:pPr>
            <w:r>
              <w:rPr>
                <w:rFonts w:hint="eastAsia" w:ascii="幼圆" w:eastAsia="幼圆"/>
                <w:sz w:val="24"/>
              </w:rPr>
              <w:t>购物、休闲、酒店</w:t>
            </w:r>
          </w:p>
        </w:tc>
        <w:tc>
          <w:tcPr>
            <w:tcW w:w="572" w:type="pct"/>
            <w:noWrap w:val="0"/>
            <w:vAlign w:val="center"/>
          </w:tcPr>
          <w:p w14:paraId="50A59ED7">
            <w:pPr>
              <w:spacing w:before="72" w:beforeLines="30" w:after="72" w:afterLines="30" w:line="360" w:lineRule="auto"/>
              <w:jc w:val="center"/>
              <w:rPr>
                <w:rFonts w:hint="eastAsia" w:ascii="幼圆" w:eastAsia="幼圆"/>
                <w:sz w:val="24"/>
              </w:rPr>
            </w:pPr>
            <w:r>
              <w:rPr>
                <w:rFonts w:hint="eastAsia" w:ascii="幼圆" w:eastAsia="幼圆"/>
                <w:sz w:val="24"/>
              </w:rPr>
              <w:t>中型超市、酒店公寓</w:t>
            </w:r>
          </w:p>
        </w:tc>
        <w:tc>
          <w:tcPr>
            <w:tcW w:w="385" w:type="pct"/>
            <w:noWrap w:val="0"/>
            <w:vAlign w:val="center"/>
          </w:tcPr>
          <w:p w14:paraId="1554E6C6">
            <w:pPr>
              <w:spacing w:before="72" w:beforeLines="30" w:after="72" w:afterLines="30" w:line="360" w:lineRule="auto"/>
              <w:jc w:val="center"/>
              <w:rPr>
                <w:rFonts w:hint="eastAsia" w:ascii="幼圆" w:eastAsia="幼圆"/>
                <w:sz w:val="24"/>
              </w:rPr>
            </w:pPr>
            <w:r>
              <w:rPr>
                <w:rFonts w:hint="eastAsia" w:ascii="幼圆" w:eastAsia="幼圆"/>
                <w:sz w:val="24"/>
              </w:rPr>
              <w:t>0.5-1</w:t>
            </w:r>
          </w:p>
        </w:tc>
      </w:tr>
      <w:tr w14:paraId="05105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right"/>
        </w:trPr>
        <w:tc>
          <w:tcPr>
            <w:tcW w:w="214" w:type="pct"/>
            <w:vMerge w:val="continue"/>
            <w:noWrap w:val="0"/>
            <w:vAlign w:val="center"/>
          </w:tcPr>
          <w:p w14:paraId="7508E5BF">
            <w:pPr>
              <w:spacing w:before="72" w:beforeLines="30" w:after="72" w:afterLines="30" w:line="360" w:lineRule="auto"/>
              <w:jc w:val="center"/>
              <w:rPr>
                <w:rFonts w:hint="eastAsia" w:ascii="幼圆" w:eastAsia="幼圆"/>
                <w:sz w:val="24"/>
              </w:rPr>
            </w:pPr>
          </w:p>
        </w:tc>
        <w:tc>
          <w:tcPr>
            <w:tcW w:w="321" w:type="pct"/>
            <w:noWrap w:val="0"/>
            <w:vAlign w:val="center"/>
          </w:tcPr>
          <w:p w14:paraId="482226A5">
            <w:pPr>
              <w:spacing w:before="72" w:beforeLines="30" w:after="72" w:afterLines="30" w:line="360" w:lineRule="auto"/>
              <w:jc w:val="center"/>
              <w:rPr>
                <w:rFonts w:hint="eastAsia" w:ascii="幼圆" w:eastAsia="幼圆"/>
                <w:sz w:val="24"/>
              </w:rPr>
            </w:pPr>
            <w:r>
              <w:rPr>
                <w:rFonts w:hint="eastAsia" w:ascii="幼圆" w:eastAsia="幼圆"/>
                <w:sz w:val="24"/>
              </w:rPr>
              <w:t>E</w:t>
            </w:r>
            <w:r>
              <w:rPr>
                <w:rFonts w:ascii="幼圆" w:eastAsia="幼圆"/>
                <w:sz w:val="24"/>
              </w:rPr>
              <w:t>-0</w:t>
            </w:r>
            <w:r>
              <w:rPr>
                <w:rFonts w:hint="eastAsia" w:ascii="幼圆" w:eastAsia="幼圆"/>
                <w:sz w:val="24"/>
              </w:rPr>
              <w:t>3</w:t>
            </w:r>
          </w:p>
        </w:tc>
        <w:tc>
          <w:tcPr>
            <w:tcW w:w="573" w:type="pct"/>
            <w:noWrap w:val="0"/>
            <w:vAlign w:val="center"/>
          </w:tcPr>
          <w:p w14:paraId="4D1BA405">
            <w:pPr>
              <w:spacing w:before="72" w:beforeLines="30" w:after="72" w:afterLines="30" w:line="360" w:lineRule="auto"/>
              <w:jc w:val="center"/>
              <w:rPr>
                <w:rFonts w:hint="eastAsia" w:ascii="幼圆" w:eastAsia="幼圆"/>
                <w:sz w:val="24"/>
              </w:rPr>
            </w:pPr>
            <w:r>
              <w:rPr>
                <w:rFonts w:hint="eastAsia" w:ascii="幼圆" w:eastAsia="幼圆"/>
                <w:sz w:val="24"/>
              </w:rPr>
              <w:t>红草商业综合体</w:t>
            </w:r>
          </w:p>
        </w:tc>
        <w:tc>
          <w:tcPr>
            <w:tcW w:w="823" w:type="pct"/>
            <w:noWrap w:val="0"/>
            <w:vAlign w:val="center"/>
          </w:tcPr>
          <w:p w14:paraId="293057E6">
            <w:pPr>
              <w:spacing w:before="72" w:beforeLines="30" w:after="72" w:afterLines="30" w:line="360" w:lineRule="auto"/>
              <w:jc w:val="center"/>
              <w:rPr>
                <w:rFonts w:ascii="幼圆" w:eastAsia="幼圆"/>
                <w:sz w:val="24"/>
              </w:rPr>
            </w:pPr>
            <w:r>
              <w:rPr>
                <w:rFonts w:hint="eastAsia" w:ascii="幼圆" w:eastAsia="幼圆"/>
                <w:sz w:val="24"/>
              </w:rPr>
              <w:t>汕尾大道西侧</w:t>
            </w:r>
          </w:p>
        </w:tc>
        <w:tc>
          <w:tcPr>
            <w:tcW w:w="428" w:type="pct"/>
            <w:noWrap w:val="0"/>
            <w:vAlign w:val="center"/>
          </w:tcPr>
          <w:p w14:paraId="79B0466D">
            <w:pPr>
              <w:spacing w:before="72" w:beforeLines="30" w:after="72" w:afterLines="30" w:line="360" w:lineRule="auto"/>
              <w:jc w:val="center"/>
              <w:rPr>
                <w:rFonts w:ascii="幼圆" w:eastAsia="幼圆"/>
                <w:sz w:val="24"/>
              </w:rPr>
            </w:pPr>
            <w:r>
              <w:rPr>
                <w:rFonts w:hint="eastAsia" w:ascii="幼圆" w:eastAsia="幼圆"/>
                <w:sz w:val="24"/>
              </w:rPr>
              <w:t>3</w:t>
            </w:r>
          </w:p>
        </w:tc>
        <w:tc>
          <w:tcPr>
            <w:tcW w:w="429" w:type="pct"/>
            <w:noWrap w:val="0"/>
            <w:vAlign w:val="center"/>
          </w:tcPr>
          <w:p w14:paraId="6D9DF4E9">
            <w:pPr>
              <w:spacing w:before="72" w:beforeLines="30" w:after="72" w:afterLines="30" w:line="360" w:lineRule="auto"/>
              <w:jc w:val="center"/>
              <w:rPr>
                <w:rFonts w:ascii="幼圆" w:eastAsia="幼圆"/>
                <w:sz w:val="24"/>
              </w:rPr>
            </w:pPr>
            <w:r>
              <w:rPr>
                <w:rFonts w:hint="eastAsia" w:ascii="幼圆" w:eastAsia="幼圆"/>
                <w:sz w:val="24"/>
              </w:rPr>
              <w:t>6</w:t>
            </w:r>
          </w:p>
        </w:tc>
        <w:tc>
          <w:tcPr>
            <w:tcW w:w="358" w:type="pct"/>
            <w:noWrap w:val="0"/>
            <w:vAlign w:val="center"/>
          </w:tcPr>
          <w:p w14:paraId="4E78EAF0">
            <w:pPr>
              <w:spacing w:before="72" w:beforeLines="30" w:after="72" w:afterLines="30" w:line="360" w:lineRule="auto"/>
              <w:jc w:val="center"/>
              <w:rPr>
                <w:rFonts w:ascii="幼圆" w:eastAsia="幼圆"/>
                <w:sz w:val="24"/>
              </w:rPr>
            </w:pPr>
            <w:r>
              <w:rPr>
                <w:rFonts w:hint="eastAsia" w:ascii="幼圆" w:eastAsia="幼圆"/>
                <w:sz w:val="24"/>
              </w:rPr>
              <w:t>新建</w:t>
            </w:r>
          </w:p>
        </w:tc>
        <w:tc>
          <w:tcPr>
            <w:tcW w:w="323" w:type="pct"/>
            <w:noWrap w:val="0"/>
            <w:vAlign w:val="center"/>
          </w:tcPr>
          <w:p w14:paraId="41E560E7">
            <w:pPr>
              <w:spacing w:before="72" w:beforeLines="30" w:after="72" w:afterLines="30" w:line="360" w:lineRule="auto"/>
              <w:jc w:val="center"/>
              <w:rPr>
                <w:rFonts w:ascii="幼圆" w:eastAsia="幼圆"/>
                <w:sz w:val="24"/>
              </w:rPr>
            </w:pPr>
            <w:r>
              <w:rPr>
                <w:rFonts w:hint="eastAsia" w:ascii="幼圆" w:eastAsia="幼圆"/>
                <w:sz w:val="24"/>
              </w:rPr>
              <w:t>远期</w:t>
            </w:r>
          </w:p>
        </w:tc>
        <w:tc>
          <w:tcPr>
            <w:tcW w:w="572" w:type="pct"/>
            <w:noWrap w:val="0"/>
            <w:vAlign w:val="center"/>
          </w:tcPr>
          <w:p w14:paraId="7062DBB3">
            <w:pPr>
              <w:spacing w:before="72" w:beforeLines="30" w:after="72" w:afterLines="30" w:line="360" w:lineRule="auto"/>
              <w:jc w:val="center"/>
              <w:rPr>
                <w:rFonts w:ascii="幼圆" w:eastAsia="幼圆"/>
                <w:sz w:val="24"/>
              </w:rPr>
            </w:pPr>
            <w:r>
              <w:rPr>
                <w:rFonts w:hint="eastAsia" w:ascii="幼圆" w:eastAsia="幼圆"/>
                <w:sz w:val="24"/>
              </w:rPr>
              <w:t>购物、休闲、酒店</w:t>
            </w:r>
          </w:p>
        </w:tc>
        <w:tc>
          <w:tcPr>
            <w:tcW w:w="572" w:type="pct"/>
            <w:noWrap w:val="0"/>
            <w:vAlign w:val="center"/>
          </w:tcPr>
          <w:p w14:paraId="3E85C60B">
            <w:pPr>
              <w:spacing w:before="72" w:beforeLines="30" w:after="72" w:afterLines="30" w:line="360" w:lineRule="auto"/>
              <w:jc w:val="center"/>
              <w:rPr>
                <w:rFonts w:ascii="幼圆" w:eastAsia="幼圆"/>
                <w:sz w:val="24"/>
              </w:rPr>
            </w:pPr>
            <w:r>
              <w:rPr>
                <w:rFonts w:hint="eastAsia" w:ascii="幼圆" w:eastAsia="幼圆"/>
                <w:sz w:val="24"/>
              </w:rPr>
              <w:t>中型超市、酒店公寓</w:t>
            </w:r>
          </w:p>
        </w:tc>
        <w:tc>
          <w:tcPr>
            <w:tcW w:w="385" w:type="pct"/>
            <w:noWrap w:val="0"/>
            <w:vAlign w:val="center"/>
          </w:tcPr>
          <w:p w14:paraId="298D834B">
            <w:pPr>
              <w:spacing w:before="72" w:beforeLines="30" w:after="72" w:afterLines="30" w:line="360" w:lineRule="auto"/>
              <w:jc w:val="center"/>
              <w:rPr>
                <w:rFonts w:ascii="幼圆" w:eastAsia="幼圆"/>
                <w:sz w:val="24"/>
              </w:rPr>
            </w:pPr>
            <w:r>
              <w:rPr>
                <w:rFonts w:hint="eastAsia" w:ascii="幼圆" w:eastAsia="幼圆"/>
                <w:sz w:val="24"/>
              </w:rPr>
              <w:t>0.5-1</w:t>
            </w:r>
          </w:p>
        </w:tc>
      </w:tr>
      <w:tr w14:paraId="6F331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right"/>
        </w:trPr>
        <w:tc>
          <w:tcPr>
            <w:tcW w:w="214" w:type="pct"/>
            <w:vMerge w:val="continue"/>
            <w:noWrap w:val="0"/>
            <w:vAlign w:val="center"/>
          </w:tcPr>
          <w:p w14:paraId="0021130A">
            <w:pPr>
              <w:spacing w:before="72" w:beforeLines="30" w:after="72" w:afterLines="30" w:line="360" w:lineRule="auto"/>
              <w:jc w:val="center"/>
              <w:rPr>
                <w:rFonts w:hint="eastAsia" w:ascii="幼圆" w:eastAsia="幼圆"/>
                <w:sz w:val="24"/>
              </w:rPr>
            </w:pPr>
          </w:p>
        </w:tc>
        <w:tc>
          <w:tcPr>
            <w:tcW w:w="321" w:type="pct"/>
            <w:noWrap w:val="0"/>
            <w:vAlign w:val="center"/>
          </w:tcPr>
          <w:p w14:paraId="5364A958">
            <w:pPr>
              <w:spacing w:before="72" w:beforeLines="30" w:after="72" w:afterLines="30" w:line="360" w:lineRule="auto"/>
              <w:jc w:val="center"/>
              <w:rPr>
                <w:rFonts w:hint="eastAsia" w:ascii="幼圆" w:eastAsia="幼圆"/>
                <w:sz w:val="24"/>
              </w:rPr>
            </w:pPr>
            <w:r>
              <w:rPr>
                <w:rFonts w:hint="eastAsia" w:ascii="幼圆" w:eastAsia="幼圆"/>
                <w:sz w:val="24"/>
              </w:rPr>
              <w:t>F</w:t>
            </w:r>
            <w:r>
              <w:rPr>
                <w:rFonts w:ascii="幼圆" w:eastAsia="幼圆"/>
                <w:sz w:val="24"/>
              </w:rPr>
              <w:t>-0</w:t>
            </w:r>
            <w:r>
              <w:rPr>
                <w:rFonts w:hint="eastAsia" w:ascii="幼圆" w:eastAsia="幼圆"/>
                <w:sz w:val="24"/>
              </w:rPr>
              <w:t>1</w:t>
            </w:r>
          </w:p>
        </w:tc>
        <w:tc>
          <w:tcPr>
            <w:tcW w:w="573" w:type="pct"/>
            <w:noWrap w:val="0"/>
            <w:vAlign w:val="center"/>
          </w:tcPr>
          <w:p w14:paraId="2D3C7CBF">
            <w:pPr>
              <w:spacing w:before="72" w:beforeLines="30" w:after="72" w:afterLines="30" w:line="360" w:lineRule="auto"/>
              <w:jc w:val="center"/>
              <w:rPr>
                <w:rFonts w:hint="eastAsia" w:ascii="幼圆" w:eastAsia="幼圆"/>
                <w:sz w:val="24"/>
              </w:rPr>
            </w:pPr>
            <w:r>
              <w:rPr>
                <w:rFonts w:hint="eastAsia" w:ascii="幼圆" w:eastAsia="幼圆"/>
                <w:sz w:val="24"/>
              </w:rPr>
              <w:t>捷胜商业综合体</w:t>
            </w:r>
          </w:p>
        </w:tc>
        <w:tc>
          <w:tcPr>
            <w:tcW w:w="823" w:type="pct"/>
            <w:noWrap w:val="0"/>
            <w:vAlign w:val="center"/>
          </w:tcPr>
          <w:p w14:paraId="161651CB">
            <w:pPr>
              <w:spacing w:before="72" w:beforeLines="30" w:after="72" w:afterLines="30" w:line="360" w:lineRule="auto"/>
              <w:jc w:val="center"/>
              <w:rPr>
                <w:rFonts w:ascii="幼圆" w:eastAsia="幼圆"/>
                <w:sz w:val="24"/>
              </w:rPr>
            </w:pPr>
            <w:r>
              <w:rPr>
                <w:rFonts w:hint="eastAsia" w:ascii="幼圆" w:eastAsia="幼圆"/>
                <w:sz w:val="24"/>
              </w:rPr>
              <w:t>石岗小学西侧</w:t>
            </w:r>
          </w:p>
        </w:tc>
        <w:tc>
          <w:tcPr>
            <w:tcW w:w="428" w:type="pct"/>
            <w:noWrap w:val="0"/>
            <w:vAlign w:val="center"/>
          </w:tcPr>
          <w:p w14:paraId="0BD89F9D">
            <w:pPr>
              <w:spacing w:before="72" w:beforeLines="30" w:after="72" w:afterLines="30" w:line="360" w:lineRule="auto"/>
              <w:jc w:val="center"/>
              <w:rPr>
                <w:rFonts w:ascii="幼圆" w:eastAsia="幼圆"/>
                <w:sz w:val="24"/>
              </w:rPr>
            </w:pPr>
            <w:r>
              <w:rPr>
                <w:rFonts w:hint="eastAsia" w:ascii="幼圆" w:eastAsia="幼圆"/>
                <w:sz w:val="24"/>
              </w:rPr>
              <w:t>1</w:t>
            </w:r>
          </w:p>
        </w:tc>
        <w:tc>
          <w:tcPr>
            <w:tcW w:w="429" w:type="pct"/>
            <w:noWrap w:val="0"/>
            <w:vAlign w:val="center"/>
          </w:tcPr>
          <w:p w14:paraId="6A3392AC">
            <w:pPr>
              <w:spacing w:before="72" w:beforeLines="30" w:after="72" w:afterLines="30" w:line="360" w:lineRule="auto"/>
              <w:jc w:val="center"/>
              <w:rPr>
                <w:rFonts w:ascii="幼圆" w:eastAsia="幼圆"/>
                <w:sz w:val="24"/>
              </w:rPr>
            </w:pPr>
            <w:r>
              <w:rPr>
                <w:rFonts w:hint="eastAsia" w:ascii="幼圆" w:eastAsia="幼圆"/>
                <w:sz w:val="24"/>
              </w:rPr>
              <w:t>2</w:t>
            </w:r>
          </w:p>
        </w:tc>
        <w:tc>
          <w:tcPr>
            <w:tcW w:w="358" w:type="pct"/>
            <w:noWrap w:val="0"/>
            <w:vAlign w:val="center"/>
          </w:tcPr>
          <w:p w14:paraId="532E03B1">
            <w:pPr>
              <w:spacing w:before="72" w:beforeLines="30" w:after="72" w:afterLines="30" w:line="360" w:lineRule="auto"/>
              <w:jc w:val="center"/>
              <w:rPr>
                <w:rFonts w:ascii="幼圆" w:eastAsia="幼圆"/>
                <w:sz w:val="24"/>
              </w:rPr>
            </w:pPr>
            <w:r>
              <w:rPr>
                <w:rFonts w:hint="eastAsia" w:ascii="幼圆" w:eastAsia="幼圆"/>
                <w:sz w:val="24"/>
              </w:rPr>
              <w:t>新建</w:t>
            </w:r>
          </w:p>
        </w:tc>
        <w:tc>
          <w:tcPr>
            <w:tcW w:w="323" w:type="pct"/>
            <w:noWrap w:val="0"/>
            <w:vAlign w:val="center"/>
          </w:tcPr>
          <w:p w14:paraId="0A361754">
            <w:pPr>
              <w:spacing w:before="72" w:beforeLines="30" w:after="72" w:afterLines="30" w:line="360" w:lineRule="auto"/>
              <w:jc w:val="center"/>
              <w:rPr>
                <w:rFonts w:ascii="幼圆" w:eastAsia="幼圆"/>
                <w:sz w:val="24"/>
              </w:rPr>
            </w:pPr>
            <w:r>
              <w:rPr>
                <w:rFonts w:hint="eastAsia" w:ascii="幼圆" w:eastAsia="幼圆"/>
                <w:sz w:val="24"/>
              </w:rPr>
              <w:t>远期</w:t>
            </w:r>
          </w:p>
        </w:tc>
        <w:tc>
          <w:tcPr>
            <w:tcW w:w="572" w:type="pct"/>
            <w:noWrap w:val="0"/>
            <w:vAlign w:val="center"/>
          </w:tcPr>
          <w:p w14:paraId="1531F6A7">
            <w:pPr>
              <w:spacing w:before="72" w:beforeLines="30" w:after="72" w:afterLines="30" w:line="360" w:lineRule="auto"/>
              <w:jc w:val="center"/>
              <w:rPr>
                <w:rFonts w:ascii="幼圆" w:eastAsia="幼圆"/>
                <w:sz w:val="24"/>
              </w:rPr>
            </w:pPr>
            <w:r>
              <w:rPr>
                <w:rFonts w:hint="eastAsia" w:ascii="幼圆" w:eastAsia="幼圆"/>
                <w:sz w:val="24"/>
              </w:rPr>
              <w:t>购物、休闲、酒店</w:t>
            </w:r>
          </w:p>
        </w:tc>
        <w:tc>
          <w:tcPr>
            <w:tcW w:w="572" w:type="pct"/>
            <w:noWrap w:val="0"/>
            <w:vAlign w:val="center"/>
          </w:tcPr>
          <w:p w14:paraId="2AB9C855">
            <w:pPr>
              <w:spacing w:before="72" w:beforeLines="30" w:after="72" w:afterLines="30" w:line="360" w:lineRule="auto"/>
              <w:jc w:val="center"/>
              <w:rPr>
                <w:rFonts w:ascii="幼圆" w:eastAsia="幼圆"/>
                <w:sz w:val="24"/>
              </w:rPr>
            </w:pPr>
            <w:r>
              <w:rPr>
                <w:rFonts w:hint="eastAsia" w:ascii="幼圆" w:eastAsia="幼圆"/>
                <w:sz w:val="24"/>
              </w:rPr>
              <w:t>中型超市、酒店公寓</w:t>
            </w:r>
          </w:p>
        </w:tc>
        <w:tc>
          <w:tcPr>
            <w:tcW w:w="385" w:type="pct"/>
            <w:noWrap w:val="0"/>
            <w:vAlign w:val="center"/>
          </w:tcPr>
          <w:p w14:paraId="471E1C23">
            <w:pPr>
              <w:spacing w:before="72" w:beforeLines="30" w:after="72" w:afterLines="30" w:line="360" w:lineRule="auto"/>
              <w:jc w:val="center"/>
              <w:rPr>
                <w:rFonts w:ascii="幼圆" w:eastAsia="幼圆"/>
                <w:sz w:val="24"/>
              </w:rPr>
            </w:pPr>
            <w:r>
              <w:rPr>
                <w:rFonts w:hint="eastAsia" w:ascii="幼圆" w:eastAsia="幼圆"/>
                <w:sz w:val="24"/>
              </w:rPr>
              <w:t>0.5-1</w:t>
            </w:r>
          </w:p>
        </w:tc>
      </w:tr>
    </w:tbl>
    <w:p w14:paraId="18442837">
      <w:pPr>
        <w:rPr>
          <w:rFonts w:hint="eastAsia"/>
        </w:rPr>
        <w:sectPr>
          <w:pgSz w:w="23814" w:h="16840" w:orient="landscape"/>
          <w:pgMar w:top="1985" w:right="1985" w:bottom="567" w:left="1985" w:header="851" w:footer="992" w:gutter="0"/>
          <w:pgNumType w:fmt="decimal"/>
          <w:cols w:space="720" w:num="1"/>
          <w:docGrid w:linePitch="312" w:charSpace="0"/>
        </w:sectPr>
      </w:pPr>
    </w:p>
    <w:p w14:paraId="52638CAC">
      <w:pPr>
        <w:pStyle w:val="3"/>
        <w:spacing w:before="0" w:after="0" w:line="240" w:lineRule="auto"/>
        <w:rPr>
          <w:rFonts w:hint="eastAsia" w:ascii="华文中宋" w:hAnsi="华文中宋" w:eastAsia="华文中宋"/>
          <w:color w:val="000000"/>
          <w:sz w:val="36"/>
          <w:szCs w:val="36"/>
        </w:rPr>
      </w:pPr>
      <w:bookmarkStart w:id="106" w:name="_Toc14328"/>
      <w:r>
        <w:rPr>
          <w:rFonts w:hint="eastAsia" w:ascii="华文中宋" w:hAnsi="华文中宋" w:eastAsia="华文中宋"/>
          <w:color w:val="000000"/>
          <w:sz w:val="36"/>
          <w:szCs w:val="36"/>
        </w:rPr>
        <w:t>附表</w:t>
      </w:r>
      <w:r>
        <w:rPr>
          <w:rFonts w:hint="eastAsia" w:ascii="华文中宋" w:hAnsi="华文中宋" w:eastAsia="华文中宋"/>
          <w:color w:val="000000"/>
          <w:sz w:val="36"/>
          <w:szCs w:val="36"/>
          <w:lang w:val="en-US" w:eastAsia="zh-CN"/>
        </w:rPr>
        <w:t>7</w:t>
      </w:r>
      <w:r>
        <w:rPr>
          <w:rFonts w:hint="eastAsia" w:ascii="华文中宋" w:hAnsi="华文中宋" w:eastAsia="华文中宋"/>
          <w:color w:val="000000"/>
          <w:sz w:val="36"/>
          <w:szCs w:val="36"/>
        </w:rPr>
        <w:t>：大中型商超网点规划指引</w:t>
      </w:r>
      <w:bookmarkEnd w:id="106"/>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6"/>
        <w:gridCol w:w="2030"/>
        <w:gridCol w:w="3006"/>
        <w:gridCol w:w="6015"/>
        <w:gridCol w:w="2472"/>
        <w:gridCol w:w="2472"/>
        <w:gridCol w:w="2035"/>
      </w:tblGrid>
      <w:tr w14:paraId="5BD85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1" w:type="pct"/>
            <w:gridSpan w:val="2"/>
            <w:noWrap/>
            <w:vAlign w:val="center"/>
          </w:tcPr>
          <w:p w14:paraId="12C8DC5D">
            <w:pPr>
              <w:widowControl/>
              <w:jc w:val="center"/>
              <w:rPr>
                <w:rFonts w:hint="eastAsia" w:ascii="幼圆" w:hAnsi="宋体" w:eastAsia="幼圆" w:cs="宋体"/>
                <w:b/>
                <w:bCs/>
                <w:kern w:val="0"/>
                <w:sz w:val="24"/>
              </w:rPr>
            </w:pPr>
            <w:r>
              <w:rPr>
                <w:rFonts w:hint="eastAsia" w:ascii="幼圆" w:hAnsi="宋体" w:eastAsia="幼圆" w:cs="宋体"/>
                <w:b/>
                <w:bCs/>
                <w:kern w:val="0"/>
                <w:sz w:val="24"/>
              </w:rPr>
              <w:t>组团/社区</w:t>
            </w:r>
          </w:p>
        </w:tc>
        <w:tc>
          <w:tcPr>
            <w:tcW w:w="749" w:type="pct"/>
            <w:vMerge w:val="restart"/>
            <w:noWrap w:val="0"/>
            <w:vAlign w:val="center"/>
          </w:tcPr>
          <w:p w14:paraId="336D038E">
            <w:pPr>
              <w:jc w:val="center"/>
              <w:rPr>
                <w:rFonts w:hint="eastAsia" w:ascii="幼圆" w:hAnsi="宋体" w:eastAsia="幼圆" w:cs="宋体"/>
                <w:b/>
                <w:bCs/>
                <w:kern w:val="0"/>
                <w:sz w:val="24"/>
              </w:rPr>
            </w:pPr>
            <w:r>
              <w:rPr>
                <w:rFonts w:hint="eastAsia" w:ascii="幼圆" w:hAnsi="宋体" w:eastAsia="幼圆" w:cs="宋体"/>
                <w:b/>
                <w:bCs/>
                <w:kern w:val="0"/>
                <w:sz w:val="24"/>
              </w:rPr>
              <w:t>商超网点业态</w:t>
            </w:r>
          </w:p>
        </w:tc>
        <w:tc>
          <w:tcPr>
            <w:tcW w:w="1499" w:type="pct"/>
            <w:vMerge w:val="restart"/>
            <w:noWrap w:val="0"/>
            <w:vAlign w:val="center"/>
          </w:tcPr>
          <w:p w14:paraId="22F91633">
            <w:pPr>
              <w:jc w:val="center"/>
              <w:rPr>
                <w:rFonts w:hint="eastAsia" w:ascii="幼圆" w:hAnsi="宋体" w:eastAsia="幼圆" w:cs="宋体"/>
                <w:b/>
                <w:bCs/>
                <w:kern w:val="0"/>
                <w:sz w:val="24"/>
              </w:rPr>
            </w:pPr>
            <w:r>
              <w:rPr>
                <w:rFonts w:hint="eastAsia" w:ascii="幼圆" w:hAnsi="宋体" w:eastAsia="幼圆" w:cs="宋体"/>
                <w:b/>
                <w:bCs/>
                <w:kern w:val="0"/>
                <w:sz w:val="24"/>
              </w:rPr>
              <w:t>选址指引</w:t>
            </w:r>
          </w:p>
        </w:tc>
        <w:tc>
          <w:tcPr>
            <w:tcW w:w="616" w:type="pct"/>
            <w:vMerge w:val="restart"/>
            <w:noWrap w:val="0"/>
            <w:vAlign w:val="center"/>
          </w:tcPr>
          <w:p w14:paraId="4891CB12">
            <w:pPr>
              <w:jc w:val="center"/>
              <w:rPr>
                <w:rFonts w:hint="eastAsia" w:ascii="幼圆" w:hAnsi="宋体" w:eastAsia="幼圆" w:cs="宋体"/>
                <w:b/>
                <w:bCs/>
                <w:kern w:val="0"/>
                <w:sz w:val="24"/>
              </w:rPr>
            </w:pPr>
            <w:r>
              <w:rPr>
                <w:rFonts w:hint="eastAsia" w:ascii="幼圆" w:hAnsi="宋体" w:eastAsia="幼圆" w:cs="宋体"/>
                <w:b/>
                <w:bCs/>
                <w:kern w:val="0"/>
                <w:sz w:val="24"/>
              </w:rPr>
              <w:t>规模等级</w:t>
            </w:r>
          </w:p>
        </w:tc>
        <w:tc>
          <w:tcPr>
            <w:tcW w:w="1123" w:type="pct"/>
            <w:gridSpan w:val="2"/>
            <w:noWrap w:val="0"/>
            <w:vAlign w:val="center"/>
          </w:tcPr>
          <w:p w14:paraId="19A57956">
            <w:pPr>
              <w:widowControl/>
              <w:jc w:val="center"/>
              <w:rPr>
                <w:rFonts w:hint="eastAsia" w:ascii="幼圆" w:hAnsi="宋体" w:eastAsia="幼圆" w:cs="宋体"/>
                <w:b/>
                <w:bCs/>
                <w:kern w:val="0"/>
                <w:sz w:val="24"/>
              </w:rPr>
            </w:pPr>
            <w:r>
              <w:rPr>
                <w:rFonts w:hint="eastAsia" w:ascii="幼圆" w:hAnsi="宋体" w:eastAsia="幼圆" w:cs="宋体"/>
                <w:b/>
                <w:bCs/>
                <w:kern w:val="0"/>
                <w:sz w:val="24"/>
              </w:rPr>
              <w:t>建设要求</w:t>
            </w:r>
          </w:p>
        </w:tc>
      </w:tr>
      <w:tr w14:paraId="10BB1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noWrap w:val="0"/>
            <w:vAlign w:val="top"/>
          </w:tcPr>
          <w:p w14:paraId="64324F24">
            <w:pPr>
              <w:widowControl/>
              <w:jc w:val="center"/>
              <w:rPr>
                <w:rFonts w:hint="eastAsia" w:ascii="幼圆" w:hAnsi="宋体" w:eastAsia="幼圆" w:cs="宋体"/>
                <w:b/>
                <w:bCs/>
                <w:kern w:val="0"/>
                <w:sz w:val="24"/>
              </w:rPr>
            </w:pPr>
            <w:r>
              <w:rPr>
                <w:rFonts w:hint="eastAsia" w:ascii="幼圆" w:hAnsi="宋体" w:eastAsia="幼圆" w:cs="宋体"/>
                <w:b/>
                <w:bCs/>
                <w:kern w:val="0"/>
                <w:sz w:val="24"/>
              </w:rPr>
              <w:t>组团名称</w:t>
            </w:r>
          </w:p>
        </w:tc>
        <w:tc>
          <w:tcPr>
            <w:tcW w:w="506" w:type="pct"/>
            <w:noWrap/>
            <w:vAlign w:val="center"/>
          </w:tcPr>
          <w:p w14:paraId="0A44C159">
            <w:pPr>
              <w:widowControl/>
              <w:jc w:val="center"/>
              <w:rPr>
                <w:rFonts w:hint="eastAsia" w:ascii="幼圆" w:hAnsi="宋体" w:eastAsia="幼圆" w:cs="宋体"/>
                <w:b/>
                <w:bCs/>
                <w:kern w:val="0"/>
                <w:sz w:val="24"/>
              </w:rPr>
            </w:pPr>
            <w:r>
              <w:rPr>
                <w:rFonts w:hint="eastAsia" w:ascii="幼圆" w:hAnsi="宋体" w:eastAsia="幼圆" w:cs="宋体"/>
                <w:b/>
                <w:bCs/>
                <w:kern w:val="0"/>
                <w:sz w:val="24"/>
              </w:rPr>
              <w:t>社区编码</w:t>
            </w:r>
          </w:p>
        </w:tc>
        <w:tc>
          <w:tcPr>
            <w:tcW w:w="749" w:type="pct"/>
            <w:vMerge w:val="continue"/>
            <w:noWrap w:val="0"/>
            <w:vAlign w:val="center"/>
          </w:tcPr>
          <w:p w14:paraId="4BAFC89E">
            <w:pPr>
              <w:widowControl/>
              <w:jc w:val="center"/>
              <w:rPr>
                <w:rFonts w:hint="eastAsia" w:ascii="幼圆" w:hAnsi="宋体" w:eastAsia="幼圆" w:cs="宋体"/>
                <w:b/>
                <w:bCs/>
                <w:kern w:val="0"/>
                <w:sz w:val="24"/>
              </w:rPr>
            </w:pPr>
          </w:p>
        </w:tc>
        <w:tc>
          <w:tcPr>
            <w:tcW w:w="1499" w:type="pct"/>
            <w:vMerge w:val="continue"/>
            <w:noWrap w:val="0"/>
            <w:vAlign w:val="center"/>
          </w:tcPr>
          <w:p w14:paraId="2CE73DEB">
            <w:pPr>
              <w:widowControl/>
              <w:jc w:val="center"/>
              <w:rPr>
                <w:rFonts w:hint="eastAsia" w:ascii="幼圆" w:hAnsi="宋体" w:eastAsia="幼圆" w:cs="宋体"/>
                <w:b/>
                <w:bCs/>
                <w:kern w:val="0"/>
                <w:sz w:val="24"/>
              </w:rPr>
            </w:pPr>
          </w:p>
        </w:tc>
        <w:tc>
          <w:tcPr>
            <w:tcW w:w="616" w:type="pct"/>
            <w:vMerge w:val="continue"/>
            <w:noWrap w:val="0"/>
            <w:vAlign w:val="center"/>
          </w:tcPr>
          <w:p w14:paraId="5DB568A0">
            <w:pPr>
              <w:widowControl/>
              <w:jc w:val="center"/>
              <w:rPr>
                <w:rFonts w:hint="eastAsia" w:ascii="幼圆" w:hAnsi="宋体" w:eastAsia="幼圆" w:cs="宋体"/>
                <w:b/>
                <w:bCs/>
                <w:kern w:val="0"/>
                <w:sz w:val="24"/>
              </w:rPr>
            </w:pPr>
          </w:p>
        </w:tc>
        <w:tc>
          <w:tcPr>
            <w:tcW w:w="616" w:type="pct"/>
            <w:noWrap w:val="0"/>
            <w:vAlign w:val="center"/>
          </w:tcPr>
          <w:p w14:paraId="7F546083">
            <w:pPr>
              <w:widowControl/>
              <w:jc w:val="center"/>
              <w:rPr>
                <w:rFonts w:hint="eastAsia" w:ascii="幼圆" w:hAnsi="宋体" w:eastAsia="幼圆" w:cs="宋体"/>
                <w:b/>
                <w:bCs/>
                <w:kern w:val="0"/>
                <w:sz w:val="24"/>
              </w:rPr>
            </w:pPr>
            <w:r>
              <w:rPr>
                <w:rFonts w:hint="eastAsia" w:ascii="幼圆" w:hAnsi="宋体" w:eastAsia="幼圆" w:cs="宋体"/>
                <w:b/>
                <w:bCs/>
                <w:kern w:val="0"/>
                <w:sz w:val="24"/>
              </w:rPr>
              <w:t>建设类别</w:t>
            </w:r>
          </w:p>
        </w:tc>
        <w:tc>
          <w:tcPr>
            <w:tcW w:w="507" w:type="pct"/>
            <w:noWrap w:val="0"/>
            <w:vAlign w:val="center"/>
          </w:tcPr>
          <w:p w14:paraId="2C9E6127">
            <w:pPr>
              <w:widowControl/>
              <w:jc w:val="center"/>
              <w:rPr>
                <w:rFonts w:hint="eastAsia" w:ascii="幼圆" w:hAnsi="宋体" w:eastAsia="幼圆" w:cs="宋体"/>
                <w:b/>
                <w:bCs/>
                <w:kern w:val="0"/>
                <w:sz w:val="24"/>
              </w:rPr>
            </w:pPr>
            <w:r>
              <w:rPr>
                <w:rFonts w:hint="eastAsia" w:ascii="幼圆" w:hAnsi="宋体" w:eastAsia="幼圆" w:cs="宋体"/>
                <w:b/>
                <w:bCs/>
                <w:kern w:val="0"/>
                <w:sz w:val="24"/>
              </w:rPr>
              <w:t>建设时序</w:t>
            </w:r>
          </w:p>
        </w:tc>
      </w:tr>
      <w:tr w14:paraId="68074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restart"/>
            <w:noWrap w:val="0"/>
            <w:vAlign w:val="center"/>
          </w:tcPr>
          <w:p w14:paraId="16B45C4A">
            <w:pPr>
              <w:widowControl/>
              <w:jc w:val="center"/>
              <w:rPr>
                <w:rFonts w:hint="eastAsia" w:ascii="幼圆" w:hAnsi="宋体" w:eastAsia="幼圆" w:cs="宋体"/>
                <w:kern w:val="0"/>
                <w:sz w:val="24"/>
              </w:rPr>
            </w:pPr>
            <w:r>
              <w:rPr>
                <w:rFonts w:hint="eastAsia" w:ascii="幼圆" w:hAnsi="宋体" w:eastAsia="幼圆" w:cs="宋体"/>
                <w:kern w:val="0"/>
                <w:sz w:val="24"/>
              </w:rPr>
              <w:t>金町湾组团</w:t>
            </w:r>
          </w:p>
        </w:tc>
        <w:tc>
          <w:tcPr>
            <w:tcW w:w="506" w:type="pct"/>
            <w:noWrap/>
            <w:vAlign w:val="center"/>
          </w:tcPr>
          <w:p w14:paraId="2110F3BA">
            <w:pPr>
              <w:widowControl/>
              <w:jc w:val="center"/>
              <w:rPr>
                <w:rFonts w:hint="eastAsia" w:ascii="幼圆" w:hAnsi="宋体" w:eastAsia="幼圆" w:cs="宋体"/>
                <w:kern w:val="0"/>
                <w:sz w:val="24"/>
              </w:rPr>
            </w:pPr>
            <w:r>
              <w:rPr>
                <w:rFonts w:hint="eastAsia" w:ascii="幼圆" w:hAnsi="宋体" w:eastAsia="幼圆" w:cs="宋体"/>
                <w:kern w:val="0"/>
                <w:sz w:val="24"/>
              </w:rPr>
              <w:t>A-01</w:t>
            </w:r>
          </w:p>
        </w:tc>
        <w:tc>
          <w:tcPr>
            <w:tcW w:w="749" w:type="pct"/>
            <w:noWrap w:val="0"/>
            <w:vAlign w:val="center"/>
          </w:tcPr>
          <w:p w14:paraId="43B44A88">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5DBAEFF0">
            <w:pPr>
              <w:widowControl/>
              <w:jc w:val="center"/>
              <w:rPr>
                <w:rFonts w:hint="eastAsia" w:ascii="幼圆" w:hAnsi="宋体" w:eastAsia="幼圆" w:cs="宋体"/>
                <w:kern w:val="0"/>
                <w:sz w:val="24"/>
              </w:rPr>
            </w:pPr>
            <w:r>
              <w:rPr>
                <w:rFonts w:hint="eastAsia" w:ascii="幼圆" w:hAnsi="宋体" w:eastAsia="幼圆" w:cs="宋体"/>
                <w:kern w:val="0"/>
                <w:sz w:val="24"/>
              </w:rPr>
              <w:t>金町商业综合体内</w:t>
            </w:r>
          </w:p>
        </w:tc>
        <w:tc>
          <w:tcPr>
            <w:tcW w:w="616" w:type="pct"/>
            <w:noWrap w:val="0"/>
            <w:vAlign w:val="center"/>
          </w:tcPr>
          <w:p w14:paraId="70C1B19B">
            <w:pPr>
              <w:widowControl/>
              <w:jc w:val="center"/>
              <w:rPr>
                <w:rFonts w:hint="eastAsia" w:ascii="幼圆" w:hAnsi="宋体" w:eastAsia="幼圆" w:cs="宋体"/>
                <w:kern w:val="0"/>
                <w:sz w:val="24"/>
              </w:rPr>
            </w:pPr>
            <w:r>
              <w:rPr>
                <w:rFonts w:hint="eastAsia" w:ascii="幼圆" w:hAnsi="宋体" w:eastAsia="幼圆" w:cs="宋体"/>
                <w:kern w:val="0"/>
                <w:sz w:val="24"/>
              </w:rPr>
              <w:t>社区型</w:t>
            </w:r>
          </w:p>
        </w:tc>
        <w:tc>
          <w:tcPr>
            <w:tcW w:w="616" w:type="pct"/>
            <w:noWrap w:val="0"/>
            <w:vAlign w:val="center"/>
          </w:tcPr>
          <w:p w14:paraId="049DC980">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3BCBD7C5">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766AA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57042F1B">
            <w:pPr>
              <w:widowControl/>
              <w:jc w:val="center"/>
              <w:rPr>
                <w:rFonts w:hint="eastAsia" w:ascii="幼圆" w:hAnsi="宋体" w:eastAsia="幼圆" w:cs="宋体"/>
                <w:kern w:val="0"/>
                <w:sz w:val="24"/>
              </w:rPr>
            </w:pPr>
          </w:p>
        </w:tc>
        <w:tc>
          <w:tcPr>
            <w:tcW w:w="506" w:type="pct"/>
            <w:noWrap/>
            <w:vAlign w:val="center"/>
          </w:tcPr>
          <w:p w14:paraId="7DC8E454">
            <w:pPr>
              <w:widowControl/>
              <w:jc w:val="center"/>
              <w:rPr>
                <w:rFonts w:hint="eastAsia" w:ascii="幼圆" w:hAnsi="宋体" w:eastAsia="幼圆" w:cs="宋体"/>
                <w:kern w:val="0"/>
                <w:sz w:val="24"/>
              </w:rPr>
            </w:pPr>
            <w:r>
              <w:rPr>
                <w:rFonts w:hint="eastAsia" w:ascii="幼圆" w:hAnsi="宋体" w:eastAsia="幼圆" w:cs="宋体"/>
                <w:kern w:val="0"/>
                <w:sz w:val="24"/>
              </w:rPr>
              <w:t>A-02</w:t>
            </w:r>
          </w:p>
        </w:tc>
        <w:tc>
          <w:tcPr>
            <w:tcW w:w="749" w:type="pct"/>
            <w:noWrap w:val="0"/>
            <w:vAlign w:val="center"/>
          </w:tcPr>
          <w:p w14:paraId="259ED8F5">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3F64D98A">
            <w:pPr>
              <w:widowControl/>
              <w:jc w:val="center"/>
              <w:rPr>
                <w:rFonts w:hint="eastAsia" w:ascii="幼圆" w:hAnsi="宋体" w:eastAsia="幼圆" w:cs="宋体"/>
                <w:kern w:val="0"/>
                <w:sz w:val="24"/>
              </w:rPr>
            </w:pPr>
            <w:r>
              <w:rPr>
                <w:rFonts w:hint="eastAsia" w:ascii="幼圆" w:hAnsi="宋体" w:eastAsia="幼圆" w:cs="宋体"/>
                <w:kern w:val="0"/>
                <w:sz w:val="24"/>
              </w:rPr>
              <w:t>海汕公路北侧</w:t>
            </w:r>
          </w:p>
        </w:tc>
        <w:tc>
          <w:tcPr>
            <w:tcW w:w="616" w:type="pct"/>
            <w:noWrap w:val="0"/>
            <w:vAlign w:val="center"/>
          </w:tcPr>
          <w:p w14:paraId="3B344885">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7A52EEA1">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11E6D250">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5D91C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restart"/>
            <w:noWrap w:val="0"/>
            <w:vAlign w:val="center"/>
          </w:tcPr>
          <w:p w14:paraId="36D4E574">
            <w:pPr>
              <w:widowControl/>
              <w:jc w:val="center"/>
              <w:rPr>
                <w:rFonts w:hint="eastAsia" w:ascii="幼圆" w:hAnsi="宋体" w:eastAsia="幼圆" w:cs="宋体"/>
                <w:kern w:val="0"/>
                <w:sz w:val="24"/>
              </w:rPr>
            </w:pPr>
            <w:r>
              <w:rPr>
                <w:rFonts w:hint="eastAsia" w:ascii="幼圆" w:hAnsi="宋体" w:eastAsia="幼圆" w:cs="宋体"/>
                <w:kern w:val="0"/>
                <w:sz w:val="24"/>
              </w:rPr>
              <w:t>老城组团</w:t>
            </w:r>
          </w:p>
        </w:tc>
        <w:tc>
          <w:tcPr>
            <w:tcW w:w="506" w:type="pct"/>
            <w:noWrap/>
            <w:vAlign w:val="center"/>
          </w:tcPr>
          <w:p w14:paraId="526CD0EB">
            <w:pPr>
              <w:widowControl/>
              <w:jc w:val="center"/>
              <w:rPr>
                <w:rFonts w:hint="eastAsia" w:ascii="幼圆" w:hAnsi="宋体" w:eastAsia="幼圆" w:cs="宋体"/>
                <w:kern w:val="0"/>
                <w:sz w:val="24"/>
              </w:rPr>
            </w:pPr>
            <w:r>
              <w:rPr>
                <w:rFonts w:hint="eastAsia" w:ascii="幼圆" w:hAnsi="宋体" w:eastAsia="幼圆" w:cs="宋体"/>
                <w:kern w:val="0"/>
                <w:sz w:val="24"/>
              </w:rPr>
              <w:t>A-03</w:t>
            </w:r>
          </w:p>
        </w:tc>
        <w:tc>
          <w:tcPr>
            <w:tcW w:w="749" w:type="pct"/>
            <w:noWrap w:val="0"/>
            <w:vAlign w:val="center"/>
          </w:tcPr>
          <w:p w14:paraId="4B0D7677">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66AFA080">
            <w:pPr>
              <w:widowControl/>
              <w:jc w:val="center"/>
              <w:rPr>
                <w:rFonts w:hint="eastAsia" w:ascii="幼圆" w:hAnsi="宋体" w:eastAsia="幼圆" w:cs="宋体"/>
                <w:kern w:val="0"/>
                <w:sz w:val="24"/>
              </w:rPr>
            </w:pPr>
            <w:r>
              <w:rPr>
                <w:rFonts w:hint="eastAsia" w:ascii="幼圆" w:hAnsi="宋体" w:eastAsia="幼圆" w:cs="宋体"/>
                <w:kern w:val="0"/>
                <w:sz w:val="24"/>
              </w:rPr>
              <w:t>金鹏路东侧</w:t>
            </w:r>
          </w:p>
        </w:tc>
        <w:tc>
          <w:tcPr>
            <w:tcW w:w="616" w:type="pct"/>
            <w:noWrap w:val="0"/>
            <w:vAlign w:val="center"/>
          </w:tcPr>
          <w:p w14:paraId="68080DFB">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5BC04A83">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3B0F8F6B">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4C462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2F8DA61">
            <w:pPr>
              <w:widowControl/>
              <w:jc w:val="center"/>
              <w:rPr>
                <w:rFonts w:hint="eastAsia" w:ascii="幼圆" w:hAnsi="宋体" w:eastAsia="幼圆" w:cs="宋体"/>
                <w:kern w:val="0"/>
                <w:sz w:val="24"/>
              </w:rPr>
            </w:pPr>
          </w:p>
        </w:tc>
        <w:tc>
          <w:tcPr>
            <w:tcW w:w="506" w:type="pct"/>
            <w:noWrap/>
            <w:vAlign w:val="center"/>
          </w:tcPr>
          <w:p w14:paraId="7DC4011D">
            <w:pPr>
              <w:widowControl/>
              <w:jc w:val="center"/>
              <w:rPr>
                <w:rFonts w:hint="eastAsia" w:ascii="幼圆" w:hAnsi="宋体" w:eastAsia="幼圆" w:cs="宋体"/>
                <w:kern w:val="0"/>
                <w:sz w:val="24"/>
              </w:rPr>
            </w:pPr>
            <w:r>
              <w:rPr>
                <w:rFonts w:hint="eastAsia" w:ascii="幼圆" w:hAnsi="宋体" w:eastAsia="幼圆" w:cs="宋体"/>
                <w:kern w:val="0"/>
                <w:sz w:val="24"/>
              </w:rPr>
              <w:t>A-04</w:t>
            </w:r>
          </w:p>
        </w:tc>
        <w:tc>
          <w:tcPr>
            <w:tcW w:w="749" w:type="pct"/>
            <w:noWrap w:val="0"/>
            <w:vAlign w:val="center"/>
          </w:tcPr>
          <w:p w14:paraId="2E07CDFA">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0B55F6D8">
            <w:pPr>
              <w:widowControl/>
              <w:jc w:val="center"/>
              <w:rPr>
                <w:rFonts w:hint="eastAsia" w:ascii="幼圆" w:hAnsi="宋体" w:eastAsia="幼圆" w:cs="宋体"/>
                <w:kern w:val="0"/>
                <w:sz w:val="24"/>
              </w:rPr>
            </w:pPr>
            <w:r>
              <w:rPr>
                <w:rFonts w:hint="eastAsia" w:ascii="幼圆" w:hAnsi="宋体" w:eastAsia="幼圆" w:cs="宋体"/>
                <w:kern w:val="0"/>
                <w:sz w:val="24"/>
              </w:rPr>
              <w:t>祥港路东侧</w:t>
            </w:r>
          </w:p>
        </w:tc>
        <w:tc>
          <w:tcPr>
            <w:tcW w:w="616" w:type="pct"/>
            <w:noWrap w:val="0"/>
            <w:vAlign w:val="center"/>
          </w:tcPr>
          <w:p w14:paraId="4AD27B59">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78246C57">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4988A238">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5C1A1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4EAF507B">
            <w:pPr>
              <w:widowControl/>
              <w:jc w:val="center"/>
              <w:rPr>
                <w:rFonts w:hint="eastAsia" w:ascii="幼圆" w:hAnsi="宋体" w:eastAsia="幼圆" w:cs="宋体"/>
                <w:kern w:val="0"/>
                <w:sz w:val="24"/>
              </w:rPr>
            </w:pPr>
          </w:p>
        </w:tc>
        <w:tc>
          <w:tcPr>
            <w:tcW w:w="506" w:type="pct"/>
            <w:vMerge w:val="restart"/>
            <w:noWrap/>
            <w:vAlign w:val="center"/>
          </w:tcPr>
          <w:p w14:paraId="75B4895D">
            <w:pPr>
              <w:widowControl/>
              <w:jc w:val="center"/>
              <w:rPr>
                <w:rFonts w:hint="eastAsia" w:ascii="幼圆" w:hAnsi="宋体" w:eastAsia="幼圆" w:cs="宋体"/>
                <w:kern w:val="0"/>
                <w:sz w:val="24"/>
              </w:rPr>
            </w:pPr>
            <w:r>
              <w:rPr>
                <w:rFonts w:hint="eastAsia" w:ascii="幼圆" w:hAnsi="宋体" w:eastAsia="幼圆" w:cs="宋体"/>
                <w:kern w:val="0"/>
                <w:sz w:val="24"/>
              </w:rPr>
              <w:t>A-06</w:t>
            </w:r>
          </w:p>
        </w:tc>
        <w:tc>
          <w:tcPr>
            <w:tcW w:w="749" w:type="pct"/>
            <w:noWrap w:val="0"/>
            <w:vAlign w:val="center"/>
          </w:tcPr>
          <w:p w14:paraId="373461FE">
            <w:pPr>
              <w:widowControl/>
              <w:jc w:val="center"/>
              <w:rPr>
                <w:rFonts w:hint="eastAsia" w:ascii="幼圆" w:hAnsi="宋体" w:eastAsia="幼圆" w:cs="宋体"/>
                <w:kern w:val="0"/>
                <w:sz w:val="24"/>
              </w:rPr>
            </w:pPr>
            <w:r>
              <w:rPr>
                <w:rFonts w:hint="eastAsia" w:ascii="幼圆" w:hAnsi="宋体" w:eastAsia="幼圆" w:cs="宋体"/>
                <w:kern w:val="0"/>
                <w:sz w:val="24"/>
              </w:rPr>
              <w:t>百货店</w:t>
            </w:r>
          </w:p>
        </w:tc>
        <w:tc>
          <w:tcPr>
            <w:tcW w:w="1499" w:type="pct"/>
            <w:noWrap w:val="0"/>
            <w:vAlign w:val="center"/>
          </w:tcPr>
          <w:p w14:paraId="3B45694C">
            <w:pPr>
              <w:widowControl/>
              <w:jc w:val="center"/>
              <w:rPr>
                <w:rFonts w:hint="eastAsia" w:ascii="幼圆" w:hAnsi="宋体" w:eastAsia="幼圆" w:cs="宋体"/>
                <w:kern w:val="0"/>
                <w:sz w:val="24"/>
              </w:rPr>
            </w:pPr>
            <w:r>
              <w:rPr>
                <w:rFonts w:hint="eastAsia" w:ascii="幼圆" w:hAnsi="宋体" w:eastAsia="幼圆" w:cs="宋体"/>
                <w:kern w:val="0"/>
                <w:sz w:val="24"/>
              </w:rPr>
              <w:t>香城路南侧</w:t>
            </w:r>
          </w:p>
        </w:tc>
        <w:tc>
          <w:tcPr>
            <w:tcW w:w="616" w:type="pct"/>
            <w:noWrap w:val="0"/>
            <w:vAlign w:val="center"/>
          </w:tcPr>
          <w:p w14:paraId="7DFC0089">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1B45588A">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23EFD9FD">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39248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3FEC0BE8">
            <w:pPr>
              <w:widowControl/>
              <w:jc w:val="left"/>
              <w:rPr>
                <w:rFonts w:hint="eastAsia" w:ascii="幼圆" w:hAnsi="宋体" w:eastAsia="幼圆" w:cs="宋体"/>
                <w:kern w:val="0"/>
                <w:sz w:val="24"/>
              </w:rPr>
            </w:pPr>
          </w:p>
        </w:tc>
        <w:tc>
          <w:tcPr>
            <w:tcW w:w="506" w:type="pct"/>
            <w:vMerge w:val="continue"/>
            <w:noWrap w:val="0"/>
            <w:vAlign w:val="center"/>
          </w:tcPr>
          <w:p w14:paraId="736FDF32">
            <w:pPr>
              <w:widowControl/>
              <w:jc w:val="left"/>
              <w:rPr>
                <w:rFonts w:hint="eastAsia" w:ascii="幼圆" w:hAnsi="宋体" w:eastAsia="幼圆" w:cs="宋体"/>
                <w:kern w:val="0"/>
                <w:sz w:val="24"/>
              </w:rPr>
            </w:pPr>
          </w:p>
        </w:tc>
        <w:tc>
          <w:tcPr>
            <w:tcW w:w="749" w:type="pct"/>
            <w:noWrap w:val="0"/>
            <w:vAlign w:val="center"/>
          </w:tcPr>
          <w:p w14:paraId="79AE64C9">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7171D041">
            <w:pPr>
              <w:widowControl/>
              <w:jc w:val="center"/>
              <w:rPr>
                <w:rFonts w:hint="eastAsia" w:ascii="幼圆" w:hAnsi="宋体" w:eastAsia="幼圆" w:cs="宋体"/>
                <w:kern w:val="0"/>
                <w:sz w:val="24"/>
              </w:rPr>
            </w:pPr>
            <w:r>
              <w:rPr>
                <w:rFonts w:hint="eastAsia" w:ascii="幼圆" w:hAnsi="宋体" w:eastAsia="幼圆" w:cs="宋体"/>
                <w:kern w:val="0"/>
                <w:sz w:val="24"/>
              </w:rPr>
              <w:t>香城路南侧</w:t>
            </w:r>
          </w:p>
        </w:tc>
        <w:tc>
          <w:tcPr>
            <w:tcW w:w="616" w:type="pct"/>
            <w:noWrap w:val="0"/>
            <w:vAlign w:val="center"/>
          </w:tcPr>
          <w:p w14:paraId="76AD4115">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1E921653">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3757668F">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5867D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95F8B16">
            <w:pPr>
              <w:widowControl/>
              <w:jc w:val="center"/>
              <w:rPr>
                <w:rFonts w:hint="eastAsia" w:ascii="幼圆" w:hAnsi="宋体" w:eastAsia="幼圆" w:cs="宋体"/>
                <w:kern w:val="0"/>
                <w:sz w:val="24"/>
              </w:rPr>
            </w:pPr>
          </w:p>
        </w:tc>
        <w:tc>
          <w:tcPr>
            <w:tcW w:w="506" w:type="pct"/>
            <w:vMerge w:val="restart"/>
            <w:noWrap/>
            <w:vAlign w:val="center"/>
          </w:tcPr>
          <w:p w14:paraId="77760A30">
            <w:pPr>
              <w:widowControl/>
              <w:jc w:val="center"/>
              <w:rPr>
                <w:rFonts w:hint="eastAsia" w:ascii="幼圆" w:hAnsi="宋体" w:eastAsia="幼圆" w:cs="宋体"/>
                <w:kern w:val="0"/>
                <w:sz w:val="24"/>
              </w:rPr>
            </w:pPr>
            <w:r>
              <w:rPr>
                <w:rFonts w:hint="eastAsia" w:ascii="幼圆" w:hAnsi="宋体" w:eastAsia="幼圆" w:cs="宋体"/>
                <w:kern w:val="0"/>
                <w:sz w:val="24"/>
              </w:rPr>
              <w:t>A-07</w:t>
            </w:r>
          </w:p>
        </w:tc>
        <w:tc>
          <w:tcPr>
            <w:tcW w:w="749" w:type="pct"/>
            <w:noWrap w:val="0"/>
            <w:vAlign w:val="center"/>
          </w:tcPr>
          <w:p w14:paraId="5313592D">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5418A94A">
            <w:pPr>
              <w:widowControl/>
              <w:jc w:val="center"/>
              <w:rPr>
                <w:rFonts w:hint="eastAsia" w:ascii="幼圆" w:hAnsi="宋体" w:eastAsia="幼圆" w:cs="宋体"/>
                <w:kern w:val="0"/>
                <w:sz w:val="24"/>
              </w:rPr>
            </w:pPr>
            <w:r>
              <w:rPr>
                <w:rFonts w:hint="eastAsia" w:ascii="幼圆" w:hAnsi="宋体" w:eastAsia="幼圆" w:cs="宋体"/>
                <w:kern w:val="0"/>
                <w:sz w:val="24"/>
              </w:rPr>
              <w:t>汕尾大道东侧</w:t>
            </w:r>
          </w:p>
        </w:tc>
        <w:tc>
          <w:tcPr>
            <w:tcW w:w="616" w:type="pct"/>
            <w:noWrap w:val="0"/>
            <w:vAlign w:val="center"/>
          </w:tcPr>
          <w:p w14:paraId="0306F3A7">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65C98EF5">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6C2B78FB">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721BF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51202B2">
            <w:pPr>
              <w:widowControl/>
              <w:jc w:val="left"/>
              <w:rPr>
                <w:rFonts w:hint="eastAsia" w:ascii="幼圆" w:hAnsi="宋体" w:eastAsia="幼圆" w:cs="宋体"/>
                <w:kern w:val="0"/>
                <w:sz w:val="24"/>
              </w:rPr>
            </w:pPr>
          </w:p>
        </w:tc>
        <w:tc>
          <w:tcPr>
            <w:tcW w:w="506" w:type="pct"/>
            <w:vMerge w:val="continue"/>
            <w:noWrap w:val="0"/>
            <w:vAlign w:val="center"/>
          </w:tcPr>
          <w:p w14:paraId="324B3CF7">
            <w:pPr>
              <w:widowControl/>
              <w:jc w:val="left"/>
              <w:rPr>
                <w:rFonts w:hint="eastAsia" w:ascii="幼圆" w:hAnsi="宋体" w:eastAsia="幼圆" w:cs="宋体"/>
                <w:kern w:val="0"/>
                <w:sz w:val="24"/>
              </w:rPr>
            </w:pPr>
          </w:p>
        </w:tc>
        <w:tc>
          <w:tcPr>
            <w:tcW w:w="749" w:type="pct"/>
            <w:noWrap w:val="0"/>
            <w:vAlign w:val="center"/>
          </w:tcPr>
          <w:p w14:paraId="734AD9D3">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3CFA93AE">
            <w:pPr>
              <w:widowControl/>
              <w:jc w:val="center"/>
              <w:rPr>
                <w:rFonts w:hint="eastAsia" w:ascii="幼圆" w:hAnsi="宋体" w:eastAsia="幼圆" w:cs="宋体"/>
                <w:kern w:val="0"/>
                <w:sz w:val="24"/>
              </w:rPr>
            </w:pPr>
            <w:r>
              <w:rPr>
                <w:rFonts w:ascii="幼圆" w:hAnsi="宋体" w:eastAsia="幼圆" w:cs="宋体"/>
                <w:kern w:val="0"/>
                <w:sz w:val="24"/>
              </w:rPr>
              <w:t>通航路114号</w:t>
            </w:r>
          </w:p>
        </w:tc>
        <w:tc>
          <w:tcPr>
            <w:tcW w:w="616" w:type="pct"/>
            <w:noWrap w:val="0"/>
            <w:vAlign w:val="center"/>
          </w:tcPr>
          <w:p w14:paraId="5ABBF6AA">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3AE11E18">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33A4B7D5">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7DDC6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54FDBDFC">
            <w:pPr>
              <w:widowControl/>
              <w:jc w:val="left"/>
              <w:rPr>
                <w:rFonts w:hint="eastAsia" w:ascii="幼圆" w:hAnsi="宋体" w:eastAsia="幼圆" w:cs="宋体"/>
                <w:kern w:val="0"/>
                <w:sz w:val="24"/>
              </w:rPr>
            </w:pPr>
          </w:p>
        </w:tc>
        <w:tc>
          <w:tcPr>
            <w:tcW w:w="506" w:type="pct"/>
            <w:vMerge w:val="continue"/>
            <w:noWrap w:val="0"/>
            <w:vAlign w:val="center"/>
          </w:tcPr>
          <w:p w14:paraId="2DA98595">
            <w:pPr>
              <w:widowControl/>
              <w:jc w:val="left"/>
              <w:rPr>
                <w:rFonts w:hint="eastAsia" w:ascii="幼圆" w:hAnsi="宋体" w:eastAsia="幼圆" w:cs="宋体"/>
                <w:kern w:val="0"/>
                <w:sz w:val="24"/>
              </w:rPr>
            </w:pPr>
          </w:p>
        </w:tc>
        <w:tc>
          <w:tcPr>
            <w:tcW w:w="749" w:type="pct"/>
            <w:noWrap w:val="0"/>
            <w:vAlign w:val="center"/>
          </w:tcPr>
          <w:p w14:paraId="2467585A">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3209253A">
            <w:pPr>
              <w:widowControl/>
              <w:jc w:val="center"/>
              <w:rPr>
                <w:rFonts w:ascii="幼圆" w:hAnsi="宋体" w:eastAsia="幼圆" w:cs="宋体"/>
                <w:kern w:val="0"/>
                <w:sz w:val="24"/>
              </w:rPr>
            </w:pPr>
            <w:r>
              <w:rPr>
                <w:rFonts w:hint="eastAsia" w:ascii="幼圆" w:hAnsi="宋体" w:eastAsia="幼圆" w:cs="宋体"/>
                <w:kern w:val="0"/>
                <w:sz w:val="24"/>
              </w:rPr>
              <w:t>二马路南侧</w:t>
            </w:r>
          </w:p>
        </w:tc>
        <w:tc>
          <w:tcPr>
            <w:tcW w:w="616" w:type="pct"/>
            <w:noWrap w:val="0"/>
            <w:vAlign w:val="center"/>
          </w:tcPr>
          <w:p w14:paraId="47E53E1C">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726728A9">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09B4641C">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088DB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75EFEAA">
            <w:pPr>
              <w:widowControl/>
              <w:jc w:val="left"/>
              <w:rPr>
                <w:rFonts w:hint="eastAsia" w:ascii="幼圆" w:hAnsi="宋体" w:eastAsia="幼圆" w:cs="宋体"/>
                <w:kern w:val="0"/>
                <w:sz w:val="24"/>
              </w:rPr>
            </w:pPr>
          </w:p>
        </w:tc>
        <w:tc>
          <w:tcPr>
            <w:tcW w:w="506" w:type="pct"/>
            <w:vMerge w:val="continue"/>
            <w:noWrap w:val="0"/>
            <w:vAlign w:val="center"/>
          </w:tcPr>
          <w:p w14:paraId="2A1D3152">
            <w:pPr>
              <w:widowControl/>
              <w:jc w:val="left"/>
              <w:rPr>
                <w:rFonts w:hint="eastAsia" w:ascii="幼圆" w:hAnsi="宋体" w:eastAsia="幼圆" w:cs="宋体"/>
                <w:kern w:val="0"/>
                <w:sz w:val="24"/>
              </w:rPr>
            </w:pPr>
          </w:p>
        </w:tc>
        <w:tc>
          <w:tcPr>
            <w:tcW w:w="749" w:type="pct"/>
            <w:noWrap w:val="0"/>
            <w:vAlign w:val="center"/>
          </w:tcPr>
          <w:p w14:paraId="45B63CA9">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60DFCB18">
            <w:pPr>
              <w:widowControl/>
              <w:jc w:val="center"/>
              <w:rPr>
                <w:rFonts w:ascii="幼圆" w:hAnsi="宋体" w:eastAsia="幼圆" w:cs="宋体"/>
                <w:kern w:val="0"/>
                <w:sz w:val="24"/>
              </w:rPr>
            </w:pPr>
            <w:r>
              <w:rPr>
                <w:rFonts w:hint="eastAsia" w:ascii="幼圆" w:hAnsi="宋体" w:eastAsia="幼圆" w:cs="宋体"/>
                <w:kern w:val="0"/>
                <w:sz w:val="24"/>
              </w:rPr>
              <w:t>二马路南侧</w:t>
            </w:r>
          </w:p>
        </w:tc>
        <w:tc>
          <w:tcPr>
            <w:tcW w:w="616" w:type="pct"/>
            <w:noWrap w:val="0"/>
            <w:vAlign w:val="center"/>
          </w:tcPr>
          <w:p w14:paraId="6AE1A9C4">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4DFC5A2F">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572DEB6B">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0C86F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2885B800">
            <w:pPr>
              <w:widowControl/>
              <w:jc w:val="left"/>
              <w:rPr>
                <w:rFonts w:hint="eastAsia" w:ascii="幼圆" w:hAnsi="宋体" w:eastAsia="幼圆" w:cs="宋体"/>
                <w:kern w:val="0"/>
                <w:sz w:val="24"/>
              </w:rPr>
            </w:pPr>
          </w:p>
        </w:tc>
        <w:tc>
          <w:tcPr>
            <w:tcW w:w="506" w:type="pct"/>
            <w:vMerge w:val="continue"/>
            <w:noWrap w:val="0"/>
            <w:vAlign w:val="center"/>
          </w:tcPr>
          <w:p w14:paraId="5F7BDAB3">
            <w:pPr>
              <w:widowControl/>
              <w:jc w:val="left"/>
              <w:rPr>
                <w:rFonts w:hint="eastAsia" w:ascii="幼圆" w:hAnsi="宋体" w:eastAsia="幼圆" w:cs="宋体"/>
                <w:kern w:val="0"/>
                <w:sz w:val="24"/>
              </w:rPr>
            </w:pPr>
          </w:p>
        </w:tc>
        <w:tc>
          <w:tcPr>
            <w:tcW w:w="749" w:type="pct"/>
            <w:noWrap w:val="0"/>
            <w:vAlign w:val="center"/>
          </w:tcPr>
          <w:p w14:paraId="636DB8B0">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377D9DE0">
            <w:pPr>
              <w:widowControl/>
              <w:jc w:val="center"/>
              <w:rPr>
                <w:rFonts w:ascii="幼圆" w:hAnsi="宋体" w:eastAsia="幼圆" w:cs="宋体"/>
                <w:kern w:val="0"/>
                <w:sz w:val="24"/>
              </w:rPr>
            </w:pPr>
            <w:r>
              <w:rPr>
                <w:rFonts w:hint="eastAsia" w:ascii="幼圆" w:hAnsi="宋体" w:eastAsia="幼圆" w:cs="宋体"/>
                <w:kern w:val="0"/>
                <w:sz w:val="24"/>
              </w:rPr>
              <w:t>二马路南侧</w:t>
            </w:r>
          </w:p>
        </w:tc>
        <w:tc>
          <w:tcPr>
            <w:tcW w:w="616" w:type="pct"/>
            <w:noWrap w:val="0"/>
            <w:vAlign w:val="center"/>
          </w:tcPr>
          <w:p w14:paraId="45915D80">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0BF6DFD4">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4B0FAD12">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203AC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010D1327">
            <w:pPr>
              <w:widowControl/>
              <w:jc w:val="center"/>
              <w:rPr>
                <w:rFonts w:hint="eastAsia" w:ascii="幼圆" w:hAnsi="宋体" w:eastAsia="幼圆" w:cs="宋体"/>
                <w:kern w:val="0"/>
                <w:sz w:val="24"/>
              </w:rPr>
            </w:pPr>
          </w:p>
        </w:tc>
        <w:tc>
          <w:tcPr>
            <w:tcW w:w="506" w:type="pct"/>
            <w:noWrap/>
            <w:vAlign w:val="center"/>
          </w:tcPr>
          <w:p w14:paraId="49282488">
            <w:pPr>
              <w:widowControl/>
              <w:jc w:val="center"/>
              <w:rPr>
                <w:rFonts w:hint="eastAsia" w:ascii="幼圆" w:hAnsi="宋体" w:eastAsia="幼圆" w:cs="宋体"/>
                <w:kern w:val="0"/>
                <w:sz w:val="24"/>
              </w:rPr>
            </w:pPr>
            <w:r>
              <w:rPr>
                <w:rFonts w:hint="eastAsia" w:ascii="幼圆" w:hAnsi="宋体" w:eastAsia="幼圆" w:cs="宋体"/>
                <w:kern w:val="0"/>
                <w:sz w:val="24"/>
              </w:rPr>
              <w:t>A-08</w:t>
            </w:r>
          </w:p>
        </w:tc>
        <w:tc>
          <w:tcPr>
            <w:tcW w:w="749" w:type="pct"/>
            <w:noWrap w:val="0"/>
            <w:vAlign w:val="center"/>
          </w:tcPr>
          <w:p w14:paraId="3F5AD1FA">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477B4321">
            <w:pPr>
              <w:widowControl/>
              <w:jc w:val="center"/>
              <w:rPr>
                <w:rFonts w:hint="eastAsia" w:ascii="幼圆" w:hAnsi="宋体" w:eastAsia="幼圆" w:cs="宋体"/>
                <w:kern w:val="0"/>
                <w:sz w:val="24"/>
              </w:rPr>
            </w:pPr>
            <w:r>
              <w:rPr>
                <w:rFonts w:hint="eastAsia" w:ascii="幼圆" w:hAnsi="宋体" w:eastAsia="幼圆" w:cs="宋体"/>
                <w:kern w:val="0"/>
                <w:sz w:val="24"/>
              </w:rPr>
              <w:t>凤苑路东侧</w:t>
            </w:r>
          </w:p>
        </w:tc>
        <w:tc>
          <w:tcPr>
            <w:tcW w:w="616" w:type="pct"/>
            <w:noWrap w:val="0"/>
            <w:vAlign w:val="center"/>
          </w:tcPr>
          <w:p w14:paraId="6B085CC2">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54A0BA3B">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1B0BA37F">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3C494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30591086">
            <w:pPr>
              <w:widowControl/>
              <w:jc w:val="center"/>
              <w:rPr>
                <w:rFonts w:hint="eastAsia" w:ascii="幼圆" w:hAnsi="宋体" w:eastAsia="幼圆" w:cs="宋体"/>
                <w:kern w:val="0"/>
                <w:sz w:val="24"/>
              </w:rPr>
            </w:pPr>
          </w:p>
        </w:tc>
        <w:tc>
          <w:tcPr>
            <w:tcW w:w="506" w:type="pct"/>
            <w:vMerge w:val="restart"/>
            <w:noWrap/>
            <w:vAlign w:val="center"/>
          </w:tcPr>
          <w:p w14:paraId="289ED875">
            <w:pPr>
              <w:widowControl/>
              <w:jc w:val="center"/>
              <w:rPr>
                <w:rFonts w:hint="eastAsia" w:ascii="幼圆" w:hAnsi="宋体" w:eastAsia="幼圆" w:cs="宋体"/>
                <w:kern w:val="0"/>
                <w:sz w:val="24"/>
              </w:rPr>
            </w:pPr>
            <w:r>
              <w:rPr>
                <w:rFonts w:hint="eastAsia" w:ascii="幼圆" w:hAnsi="宋体" w:eastAsia="幼圆" w:cs="宋体"/>
                <w:kern w:val="0"/>
                <w:sz w:val="24"/>
              </w:rPr>
              <w:t>A-09</w:t>
            </w:r>
          </w:p>
        </w:tc>
        <w:tc>
          <w:tcPr>
            <w:tcW w:w="749" w:type="pct"/>
            <w:noWrap w:val="0"/>
            <w:vAlign w:val="center"/>
          </w:tcPr>
          <w:p w14:paraId="0784D43C">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50F39DE2">
            <w:pPr>
              <w:widowControl/>
              <w:jc w:val="center"/>
              <w:rPr>
                <w:rFonts w:hint="eastAsia" w:ascii="幼圆" w:hAnsi="宋体" w:eastAsia="幼圆" w:cs="宋体"/>
                <w:kern w:val="0"/>
                <w:sz w:val="24"/>
              </w:rPr>
            </w:pPr>
            <w:r>
              <w:rPr>
                <w:rFonts w:hint="eastAsia" w:ascii="幼圆" w:hAnsi="宋体" w:eastAsia="幼圆" w:cs="宋体"/>
                <w:kern w:val="0"/>
                <w:sz w:val="24"/>
              </w:rPr>
              <w:t>香洲路明珠广场</w:t>
            </w:r>
          </w:p>
        </w:tc>
        <w:tc>
          <w:tcPr>
            <w:tcW w:w="616" w:type="pct"/>
            <w:noWrap w:val="0"/>
            <w:vAlign w:val="center"/>
          </w:tcPr>
          <w:p w14:paraId="77CB763D">
            <w:pPr>
              <w:widowControl/>
              <w:jc w:val="center"/>
              <w:rPr>
                <w:rFonts w:hint="eastAsia" w:ascii="幼圆" w:hAnsi="宋体" w:eastAsia="幼圆" w:cs="宋体"/>
                <w:kern w:val="0"/>
                <w:sz w:val="24"/>
              </w:rPr>
            </w:pPr>
            <w:r>
              <w:rPr>
                <w:rFonts w:hint="eastAsia" w:ascii="幼圆" w:hAnsi="宋体" w:eastAsia="幼圆" w:cs="宋体"/>
                <w:kern w:val="0"/>
                <w:sz w:val="24"/>
              </w:rPr>
              <w:t>片区型</w:t>
            </w:r>
          </w:p>
        </w:tc>
        <w:tc>
          <w:tcPr>
            <w:tcW w:w="616" w:type="pct"/>
            <w:noWrap w:val="0"/>
            <w:vAlign w:val="center"/>
          </w:tcPr>
          <w:p w14:paraId="5275948F">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2670BC31">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02A85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4177C3E2">
            <w:pPr>
              <w:widowControl/>
              <w:jc w:val="center"/>
              <w:rPr>
                <w:rFonts w:hint="eastAsia" w:ascii="幼圆" w:hAnsi="宋体" w:eastAsia="幼圆" w:cs="宋体"/>
                <w:kern w:val="0"/>
                <w:sz w:val="24"/>
              </w:rPr>
            </w:pPr>
          </w:p>
        </w:tc>
        <w:tc>
          <w:tcPr>
            <w:tcW w:w="506" w:type="pct"/>
            <w:vMerge w:val="continue"/>
            <w:noWrap/>
            <w:vAlign w:val="center"/>
          </w:tcPr>
          <w:p w14:paraId="42027147">
            <w:pPr>
              <w:widowControl/>
              <w:jc w:val="center"/>
              <w:rPr>
                <w:rFonts w:hint="eastAsia" w:ascii="幼圆" w:hAnsi="宋体" w:eastAsia="幼圆" w:cs="宋体"/>
                <w:kern w:val="0"/>
                <w:sz w:val="24"/>
              </w:rPr>
            </w:pPr>
          </w:p>
        </w:tc>
        <w:tc>
          <w:tcPr>
            <w:tcW w:w="749" w:type="pct"/>
            <w:noWrap w:val="0"/>
            <w:vAlign w:val="center"/>
          </w:tcPr>
          <w:p w14:paraId="7A17A00F">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6DF2492E">
            <w:pPr>
              <w:widowControl/>
              <w:jc w:val="center"/>
              <w:rPr>
                <w:rFonts w:hint="eastAsia" w:ascii="幼圆" w:hAnsi="宋体" w:eastAsia="幼圆" w:cs="宋体"/>
                <w:kern w:val="0"/>
                <w:sz w:val="24"/>
              </w:rPr>
            </w:pPr>
            <w:r>
              <w:rPr>
                <w:rFonts w:hint="eastAsia" w:ascii="幼圆" w:hAnsi="宋体" w:eastAsia="幼圆" w:cs="宋体"/>
                <w:kern w:val="0"/>
                <w:sz w:val="24"/>
              </w:rPr>
              <w:t>香洲路北侧</w:t>
            </w:r>
          </w:p>
        </w:tc>
        <w:tc>
          <w:tcPr>
            <w:tcW w:w="616" w:type="pct"/>
            <w:noWrap w:val="0"/>
            <w:vAlign w:val="center"/>
          </w:tcPr>
          <w:p w14:paraId="3D375741">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0C40D04C">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7C110740">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3D427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EB0B155">
            <w:pPr>
              <w:widowControl/>
              <w:jc w:val="center"/>
              <w:rPr>
                <w:rFonts w:hint="eastAsia" w:ascii="幼圆" w:hAnsi="宋体" w:eastAsia="幼圆" w:cs="宋体"/>
                <w:kern w:val="0"/>
                <w:sz w:val="24"/>
              </w:rPr>
            </w:pPr>
          </w:p>
        </w:tc>
        <w:tc>
          <w:tcPr>
            <w:tcW w:w="506" w:type="pct"/>
            <w:noWrap/>
            <w:vAlign w:val="center"/>
          </w:tcPr>
          <w:p w14:paraId="35F76DC7">
            <w:pPr>
              <w:widowControl/>
              <w:jc w:val="center"/>
              <w:rPr>
                <w:rFonts w:hint="eastAsia" w:ascii="幼圆" w:hAnsi="宋体" w:eastAsia="幼圆" w:cs="宋体"/>
                <w:kern w:val="0"/>
                <w:sz w:val="24"/>
              </w:rPr>
            </w:pPr>
            <w:r>
              <w:rPr>
                <w:rFonts w:hint="eastAsia" w:ascii="幼圆" w:hAnsi="宋体" w:eastAsia="幼圆" w:cs="宋体"/>
                <w:kern w:val="0"/>
                <w:sz w:val="24"/>
              </w:rPr>
              <w:t>A-10</w:t>
            </w:r>
          </w:p>
        </w:tc>
        <w:tc>
          <w:tcPr>
            <w:tcW w:w="749" w:type="pct"/>
            <w:noWrap w:val="0"/>
            <w:vAlign w:val="center"/>
          </w:tcPr>
          <w:p w14:paraId="4F04AE78">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6305DD3E">
            <w:pPr>
              <w:widowControl/>
              <w:jc w:val="center"/>
              <w:rPr>
                <w:rFonts w:hint="eastAsia" w:ascii="幼圆" w:hAnsi="宋体" w:eastAsia="幼圆" w:cs="宋体"/>
                <w:kern w:val="0"/>
                <w:sz w:val="24"/>
              </w:rPr>
            </w:pPr>
            <w:r>
              <w:rPr>
                <w:rFonts w:hint="eastAsia" w:ascii="幼圆" w:hAnsi="宋体" w:eastAsia="幼圆" w:cs="宋体"/>
                <w:kern w:val="0"/>
                <w:sz w:val="24"/>
              </w:rPr>
              <w:t>红海大道与香洲路交汇处</w:t>
            </w:r>
          </w:p>
        </w:tc>
        <w:tc>
          <w:tcPr>
            <w:tcW w:w="616" w:type="pct"/>
            <w:noWrap w:val="0"/>
            <w:vAlign w:val="center"/>
          </w:tcPr>
          <w:p w14:paraId="33CD3E92">
            <w:pPr>
              <w:widowControl/>
              <w:jc w:val="center"/>
              <w:rPr>
                <w:rFonts w:hint="eastAsia" w:ascii="幼圆" w:hAnsi="宋体" w:eastAsia="幼圆" w:cs="宋体"/>
                <w:kern w:val="0"/>
                <w:sz w:val="24"/>
              </w:rPr>
            </w:pPr>
            <w:r>
              <w:rPr>
                <w:rFonts w:hint="eastAsia" w:ascii="幼圆" w:hAnsi="宋体" w:eastAsia="幼圆" w:cs="宋体"/>
                <w:kern w:val="0"/>
                <w:sz w:val="24"/>
              </w:rPr>
              <w:t>城市型</w:t>
            </w:r>
          </w:p>
        </w:tc>
        <w:tc>
          <w:tcPr>
            <w:tcW w:w="616" w:type="pct"/>
            <w:noWrap w:val="0"/>
            <w:vAlign w:val="center"/>
          </w:tcPr>
          <w:p w14:paraId="7D580066">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18652300">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77F77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04D8D7A4">
            <w:pPr>
              <w:widowControl/>
              <w:jc w:val="center"/>
              <w:rPr>
                <w:rFonts w:hint="eastAsia" w:ascii="幼圆" w:hAnsi="宋体" w:eastAsia="幼圆" w:cs="宋体"/>
                <w:kern w:val="0"/>
                <w:sz w:val="24"/>
              </w:rPr>
            </w:pPr>
          </w:p>
        </w:tc>
        <w:tc>
          <w:tcPr>
            <w:tcW w:w="506" w:type="pct"/>
            <w:noWrap/>
            <w:vAlign w:val="center"/>
          </w:tcPr>
          <w:p w14:paraId="6E371B8D">
            <w:pPr>
              <w:widowControl/>
              <w:jc w:val="center"/>
              <w:rPr>
                <w:rFonts w:hint="eastAsia" w:ascii="幼圆" w:hAnsi="宋体" w:eastAsia="幼圆" w:cs="宋体"/>
                <w:kern w:val="0"/>
                <w:sz w:val="24"/>
              </w:rPr>
            </w:pPr>
            <w:r>
              <w:rPr>
                <w:rFonts w:hint="eastAsia" w:ascii="幼圆" w:hAnsi="宋体" w:eastAsia="幼圆" w:cs="宋体"/>
                <w:kern w:val="0"/>
                <w:sz w:val="24"/>
              </w:rPr>
              <w:t>A-11</w:t>
            </w:r>
          </w:p>
        </w:tc>
        <w:tc>
          <w:tcPr>
            <w:tcW w:w="749" w:type="pct"/>
            <w:noWrap w:val="0"/>
            <w:vAlign w:val="center"/>
          </w:tcPr>
          <w:p w14:paraId="5F7D532A">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5ADD9343">
            <w:pPr>
              <w:widowControl/>
              <w:jc w:val="center"/>
              <w:rPr>
                <w:rFonts w:hint="eastAsia" w:ascii="幼圆" w:hAnsi="宋体" w:eastAsia="幼圆" w:cs="宋体"/>
                <w:kern w:val="0"/>
                <w:sz w:val="24"/>
              </w:rPr>
            </w:pPr>
            <w:r>
              <w:rPr>
                <w:rFonts w:hint="eastAsia" w:ascii="幼圆" w:hAnsi="宋体" w:eastAsia="幼圆" w:cs="宋体"/>
                <w:kern w:val="0"/>
                <w:sz w:val="24"/>
              </w:rPr>
              <w:t>香洲路显达广场</w:t>
            </w:r>
          </w:p>
        </w:tc>
        <w:tc>
          <w:tcPr>
            <w:tcW w:w="616" w:type="pct"/>
            <w:noWrap w:val="0"/>
            <w:vAlign w:val="center"/>
          </w:tcPr>
          <w:p w14:paraId="692E0F27">
            <w:pPr>
              <w:widowControl/>
              <w:jc w:val="center"/>
              <w:rPr>
                <w:rFonts w:hint="eastAsia" w:ascii="幼圆" w:hAnsi="宋体" w:eastAsia="幼圆" w:cs="宋体"/>
                <w:kern w:val="0"/>
                <w:sz w:val="24"/>
              </w:rPr>
            </w:pPr>
            <w:r>
              <w:rPr>
                <w:rFonts w:hint="eastAsia" w:ascii="幼圆" w:hAnsi="宋体" w:eastAsia="幼圆" w:cs="宋体"/>
                <w:kern w:val="0"/>
                <w:sz w:val="24"/>
              </w:rPr>
              <w:t>片区型</w:t>
            </w:r>
          </w:p>
        </w:tc>
        <w:tc>
          <w:tcPr>
            <w:tcW w:w="616" w:type="pct"/>
            <w:noWrap w:val="0"/>
            <w:vAlign w:val="center"/>
          </w:tcPr>
          <w:p w14:paraId="234AD155">
            <w:pPr>
              <w:widowControl/>
              <w:jc w:val="center"/>
              <w:rPr>
                <w:rFonts w:hint="eastAsia" w:ascii="幼圆" w:hAnsi="宋体" w:eastAsia="幼圆" w:cs="宋体"/>
                <w:kern w:val="0"/>
                <w:sz w:val="24"/>
              </w:rPr>
            </w:pPr>
            <w:r>
              <w:rPr>
                <w:rFonts w:hint="eastAsia" w:ascii="幼圆" w:hAnsi="宋体" w:eastAsia="幼圆" w:cs="宋体"/>
                <w:kern w:val="0"/>
                <w:sz w:val="24"/>
              </w:rPr>
              <w:t>优化提升</w:t>
            </w:r>
          </w:p>
        </w:tc>
        <w:tc>
          <w:tcPr>
            <w:tcW w:w="507" w:type="pct"/>
            <w:noWrap w:val="0"/>
            <w:vAlign w:val="center"/>
          </w:tcPr>
          <w:p w14:paraId="3008C27D">
            <w:pPr>
              <w:widowControl/>
              <w:jc w:val="center"/>
              <w:rPr>
                <w:rFonts w:hint="eastAsia" w:ascii="幼圆" w:hAnsi="宋体" w:eastAsia="幼圆" w:cs="宋体"/>
                <w:kern w:val="0"/>
                <w:sz w:val="24"/>
              </w:rPr>
            </w:pPr>
            <w:r>
              <w:rPr>
                <w:rFonts w:hint="eastAsia" w:ascii="幼圆" w:hAnsi="宋体" w:eastAsia="幼圆" w:cs="宋体"/>
                <w:kern w:val="0"/>
                <w:sz w:val="24"/>
              </w:rPr>
              <w:t>—</w:t>
            </w:r>
          </w:p>
        </w:tc>
      </w:tr>
      <w:tr w14:paraId="45DA2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restart"/>
            <w:noWrap w:val="0"/>
            <w:vAlign w:val="center"/>
          </w:tcPr>
          <w:p w14:paraId="2FA7464E">
            <w:pPr>
              <w:widowControl/>
              <w:jc w:val="center"/>
              <w:rPr>
                <w:rFonts w:hint="eastAsia" w:ascii="幼圆" w:hAnsi="宋体" w:eastAsia="幼圆" w:cs="宋体"/>
                <w:kern w:val="0"/>
                <w:sz w:val="24"/>
              </w:rPr>
            </w:pPr>
            <w:r>
              <w:rPr>
                <w:rFonts w:hint="eastAsia" w:ascii="幼圆" w:hAnsi="宋体" w:eastAsia="幼圆" w:cs="宋体"/>
                <w:kern w:val="0"/>
                <w:sz w:val="24"/>
              </w:rPr>
              <w:t>品清湖组团</w:t>
            </w:r>
          </w:p>
        </w:tc>
        <w:tc>
          <w:tcPr>
            <w:tcW w:w="506" w:type="pct"/>
            <w:noWrap/>
            <w:vAlign w:val="center"/>
          </w:tcPr>
          <w:p w14:paraId="140C8F95">
            <w:pPr>
              <w:widowControl/>
              <w:jc w:val="center"/>
              <w:rPr>
                <w:rFonts w:hint="eastAsia" w:ascii="幼圆" w:hAnsi="宋体" w:eastAsia="幼圆" w:cs="宋体"/>
                <w:kern w:val="0"/>
                <w:sz w:val="24"/>
              </w:rPr>
            </w:pPr>
            <w:r>
              <w:rPr>
                <w:rFonts w:hint="eastAsia" w:ascii="幼圆" w:hAnsi="宋体" w:eastAsia="幼圆" w:cs="宋体"/>
                <w:kern w:val="0"/>
                <w:sz w:val="24"/>
              </w:rPr>
              <w:t>A-14</w:t>
            </w:r>
          </w:p>
        </w:tc>
        <w:tc>
          <w:tcPr>
            <w:tcW w:w="749" w:type="pct"/>
            <w:noWrap w:val="0"/>
            <w:vAlign w:val="center"/>
          </w:tcPr>
          <w:p w14:paraId="04178E83">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5C610E5F">
            <w:pPr>
              <w:widowControl/>
              <w:jc w:val="center"/>
              <w:rPr>
                <w:rFonts w:hint="eastAsia" w:ascii="幼圆" w:hAnsi="宋体" w:eastAsia="幼圆" w:cs="宋体"/>
                <w:kern w:val="0"/>
                <w:sz w:val="24"/>
              </w:rPr>
            </w:pPr>
            <w:r>
              <w:rPr>
                <w:rFonts w:hint="eastAsia" w:ascii="幼圆" w:hAnsi="宋体" w:eastAsia="幼圆" w:cs="宋体"/>
                <w:kern w:val="0"/>
                <w:sz w:val="24"/>
              </w:rPr>
              <w:t>成业路城东商业综合体内</w:t>
            </w:r>
          </w:p>
        </w:tc>
        <w:tc>
          <w:tcPr>
            <w:tcW w:w="616" w:type="pct"/>
            <w:noWrap w:val="0"/>
            <w:vAlign w:val="center"/>
          </w:tcPr>
          <w:p w14:paraId="2F4DC3DA">
            <w:pPr>
              <w:widowControl/>
              <w:jc w:val="center"/>
              <w:rPr>
                <w:rFonts w:hint="eastAsia" w:ascii="幼圆" w:hAnsi="宋体" w:eastAsia="幼圆" w:cs="宋体"/>
                <w:kern w:val="0"/>
                <w:sz w:val="24"/>
              </w:rPr>
            </w:pPr>
            <w:r>
              <w:rPr>
                <w:rFonts w:hint="eastAsia" w:ascii="幼圆" w:hAnsi="宋体" w:eastAsia="幼圆" w:cs="宋体"/>
                <w:kern w:val="0"/>
                <w:sz w:val="24"/>
              </w:rPr>
              <w:t>城市型</w:t>
            </w:r>
          </w:p>
        </w:tc>
        <w:tc>
          <w:tcPr>
            <w:tcW w:w="616" w:type="pct"/>
            <w:noWrap w:val="0"/>
            <w:vAlign w:val="center"/>
          </w:tcPr>
          <w:p w14:paraId="6DC1502F">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6C984ABA">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61920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7C46245E">
            <w:pPr>
              <w:widowControl/>
              <w:jc w:val="center"/>
              <w:rPr>
                <w:rFonts w:hint="eastAsia" w:ascii="幼圆" w:hAnsi="宋体" w:eastAsia="幼圆" w:cs="宋体"/>
                <w:kern w:val="0"/>
                <w:sz w:val="24"/>
              </w:rPr>
            </w:pPr>
          </w:p>
        </w:tc>
        <w:tc>
          <w:tcPr>
            <w:tcW w:w="506" w:type="pct"/>
            <w:noWrap/>
            <w:vAlign w:val="center"/>
          </w:tcPr>
          <w:p w14:paraId="1082C787">
            <w:pPr>
              <w:widowControl/>
              <w:jc w:val="center"/>
              <w:rPr>
                <w:rFonts w:hint="eastAsia" w:ascii="幼圆" w:hAnsi="宋体" w:eastAsia="幼圆" w:cs="宋体"/>
                <w:kern w:val="0"/>
                <w:sz w:val="24"/>
              </w:rPr>
            </w:pPr>
            <w:r>
              <w:rPr>
                <w:rFonts w:hint="eastAsia" w:ascii="幼圆" w:hAnsi="宋体" w:eastAsia="幼圆" w:cs="宋体"/>
                <w:kern w:val="0"/>
                <w:sz w:val="24"/>
              </w:rPr>
              <w:t>A-15</w:t>
            </w:r>
          </w:p>
        </w:tc>
        <w:tc>
          <w:tcPr>
            <w:tcW w:w="749" w:type="pct"/>
            <w:noWrap w:val="0"/>
            <w:vAlign w:val="center"/>
          </w:tcPr>
          <w:p w14:paraId="6D552DD5">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21B78704">
            <w:pPr>
              <w:widowControl/>
              <w:jc w:val="center"/>
              <w:rPr>
                <w:rFonts w:hint="eastAsia" w:ascii="幼圆" w:hAnsi="宋体" w:eastAsia="幼圆" w:cs="宋体"/>
                <w:kern w:val="0"/>
                <w:sz w:val="24"/>
              </w:rPr>
            </w:pPr>
            <w:r>
              <w:rPr>
                <w:rFonts w:hint="eastAsia" w:ascii="幼圆" w:hAnsi="宋体" w:eastAsia="幼圆" w:cs="宋体"/>
                <w:kern w:val="0"/>
                <w:sz w:val="24"/>
              </w:rPr>
              <w:t>香湖路北侧</w:t>
            </w:r>
          </w:p>
        </w:tc>
        <w:tc>
          <w:tcPr>
            <w:tcW w:w="616" w:type="pct"/>
            <w:noWrap w:val="0"/>
            <w:vAlign w:val="center"/>
          </w:tcPr>
          <w:p w14:paraId="37911BFE">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44A5EC2D">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14B479F2">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74F93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4587768C">
            <w:pPr>
              <w:widowControl/>
              <w:jc w:val="center"/>
              <w:rPr>
                <w:rFonts w:hint="eastAsia" w:ascii="幼圆" w:hAnsi="宋体" w:eastAsia="幼圆" w:cs="宋体"/>
                <w:kern w:val="0"/>
                <w:sz w:val="24"/>
              </w:rPr>
            </w:pPr>
          </w:p>
        </w:tc>
        <w:tc>
          <w:tcPr>
            <w:tcW w:w="506" w:type="pct"/>
            <w:noWrap/>
            <w:vAlign w:val="center"/>
          </w:tcPr>
          <w:p w14:paraId="16CF2831">
            <w:pPr>
              <w:widowControl/>
              <w:jc w:val="center"/>
              <w:rPr>
                <w:rFonts w:hint="eastAsia" w:ascii="幼圆" w:hAnsi="宋体" w:eastAsia="幼圆" w:cs="宋体"/>
                <w:kern w:val="0"/>
                <w:sz w:val="24"/>
              </w:rPr>
            </w:pPr>
            <w:r>
              <w:rPr>
                <w:rFonts w:hint="eastAsia" w:ascii="幼圆" w:hAnsi="宋体" w:eastAsia="幼圆" w:cs="宋体"/>
                <w:kern w:val="0"/>
                <w:sz w:val="24"/>
              </w:rPr>
              <w:t>A-16</w:t>
            </w:r>
          </w:p>
        </w:tc>
        <w:tc>
          <w:tcPr>
            <w:tcW w:w="749" w:type="pct"/>
            <w:noWrap w:val="0"/>
            <w:vAlign w:val="center"/>
          </w:tcPr>
          <w:p w14:paraId="386E4C35">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38C61D3F">
            <w:pPr>
              <w:widowControl/>
              <w:jc w:val="center"/>
              <w:rPr>
                <w:rFonts w:hint="eastAsia" w:ascii="幼圆" w:hAnsi="宋体" w:eastAsia="幼圆" w:cs="宋体"/>
                <w:kern w:val="0"/>
                <w:sz w:val="24"/>
              </w:rPr>
            </w:pPr>
            <w:r>
              <w:rPr>
                <w:rFonts w:hint="eastAsia" w:ascii="幼圆" w:hAnsi="宋体" w:eastAsia="幼圆" w:cs="宋体"/>
                <w:kern w:val="0"/>
                <w:sz w:val="24"/>
              </w:rPr>
              <w:t>东涌镇政府北侧</w:t>
            </w:r>
          </w:p>
        </w:tc>
        <w:tc>
          <w:tcPr>
            <w:tcW w:w="616" w:type="pct"/>
            <w:noWrap w:val="0"/>
            <w:vAlign w:val="center"/>
          </w:tcPr>
          <w:p w14:paraId="2E6077A7">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60FD3A76">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010F3896">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06B9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77ECAEFC">
            <w:pPr>
              <w:widowControl/>
              <w:jc w:val="center"/>
              <w:rPr>
                <w:rFonts w:hint="eastAsia" w:ascii="幼圆" w:hAnsi="宋体" w:eastAsia="幼圆" w:cs="宋体"/>
                <w:kern w:val="0"/>
                <w:sz w:val="24"/>
              </w:rPr>
            </w:pPr>
          </w:p>
        </w:tc>
        <w:tc>
          <w:tcPr>
            <w:tcW w:w="506" w:type="pct"/>
            <w:noWrap/>
            <w:vAlign w:val="center"/>
          </w:tcPr>
          <w:p w14:paraId="2F7FE1CB">
            <w:pPr>
              <w:widowControl/>
              <w:jc w:val="center"/>
              <w:rPr>
                <w:rFonts w:hint="eastAsia" w:ascii="幼圆" w:hAnsi="宋体" w:eastAsia="幼圆" w:cs="宋体"/>
                <w:kern w:val="0"/>
                <w:sz w:val="24"/>
              </w:rPr>
            </w:pPr>
            <w:r>
              <w:rPr>
                <w:rFonts w:hint="eastAsia" w:ascii="幼圆" w:hAnsi="宋体" w:eastAsia="幼圆" w:cs="宋体"/>
                <w:kern w:val="0"/>
                <w:sz w:val="24"/>
              </w:rPr>
              <w:t>A-17</w:t>
            </w:r>
          </w:p>
        </w:tc>
        <w:tc>
          <w:tcPr>
            <w:tcW w:w="749" w:type="pct"/>
            <w:noWrap w:val="0"/>
            <w:vAlign w:val="center"/>
          </w:tcPr>
          <w:p w14:paraId="7427DE10">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2F49CD74">
            <w:pPr>
              <w:widowControl/>
              <w:jc w:val="center"/>
              <w:rPr>
                <w:rFonts w:hint="eastAsia" w:ascii="幼圆" w:hAnsi="宋体" w:eastAsia="幼圆" w:cs="宋体"/>
                <w:kern w:val="0"/>
                <w:sz w:val="24"/>
              </w:rPr>
            </w:pPr>
            <w:r>
              <w:rPr>
                <w:rFonts w:hint="eastAsia" w:ascii="幼圆" w:hAnsi="宋体" w:eastAsia="幼圆" w:cs="宋体"/>
                <w:kern w:val="0"/>
                <w:sz w:val="24"/>
              </w:rPr>
              <w:t>青山仔公园东侧</w:t>
            </w:r>
          </w:p>
        </w:tc>
        <w:tc>
          <w:tcPr>
            <w:tcW w:w="616" w:type="pct"/>
            <w:noWrap w:val="0"/>
            <w:vAlign w:val="center"/>
          </w:tcPr>
          <w:p w14:paraId="7653C52C">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08EB607A">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7B3B5B56">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64812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0494A62E">
            <w:pPr>
              <w:widowControl/>
              <w:jc w:val="center"/>
              <w:rPr>
                <w:rFonts w:hint="eastAsia" w:ascii="幼圆" w:hAnsi="宋体" w:eastAsia="幼圆" w:cs="宋体"/>
                <w:kern w:val="0"/>
                <w:sz w:val="24"/>
              </w:rPr>
            </w:pPr>
          </w:p>
        </w:tc>
        <w:tc>
          <w:tcPr>
            <w:tcW w:w="506" w:type="pct"/>
            <w:noWrap/>
            <w:vAlign w:val="center"/>
          </w:tcPr>
          <w:p w14:paraId="1A9C1AE6">
            <w:pPr>
              <w:widowControl/>
              <w:jc w:val="center"/>
              <w:rPr>
                <w:rFonts w:hint="eastAsia" w:ascii="幼圆" w:hAnsi="宋体" w:eastAsia="幼圆" w:cs="宋体"/>
                <w:kern w:val="0"/>
                <w:sz w:val="24"/>
              </w:rPr>
            </w:pPr>
            <w:r>
              <w:rPr>
                <w:rFonts w:hint="eastAsia" w:ascii="幼圆" w:hAnsi="宋体" w:eastAsia="幼圆" w:cs="宋体"/>
                <w:kern w:val="0"/>
                <w:sz w:val="24"/>
              </w:rPr>
              <w:t>A-18</w:t>
            </w:r>
          </w:p>
        </w:tc>
        <w:tc>
          <w:tcPr>
            <w:tcW w:w="749" w:type="pct"/>
            <w:noWrap w:val="0"/>
            <w:vAlign w:val="center"/>
          </w:tcPr>
          <w:p w14:paraId="00FB6FA8">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57C37950">
            <w:pPr>
              <w:widowControl/>
              <w:jc w:val="center"/>
              <w:rPr>
                <w:rFonts w:hint="eastAsia" w:ascii="幼圆" w:hAnsi="宋体" w:eastAsia="幼圆" w:cs="宋体"/>
                <w:kern w:val="0"/>
                <w:sz w:val="24"/>
              </w:rPr>
            </w:pPr>
            <w:r>
              <w:rPr>
                <w:rFonts w:hint="eastAsia" w:ascii="幼圆" w:hAnsi="宋体" w:eastAsia="幼圆" w:cs="宋体"/>
                <w:kern w:val="0"/>
                <w:sz w:val="24"/>
              </w:rPr>
              <w:t>红海湾大道与汕可路交汇处</w:t>
            </w:r>
          </w:p>
        </w:tc>
        <w:tc>
          <w:tcPr>
            <w:tcW w:w="616" w:type="pct"/>
            <w:noWrap w:val="0"/>
            <w:vAlign w:val="center"/>
          </w:tcPr>
          <w:p w14:paraId="486F9F8B">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67B7E606">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13BD2BF3">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1C72E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noWrap w:val="0"/>
            <w:vAlign w:val="top"/>
          </w:tcPr>
          <w:p w14:paraId="0EB1E773">
            <w:pPr>
              <w:widowControl/>
              <w:jc w:val="center"/>
              <w:rPr>
                <w:rFonts w:hint="eastAsia" w:ascii="幼圆" w:hAnsi="宋体" w:eastAsia="幼圆" w:cs="宋体"/>
                <w:kern w:val="0"/>
                <w:sz w:val="24"/>
              </w:rPr>
            </w:pPr>
            <w:r>
              <w:rPr>
                <w:rFonts w:hint="eastAsia" w:ascii="幼圆" w:hAnsi="宋体" w:eastAsia="幼圆" w:cs="宋体"/>
                <w:kern w:val="0"/>
                <w:sz w:val="24"/>
              </w:rPr>
              <w:t>石洲组团</w:t>
            </w:r>
          </w:p>
        </w:tc>
        <w:tc>
          <w:tcPr>
            <w:tcW w:w="506" w:type="pct"/>
            <w:noWrap/>
            <w:vAlign w:val="center"/>
          </w:tcPr>
          <w:p w14:paraId="4AE4AD97">
            <w:pPr>
              <w:widowControl/>
              <w:jc w:val="center"/>
              <w:rPr>
                <w:rFonts w:hint="eastAsia" w:ascii="幼圆" w:hAnsi="宋体" w:eastAsia="幼圆" w:cs="宋体"/>
                <w:kern w:val="0"/>
                <w:sz w:val="24"/>
              </w:rPr>
            </w:pPr>
            <w:r>
              <w:rPr>
                <w:rFonts w:hint="eastAsia" w:ascii="幼圆" w:hAnsi="宋体" w:eastAsia="幼圆" w:cs="宋体"/>
                <w:kern w:val="0"/>
                <w:sz w:val="24"/>
              </w:rPr>
              <w:t>A-20</w:t>
            </w:r>
          </w:p>
        </w:tc>
        <w:tc>
          <w:tcPr>
            <w:tcW w:w="749" w:type="pct"/>
            <w:noWrap w:val="0"/>
            <w:vAlign w:val="center"/>
          </w:tcPr>
          <w:p w14:paraId="6D2A0B52">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53FE912A">
            <w:pPr>
              <w:widowControl/>
              <w:jc w:val="center"/>
              <w:rPr>
                <w:rFonts w:hint="eastAsia" w:ascii="幼圆" w:hAnsi="宋体" w:eastAsia="幼圆" w:cs="宋体"/>
                <w:kern w:val="0"/>
                <w:sz w:val="24"/>
              </w:rPr>
            </w:pPr>
            <w:r>
              <w:rPr>
                <w:rFonts w:hint="eastAsia" w:ascii="幼圆" w:hAnsi="宋体" w:eastAsia="幼圆" w:cs="宋体"/>
                <w:kern w:val="0"/>
                <w:sz w:val="24"/>
              </w:rPr>
              <w:t>红海湾大道南侧</w:t>
            </w:r>
          </w:p>
        </w:tc>
        <w:tc>
          <w:tcPr>
            <w:tcW w:w="616" w:type="pct"/>
            <w:noWrap w:val="0"/>
            <w:vAlign w:val="center"/>
          </w:tcPr>
          <w:p w14:paraId="04B9A4E8">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7F6D477B">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7718CC2F">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6C26E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noWrap w:val="0"/>
            <w:vAlign w:val="top"/>
          </w:tcPr>
          <w:p w14:paraId="7CAA5949">
            <w:pPr>
              <w:widowControl/>
              <w:jc w:val="center"/>
              <w:rPr>
                <w:rFonts w:hint="eastAsia" w:ascii="幼圆" w:hAnsi="宋体" w:eastAsia="幼圆" w:cs="宋体"/>
                <w:kern w:val="0"/>
                <w:sz w:val="24"/>
              </w:rPr>
            </w:pPr>
            <w:r>
              <w:rPr>
                <w:rFonts w:hint="eastAsia" w:ascii="幼圆" w:hAnsi="宋体" w:eastAsia="幼圆" w:cs="宋体"/>
                <w:kern w:val="0"/>
                <w:sz w:val="24"/>
              </w:rPr>
              <w:t>田墘组团</w:t>
            </w:r>
          </w:p>
        </w:tc>
        <w:tc>
          <w:tcPr>
            <w:tcW w:w="506" w:type="pct"/>
            <w:noWrap/>
            <w:vAlign w:val="center"/>
          </w:tcPr>
          <w:p w14:paraId="2BF65EB3">
            <w:pPr>
              <w:widowControl/>
              <w:jc w:val="center"/>
              <w:rPr>
                <w:rFonts w:hint="eastAsia" w:ascii="幼圆" w:hAnsi="宋体" w:eastAsia="幼圆" w:cs="宋体"/>
                <w:kern w:val="0"/>
                <w:sz w:val="24"/>
              </w:rPr>
            </w:pPr>
            <w:r>
              <w:rPr>
                <w:rFonts w:hint="eastAsia" w:ascii="幼圆" w:hAnsi="宋体" w:eastAsia="幼圆" w:cs="宋体"/>
                <w:kern w:val="0"/>
                <w:sz w:val="24"/>
              </w:rPr>
              <w:t>B-01</w:t>
            </w:r>
          </w:p>
        </w:tc>
        <w:tc>
          <w:tcPr>
            <w:tcW w:w="749" w:type="pct"/>
            <w:noWrap w:val="0"/>
            <w:vAlign w:val="center"/>
          </w:tcPr>
          <w:p w14:paraId="3C7F214A">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1A25F4B0">
            <w:pPr>
              <w:widowControl/>
              <w:jc w:val="center"/>
              <w:rPr>
                <w:rFonts w:hint="eastAsia" w:ascii="幼圆" w:hAnsi="宋体" w:eastAsia="幼圆" w:cs="宋体"/>
                <w:kern w:val="0"/>
                <w:sz w:val="24"/>
              </w:rPr>
            </w:pPr>
            <w:r>
              <w:rPr>
                <w:rFonts w:hint="eastAsia" w:ascii="幼圆" w:hAnsi="宋体" w:eastAsia="幼圆" w:cs="宋体"/>
                <w:kern w:val="0"/>
                <w:sz w:val="24"/>
              </w:rPr>
              <w:t>田墘街道红海湾大道南侧</w:t>
            </w:r>
          </w:p>
        </w:tc>
        <w:tc>
          <w:tcPr>
            <w:tcW w:w="616" w:type="pct"/>
            <w:noWrap w:val="0"/>
            <w:vAlign w:val="center"/>
          </w:tcPr>
          <w:p w14:paraId="2D264D6D">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095916F1">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1C0B0410">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21EC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restart"/>
            <w:noWrap w:val="0"/>
            <w:vAlign w:val="center"/>
          </w:tcPr>
          <w:p w14:paraId="17D1CA00">
            <w:pPr>
              <w:widowControl/>
              <w:jc w:val="center"/>
              <w:rPr>
                <w:rFonts w:hint="eastAsia" w:ascii="幼圆" w:hAnsi="宋体" w:eastAsia="幼圆" w:cs="宋体"/>
                <w:kern w:val="0"/>
                <w:sz w:val="24"/>
              </w:rPr>
            </w:pPr>
            <w:r>
              <w:rPr>
                <w:rFonts w:hint="eastAsia" w:ascii="幼圆" w:hAnsi="宋体" w:eastAsia="幼圆" w:cs="宋体"/>
                <w:kern w:val="0"/>
                <w:sz w:val="24"/>
              </w:rPr>
              <w:t>遮浪组团</w:t>
            </w:r>
          </w:p>
        </w:tc>
        <w:tc>
          <w:tcPr>
            <w:tcW w:w="506" w:type="pct"/>
            <w:noWrap/>
            <w:vAlign w:val="center"/>
          </w:tcPr>
          <w:p w14:paraId="6E6CFE38">
            <w:pPr>
              <w:widowControl/>
              <w:jc w:val="center"/>
              <w:rPr>
                <w:rFonts w:hint="eastAsia" w:ascii="幼圆" w:hAnsi="宋体" w:eastAsia="幼圆" w:cs="宋体"/>
                <w:kern w:val="0"/>
                <w:sz w:val="24"/>
              </w:rPr>
            </w:pPr>
            <w:r>
              <w:rPr>
                <w:rFonts w:hint="eastAsia" w:ascii="幼圆" w:hAnsi="宋体" w:eastAsia="幼圆" w:cs="宋体"/>
                <w:kern w:val="0"/>
                <w:sz w:val="24"/>
              </w:rPr>
              <w:t>C-01</w:t>
            </w:r>
          </w:p>
        </w:tc>
        <w:tc>
          <w:tcPr>
            <w:tcW w:w="749" w:type="pct"/>
            <w:noWrap w:val="0"/>
            <w:vAlign w:val="center"/>
          </w:tcPr>
          <w:p w14:paraId="769DAEB1">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668E57AC">
            <w:pPr>
              <w:widowControl/>
              <w:jc w:val="center"/>
              <w:rPr>
                <w:rFonts w:hint="eastAsia" w:ascii="幼圆" w:hAnsi="宋体" w:eastAsia="幼圆" w:cs="宋体"/>
                <w:kern w:val="0"/>
                <w:sz w:val="24"/>
              </w:rPr>
            </w:pPr>
            <w:r>
              <w:rPr>
                <w:rFonts w:hint="eastAsia" w:ascii="幼圆" w:hAnsi="宋体" w:eastAsia="幼圆" w:cs="宋体"/>
                <w:kern w:val="0"/>
                <w:sz w:val="24"/>
              </w:rPr>
              <w:t>东洲二路西侧</w:t>
            </w:r>
          </w:p>
        </w:tc>
        <w:tc>
          <w:tcPr>
            <w:tcW w:w="616" w:type="pct"/>
            <w:noWrap w:val="0"/>
            <w:vAlign w:val="center"/>
          </w:tcPr>
          <w:p w14:paraId="4D1EBD34">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7B796F4B">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3FA09A75">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4FFD6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403CFFFA">
            <w:pPr>
              <w:widowControl/>
              <w:jc w:val="center"/>
              <w:rPr>
                <w:rFonts w:hint="eastAsia" w:ascii="幼圆" w:hAnsi="宋体" w:eastAsia="幼圆" w:cs="宋体"/>
                <w:kern w:val="0"/>
                <w:sz w:val="24"/>
              </w:rPr>
            </w:pPr>
          </w:p>
        </w:tc>
        <w:tc>
          <w:tcPr>
            <w:tcW w:w="506" w:type="pct"/>
            <w:noWrap/>
            <w:vAlign w:val="center"/>
          </w:tcPr>
          <w:p w14:paraId="13A1A535">
            <w:pPr>
              <w:widowControl/>
              <w:jc w:val="center"/>
              <w:rPr>
                <w:rFonts w:hint="eastAsia" w:ascii="幼圆" w:hAnsi="宋体" w:eastAsia="幼圆" w:cs="宋体"/>
                <w:kern w:val="0"/>
                <w:sz w:val="24"/>
              </w:rPr>
            </w:pPr>
            <w:r>
              <w:rPr>
                <w:rFonts w:hint="eastAsia" w:ascii="幼圆" w:hAnsi="宋体" w:eastAsia="幼圆" w:cs="宋体"/>
                <w:kern w:val="0"/>
                <w:sz w:val="24"/>
              </w:rPr>
              <w:t>C-02</w:t>
            </w:r>
          </w:p>
        </w:tc>
        <w:tc>
          <w:tcPr>
            <w:tcW w:w="749" w:type="pct"/>
            <w:noWrap w:val="0"/>
            <w:vAlign w:val="center"/>
          </w:tcPr>
          <w:p w14:paraId="5B340A6F">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3D620F2C">
            <w:pPr>
              <w:widowControl/>
              <w:jc w:val="center"/>
              <w:rPr>
                <w:rFonts w:hint="eastAsia" w:ascii="幼圆" w:hAnsi="宋体" w:eastAsia="幼圆" w:cs="宋体"/>
                <w:kern w:val="0"/>
                <w:sz w:val="24"/>
              </w:rPr>
            </w:pPr>
            <w:r>
              <w:rPr>
                <w:rFonts w:hint="eastAsia" w:ascii="幼圆" w:hAnsi="宋体" w:eastAsia="幼圆" w:cs="宋体"/>
                <w:kern w:val="0"/>
                <w:sz w:val="24"/>
              </w:rPr>
              <w:t>红海湾商业综合体内</w:t>
            </w:r>
          </w:p>
        </w:tc>
        <w:tc>
          <w:tcPr>
            <w:tcW w:w="616" w:type="pct"/>
            <w:noWrap w:val="0"/>
            <w:vAlign w:val="center"/>
          </w:tcPr>
          <w:p w14:paraId="39C96BD2">
            <w:pPr>
              <w:widowControl/>
              <w:jc w:val="center"/>
              <w:rPr>
                <w:rFonts w:hint="eastAsia" w:ascii="幼圆" w:hAnsi="宋体" w:eastAsia="幼圆" w:cs="宋体"/>
                <w:kern w:val="0"/>
                <w:sz w:val="24"/>
              </w:rPr>
            </w:pPr>
            <w:r>
              <w:rPr>
                <w:rFonts w:hint="eastAsia" w:ascii="幼圆" w:hAnsi="宋体" w:eastAsia="幼圆" w:cs="宋体"/>
                <w:kern w:val="0"/>
                <w:sz w:val="24"/>
              </w:rPr>
              <w:t>社区型</w:t>
            </w:r>
          </w:p>
        </w:tc>
        <w:tc>
          <w:tcPr>
            <w:tcW w:w="616" w:type="pct"/>
            <w:noWrap w:val="0"/>
            <w:vAlign w:val="center"/>
          </w:tcPr>
          <w:p w14:paraId="5BF5581B">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6CBB862E">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30721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restart"/>
            <w:noWrap w:val="0"/>
            <w:vAlign w:val="center"/>
          </w:tcPr>
          <w:p w14:paraId="09555205">
            <w:pPr>
              <w:widowControl/>
              <w:jc w:val="center"/>
              <w:rPr>
                <w:rFonts w:hint="eastAsia" w:ascii="幼圆" w:hAnsi="宋体" w:eastAsia="幼圆" w:cs="宋体"/>
                <w:kern w:val="0"/>
                <w:sz w:val="24"/>
              </w:rPr>
            </w:pPr>
            <w:r>
              <w:rPr>
                <w:rFonts w:hint="eastAsia" w:ascii="幼圆" w:hAnsi="宋体" w:eastAsia="幼圆" w:cs="宋体"/>
                <w:kern w:val="0"/>
                <w:sz w:val="24"/>
              </w:rPr>
              <w:t>马宫组团</w:t>
            </w:r>
          </w:p>
        </w:tc>
        <w:tc>
          <w:tcPr>
            <w:tcW w:w="506" w:type="pct"/>
            <w:noWrap/>
            <w:vAlign w:val="center"/>
          </w:tcPr>
          <w:p w14:paraId="33F706CB">
            <w:pPr>
              <w:widowControl/>
              <w:jc w:val="center"/>
              <w:rPr>
                <w:rFonts w:hint="eastAsia" w:ascii="幼圆" w:hAnsi="宋体" w:eastAsia="幼圆" w:cs="宋体"/>
                <w:kern w:val="0"/>
                <w:sz w:val="24"/>
              </w:rPr>
            </w:pPr>
            <w:r>
              <w:rPr>
                <w:rFonts w:hint="eastAsia" w:ascii="幼圆" w:hAnsi="宋体" w:eastAsia="幼圆" w:cs="宋体"/>
                <w:kern w:val="0"/>
                <w:sz w:val="24"/>
              </w:rPr>
              <w:t>D-01</w:t>
            </w:r>
          </w:p>
        </w:tc>
        <w:tc>
          <w:tcPr>
            <w:tcW w:w="749" w:type="pct"/>
            <w:noWrap w:val="0"/>
            <w:vAlign w:val="center"/>
          </w:tcPr>
          <w:p w14:paraId="301863F8">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35CFB080">
            <w:pPr>
              <w:widowControl/>
              <w:jc w:val="center"/>
              <w:rPr>
                <w:rFonts w:hint="eastAsia" w:ascii="幼圆" w:hAnsi="宋体" w:eastAsia="幼圆" w:cs="宋体"/>
                <w:kern w:val="0"/>
                <w:sz w:val="24"/>
              </w:rPr>
            </w:pPr>
            <w:r>
              <w:rPr>
                <w:rFonts w:hint="eastAsia" w:ascii="幼圆" w:hAnsi="宋体" w:eastAsia="幼圆" w:cs="宋体"/>
                <w:kern w:val="0"/>
                <w:sz w:val="24"/>
              </w:rPr>
              <w:t>马宫镇马宫一路东侧</w:t>
            </w:r>
          </w:p>
        </w:tc>
        <w:tc>
          <w:tcPr>
            <w:tcW w:w="616" w:type="pct"/>
            <w:noWrap w:val="0"/>
            <w:vAlign w:val="center"/>
          </w:tcPr>
          <w:p w14:paraId="68973388">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68949B62">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75CCB56A">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67898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5AFD18C">
            <w:pPr>
              <w:widowControl/>
              <w:jc w:val="center"/>
              <w:rPr>
                <w:rFonts w:hint="eastAsia" w:ascii="幼圆" w:hAnsi="宋体" w:eastAsia="幼圆" w:cs="宋体"/>
                <w:kern w:val="0"/>
                <w:sz w:val="24"/>
              </w:rPr>
            </w:pPr>
          </w:p>
        </w:tc>
        <w:tc>
          <w:tcPr>
            <w:tcW w:w="506" w:type="pct"/>
            <w:noWrap/>
            <w:vAlign w:val="center"/>
          </w:tcPr>
          <w:p w14:paraId="3C0412B2">
            <w:pPr>
              <w:widowControl/>
              <w:jc w:val="center"/>
              <w:rPr>
                <w:rFonts w:hint="eastAsia" w:ascii="幼圆" w:hAnsi="宋体" w:eastAsia="幼圆" w:cs="宋体"/>
                <w:kern w:val="0"/>
                <w:sz w:val="24"/>
              </w:rPr>
            </w:pPr>
            <w:r>
              <w:rPr>
                <w:rFonts w:hint="eastAsia" w:ascii="幼圆" w:hAnsi="宋体" w:eastAsia="幼圆" w:cs="宋体"/>
                <w:kern w:val="0"/>
                <w:sz w:val="24"/>
              </w:rPr>
              <w:t>D-02</w:t>
            </w:r>
          </w:p>
        </w:tc>
        <w:tc>
          <w:tcPr>
            <w:tcW w:w="749" w:type="pct"/>
            <w:noWrap w:val="0"/>
            <w:vAlign w:val="center"/>
          </w:tcPr>
          <w:p w14:paraId="2C239CBA">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0B5FAE89">
            <w:pPr>
              <w:widowControl/>
              <w:jc w:val="center"/>
              <w:rPr>
                <w:rFonts w:hint="eastAsia" w:ascii="幼圆" w:hAnsi="宋体" w:eastAsia="幼圆" w:cs="宋体"/>
                <w:kern w:val="0"/>
                <w:sz w:val="24"/>
              </w:rPr>
            </w:pPr>
            <w:r>
              <w:rPr>
                <w:rFonts w:hint="eastAsia" w:ascii="幼圆" w:hAnsi="宋体" w:eastAsia="幼圆" w:cs="宋体"/>
                <w:kern w:val="0"/>
                <w:sz w:val="24"/>
              </w:rPr>
              <w:t>马宫镇海汕公路西侧</w:t>
            </w:r>
          </w:p>
        </w:tc>
        <w:tc>
          <w:tcPr>
            <w:tcW w:w="616" w:type="pct"/>
            <w:noWrap w:val="0"/>
            <w:vAlign w:val="center"/>
          </w:tcPr>
          <w:p w14:paraId="7D63FD51">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537A1B88">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06955ABD">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24AA6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restart"/>
            <w:noWrap w:val="0"/>
            <w:vAlign w:val="center"/>
          </w:tcPr>
          <w:p w14:paraId="2B63CFFA">
            <w:pPr>
              <w:widowControl/>
              <w:jc w:val="center"/>
              <w:rPr>
                <w:rFonts w:hint="eastAsia" w:ascii="幼圆" w:hAnsi="宋体" w:eastAsia="幼圆" w:cs="宋体"/>
                <w:kern w:val="0"/>
                <w:sz w:val="24"/>
              </w:rPr>
            </w:pPr>
            <w:r>
              <w:rPr>
                <w:rFonts w:hint="eastAsia" w:ascii="幼圆" w:hAnsi="宋体" w:eastAsia="幼圆" w:cs="宋体"/>
                <w:kern w:val="0"/>
                <w:sz w:val="24"/>
              </w:rPr>
              <w:t>红草组团</w:t>
            </w:r>
          </w:p>
        </w:tc>
        <w:tc>
          <w:tcPr>
            <w:tcW w:w="506" w:type="pct"/>
            <w:noWrap/>
            <w:vAlign w:val="center"/>
          </w:tcPr>
          <w:p w14:paraId="3E7A80E0">
            <w:pPr>
              <w:widowControl/>
              <w:jc w:val="center"/>
              <w:rPr>
                <w:rFonts w:hint="eastAsia" w:ascii="幼圆" w:hAnsi="宋体" w:eastAsia="幼圆" w:cs="宋体"/>
                <w:kern w:val="0"/>
                <w:sz w:val="24"/>
              </w:rPr>
            </w:pPr>
            <w:r>
              <w:rPr>
                <w:rFonts w:hint="eastAsia" w:ascii="幼圆" w:hAnsi="宋体" w:eastAsia="幼圆" w:cs="宋体"/>
                <w:kern w:val="0"/>
                <w:sz w:val="24"/>
              </w:rPr>
              <w:t>E-01</w:t>
            </w:r>
          </w:p>
        </w:tc>
        <w:tc>
          <w:tcPr>
            <w:tcW w:w="749" w:type="pct"/>
            <w:noWrap w:val="0"/>
            <w:vAlign w:val="center"/>
          </w:tcPr>
          <w:p w14:paraId="3D26C030">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243E4284">
            <w:pPr>
              <w:widowControl/>
              <w:jc w:val="center"/>
              <w:rPr>
                <w:rFonts w:hint="eastAsia" w:ascii="幼圆" w:hAnsi="宋体" w:eastAsia="幼圆" w:cs="宋体"/>
                <w:kern w:val="0"/>
                <w:sz w:val="24"/>
              </w:rPr>
            </w:pPr>
            <w:r>
              <w:rPr>
                <w:rFonts w:hint="eastAsia" w:ascii="幼圆" w:hAnsi="宋体" w:eastAsia="幼圆" w:cs="宋体"/>
                <w:kern w:val="0"/>
                <w:sz w:val="24"/>
              </w:rPr>
              <w:t>径口社区商业中心内</w:t>
            </w:r>
          </w:p>
        </w:tc>
        <w:tc>
          <w:tcPr>
            <w:tcW w:w="616" w:type="pct"/>
            <w:noWrap w:val="0"/>
            <w:vAlign w:val="center"/>
          </w:tcPr>
          <w:p w14:paraId="1759081E">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6883645D">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42885CF2">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30246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0A43B749">
            <w:pPr>
              <w:widowControl/>
              <w:jc w:val="center"/>
              <w:rPr>
                <w:rFonts w:hint="eastAsia" w:ascii="幼圆" w:hAnsi="宋体" w:eastAsia="幼圆" w:cs="宋体"/>
                <w:kern w:val="0"/>
                <w:sz w:val="24"/>
              </w:rPr>
            </w:pPr>
          </w:p>
        </w:tc>
        <w:tc>
          <w:tcPr>
            <w:tcW w:w="506" w:type="pct"/>
            <w:noWrap/>
            <w:vAlign w:val="center"/>
          </w:tcPr>
          <w:p w14:paraId="6C3C1265">
            <w:pPr>
              <w:widowControl/>
              <w:jc w:val="center"/>
              <w:rPr>
                <w:rFonts w:hint="eastAsia" w:ascii="幼圆" w:hAnsi="宋体" w:eastAsia="幼圆" w:cs="宋体"/>
                <w:kern w:val="0"/>
                <w:sz w:val="24"/>
              </w:rPr>
            </w:pPr>
            <w:r>
              <w:rPr>
                <w:rFonts w:hint="eastAsia" w:ascii="幼圆" w:hAnsi="宋体" w:eastAsia="幼圆" w:cs="宋体"/>
                <w:kern w:val="0"/>
                <w:sz w:val="24"/>
              </w:rPr>
              <w:t>E-02</w:t>
            </w:r>
          </w:p>
        </w:tc>
        <w:tc>
          <w:tcPr>
            <w:tcW w:w="749" w:type="pct"/>
            <w:noWrap w:val="0"/>
            <w:vAlign w:val="center"/>
          </w:tcPr>
          <w:p w14:paraId="208CB605">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420648FB">
            <w:pPr>
              <w:widowControl/>
              <w:jc w:val="center"/>
              <w:rPr>
                <w:rFonts w:hint="eastAsia" w:ascii="幼圆" w:hAnsi="宋体" w:eastAsia="幼圆" w:cs="宋体"/>
                <w:kern w:val="0"/>
                <w:sz w:val="24"/>
              </w:rPr>
            </w:pPr>
            <w:r>
              <w:rPr>
                <w:rFonts w:hint="eastAsia" w:ascii="幼圆" w:hAnsi="宋体" w:eastAsia="幼圆" w:cs="宋体"/>
                <w:kern w:val="0"/>
                <w:sz w:val="24"/>
              </w:rPr>
              <w:t>红草大道与红草三路交汇处</w:t>
            </w:r>
          </w:p>
        </w:tc>
        <w:tc>
          <w:tcPr>
            <w:tcW w:w="616" w:type="pct"/>
            <w:noWrap w:val="0"/>
            <w:vAlign w:val="center"/>
          </w:tcPr>
          <w:p w14:paraId="3198C467">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1DEDF37C">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50E2699E">
            <w:pPr>
              <w:widowControl/>
              <w:jc w:val="center"/>
              <w:rPr>
                <w:rFonts w:hint="eastAsia" w:ascii="幼圆" w:hAnsi="宋体" w:eastAsia="幼圆" w:cs="宋体"/>
                <w:kern w:val="0"/>
                <w:sz w:val="24"/>
              </w:rPr>
            </w:pPr>
            <w:r>
              <w:rPr>
                <w:rFonts w:hint="eastAsia" w:ascii="幼圆" w:hAnsi="宋体" w:eastAsia="幼圆" w:cs="宋体"/>
                <w:kern w:val="0"/>
                <w:sz w:val="24"/>
              </w:rPr>
              <w:t>远期</w:t>
            </w:r>
          </w:p>
        </w:tc>
      </w:tr>
      <w:tr w14:paraId="2B897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1AC8320B">
            <w:pPr>
              <w:widowControl/>
              <w:jc w:val="center"/>
              <w:rPr>
                <w:rFonts w:hint="eastAsia" w:ascii="幼圆" w:hAnsi="宋体" w:eastAsia="幼圆" w:cs="宋体"/>
                <w:kern w:val="0"/>
                <w:sz w:val="24"/>
              </w:rPr>
            </w:pPr>
          </w:p>
        </w:tc>
        <w:tc>
          <w:tcPr>
            <w:tcW w:w="506" w:type="pct"/>
            <w:noWrap/>
            <w:vAlign w:val="center"/>
          </w:tcPr>
          <w:p w14:paraId="448C99DD">
            <w:pPr>
              <w:widowControl/>
              <w:jc w:val="center"/>
              <w:rPr>
                <w:rFonts w:hint="eastAsia" w:ascii="幼圆" w:hAnsi="宋体" w:eastAsia="幼圆" w:cs="宋体"/>
                <w:kern w:val="0"/>
                <w:sz w:val="24"/>
              </w:rPr>
            </w:pPr>
            <w:r>
              <w:rPr>
                <w:rFonts w:hint="eastAsia" w:ascii="幼圆" w:hAnsi="宋体" w:eastAsia="幼圆" w:cs="宋体"/>
                <w:kern w:val="0"/>
                <w:sz w:val="24"/>
              </w:rPr>
              <w:t>E-03</w:t>
            </w:r>
          </w:p>
        </w:tc>
        <w:tc>
          <w:tcPr>
            <w:tcW w:w="749" w:type="pct"/>
            <w:noWrap w:val="0"/>
            <w:vAlign w:val="center"/>
          </w:tcPr>
          <w:p w14:paraId="770B42DA">
            <w:pPr>
              <w:widowControl/>
              <w:jc w:val="center"/>
              <w:rPr>
                <w:rFonts w:hint="eastAsia" w:ascii="幼圆" w:hAnsi="宋体" w:eastAsia="幼圆" w:cs="宋体"/>
                <w:kern w:val="0"/>
                <w:sz w:val="24"/>
              </w:rPr>
            </w:pPr>
            <w:r>
              <w:rPr>
                <w:rFonts w:hint="eastAsia" w:ascii="幼圆" w:hAnsi="宋体" w:eastAsia="幼圆" w:cs="宋体"/>
                <w:kern w:val="0"/>
                <w:sz w:val="24"/>
              </w:rPr>
              <w:t>购物中心</w:t>
            </w:r>
          </w:p>
        </w:tc>
        <w:tc>
          <w:tcPr>
            <w:tcW w:w="1499" w:type="pct"/>
            <w:noWrap w:val="0"/>
            <w:vAlign w:val="center"/>
          </w:tcPr>
          <w:p w14:paraId="6ABF33A3">
            <w:pPr>
              <w:widowControl/>
              <w:jc w:val="center"/>
              <w:rPr>
                <w:rFonts w:hint="eastAsia" w:ascii="幼圆" w:hAnsi="宋体" w:eastAsia="幼圆" w:cs="宋体"/>
                <w:kern w:val="0"/>
                <w:sz w:val="24"/>
              </w:rPr>
            </w:pPr>
            <w:r>
              <w:rPr>
                <w:rFonts w:hint="eastAsia" w:ascii="幼圆" w:hAnsi="宋体" w:eastAsia="幼圆" w:cs="宋体"/>
                <w:kern w:val="0"/>
                <w:sz w:val="24"/>
              </w:rPr>
              <w:t>红草商业综合体内</w:t>
            </w:r>
          </w:p>
        </w:tc>
        <w:tc>
          <w:tcPr>
            <w:tcW w:w="616" w:type="pct"/>
            <w:noWrap w:val="0"/>
            <w:vAlign w:val="center"/>
          </w:tcPr>
          <w:p w14:paraId="081B0163">
            <w:pPr>
              <w:widowControl/>
              <w:jc w:val="center"/>
              <w:rPr>
                <w:rFonts w:hint="eastAsia" w:ascii="幼圆" w:hAnsi="宋体" w:eastAsia="幼圆" w:cs="宋体"/>
                <w:kern w:val="0"/>
                <w:sz w:val="24"/>
              </w:rPr>
            </w:pPr>
            <w:r>
              <w:rPr>
                <w:rFonts w:hint="eastAsia" w:ascii="幼圆" w:hAnsi="宋体" w:eastAsia="幼圆" w:cs="宋体"/>
                <w:kern w:val="0"/>
                <w:sz w:val="24"/>
              </w:rPr>
              <w:t>社区型</w:t>
            </w:r>
          </w:p>
        </w:tc>
        <w:tc>
          <w:tcPr>
            <w:tcW w:w="616" w:type="pct"/>
            <w:noWrap w:val="0"/>
            <w:vAlign w:val="center"/>
          </w:tcPr>
          <w:p w14:paraId="1B37F232">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3969606F">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6D2E6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vMerge w:val="continue"/>
            <w:noWrap w:val="0"/>
            <w:vAlign w:val="top"/>
          </w:tcPr>
          <w:p w14:paraId="4FC7728B">
            <w:pPr>
              <w:widowControl/>
              <w:jc w:val="center"/>
              <w:rPr>
                <w:rFonts w:hint="eastAsia" w:ascii="幼圆" w:hAnsi="宋体" w:eastAsia="幼圆" w:cs="宋体"/>
                <w:kern w:val="0"/>
                <w:sz w:val="24"/>
              </w:rPr>
            </w:pPr>
          </w:p>
        </w:tc>
        <w:tc>
          <w:tcPr>
            <w:tcW w:w="506" w:type="pct"/>
            <w:noWrap/>
            <w:vAlign w:val="center"/>
          </w:tcPr>
          <w:p w14:paraId="6B97B96A">
            <w:pPr>
              <w:widowControl/>
              <w:jc w:val="center"/>
              <w:rPr>
                <w:rFonts w:hint="eastAsia" w:ascii="幼圆" w:hAnsi="宋体" w:eastAsia="幼圆" w:cs="宋体"/>
                <w:kern w:val="0"/>
                <w:sz w:val="24"/>
              </w:rPr>
            </w:pPr>
            <w:r>
              <w:rPr>
                <w:rFonts w:hint="eastAsia" w:ascii="幼圆" w:hAnsi="宋体" w:eastAsia="幼圆" w:cs="宋体"/>
                <w:kern w:val="0"/>
                <w:sz w:val="24"/>
              </w:rPr>
              <w:t>E-04</w:t>
            </w:r>
          </w:p>
        </w:tc>
        <w:tc>
          <w:tcPr>
            <w:tcW w:w="749" w:type="pct"/>
            <w:noWrap w:val="0"/>
            <w:vAlign w:val="center"/>
          </w:tcPr>
          <w:p w14:paraId="6F16D9F0">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24EC6A68">
            <w:pPr>
              <w:widowControl/>
              <w:jc w:val="center"/>
              <w:rPr>
                <w:rFonts w:hint="eastAsia" w:ascii="幼圆" w:hAnsi="宋体" w:eastAsia="幼圆" w:cs="宋体"/>
                <w:kern w:val="0"/>
                <w:sz w:val="24"/>
              </w:rPr>
            </w:pPr>
            <w:r>
              <w:rPr>
                <w:rFonts w:hint="eastAsia" w:ascii="幼圆" w:hAnsi="宋体" w:eastAsia="幼圆" w:cs="宋体"/>
                <w:kern w:val="0"/>
                <w:sz w:val="24"/>
              </w:rPr>
              <w:t>海汕路北侧</w:t>
            </w:r>
          </w:p>
        </w:tc>
        <w:tc>
          <w:tcPr>
            <w:tcW w:w="616" w:type="pct"/>
            <w:noWrap w:val="0"/>
            <w:vAlign w:val="center"/>
          </w:tcPr>
          <w:p w14:paraId="70017DA3">
            <w:pPr>
              <w:widowControl/>
              <w:jc w:val="center"/>
              <w:rPr>
                <w:rFonts w:hint="eastAsia" w:ascii="幼圆" w:hAnsi="宋体" w:eastAsia="幼圆" w:cs="宋体"/>
                <w:kern w:val="0"/>
                <w:sz w:val="24"/>
              </w:rPr>
            </w:pPr>
            <w:r>
              <w:rPr>
                <w:rFonts w:hint="eastAsia" w:ascii="幼圆" w:hAnsi="宋体" w:eastAsia="幼圆" w:cs="宋体"/>
                <w:kern w:val="0"/>
                <w:sz w:val="24"/>
              </w:rPr>
              <w:t>小型</w:t>
            </w:r>
          </w:p>
        </w:tc>
        <w:tc>
          <w:tcPr>
            <w:tcW w:w="616" w:type="pct"/>
            <w:noWrap w:val="0"/>
            <w:vAlign w:val="center"/>
          </w:tcPr>
          <w:p w14:paraId="52E9DF59">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2A68953A">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r w14:paraId="7BF59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noWrap w:val="0"/>
            <w:vAlign w:val="top"/>
          </w:tcPr>
          <w:p w14:paraId="38BD4161">
            <w:pPr>
              <w:widowControl/>
              <w:jc w:val="center"/>
              <w:rPr>
                <w:rFonts w:hint="eastAsia" w:ascii="幼圆" w:hAnsi="宋体" w:eastAsia="幼圆" w:cs="宋体"/>
                <w:kern w:val="0"/>
                <w:sz w:val="24"/>
              </w:rPr>
            </w:pPr>
            <w:r>
              <w:rPr>
                <w:rFonts w:hint="eastAsia" w:ascii="幼圆" w:hAnsi="宋体" w:eastAsia="幼圆" w:cs="宋体"/>
                <w:kern w:val="0"/>
                <w:sz w:val="24"/>
              </w:rPr>
              <w:t>捷胜组团</w:t>
            </w:r>
          </w:p>
        </w:tc>
        <w:tc>
          <w:tcPr>
            <w:tcW w:w="506" w:type="pct"/>
            <w:noWrap/>
            <w:vAlign w:val="center"/>
          </w:tcPr>
          <w:p w14:paraId="34D45C1C">
            <w:pPr>
              <w:widowControl/>
              <w:jc w:val="center"/>
              <w:rPr>
                <w:rFonts w:hint="eastAsia" w:ascii="幼圆" w:hAnsi="宋体" w:eastAsia="幼圆" w:cs="宋体"/>
                <w:kern w:val="0"/>
                <w:sz w:val="24"/>
              </w:rPr>
            </w:pPr>
            <w:r>
              <w:rPr>
                <w:rFonts w:hint="eastAsia" w:ascii="幼圆" w:hAnsi="宋体" w:eastAsia="幼圆" w:cs="宋体"/>
                <w:kern w:val="0"/>
                <w:sz w:val="24"/>
              </w:rPr>
              <w:t>F-01</w:t>
            </w:r>
          </w:p>
        </w:tc>
        <w:tc>
          <w:tcPr>
            <w:tcW w:w="749" w:type="pct"/>
            <w:noWrap w:val="0"/>
            <w:vAlign w:val="center"/>
          </w:tcPr>
          <w:p w14:paraId="4154D18B">
            <w:pPr>
              <w:widowControl/>
              <w:jc w:val="center"/>
              <w:rPr>
                <w:rFonts w:hint="eastAsia" w:ascii="幼圆" w:hAnsi="宋体" w:eastAsia="幼圆" w:cs="宋体"/>
                <w:kern w:val="0"/>
                <w:sz w:val="24"/>
              </w:rPr>
            </w:pPr>
            <w:r>
              <w:rPr>
                <w:rFonts w:hint="eastAsia" w:ascii="幼圆" w:hAnsi="宋体" w:eastAsia="幼圆" w:cs="宋体"/>
                <w:kern w:val="0"/>
                <w:sz w:val="24"/>
              </w:rPr>
              <w:t>超市</w:t>
            </w:r>
          </w:p>
        </w:tc>
        <w:tc>
          <w:tcPr>
            <w:tcW w:w="1499" w:type="pct"/>
            <w:noWrap w:val="0"/>
            <w:vAlign w:val="center"/>
          </w:tcPr>
          <w:p w14:paraId="6778D18D">
            <w:pPr>
              <w:widowControl/>
              <w:jc w:val="center"/>
              <w:rPr>
                <w:rFonts w:hint="eastAsia" w:ascii="幼圆" w:hAnsi="宋体" w:eastAsia="幼圆" w:cs="宋体"/>
                <w:kern w:val="0"/>
                <w:sz w:val="24"/>
              </w:rPr>
            </w:pPr>
            <w:r>
              <w:rPr>
                <w:rFonts w:hint="eastAsia" w:ascii="幼圆" w:hAnsi="宋体" w:eastAsia="幼圆" w:cs="宋体"/>
                <w:kern w:val="0"/>
                <w:sz w:val="24"/>
              </w:rPr>
              <w:t>捷胜镇捷胜路南侧</w:t>
            </w:r>
          </w:p>
        </w:tc>
        <w:tc>
          <w:tcPr>
            <w:tcW w:w="616" w:type="pct"/>
            <w:noWrap w:val="0"/>
            <w:vAlign w:val="center"/>
          </w:tcPr>
          <w:p w14:paraId="06171C22">
            <w:pPr>
              <w:widowControl/>
              <w:jc w:val="center"/>
              <w:rPr>
                <w:rFonts w:hint="eastAsia" w:ascii="幼圆" w:hAnsi="宋体" w:eastAsia="幼圆" w:cs="宋体"/>
                <w:kern w:val="0"/>
                <w:sz w:val="24"/>
              </w:rPr>
            </w:pPr>
            <w:r>
              <w:rPr>
                <w:rFonts w:hint="eastAsia" w:ascii="幼圆" w:hAnsi="宋体" w:eastAsia="幼圆" w:cs="宋体"/>
                <w:kern w:val="0"/>
                <w:sz w:val="24"/>
              </w:rPr>
              <w:t>中型</w:t>
            </w:r>
          </w:p>
        </w:tc>
        <w:tc>
          <w:tcPr>
            <w:tcW w:w="616" w:type="pct"/>
            <w:noWrap w:val="0"/>
            <w:vAlign w:val="center"/>
          </w:tcPr>
          <w:p w14:paraId="27AC78CB">
            <w:pPr>
              <w:widowControl/>
              <w:jc w:val="center"/>
              <w:rPr>
                <w:rFonts w:hint="eastAsia" w:ascii="幼圆" w:hAnsi="宋体" w:eastAsia="幼圆" w:cs="宋体"/>
                <w:kern w:val="0"/>
                <w:sz w:val="24"/>
              </w:rPr>
            </w:pPr>
            <w:r>
              <w:rPr>
                <w:rFonts w:hint="eastAsia" w:ascii="幼圆" w:hAnsi="宋体" w:eastAsia="幼圆" w:cs="宋体"/>
                <w:kern w:val="0"/>
                <w:sz w:val="24"/>
              </w:rPr>
              <w:t>新建</w:t>
            </w:r>
          </w:p>
        </w:tc>
        <w:tc>
          <w:tcPr>
            <w:tcW w:w="507" w:type="pct"/>
            <w:noWrap w:val="0"/>
            <w:vAlign w:val="center"/>
          </w:tcPr>
          <w:p w14:paraId="6B6062E8">
            <w:pPr>
              <w:widowControl/>
              <w:jc w:val="center"/>
              <w:rPr>
                <w:rFonts w:hint="eastAsia" w:ascii="幼圆" w:hAnsi="宋体" w:eastAsia="幼圆" w:cs="宋体"/>
                <w:kern w:val="0"/>
                <w:sz w:val="24"/>
              </w:rPr>
            </w:pPr>
            <w:r>
              <w:rPr>
                <w:rFonts w:hint="eastAsia" w:ascii="幼圆" w:hAnsi="宋体" w:eastAsia="幼圆" w:cs="宋体"/>
                <w:kern w:val="0"/>
                <w:sz w:val="24"/>
              </w:rPr>
              <w:t>近期</w:t>
            </w:r>
          </w:p>
        </w:tc>
      </w:tr>
    </w:tbl>
    <w:p w14:paraId="7459C8C4">
      <w:pPr>
        <w:spacing w:after="120" w:afterLines="50" w:line="360" w:lineRule="auto"/>
        <w:ind w:firstLine="480" w:firstLineChars="200"/>
        <w:rPr>
          <w:rFonts w:ascii="幼圆" w:eastAsia="幼圆"/>
          <w:color w:val="000000"/>
          <w:sz w:val="24"/>
        </w:rPr>
        <w:sectPr>
          <w:pgSz w:w="23814" w:h="16840" w:orient="landscape"/>
          <w:pgMar w:top="1985" w:right="1985" w:bottom="567" w:left="1985" w:header="851" w:footer="992" w:gutter="0"/>
          <w:pgNumType w:fmt="decimal"/>
          <w:cols w:space="720" w:num="1"/>
          <w:docGrid w:linePitch="312" w:charSpace="0"/>
        </w:sectPr>
      </w:pPr>
    </w:p>
    <w:p w14:paraId="3D1E3CF1">
      <w:pPr>
        <w:pStyle w:val="3"/>
        <w:spacing w:before="0" w:after="0" w:line="240" w:lineRule="auto"/>
        <w:rPr>
          <w:rFonts w:hint="eastAsia" w:ascii="华文中宋" w:hAnsi="华文中宋" w:eastAsia="华文中宋"/>
          <w:color w:val="000000"/>
          <w:sz w:val="36"/>
          <w:szCs w:val="36"/>
        </w:rPr>
      </w:pPr>
      <w:bookmarkStart w:id="107" w:name="_Toc9149"/>
      <w:r>
        <w:rPr>
          <w:rFonts w:hint="eastAsia" w:ascii="华文中宋" w:hAnsi="华文中宋" w:eastAsia="华文中宋"/>
          <w:color w:val="000000"/>
          <w:sz w:val="36"/>
          <w:szCs w:val="36"/>
        </w:rPr>
        <w:t>附表</w:t>
      </w:r>
      <w:r>
        <w:rPr>
          <w:rFonts w:hint="eastAsia" w:ascii="华文中宋" w:hAnsi="华文中宋" w:eastAsia="华文中宋"/>
          <w:color w:val="000000"/>
          <w:sz w:val="36"/>
          <w:szCs w:val="36"/>
          <w:lang w:val="en-US" w:eastAsia="zh-CN"/>
        </w:rPr>
        <w:t>8</w:t>
      </w:r>
      <w:r>
        <w:rPr>
          <w:rFonts w:hint="eastAsia" w:ascii="华文中宋" w:hAnsi="华文中宋" w:eastAsia="华文中宋"/>
          <w:color w:val="000000"/>
          <w:sz w:val="36"/>
          <w:szCs w:val="36"/>
        </w:rPr>
        <w:t>：商业街规划指引</w:t>
      </w:r>
      <w:bookmarkEnd w:id="107"/>
    </w:p>
    <w:p w14:paraId="11B11721">
      <w:pPr>
        <w:spacing w:line="360" w:lineRule="auto"/>
        <w:jc w:val="center"/>
        <w:rPr>
          <w:rFonts w:hint="eastAsia" w:ascii="幼圆" w:eastAsia="幼圆"/>
          <w:color w:val="000000"/>
          <w:sz w:val="24"/>
        </w:rPr>
      </w:pPr>
      <w:r>
        <w:rPr>
          <w:rFonts w:hint="eastAsia" w:ascii="幼圆" w:eastAsia="幼圆"/>
          <w:color w:val="000000"/>
          <w:sz w:val="24"/>
        </w:rPr>
        <w:t>城市级商业街规划指引一览表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673"/>
        <w:gridCol w:w="1561"/>
        <w:gridCol w:w="1561"/>
        <w:gridCol w:w="991"/>
        <w:gridCol w:w="991"/>
        <w:gridCol w:w="995"/>
        <w:gridCol w:w="1131"/>
        <w:gridCol w:w="851"/>
        <w:gridCol w:w="11306"/>
      </w:tblGrid>
      <w:tr w14:paraId="213EA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tblHeader/>
          <w:jc w:val="center"/>
        </w:trPr>
        <w:tc>
          <w:tcPr>
            <w:tcW w:w="168" w:type="pct"/>
            <w:shd w:val="clear" w:color="auto" w:fill="FFFFFF"/>
            <w:noWrap w:val="0"/>
            <w:vAlign w:val="center"/>
          </w:tcPr>
          <w:p w14:paraId="79805B48">
            <w:pPr>
              <w:widowControl/>
              <w:spacing w:before="24" w:beforeLines="10" w:after="24" w:afterLines="10" w:line="300" w:lineRule="auto"/>
              <w:jc w:val="center"/>
              <w:rPr>
                <w:rFonts w:hint="eastAsia" w:ascii="幼圆" w:hAnsi="宋体" w:eastAsia="幼圆" w:cs="宋体"/>
                <w:b/>
                <w:bCs/>
                <w:kern w:val="0"/>
                <w:sz w:val="24"/>
              </w:rPr>
            </w:pPr>
            <w:r>
              <w:rPr>
                <w:rFonts w:hint="eastAsia" w:ascii="幼圆" w:hAnsi="宋体" w:eastAsia="幼圆" w:cs="宋体"/>
                <w:b/>
                <w:bCs/>
                <w:kern w:val="0"/>
                <w:sz w:val="24"/>
              </w:rPr>
              <w:t>序号</w:t>
            </w:r>
          </w:p>
        </w:tc>
        <w:tc>
          <w:tcPr>
            <w:tcW w:w="389" w:type="pct"/>
            <w:shd w:val="clear" w:color="auto" w:fill="FFFFFF"/>
            <w:noWrap/>
            <w:vAlign w:val="center"/>
          </w:tcPr>
          <w:p w14:paraId="05A5F1A5">
            <w:pPr>
              <w:widowControl/>
              <w:spacing w:before="24" w:beforeLines="10" w:after="24" w:afterLines="10" w:line="300" w:lineRule="auto"/>
              <w:jc w:val="center"/>
              <w:rPr>
                <w:rFonts w:ascii="幼圆" w:hAnsi="宋体" w:eastAsia="幼圆" w:cs="宋体"/>
                <w:b/>
                <w:bCs/>
                <w:kern w:val="0"/>
                <w:sz w:val="24"/>
              </w:rPr>
            </w:pPr>
            <w:r>
              <w:rPr>
                <w:rFonts w:hint="eastAsia" w:ascii="幼圆" w:hAnsi="宋体" w:eastAsia="幼圆" w:cs="宋体"/>
                <w:b/>
                <w:bCs/>
                <w:kern w:val="0"/>
                <w:sz w:val="24"/>
              </w:rPr>
              <w:t>名称</w:t>
            </w:r>
          </w:p>
        </w:tc>
        <w:tc>
          <w:tcPr>
            <w:tcW w:w="389" w:type="pct"/>
            <w:shd w:val="clear" w:color="auto" w:fill="FFFFFF"/>
            <w:noWrap w:val="0"/>
            <w:vAlign w:val="center"/>
          </w:tcPr>
          <w:p w14:paraId="0C7AF777">
            <w:pPr>
              <w:widowControl/>
              <w:spacing w:before="24" w:beforeLines="10" w:after="24" w:afterLines="10" w:line="300" w:lineRule="auto"/>
              <w:jc w:val="center"/>
              <w:rPr>
                <w:rFonts w:hint="eastAsia" w:ascii="幼圆" w:hAnsi="宋体" w:eastAsia="幼圆" w:cs="宋体"/>
                <w:b/>
                <w:bCs/>
                <w:kern w:val="0"/>
                <w:sz w:val="24"/>
              </w:rPr>
            </w:pPr>
            <w:r>
              <w:rPr>
                <w:rFonts w:hint="eastAsia" w:ascii="幼圆" w:hAnsi="宋体" w:eastAsia="幼圆" w:cs="宋体"/>
                <w:b/>
                <w:bCs/>
                <w:kern w:val="0"/>
                <w:sz w:val="24"/>
              </w:rPr>
              <w:t>起止点/位置</w:t>
            </w:r>
          </w:p>
        </w:tc>
        <w:tc>
          <w:tcPr>
            <w:tcW w:w="247" w:type="pct"/>
            <w:shd w:val="clear" w:color="auto" w:fill="FFFFFF"/>
            <w:noWrap w:val="0"/>
            <w:vAlign w:val="center"/>
          </w:tcPr>
          <w:p w14:paraId="65CC47A5">
            <w:pPr>
              <w:widowControl/>
              <w:spacing w:before="24" w:beforeLines="10" w:after="24" w:afterLines="10" w:line="300" w:lineRule="auto"/>
              <w:jc w:val="center"/>
              <w:rPr>
                <w:rFonts w:hint="eastAsia" w:ascii="幼圆" w:hAnsi="宋体" w:eastAsia="幼圆" w:cs="宋体"/>
                <w:b/>
                <w:bCs/>
                <w:kern w:val="0"/>
                <w:sz w:val="24"/>
              </w:rPr>
            </w:pPr>
            <w:r>
              <w:rPr>
                <w:rFonts w:hint="eastAsia" w:ascii="幼圆" w:hAnsi="宋体" w:eastAsia="幼圆" w:cs="宋体"/>
                <w:b/>
                <w:bCs/>
                <w:kern w:val="0"/>
                <w:sz w:val="24"/>
              </w:rPr>
              <w:t>长度</w:t>
            </w:r>
            <w:r>
              <w:rPr>
                <w:rFonts w:hint="eastAsia" w:ascii="幼圆" w:hAnsi="宋体" w:eastAsia="幼圆" w:cs="宋体"/>
                <w:b/>
                <w:bCs/>
                <w:kern w:val="0"/>
                <w:sz w:val="24"/>
                <w:lang w:eastAsia="zh-CN"/>
              </w:rPr>
              <w:t>（</w:t>
            </w:r>
            <w:r>
              <w:rPr>
                <w:rFonts w:hint="eastAsia" w:ascii="幼圆" w:hAnsi="宋体" w:eastAsia="幼圆" w:cs="宋体"/>
                <w:b/>
                <w:bCs/>
                <w:kern w:val="0"/>
                <w:sz w:val="24"/>
              </w:rPr>
              <w:t>m</w:t>
            </w:r>
            <w:r>
              <w:rPr>
                <w:rFonts w:hint="eastAsia" w:ascii="幼圆" w:hAnsi="宋体" w:eastAsia="幼圆" w:cs="宋体"/>
                <w:b/>
                <w:bCs/>
                <w:kern w:val="0"/>
                <w:sz w:val="24"/>
                <w:lang w:eastAsia="zh-CN"/>
              </w:rPr>
              <w:t>）</w:t>
            </w:r>
          </w:p>
        </w:tc>
        <w:tc>
          <w:tcPr>
            <w:tcW w:w="247" w:type="pct"/>
            <w:shd w:val="clear" w:color="auto" w:fill="FFFFFF"/>
            <w:noWrap/>
            <w:vAlign w:val="center"/>
          </w:tcPr>
          <w:p w14:paraId="6F760ED0">
            <w:pPr>
              <w:widowControl/>
              <w:spacing w:before="24" w:beforeLines="10" w:after="24" w:afterLines="10" w:line="300" w:lineRule="auto"/>
              <w:jc w:val="center"/>
              <w:rPr>
                <w:rFonts w:ascii="幼圆" w:hAnsi="宋体" w:eastAsia="幼圆" w:cs="宋体"/>
                <w:b/>
                <w:bCs/>
                <w:kern w:val="0"/>
                <w:sz w:val="24"/>
              </w:rPr>
            </w:pPr>
            <w:r>
              <w:rPr>
                <w:rFonts w:hint="eastAsia" w:ascii="幼圆" w:hAnsi="宋体" w:eastAsia="幼圆" w:cs="宋体"/>
                <w:b/>
                <w:bCs/>
                <w:kern w:val="0"/>
                <w:sz w:val="24"/>
              </w:rPr>
              <w:t>经营商品属性</w:t>
            </w:r>
          </w:p>
        </w:tc>
        <w:tc>
          <w:tcPr>
            <w:tcW w:w="248" w:type="pct"/>
            <w:shd w:val="clear" w:color="auto" w:fill="FFFFFF"/>
            <w:noWrap/>
            <w:vAlign w:val="center"/>
          </w:tcPr>
          <w:p w14:paraId="2BA62C7C">
            <w:pPr>
              <w:widowControl/>
              <w:spacing w:before="24" w:beforeLines="10" w:after="24" w:afterLines="10" w:line="300" w:lineRule="auto"/>
              <w:jc w:val="center"/>
              <w:rPr>
                <w:rFonts w:ascii="幼圆" w:hAnsi="宋体" w:eastAsia="幼圆" w:cs="宋体"/>
                <w:b/>
                <w:bCs/>
                <w:kern w:val="0"/>
                <w:sz w:val="24"/>
              </w:rPr>
            </w:pPr>
            <w:r>
              <w:rPr>
                <w:rFonts w:hint="eastAsia" w:ascii="幼圆" w:hAnsi="宋体" w:eastAsia="幼圆" w:cs="宋体"/>
                <w:b/>
                <w:bCs/>
                <w:kern w:val="0"/>
                <w:sz w:val="24"/>
              </w:rPr>
              <w:t>交通组织形式</w:t>
            </w:r>
          </w:p>
        </w:tc>
        <w:tc>
          <w:tcPr>
            <w:tcW w:w="282" w:type="pct"/>
            <w:shd w:val="clear" w:color="auto" w:fill="FFFFFF"/>
            <w:noWrap/>
            <w:vAlign w:val="center"/>
          </w:tcPr>
          <w:p w14:paraId="3DED3155">
            <w:pPr>
              <w:widowControl/>
              <w:spacing w:before="24" w:beforeLines="10" w:after="24" w:afterLines="10" w:line="300" w:lineRule="auto"/>
              <w:jc w:val="center"/>
              <w:rPr>
                <w:rFonts w:hint="eastAsia" w:ascii="幼圆" w:hAnsi="宋体" w:eastAsia="幼圆" w:cs="宋体"/>
                <w:b/>
                <w:bCs/>
                <w:kern w:val="0"/>
                <w:sz w:val="24"/>
              </w:rPr>
            </w:pPr>
            <w:r>
              <w:rPr>
                <w:rFonts w:hint="eastAsia" w:ascii="幼圆" w:hAnsi="宋体" w:eastAsia="幼圆" w:cs="宋体"/>
                <w:b/>
                <w:bCs/>
                <w:kern w:val="0"/>
                <w:sz w:val="24"/>
              </w:rPr>
              <w:t>主力</w:t>
            </w:r>
          </w:p>
          <w:p w14:paraId="412099ED">
            <w:pPr>
              <w:widowControl/>
              <w:spacing w:before="24" w:beforeLines="10" w:after="24" w:afterLines="10" w:line="300" w:lineRule="auto"/>
              <w:jc w:val="center"/>
              <w:rPr>
                <w:rFonts w:ascii="幼圆" w:hAnsi="宋体" w:eastAsia="幼圆" w:cs="宋体"/>
                <w:b/>
                <w:bCs/>
                <w:kern w:val="0"/>
                <w:sz w:val="24"/>
              </w:rPr>
            </w:pPr>
            <w:r>
              <w:rPr>
                <w:rFonts w:hint="eastAsia" w:ascii="幼圆" w:hAnsi="宋体" w:eastAsia="幼圆" w:cs="宋体"/>
                <w:b/>
                <w:bCs/>
                <w:kern w:val="0"/>
                <w:sz w:val="24"/>
              </w:rPr>
              <w:t>业种</w:t>
            </w:r>
          </w:p>
        </w:tc>
        <w:tc>
          <w:tcPr>
            <w:tcW w:w="212" w:type="pct"/>
            <w:shd w:val="clear" w:color="auto" w:fill="FFFFFF"/>
            <w:noWrap w:val="0"/>
            <w:vAlign w:val="center"/>
          </w:tcPr>
          <w:p w14:paraId="74202630">
            <w:pPr>
              <w:widowControl/>
              <w:spacing w:before="24" w:beforeLines="10" w:after="24" w:afterLines="10" w:line="300" w:lineRule="auto"/>
              <w:jc w:val="center"/>
              <w:rPr>
                <w:rFonts w:ascii="幼圆" w:hAnsi="宋体" w:eastAsia="幼圆" w:cs="宋体"/>
                <w:b/>
                <w:bCs/>
                <w:kern w:val="0"/>
                <w:sz w:val="24"/>
              </w:rPr>
            </w:pPr>
            <w:r>
              <w:rPr>
                <w:rFonts w:hint="eastAsia" w:ascii="幼圆" w:hAnsi="宋体" w:eastAsia="幼圆" w:cs="宋体"/>
                <w:b/>
                <w:bCs/>
                <w:kern w:val="0"/>
                <w:sz w:val="24"/>
              </w:rPr>
              <w:t>规划时序</w:t>
            </w:r>
          </w:p>
        </w:tc>
        <w:tc>
          <w:tcPr>
            <w:tcW w:w="2818" w:type="pct"/>
            <w:shd w:val="clear" w:color="auto" w:fill="FFFFFF"/>
            <w:noWrap w:val="0"/>
            <w:vAlign w:val="center"/>
          </w:tcPr>
          <w:p w14:paraId="22A6FEC8">
            <w:pPr>
              <w:widowControl/>
              <w:spacing w:before="24" w:beforeLines="10" w:after="24" w:afterLines="10" w:line="300" w:lineRule="auto"/>
              <w:jc w:val="center"/>
              <w:rPr>
                <w:rFonts w:hint="eastAsia" w:ascii="幼圆" w:hAnsi="宋体" w:eastAsia="幼圆" w:cs="宋体"/>
                <w:b/>
                <w:bCs/>
                <w:kern w:val="0"/>
                <w:sz w:val="24"/>
              </w:rPr>
            </w:pPr>
            <w:r>
              <w:rPr>
                <w:rFonts w:hint="eastAsia" w:ascii="幼圆" w:hAnsi="宋体" w:eastAsia="幼圆" w:cs="宋体"/>
                <w:b/>
                <w:bCs/>
                <w:kern w:val="0"/>
                <w:sz w:val="24"/>
              </w:rPr>
              <w:t>规划指引</w:t>
            </w:r>
          </w:p>
        </w:tc>
      </w:tr>
      <w:tr w14:paraId="3153B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68" w:type="pct"/>
            <w:shd w:val="clear" w:color="auto" w:fill="FFFFFF"/>
            <w:noWrap w:val="0"/>
            <w:vAlign w:val="center"/>
          </w:tcPr>
          <w:p w14:paraId="441F8C01">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1</w:t>
            </w:r>
          </w:p>
        </w:tc>
        <w:tc>
          <w:tcPr>
            <w:tcW w:w="389" w:type="pct"/>
            <w:shd w:val="clear" w:color="auto" w:fill="FFFFFF"/>
            <w:noWrap/>
            <w:vAlign w:val="center"/>
          </w:tcPr>
          <w:p w14:paraId="41DAAE70">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二马路商业街</w:t>
            </w:r>
          </w:p>
        </w:tc>
        <w:tc>
          <w:tcPr>
            <w:tcW w:w="389" w:type="pct"/>
            <w:shd w:val="clear" w:color="auto" w:fill="FFFFFF"/>
            <w:noWrap w:val="0"/>
            <w:vAlign w:val="center"/>
          </w:tcPr>
          <w:p w14:paraId="0DCAA1F2">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汕尾大道至友谊路</w:t>
            </w:r>
          </w:p>
        </w:tc>
        <w:tc>
          <w:tcPr>
            <w:tcW w:w="247" w:type="pct"/>
            <w:shd w:val="clear" w:color="auto" w:fill="FFFFFF"/>
            <w:noWrap w:val="0"/>
            <w:vAlign w:val="center"/>
          </w:tcPr>
          <w:p w14:paraId="419465CF">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1100</w:t>
            </w:r>
          </w:p>
        </w:tc>
        <w:tc>
          <w:tcPr>
            <w:tcW w:w="247" w:type="pct"/>
            <w:shd w:val="clear" w:color="auto" w:fill="FFFFFF"/>
            <w:noWrap/>
            <w:vAlign w:val="center"/>
          </w:tcPr>
          <w:p w14:paraId="2C7764CF">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综合性</w:t>
            </w:r>
          </w:p>
        </w:tc>
        <w:tc>
          <w:tcPr>
            <w:tcW w:w="248" w:type="pct"/>
            <w:shd w:val="clear" w:color="auto" w:fill="FFFFFF"/>
            <w:noWrap/>
            <w:vAlign w:val="center"/>
          </w:tcPr>
          <w:p w14:paraId="40A2001E">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混行</w:t>
            </w:r>
          </w:p>
        </w:tc>
        <w:tc>
          <w:tcPr>
            <w:tcW w:w="282" w:type="pct"/>
            <w:shd w:val="clear" w:color="auto" w:fill="FFFFFF"/>
            <w:noWrap/>
            <w:vAlign w:val="center"/>
          </w:tcPr>
          <w:p w14:paraId="10ECA4AE">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婚纱、服饰、餐饮</w:t>
            </w:r>
          </w:p>
        </w:tc>
        <w:tc>
          <w:tcPr>
            <w:tcW w:w="212" w:type="pct"/>
            <w:shd w:val="clear" w:color="auto" w:fill="FFFFFF"/>
            <w:noWrap w:val="0"/>
            <w:vAlign w:val="center"/>
          </w:tcPr>
          <w:p w14:paraId="68576656">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近期</w:t>
            </w:r>
          </w:p>
        </w:tc>
        <w:tc>
          <w:tcPr>
            <w:tcW w:w="2818" w:type="pct"/>
            <w:shd w:val="clear" w:color="auto" w:fill="FFFFFF"/>
            <w:noWrap w:val="0"/>
            <w:vAlign w:val="center"/>
          </w:tcPr>
          <w:p w14:paraId="29651E20">
            <w:pPr>
              <w:widowControl/>
              <w:numPr>
                <w:ilvl w:val="0"/>
                <w:numId w:val="39"/>
              </w:numPr>
              <w:spacing w:before="24" w:beforeLines="10" w:after="24" w:afterLines="10" w:line="300" w:lineRule="auto"/>
              <w:jc w:val="left"/>
              <w:rPr>
                <w:rFonts w:hint="eastAsia" w:ascii="幼圆" w:eastAsia="幼圆"/>
                <w:sz w:val="24"/>
              </w:rPr>
            </w:pPr>
            <w:r>
              <w:rPr>
                <w:rFonts w:hint="eastAsia" w:ascii="幼圆" w:hAnsi="宋体" w:eastAsia="幼圆" w:cs="宋体"/>
                <w:kern w:val="0"/>
                <w:sz w:val="24"/>
              </w:rPr>
              <w:t>功能定位：汕尾市</w:t>
            </w:r>
            <w:r>
              <w:rPr>
                <w:rFonts w:hint="eastAsia" w:ascii="幼圆" w:eastAsia="幼圆"/>
                <w:sz w:val="24"/>
              </w:rPr>
              <w:t>最具影响力的商业街区之一，集婚纱、休闲购物、餐饮娱乐</w:t>
            </w:r>
            <w:r>
              <w:rPr>
                <w:rFonts w:hint="eastAsia" w:ascii="幼圆" w:eastAsia="幼圆"/>
                <w:sz w:val="24"/>
                <w:lang w:eastAsia="zh-CN"/>
              </w:rPr>
              <w:t>等</w:t>
            </w:r>
            <w:r>
              <w:rPr>
                <w:rFonts w:hint="eastAsia" w:ascii="幼圆" w:eastAsia="幼圆"/>
                <w:sz w:val="24"/>
              </w:rPr>
              <w:t>功能于一体的综合性商业街，是城市传统商业中心的核心空间。</w:t>
            </w:r>
          </w:p>
          <w:p w14:paraId="0D885038">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业态组合：以婚纱、国内外知名品牌服饰、餐饮等业态为主，辅助发展休闲娱乐、休闲餐饮、小吃等休闲型商业业态。</w:t>
            </w:r>
          </w:p>
          <w:p w14:paraId="0655190D">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规划布局：规划将婚纱摄影、服饰和餐饮分段布局，打造成为汕尾市最具影响力的现代化综合性商业街。其中</w:t>
            </w:r>
            <w:r>
              <w:rPr>
                <w:rFonts w:hint="eastAsia" w:ascii="幼圆" w:eastAsia="幼圆"/>
                <w:sz w:val="24"/>
                <w:lang w:eastAsia="zh-CN"/>
              </w:rPr>
              <w:t>，将</w:t>
            </w:r>
            <w:r>
              <w:rPr>
                <w:rFonts w:hint="eastAsia" w:ascii="幼圆" w:eastAsia="幼圆"/>
                <w:sz w:val="24"/>
              </w:rPr>
              <w:t>汕尾大道至文明路段打造成为汕尾市具有风格魅力的婚纱摄影街，通过对沿线的商业街进行改造，布局婚纱销售、租赁、婚纱摄影、婚礼策划等商业业态，提升商业街的活力；文明路至联兴街段为服饰商业街，以国内外知名品牌服饰专业店、专卖店等为主，休闲餐饮为辅，并逐步迁转商业街沿线的家居建材等与服饰商业街发展相违背的商业业态，整治现状混乱的交通条件，优化购物环境；联兴街至友谊路段为特色餐饮街，以发展具有地方特色的快餐、小吃等类型餐饮为主，优化提升现状餐饮网点，改善餐饮街的经营环境。</w:t>
            </w:r>
          </w:p>
        </w:tc>
      </w:tr>
      <w:tr w14:paraId="6A956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68" w:type="pct"/>
            <w:shd w:val="clear" w:color="auto" w:fill="FFFFFF"/>
            <w:noWrap w:val="0"/>
            <w:vAlign w:val="center"/>
          </w:tcPr>
          <w:p w14:paraId="69DC159E">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2</w:t>
            </w:r>
          </w:p>
        </w:tc>
        <w:tc>
          <w:tcPr>
            <w:tcW w:w="389" w:type="pct"/>
            <w:shd w:val="clear" w:color="auto" w:fill="FFFFFF"/>
            <w:noWrap/>
            <w:vAlign w:val="center"/>
          </w:tcPr>
          <w:p w14:paraId="45FC1BAC">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三马路商业步行街</w:t>
            </w:r>
          </w:p>
        </w:tc>
        <w:tc>
          <w:tcPr>
            <w:tcW w:w="389" w:type="pct"/>
            <w:shd w:val="clear" w:color="auto" w:fill="FFFFFF"/>
            <w:noWrap w:val="0"/>
            <w:vAlign w:val="center"/>
          </w:tcPr>
          <w:p w14:paraId="0B2CB913">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文明路至友谊路</w:t>
            </w:r>
          </w:p>
        </w:tc>
        <w:tc>
          <w:tcPr>
            <w:tcW w:w="247" w:type="pct"/>
            <w:shd w:val="clear" w:color="auto" w:fill="FFFFFF"/>
            <w:noWrap w:val="0"/>
            <w:vAlign w:val="center"/>
          </w:tcPr>
          <w:p w14:paraId="5271CEBE">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650</w:t>
            </w:r>
          </w:p>
        </w:tc>
        <w:tc>
          <w:tcPr>
            <w:tcW w:w="247" w:type="pct"/>
            <w:shd w:val="clear" w:color="auto" w:fill="FFFFFF"/>
            <w:noWrap/>
            <w:vAlign w:val="center"/>
          </w:tcPr>
          <w:p w14:paraId="6CA66161">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专业性</w:t>
            </w:r>
          </w:p>
        </w:tc>
        <w:tc>
          <w:tcPr>
            <w:tcW w:w="248" w:type="pct"/>
            <w:shd w:val="clear" w:color="auto" w:fill="FFFFFF"/>
            <w:noWrap/>
            <w:vAlign w:val="center"/>
          </w:tcPr>
          <w:p w14:paraId="05DC60A0">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步行</w:t>
            </w:r>
          </w:p>
        </w:tc>
        <w:tc>
          <w:tcPr>
            <w:tcW w:w="282" w:type="pct"/>
            <w:shd w:val="clear" w:color="auto" w:fill="FFFFFF"/>
            <w:noWrap/>
            <w:vAlign w:val="center"/>
          </w:tcPr>
          <w:p w14:paraId="6C48C0C9">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服饰</w:t>
            </w:r>
          </w:p>
        </w:tc>
        <w:tc>
          <w:tcPr>
            <w:tcW w:w="212" w:type="pct"/>
            <w:shd w:val="clear" w:color="auto" w:fill="FFFFFF"/>
            <w:noWrap w:val="0"/>
            <w:vAlign w:val="center"/>
          </w:tcPr>
          <w:p w14:paraId="5297AF4B">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近期</w:t>
            </w:r>
          </w:p>
        </w:tc>
        <w:tc>
          <w:tcPr>
            <w:tcW w:w="2818" w:type="pct"/>
            <w:shd w:val="clear" w:color="auto" w:fill="FFFFFF"/>
            <w:noWrap w:val="0"/>
            <w:vAlign w:val="center"/>
          </w:tcPr>
          <w:p w14:paraId="6B21B5B4">
            <w:pPr>
              <w:widowControl/>
              <w:numPr>
                <w:ilvl w:val="0"/>
                <w:numId w:val="39"/>
              </w:numPr>
              <w:spacing w:before="24" w:beforeLines="10" w:after="24" w:afterLines="10" w:line="300" w:lineRule="auto"/>
              <w:jc w:val="left"/>
              <w:rPr>
                <w:rFonts w:hint="eastAsia" w:ascii="幼圆" w:eastAsia="幼圆"/>
                <w:sz w:val="24"/>
              </w:rPr>
            </w:pPr>
            <w:r>
              <w:rPr>
                <w:rFonts w:hint="eastAsia" w:ascii="幼圆" w:hAnsi="宋体" w:eastAsia="幼圆" w:cs="宋体"/>
                <w:kern w:val="0"/>
                <w:sz w:val="24"/>
              </w:rPr>
              <w:t>功能定位：汕尾市最具特色的商业步行街，是展示汕尾骑楼商业文化的展示窗口、城市名片，是</w:t>
            </w:r>
            <w:r>
              <w:rPr>
                <w:rFonts w:hint="eastAsia" w:ascii="幼圆" w:eastAsia="幼圆"/>
                <w:sz w:val="24"/>
              </w:rPr>
              <w:t>汕尾城区传统商业中心的重要组成功能单元</w:t>
            </w:r>
            <w:r>
              <w:rPr>
                <w:rFonts w:hint="eastAsia" w:ascii="幼圆" w:hAnsi="宋体" w:eastAsia="幼圆" w:cs="宋体"/>
                <w:kern w:val="0"/>
                <w:sz w:val="24"/>
              </w:rPr>
              <w:t>，以品牌服饰购物为主，辅助发展休闲餐饮业态</w:t>
            </w:r>
            <w:r>
              <w:rPr>
                <w:rFonts w:hint="eastAsia" w:ascii="幼圆" w:eastAsia="幼圆"/>
                <w:sz w:val="24"/>
              </w:rPr>
              <w:t>。</w:t>
            </w:r>
          </w:p>
          <w:p w14:paraId="046D7CA2">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业态组合：以国内外一二线品牌专业店、专卖店、战略店为主要服饰零售业态，适当配套发展地方历史文化展览设施、休闲餐饮等服务业态。</w:t>
            </w:r>
          </w:p>
          <w:p w14:paraId="692D5776">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规划布局：禁止车辆通过商业街，整治改造商业街的入口节点，强化商业街的入口标识；充分利用骑楼商业街现状，引入知名品牌服饰的专业店、专卖店等，提升商业街的等级和知名度；结合安美祖庙、关帝庙，适当配置展示地方历史特色和历史文化的展览设施，增加商业街的氛围；适当发展休闲餐饮、便利店等网点，同时应增设休闲休憩设施，为消费者提供舒适的休憩环境；综合整治商业街的景观环境，沿街增设垃圾箱等环境设施，改善购物环境。</w:t>
            </w:r>
          </w:p>
        </w:tc>
      </w:tr>
      <w:tr w14:paraId="57AA0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68" w:type="pct"/>
            <w:shd w:val="clear" w:color="auto" w:fill="FFFFFF"/>
            <w:noWrap w:val="0"/>
            <w:vAlign w:val="center"/>
          </w:tcPr>
          <w:p w14:paraId="4BD6316B">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3</w:t>
            </w:r>
          </w:p>
        </w:tc>
        <w:tc>
          <w:tcPr>
            <w:tcW w:w="389" w:type="pct"/>
            <w:shd w:val="clear" w:color="auto" w:fill="FFFFFF"/>
            <w:noWrap/>
            <w:vAlign w:val="center"/>
          </w:tcPr>
          <w:p w14:paraId="7B536410">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掇鸟街商业街</w:t>
            </w:r>
          </w:p>
        </w:tc>
        <w:tc>
          <w:tcPr>
            <w:tcW w:w="389" w:type="pct"/>
            <w:shd w:val="clear" w:color="auto" w:fill="FFFFFF"/>
            <w:noWrap w:val="0"/>
            <w:vAlign w:val="center"/>
          </w:tcPr>
          <w:p w14:paraId="4E2D6BCB">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海滨大道至二马路</w:t>
            </w:r>
          </w:p>
        </w:tc>
        <w:tc>
          <w:tcPr>
            <w:tcW w:w="247" w:type="pct"/>
            <w:shd w:val="clear" w:color="auto" w:fill="FFFFFF"/>
            <w:noWrap w:val="0"/>
            <w:vAlign w:val="center"/>
          </w:tcPr>
          <w:p w14:paraId="4639280C">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250</w:t>
            </w:r>
          </w:p>
        </w:tc>
        <w:tc>
          <w:tcPr>
            <w:tcW w:w="247" w:type="pct"/>
            <w:shd w:val="clear" w:color="auto" w:fill="FFFFFF"/>
            <w:noWrap/>
            <w:vAlign w:val="center"/>
          </w:tcPr>
          <w:p w14:paraId="695AD3AE">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专业性</w:t>
            </w:r>
          </w:p>
        </w:tc>
        <w:tc>
          <w:tcPr>
            <w:tcW w:w="248" w:type="pct"/>
            <w:shd w:val="clear" w:color="auto" w:fill="FFFFFF"/>
            <w:noWrap/>
            <w:vAlign w:val="center"/>
          </w:tcPr>
          <w:p w14:paraId="6E1B5543">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步行</w:t>
            </w:r>
          </w:p>
        </w:tc>
        <w:tc>
          <w:tcPr>
            <w:tcW w:w="282" w:type="pct"/>
            <w:shd w:val="clear" w:color="auto" w:fill="FFFFFF"/>
            <w:noWrap/>
            <w:vAlign w:val="center"/>
          </w:tcPr>
          <w:p w14:paraId="7B00EC8B">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海味、特产</w:t>
            </w:r>
          </w:p>
        </w:tc>
        <w:tc>
          <w:tcPr>
            <w:tcW w:w="212" w:type="pct"/>
            <w:shd w:val="clear" w:color="auto" w:fill="FFFFFF"/>
            <w:noWrap w:val="0"/>
            <w:vAlign w:val="center"/>
          </w:tcPr>
          <w:p w14:paraId="0B793C92">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近期</w:t>
            </w:r>
          </w:p>
        </w:tc>
        <w:tc>
          <w:tcPr>
            <w:tcW w:w="2818" w:type="pct"/>
            <w:shd w:val="clear" w:color="auto" w:fill="FFFFFF"/>
            <w:noWrap w:val="0"/>
            <w:vAlign w:val="center"/>
          </w:tcPr>
          <w:p w14:paraId="1646C228">
            <w:pPr>
              <w:widowControl/>
              <w:numPr>
                <w:ilvl w:val="0"/>
                <w:numId w:val="39"/>
              </w:numPr>
              <w:spacing w:before="24" w:beforeLines="10" w:after="24" w:afterLines="10" w:line="300" w:lineRule="auto"/>
              <w:jc w:val="left"/>
              <w:rPr>
                <w:rFonts w:hint="eastAsia" w:ascii="幼圆" w:hAnsi="宋体" w:eastAsia="幼圆" w:cs="宋体"/>
                <w:kern w:val="0"/>
                <w:sz w:val="24"/>
              </w:rPr>
            </w:pPr>
            <w:r>
              <w:rPr>
                <w:rFonts w:hint="eastAsia" w:ascii="幼圆" w:hAnsi="宋体" w:eastAsia="幼圆" w:cs="宋体"/>
                <w:kern w:val="0"/>
                <w:sz w:val="24"/>
              </w:rPr>
              <w:t>功能定位：汕尾市最具知名度的地方特产展示、体验、购物于一体的特色旅游商贸街之一，汕尾城区传统商业中心</w:t>
            </w:r>
            <w:r>
              <w:rPr>
                <w:rFonts w:hint="eastAsia" w:ascii="幼圆" w:eastAsia="幼圆"/>
                <w:sz w:val="24"/>
              </w:rPr>
              <w:t>的特色组成功能单元。</w:t>
            </w:r>
          </w:p>
          <w:p w14:paraId="617D4709">
            <w:pPr>
              <w:widowControl/>
              <w:numPr>
                <w:ilvl w:val="0"/>
                <w:numId w:val="39"/>
              </w:numPr>
              <w:spacing w:before="24" w:beforeLines="10" w:after="24" w:afterLines="10" w:line="300" w:lineRule="auto"/>
              <w:jc w:val="left"/>
              <w:rPr>
                <w:rFonts w:hint="eastAsia" w:ascii="幼圆" w:hAnsi="宋体" w:eastAsia="幼圆" w:cs="宋体"/>
                <w:kern w:val="0"/>
                <w:sz w:val="24"/>
              </w:rPr>
            </w:pPr>
            <w:r>
              <w:rPr>
                <w:rFonts w:hint="eastAsia" w:ascii="幼圆" w:eastAsia="幼圆"/>
                <w:sz w:val="24"/>
              </w:rPr>
              <w:t>业态组合：以海味、地方特产零售为主导业态，配套发展地方风味小吃、特色餐饮等服务设施的业态结构。</w:t>
            </w:r>
          </w:p>
          <w:p w14:paraId="00400170">
            <w:pPr>
              <w:widowControl/>
              <w:numPr>
                <w:ilvl w:val="0"/>
                <w:numId w:val="39"/>
              </w:numPr>
              <w:spacing w:before="24" w:beforeLines="10" w:after="24" w:afterLines="10" w:line="300" w:lineRule="auto"/>
              <w:jc w:val="left"/>
              <w:rPr>
                <w:rFonts w:ascii="幼圆" w:eastAsia="幼圆"/>
                <w:sz w:val="24"/>
              </w:rPr>
            </w:pPr>
            <w:r>
              <w:rPr>
                <w:rFonts w:hint="eastAsia" w:ascii="幼圆" w:eastAsia="幼圆"/>
                <w:sz w:val="24"/>
              </w:rPr>
              <w:t>规划布局：逐步迁出现状二马路南侧的社区商业，提纯旅游商贸街的纯度，合理控制与旅游商贸街无关的商业规模；提升特色商业街的商业氛围，沿街集中布局海味、地方特产、具有地方特色的餐饮小吃等商业网点；其中大马路至二马路段为海味商业步行街，禁止车辆通过，大马路至海滨大道段为地方特产、特色小吃等网点类型，同时与友谊渡口及滨海景观带进行有效衔接，将休闲旅游度假人口与商业街进行无缝衔接，构建特色旅游商贸街。</w:t>
            </w:r>
          </w:p>
        </w:tc>
      </w:tr>
      <w:tr w14:paraId="72255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68" w:type="pct"/>
            <w:shd w:val="clear" w:color="auto" w:fill="FFFFFF"/>
            <w:noWrap w:val="0"/>
            <w:vAlign w:val="center"/>
          </w:tcPr>
          <w:p w14:paraId="375E5075">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4</w:t>
            </w:r>
          </w:p>
        </w:tc>
        <w:tc>
          <w:tcPr>
            <w:tcW w:w="389" w:type="pct"/>
            <w:shd w:val="clear" w:color="auto" w:fill="FFFFFF"/>
            <w:noWrap/>
            <w:vAlign w:val="center"/>
          </w:tcPr>
          <w:p w14:paraId="6674374C">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文明路商业街</w:t>
            </w:r>
          </w:p>
        </w:tc>
        <w:tc>
          <w:tcPr>
            <w:tcW w:w="389" w:type="pct"/>
            <w:shd w:val="clear" w:color="auto" w:fill="FFFFFF"/>
            <w:noWrap w:val="0"/>
            <w:vAlign w:val="center"/>
          </w:tcPr>
          <w:p w14:paraId="2B3CE321">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四马路至大马路</w:t>
            </w:r>
          </w:p>
        </w:tc>
        <w:tc>
          <w:tcPr>
            <w:tcW w:w="247" w:type="pct"/>
            <w:shd w:val="clear" w:color="auto" w:fill="FFFFFF"/>
            <w:noWrap w:val="0"/>
            <w:vAlign w:val="center"/>
          </w:tcPr>
          <w:p w14:paraId="7CCD52B6">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650</w:t>
            </w:r>
          </w:p>
        </w:tc>
        <w:tc>
          <w:tcPr>
            <w:tcW w:w="247" w:type="pct"/>
            <w:shd w:val="clear" w:color="auto" w:fill="FFFFFF"/>
            <w:noWrap/>
            <w:vAlign w:val="center"/>
          </w:tcPr>
          <w:p w14:paraId="18D07122">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综合性</w:t>
            </w:r>
          </w:p>
        </w:tc>
        <w:tc>
          <w:tcPr>
            <w:tcW w:w="248" w:type="pct"/>
            <w:shd w:val="clear" w:color="auto" w:fill="FFFFFF"/>
            <w:noWrap/>
            <w:vAlign w:val="center"/>
          </w:tcPr>
          <w:p w14:paraId="28F53D59">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混行</w:t>
            </w:r>
          </w:p>
        </w:tc>
        <w:tc>
          <w:tcPr>
            <w:tcW w:w="282" w:type="pct"/>
            <w:shd w:val="clear" w:color="auto" w:fill="FFFFFF"/>
            <w:noWrap/>
            <w:vAlign w:val="center"/>
          </w:tcPr>
          <w:p w14:paraId="26EA0A34">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服饰、餐饮、酒店</w:t>
            </w:r>
          </w:p>
        </w:tc>
        <w:tc>
          <w:tcPr>
            <w:tcW w:w="212" w:type="pct"/>
            <w:shd w:val="clear" w:color="auto" w:fill="FFFFFF"/>
            <w:noWrap w:val="0"/>
            <w:vAlign w:val="center"/>
          </w:tcPr>
          <w:p w14:paraId="1977FA87">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近期</w:t>
            </w:r>
          </w:p>
        </w:tc>
        <w:tc>
          <w:tcPr>
            <w:tcW w:w="2818" w:type="pct"/>
            <w:shd w:val="clear" w:color="auto" w:fill="FFFFFF"/>
            <w:noWrap w:val="0"/>
            <w:vAlign w:val="center"/>
          </w:tcPr>
          <w:p w14:paraId="741E7BC4">
            <w:pPr>
              <w:widowControl/>
              <w:numPr>
                <w:ilvl w:val="0"/>
                <w:numId w:val="40"/>
              </w:numPr>
              <w:spacing w:before="24" w:beforeLines="10" w:after="24" w:afterLines="10" w:line="300" w:lineRule="auto"/>
              <w:jc w:val="left"/>
              <w:rPr>
                <w:rFonts w:hint="eastAsia" w:ascii="幼圆" w:hAnsi="宋体" w:eastAsia="幼圆" w:cs="宋体"/>
                <w:kern w:val="0"/>
                <w:sz w:val="24"/>
              </w:rPr>
            </w:pPr>
            <w:r>
              <w:rPr>
                <w:rFonts w:hint="eastAsia" w:ascii="幼圆" w:hAnsi="宋体" w:eastAsia="幼圆" w:cs="宋体"/>
                <w:kern w:val="0"/>
                <w:sz w:val="24"/>
              </w:rPr>
              <w:t>功能定位：汕尾市集服饰零售、餐饮娱乐、酒店等功能于一体的综合性商业街，是汕尾老城区传统商业中心的重要组成部分。</w:t>
            </w:r>
          </w:p>
          <w:p w14:paraId="6C4DD861">
            <w:pPr>
              <w:widowControl/>
              <w:numPr>
                <w:ilvl w:val="0"/>
                <w:numId w:val="40"/>
              </w:numPr>
              <w:spacing w:before="24" w:beforeLines="10" w:after="24" w:afterLines="10" w:line="300" w:lineRule="auto"/>
              <w:jc w:val="left"/>
              <w:rPr>
                <w:rFonts w:hint="eastAsia" w:ascii="幼圆" w:hAnsi="宋体" w:eastAsia="幼圆" w:cs="宋体"/>
                <w:kern w:val="0"/>
                <w:sz w:val="24"/>
              </w:rPr>
            </w:pPr>
            <w:r>
              <w:rPr>
                <w:rFonts w:hint="eastAsia" w:ascii="幼圆" w:eastAsia="幼圆"/>
                <w:sz w:val="24"/>
              </w:rPr>
              <w:t>业态组合：以专业店、专卖店等为主导业态，配套发展商务酒店、特色餐饮、娱乐会所等服务业态。</w:t>
            </w:r>
          </w:p>
          <w:p w14:paraId="26EF9131">
            <w:pPr>
              <w:widowControl/>
              <w:numPr>
                <w:ilvl w:val="0"/>
                <w:numId w:val="39"/>
              </w:numPr>
              <w:spacing w:before="24" w:beforeLines="10" w:after="24" w:afterLines="10" w:line="300" w:lineRule="auto"/>
              <w:jc w:val="left"/>
              <w:rPr>
                <w:rFonts w:ascii="幼圆" w:eastAsia="幼圆"/>
                <w:sz w:val="24"/>
              </w:rPr>
            </w:pPr>
            <w:r>
              <w:rPr>
                <w:rFonts w:hint="eastAsia" w:ascii="幼圆" w:eastAsia="幼圆"/>
                <w:sz w:val="24"/>
              </w:rPr>
              <w:t>规划布局：逐步迁转商业街沿线的家居建材、五金机电等类型商业；四马路至二马路段重点发展专业店、专卖店等商业网点，提升现状商业网点的规模和等级，另外适当布局连锁酒店、商务酒店、银行等网点；鼓励二马路至大马路段发展休闲餐饮、娱乐会所等休闲型商业。</w:t>
            </w:r>
          </w:p>
        </w:tc>
      </w:tr>
      <w:tr w14:paraId="76827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68" w:type="pct"/>
            <w:shd w:val="clear" w:color="auto" w:fill="FFFFFF"/>
            <w:noWrap w:val="0"/>
            <w:vAlign w:val="center"/>
          </w:tcPr>
          <w:p w14:paraId="52F65BD1">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5</w:t>
            </w:r>
          </w:p>
        </w:tc>
        <w:tc>
          <w:tcPr>
            <w:tcW w:w="389" w:type="pct"/>
            <w:shd w:val="clear" w:color="auto" w:fill="FFFFFF"/>
            <w:noWrap/>
            <w:vAlign w:val="center"/>
          </w:tcPr>
          <w:p w14:paraId="6648BCAC">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汕尾大道餐饮街</w:t>
            </w:r>
          </w:p>
        </w:tc>
        <w:tc>
          <w:tcPr>
            <w:tcW w:w="389" w:type="pct"/>
            <w:shd w:val="clear" w:color="auto" w:fill="FFFFFF"/>
            <w:noWrap w:val="0"/>
            <w:vAlign w:val="center"/>
          </w:tcPr>
          <w:p w14:paraId="5261ADFC">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二马路至海滨大道</w:t>
            </w:r>
          </w:p>
        </w:tc>
        <w:tc>
          <w:tcPr>
            <w:tcW w:w="247" w:type="pct"/>
            <w:shd w:val="clear" w:color="auto" w:fill="FFFFFF"/>
            <w:noWrap w:val="0"/>
            <w:vAlign w:val="center"/>
          </w:tcPr>
          <w:p w14:paraId="409EA300">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450</w:t>
            </w:r>
          </w:p>
        </w:tc>
        <w:tc>
          <w:tcPr>
            <w:tcW w:w="247" w:type="pct"/>
            <w:shd w:val="clear" w:color="auto" w:fill="FFFFFF"/>
            <w:noWrap/>
            <w:vAlign w:val="center"/>
          </w:tcPr>
          <w:p w14:paraId="270E4DA0">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专业性</w:t>
            </w:r>
          </w:p>
        </w:tc>
        <w:tc>
          <w:tcPr>
            <w:tcW w:w="248" w:type="pct"/>
            <w:shd w:val="clear" w:color="auto" w:fill="FFFFFF"/>
            <w:noWrap/>
            <w:vAlign w:val="center"/>
          </w:tcPr>
          <w:p w14:paraId="19B204D2">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混行</w:t>
            </w:r>
          </w:p>
        </w:tc>
        <w:tc>
          <w:tcPr>
            <w:tcW w:w="282" w:type="pct"/>
            <w:shd w:val="clear" w:color="auto" w:fill="FFFFFF"/>
            <w:noWrap/>
            <w:vAlign w:val="center"/>
          </w:tcPr>
          <w:p w14:paraId="149BD5B2">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连锁餐饮、主题餐厅</w:t>
            </w:r>
          </w:p>
        </w:tc>
        <w:tc>
          <w:tcPr>
            <w:tcW w:w="212" w:type="pct"/>
            <w:shd w:val="clear" w:color="auto" w:fill="FFFFFF"/>
            <w:noWrap w:val="0"/>
            <w:vAlign w:val="center"/>
          </w:tcPr>
          <w:p w14:paraId="51EDDC5A">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远期</w:t>
            </w:r>
          </w:p>
        </w:tc>
        <w:tc>
          <w:tcPr>
            <w:tcW w:w="2818" w:type="pct"/>
            <w:shd w:val="clear" w:color="auto" w:fill="FFFFFF"/>
            <w:noWrap w:val="0"/>
            <w:vAlign w:val="center"/>
          </w:tcPr>
          <w:p w14:paraId="3EB9DF79">
            <w:pPr>
              <w:widowControl/>
              <w:numPr>
                <w:ilvl w:val="0"/>
                <w:numId w:val="39"/>
              </w:numPr>
              <w:spacing w:before="24" w:beforeLines="10" w:after="24" w:afterLines="10" w:line="300" w:lineRule="auto"/>
              <w:jc w:val="left"/>
              <w:rPr>
                <w:rFonts w:hint="eastAsia" w:ascii="幼圆" w:hAnsi="宋体" w:eastAsia="幼圆" w:cs="宋体"/>
                <w:kern w:val="0"/>
                <w:sz w:val="24"/>
              </w:rPr>
            </w:pPr>
            <w:r>
              <w:rPr>
                <w:rFonts w:hint="eastAsia" w:ascii="幼圆" w:hAnsi="宋体" w:eastAsia="幼圆" w:cs="宋体"/>
                <w:kern w:val="0"/>
                <w:sz w:val="24"/>
              </w:rPr>
              <w:t>功能定位：发展成汕尾市最著名的连锁餐饮、主题餐厅、地方特色风味浓郁的品牌餐饮街。</w:t>
            </w:r>
          </w:p>
          <w:p w14:paraId="5358CA31">
            <w:pPr>
              <w:widowControl/>
              <w:numPr>
                <w:ilvl w:val="0"/>
                <w:numId w:val="39"/>
              </w:numPr>
              <w:spacing w:before="24" w:beforeLines="10" w:after="24" w:afterLines="10" w:line="300" w:lineRule="auto"/>
              <w:jc w:val="left"/>
              <w:rPr>
                <w:rFonts w:hint="eastAsia" w:ascii="幼圆" w:hAnsi="宋体" w:eastAsia="幼圆" w:cs="宋体"/>
                <w:kern w:val="0"/>
                <w:sz w:val="24"/>
              </w:rPr>
            </w:pPr>
            <w:r>
              <w:rPr>
                <w:rFonts w:hint="eastAsia" w:ascii="幼圆" w:eastAsia="幼圆"/>
                <w:sz w:val="24"/>
              </w:rPr>
              <w:t>业态组合：以中高档、连锁中餐、主题餐厅的业态为主，大众连锁中餐、西式餐饮业态为辅，适当配套烟酒零售、便利店等服务网点的业态结构。</w:t>
            </w:r>
          </w:p>
          <w:p w14:paraId="7604E4E7">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规划布局：按主题分段布局中餐、主题餐厅、西式餐饮等商业网点；鼓励</w:t>
            </w:r>
            <w:r>
              <w:rPr>
                <w:rFonts w:hint="eastAsia" w:ascii="幼圆" w:hAnsi="宋体" w:eastAsia="幼圆" w:cs="宋体"/>
                <w:kern w:val="0"/>
                <w:sz w:val="24"/>
              </w:rPr>
              <w:t>引进上规模、上档次、知名连锁品牌餐饮，</w:t>
            </w:r>
            <w:r>
              <w:rPr>
                <w:rFonts w:hint="eastAsia" w:ascii="幼圆" w:eastAsia="幼圆"/>
                <w:sz w:val="24"/>
              </w:rPr>
              <w:t>合理控制中低档次的餐饮规模、比例；充分利用周边区域资源合理配套餐饮街区的停车设施；同时注重与海滨大道滨海景观带和汕尾渔歌文化广场的衔接</w:t>
            </w:r>
            <w:r>
              <w:rPr>
                <w:rFonts w:hint="eastAsia" w:ascii="幼圆" w:hAnsi="宋体" w:eastAsia="幼圆" w:cs="宋体"/>
                <w:kern w:val="0"/>
                <w:sz w:val="24"/>
              </w:rPr>
              <w:t>。</w:t>
            </w:r>
          </w:p>
        </w:tc>
      </w:tr>
      <w:tr w14:paraId="7BE83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68" w:type="pct"/>
            <w:shd w:val="clear" w:color="auto" w:fill="FFFFFF"/>
            <w:noWrap w:val="0"/>
            <w:vAlign w:val="center"/>
          </w:tcPr>
          <w:p w14:paraId="0C500E3C">
            <w:pPr>
              <w:widowControl/>
              <w:spacing w:before="24" w:beforeLines="10" w:after="24" w:afterLines="10" w:line="300" w:lineRule="auto"/>
              <w:jc w:val="center"/>
              <w:rPr>
                <w:rFonts w:hint="eastAsia" w:ascii="幼圆" w:hAnsi="宋体" w:eastAsia="幼圆" w:cs="宋体"/>
                <w:kern w:val="0"/>
                <w:sz w:val="24"/>
              </w:rPr>
            </w:pPr>
            <w:r>
              <w:rPr>
                <w:rFonts w:hint="eastAsia" w:ascii="幼圆" w:hAnsi="宋体" w:eastAsia="幼圆" w:cs="宋体"/>
                <w:kern w:val="0"/>
                <w:sz w:val="24"/>
              </w:rPr>
              <w:t>6</w:t>
            </w:r>
          </w:p>
        </w:tc>
        <w:tc>
          <w:tcPr>
            <w:tcW w:w="389" w:type="pct"/>
            <w:shd w:val="clear" w:color="auto" w:fill="FFFFFF"/>
            <w:noWrap/>
            <w:vAlign w:val="center"/>
          </w:tcPr>
          <w:p w14:paraId="13AC14F9">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城东中轴线休闲酒吧街</w:t>
            </w:r>
          </w:p>
        </w:tc>
        <w:tc>
          <w:tcPr>
            <w:tcW w:w="389" w:type="pct"/>
            <w:shd w:val="clear" w:color="auto" w:fill="FFFFFF"/>
            <w:noWrap w:val="0"/>
            <w:vAlign w:val="center"/>
          </w:tcPr>
          <w:p w14:paraId="40D920F9">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成业路至东城路</w:t>
            </w:r>
          </w:p>
        </w:tc>
        <w:tc>
          <w:tcPr>
            <w:tcW w:w="247" w:type="pct"/>
            <w:shd w:val="clear" w:color="auto" w:fill="FFFFFF"/>
            <w:noWrap w:val="0"/>
            <w:vAlign w:val="center"/>
          </w:tcPr>
          <w:p w14:paraId="61BDFC39">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750</w:t>
            </w:r>
          </w:p>
        </w:tc>
        <w:tc>
          <w:tcPr>
            <w:tcW w:w="247" w:type="pct"/>
            <w:shd w:val="clear" w:color="auto" w:fill="FFFFFF"/>
            <w:noWrap/>
            <w:vAlign w:val="center"/>
          </w:tcPr>
          <w:p w14:paraId="05592D5F">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专业性</w:t>
            </w:r>
          </w:p>
        </w:tc>
        <w:tc>
          <w:tcPr>
            <w:tcW w:w="248" w:type="pct"/>
            <w:shd w:val="clear" w:color="auto" w:fill="FFFFFF"/>
            <w:noWrap/>
            <w:vAlign w:val="center"/>
          </w:tcPr>
          <w:p w14:paraId="3D19C7B2">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步行</w:t>
            </w:r>
          </w:p>
        </w:tc>
        <w:tc>
          <w:tcPr>
            <w:tcW w:w="282" w:type="pct"/>
            <w:shd w:val="clear" w:color="auto" w:fill="FFFFFF"/>
            <w:noWrap/>
            <w:vAlign w:val="center"/>
          </w:tcPr>
          <w:p w14:paraId="65014776">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酒吧、茶吧、咖啡吧</w:t>
            </w:r>
          </w:p>
        </w:tc>
        <w:tc>
          <w:tcPr>
            <w:tcW w:w="212" w:type="pct"/>
            <w:shd w:val="clear" w:color="auto" w:fill="FFFFFF"/>
            <w:noWrap w:val="0"/>
            <w:vAlign w:val="center"/>
          </w:tcPr>
          <w:p w14:paraId="7C532082">
            <w:pPr>
              <w:widowControl/>
              <w:spacing w:before="24" w:beforeLines="10" w:after="24" w:afterLines="10" w:line="300" w:lineRule="auto"/>
              <w:jc w:val="center"/>
              <w:rPr>
                <w:rFonts w:ascii="幼圆" w:hAnsi="宋体" w:eastAsia="幼圆" w:cs="宋体"/>
                <w:kern w:val="0"/>
                <w:sz w:val="24"/>
              </w:rPr>
            </w:pPr>
            <w:r>
              <w:rPr>
                <w:rFonts w:hint="eastAsia" w:ascii="幼圆" w:hAnsi="宋体" w:eastAsia="幼圆" w:cs="宋体"/>
                <w:kern w:val="0"/>
                <w:sz w:val="24"/>
              </w:rPr>
              <w:t>远期</w:t>
            </w:r>
          </w:p>
        </w:tc>
        <w:tc>
          <w:tcPr>
            <w:tcW w:w="2818" w:type="pct"/>
            <w:shd w:val="clear" w:color="auto" w:fill="FFFFFF"/>
            <w:noWrap w:val="0"/>
            <w:vAlign w:val="center"/>
          </w:tcPr>
          <w:p w14:paraId="6EEFAAE9">
            <w:pPr>
              <w:widowControl/>
              <w:numPr>
                <w:ilvl w:val="0"/>
                <w:numId w:val="39"/>
              </w:numPr>
              <w:spacing w:before="24" w:beforeLines="10" w:after="24" w:afterLines="10" w:line="300" w:lineRule="auto"/>
              <w:jc w:val="left"/>
              <w:rPr>
                <w:rFonts w:hint="eastAsia" w:ascii="幼圆" w:eastAsia="幼圆"/>
                <w:sz w:val="24"/>
              </w:rPr>
            </w:pPr>
            <w:r>
              <w:rPr>
                <w:rFonts w:hint="eastAsia" w:ascii="幼圆" w:hAnsi="宋体" w:eastAsia="幼圆" w:cs="宋体"/>
                <w:kern w:val="0"/>
                <w:sz w:val="24"/>
              </w:rPr>
              <w:t>功能定位：汕尾市</w:t>
            </w:r>
            <w:r>
              <w:rPr>
                <w:rFonts w:hint="eastAsia" w:ascii="幼圆" w:eastAsia="幼圆"/>
                <w:sz w:val="24"/>
              </w:rPr>
              <w:t>最</w:t>
            </w:r>
            <w:r>
              <w:rPr>
                <w:rFonts w:hint="eastAsia" w:ascii="幼圆" w:hAnsi="宋体" w:eastAsia="幼圆" w:cs="宋体"/>
                <w:kern w:val="0"/>
                <w:sz w:val="24"/>
              </w:rPr>
              <w:t>具知名度的集休闲、娱乐、旅游观光于一体的特色休闲长廊，是品清湖商</w:t>
            </w:r>
            <w:r>
              <w:rPr>
                <w:rFonts w:hint="eastAsia" w:ascii="幼圆" w:eastAsia="幼圆"/>
                <w:sz w:val="24"/>
              </w:rPr>
              <w:t>业中心的核心空间。</w:t>
            </w:r>
          </w:p>
          <w:p w14:paraId="343D6AA9">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业态组合：以连锁品牌酒吧、茶吧、咖啡馆等业态为主，配套发展休闲购物、便利店等网点的业态结构。</w:t>
            </w:r>
          </w:p>
          <w:p w14:paraId="5CB4A4B1">
            <w:pPr>
              <w:widowControl/>
              <w:numPr>
                <w:ilvl w:val="0"/>
                <w:numId w:val="39"/>
              </w:numPr>
              <w:spacing w:before="24" w:beforeLines="10" w:after="24" w:afterLines="10" w:line="300" w:lineRule="auto"/>
              <w:jc w:val="left"/>
              <w:rPr>
                <w:rFonts w:hint="eastAsia" w:ascii="幼圆" w:eastAsia="幼圆"/>
                <w:sz w:val="24"/>
              </w:rPr>
            </w:pPr>
            <w:r>
              <w:rPr>
                <w:rFonts w:hint="eastAsia" w:ascii="幼圆" w:eastAsia="幼圆"/>
                <w:sz w:val="24"/>
              </w:rPr>
              <w:t>规划布局：依托品清湖城市中轴线的临水资源，沿河两侧按主题分段布局酒吧、茶吧、咖啡馆等商业网点，为区域人流提供休闲娱乐空间以及为城东新区商务人士提供交流、休憩空间；网点布局宜采用独立、低层商业街模式，减少酒吧街对住区、办公区日常生活的影响；通过规划和景观设计，体现街区休闲长廊的特有魅力，同时将品清湖商业中心的人流进行衔接；另外，街区采取区内步行、区外车行的人车分流方式，</w:t>
            </w:r>
            <w:r>
              <w:rPr>
                <w:rFonts w:hint="eastAsia" w:ascii="幼圆" w:hAnsi="宋体" w:eastAsia="幼圆" w:cs="宋体"/>
                <w:kern w:val="0"/>
                <w:sz w:val="24"/>
              </w:rPr>
              <w:t>有效避免人流、商流、车流混杂的流线组织。</w:t>
            </w:r>
          </w:p>
        </w:tc>
      </w:tr>
    </w:tbl>
    <w:p w14:paraId="58B6621C">
      <w:pPr>
        <w:rPr>
          <w:rFonts w:hint="eastAsia"/>
          <w:color w:val="000000"/>
        </w:rPr>
      </w:pPr>
    </w:p>
    <w:p w14:paraId="17A17061">
      <w:pPr>
        <w:rPr>
          <w:color w:val="000000"/>
        </w:rPr>
        <w:sectPr>
          <w:pgSz w:w="23814" w:h="16840" w:orient="landscape"/>
          <w:pgMar w:top="1985" w:right="1985" w:bottom="1418" w:left="1985" w:header="851" w:footer="992" w:gutter="0"/>
          <w:pgNumType w:fmt="decimal"/>
          <w:cols w:space="720" w:num="1"/>
          <w:docGrid w:linePitch="312" w:charSpace="0"/>
        </w:sectPr>
      </w:pPr>
    </w:p>
    <w:p w14:paraId="2B905949">
      <w:pPr>
        <w:spacing w:line="360" w:lineRule="auto"/>
        <w:jc w:val="center"/>
        <w:rPr>
          <w:rFonts w:hint="eastAsia" w:ascii="幼圆" w:eastAsia="幼圆"/>
          <w:color w:val="000000"/>
          <w:sz w:val="24"/>
        </w:rPr>
      </w:pPr>
      <w:r>
        <w:rPr>
          <w:rFonts w:hint="eastAsia" w:ascii="幼圆" w:eastAsia="幼圆"/>
          <w:color w:val="000000"/>
          <w:sz w:val="24"/>
        </w:rPr>
        <w:t>片区级商业街规划指引一览表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456"/>
        <w:gridCol w:w="1657"/>
        <w:gridCol w:w="1677"/>
        <w:gridCol w:w="851"/>
        <w:gridCol w:w="995"/>
        <w:gridCol w:w="1071"/>
        <w:gridCol w:w="1196"/>
        <w:gridCol w:w="851"/>
        <w:gridCol w:w="11306"/>
      </w:tblGrid>
      <w:tr w14:paraId="62596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7" w:hRule="atLeast"/>
          <w:tblHeader/>
          <w:jc w:val="center"/>
        </w:trPr>
        <w:tc>
          <w:tcPr>
            <w:tcW w:w="114" w:type="pct"/>
            <w:shd w:val="clear" w:color="auto" w:fill="FFFFFF"/>
            <w:noWrap w:val="0"/>
            <w:vAlign w:val="center"/>
          </w:tcPr>
          <w:p w14:paraId="6E23D4FB">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b/>
                <w:bCs/>
                <w:kern w:val="0"/>
                <w:sz w:val="22"/>
                <w:szCs w:val="22"/>
              </w:rPr>
            </w:pPr>
            <w:r>
              <w:rPr>
                <w:rFonts w:hint="eastAsia" w:ascii="幼圆" w:hAnsi="宋体" w:eastAsia="幼圆" w:cs="宋体"/>
                <w:b/>
                <w:bCs/>
                <w:kern w:val="0"/>
                <w:sz w:val="22"/>
                <w:szCs w:val="22"/>
              </w:rPr>
              <w:t>序号</w:t>
            </w:r>
          </w:p>
        </w:tc>
        <w:tc>
          <w:tcPr>
            <w:tcW w:w="413" w:type="pct"/>
            <w:shd w:val="clear" w:color="auto" w:fill="FFFFFF"/>
            <w:noWrap/>
            <w:vAlign w:val="center"/>
          </w:tcPr>
          <w:p w14:paraId="43530952">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b/>
                <w:bCs/>
                <w:kern w:val="0"/>
                <w:sz w:val="22"/>
                <w:szCs w:val="22"/>
              </w:rPr>
            </w:pPr>
            <w:r>
              <w:rPr>
                <w:rFonts w:hint="eastAsia" w:ascii="幼圆" w:hAnsi="宋体" w:eastAsia="幼圆" w:cs="宋体"/>
                <w:b/>
                <w:bCs/>
                <w:kern w:val="0"/>
                <w:sz w:val="22"/>
                <w:szCs w:val="22"/>
              </w:rPr>
              <w:t>名称</w:t>
            </w:r>
          </w:p>
        </w:tc>
        <w:tc>
          <w:tcPr>
            <w:tcW w:w="418" w:type="pct"/>
            <w:shd w:val="clear" w:color="auto" w:fill="FFFFFF"/>
            <w:noWrap w:val="0"/>
            <w:vAlign w:val="center"/>
          </w:tcPr>
          <w:p w14:paraId="094C5542">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b/>
                <w:bCs/>
                <w:kern w:val="0"/>
                <w:sz w:val="22"/>
                <w:szCs w:val="22"/>
              </w:rPr>
            </w:pPr>
            <w:r>
              <w:rPr>
                <w:rFonts w:hint="eastAsia" w:ascii="幼圆" w:hAnsi="宋体" w:eastAsia="幼圆" w:cs="宋体"/>
                <w:b/>
                <w:bCs/>
                <w:kern w:val="0"/>
                <w:sz w:val="22"/>
                <w:szCs w:val="22"/>
              </w:rPr>
              <w:t>起止点/位置</w:t>
            </w:r>
          </w:p>
        </w:tc>
        <w:tc>
          <w:tcPr>
            <w:tcW w:w="212" w:type="pct"/>
            <w:shd w:val="clear" w:color="auto" w:fill="FFFFFF"/>
            <w:noWrap w:val="0"/>
            <w:vAlign w:val="center"/>
          </w:tcPr>
          <w:p w14:paraId="4FA68F28">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b/>
                <w:bCs/>
                <w:kern w:val="0"/>
                <w:sz w:val="22"/>
                <w:szCs w:val="22"/>
              </w:rPr>
            </w:pPr>
            <w:r>
              <w:rPr>
                <w:rFonts w:hint="eastAsia" w:ascii="幼圆" w:hAnsi="宋体" w:eastAsia="幼圆" w:cs="宋体"/>
                <w:b/>
                <w:bCs/>
                <w:kern w:val="0"/>
                <w:sz w:val="22"/>
                <w:szCs w:val="22"/>
              </w:rPr>
              <w:t>长度</w:t>
            </w:r>
            <w:r>
              <w:rPr>
                <w:rFonts w:hint="eastAsia" w:ascii="幼圆" w:hAnsi="宋体" w:eastAsia="幼圆" w:cs="宋体"/>
                <w:b/>
                <w:bCs/>
                <w:kern w:val="0"/>
                <w:sz w:val="22"/>
                <w:szCs w:val="22"/>
                <w:lang w:eastAsia="zh-CN"/>
              </w:rPr>
              <w:t>（</w:t>
            </w:r>
            <w:r>
              <w:rPr>
                <w:rFonts w:hint="eastAsia" w:ascii="幼圆" w:hAnsi="宋体" w:eastAsia="幼圆" w:cs="宋体"/>
                <w:b/>
                <w:bCs/>
                <w:kern w:val="0"/>
                <w:sz w:val="22"/>
                <w:szCs w:val="22"/>
              </w:rPr>
              <w:t>m</w:t>
            </w:r>
            <w:r>
              <w:rPr>
                <w:rFonts w:hint="eastAsia" w:ascii="幼圆" w:hAnsi="宋体" w:eastAsia="幼圆" w:cs="宋体"/>
                <w:b/>
                <w:bCs/>
                <w:kern w:val="0"/>
                <w:sz w:val="22"/>
                <w:szCs w:val="22"/>
                <w:lang w:eastAsia="zh-CN"/>
              </w:rPr>
              <w:t>）</w:t>
            </w:r>
          </w:p>
        </w:tc>
        <w:tc>
          <w:tcPr>
            <w:tcW w:w="248" w:type="pct"/>
            <w:shd w:val="clear" w:color="auto" w:fill="FFFFFF"/>
            <w:noWrap/>
            <w:vAlign w:val="center"/>
          </w:tcPr>
          <w:p w14:paraId="6CC2BB50">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b/>
                <w:bCs/>
                <w:kern w:val="0"/>
                <w:sz w:val="22"/>
                <w:szCs w:val="22"/>
              </w:rPr>
            </w:pPr>
            <w:r>
              <w:rPr>
                <w:rFonts w:hint="eastAsia" w:ascii="幼圆" w:hAnsi="宋体" w:eastAsia="幼圆" w:cs="宋体"/>
                <w:b/>
                <w:bCs/>
                <w:kern w:val="0"/>
                <w:sz w:val="22"/>
                <w:szCs w:val="22"/>
              </w:rPr>
              <w:t>经营商品属性</w:t>
            </w:r>
          </w:p>
        </w:tc>
        <w:tc>
          <w:tcPr>
            <w:tcW w:w="267" w:type="pct"/>
            <w:shd w:val="clear" w:color="auto" w:fill="FFFFFF"/>
            <w:noWrap/>
            <w:vAlign w:val="center"/>
          </w:tcPr>
          <w:p w14:paraId="276ECAAC">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b/>
                <w:bCs/>
                <w:kern w:val="0"/>
                <w:sz w:val="22"/>
                <w:szCs w:val="22"/>
              </w:rPr>
            </w:pPr>
            <w:r>
              <w:rPr>
                <w:rFonts w:hint="eastAsia" w:ascii="幼圆" w:hAnsi="宋体" w:eastAsia="幼圆" w:cs="宋体"/>
                <w:b/>
                <w:bCs/>
                <w:kern w:val="0"/>
                <w:sz w:val="22"/>
                <w:szCs w:val="22"/>
              </w:rPr>
              <w:t>交通组织形式</w:t>
            </w:r>
          </w:p>
        </w:tc>
        <w:tc>
          <w:tcPr>
            <w:tcW w:w="298" w:type="pct"/>
            <w:shd w:val="clear" w:color="auto" w:fill="FFFFFF"/>
            <w:noWrap/>
            <w:vAlign w:val="center"/>
          </w:tcPr>
          <w:p w14:paraId="52F63CA9">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b/>
                <w:bCs/>
                <w:kern w:val="0"/>
                <w:sz w:val="22"/>
                <w:szCs w:val="22"/>
              </w:rPr>
            </w:pPr>
            <w:r>
              <w:rPr>
                <w:rFonts w:hint="eastAsia" w:ascii="幼圆" w:hAnsi="宋体" w:eastAsia="幼圆" w:cs="宋体"/>
                <w:b/>
                <w:bCs/>
                <w:kern w:val="0"/>
                <w:sz w:val="22"/>
                <w:szCs w:val="22"/>
              </w:rPr>
              <w:t>主力业种</w:t>
            </w:r>
          </w:p>
        </w:tc>
        <w:tc>
          <w:tcPr>
            <w:tcW w:w="212" w:type="pct"/>
            <w:shd w:val="clear" w:color="auto" w:fill="FFFFFF"/>
            <w:noWrap w:val="0"/>
            <w:vAlign w:val="center"/>
          </w:tcPr>
          <w:p w14:paraId="5A74A96D">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b/>
                <w:bCs/>
                <w:kern w:val="0"/>
                <w:sz w:val="22"/>
                <w:szCs w:val="22"/>
              </w:rPr>
            </w:pPr>
            <w:r>
              <w:rPr>
                <w:rFonts w:hint="eastAsia" w:ascii="幼圆" w:hAnsi="宋体" w:eastAsia="幼圆" w:cs="宋体"/>
                <w:b/>
                <w:bCs/>
                <w:kern w:val="0"/>
                <w:sz w:val="22"/>
                <w:szCs w:val="22"/>
              </w:rPr>
              <w:t>规划时序</w:t>
            </w:r>
          </w:p>
        </w:tc>
        <w:tc>
          <w:tcPr>
            <w:tcW w:w="2818" w:type="pct"/>
            <w:shd w:val="clear" w:color="auto" w:fill="FFFFFF"/>
            <w:noWrap w:val="0"/>
            <w:vAlign w:val="center"/>
          </w:tcPr>
          <w:p w14:paraId="688B0A1E">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b/>
                <w:bCs/>
                <w:kern w:val="0"/>
                <w:sz w:val="22"/>
                <w:szCs w:val="22"/>
              </w:rPr>
            </w:pPr>
            <w:r>
              <w:rPr>
                <w:rFonts w:hint="eastAsia" w:ascii="幼圆" w:hAnsi="宋体" w:eastAsia="幼圆" w:cs="宋体"/>
                <w:b/>
                <w:bCs/>
                <w:kern w:val="0"/>
                <w:sz w:val="22"/>
                <w:szCs w:val="22"/>
              </w:rPr>
              <w:t>规划指引</w:t>
            </w:r>
          </w:p>
        </w:tc>
      </w:tr>
      <w:tr w14:paraId="2F99C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14" w:type="pct"/>
            <w:shd w:val="clear" w:color="auto" w:fill="FFFFFF"/>
            <w:noWrap w:val="0"/>
            <w:vAlign w:val="center"/>
          </w:tcPr>
          <w:p w14:paraId="15D9C417">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1</w:t>
            </w:r>
          </w:p>
        </w:tc>
        <w:tc>
          <w:tcPr>
            <w:tcW w:w="413" w:type="pct"/>
            <w:shd w:val="clear" w:color="auto" w:fill="FFFFFF"/>
            <w:noWrap/>
            <w:vAlign w:val="center"/>
          </w:tcPr>
          <w:p w14:paraId="623DD83A">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通港路商业街</w:t>
            </w:r>
          </w:p>
        </w:tc>
        <w:tc>
          <w:tcPr>
            <w:tcW w:w="418" w:type="pct"/>
            <w:shd w:val="clear" w:color="auto" w:fill="FFFFFF"/>
            <w:noWrap w:val="0"/>
            <w:vAlign w:val="center"/>
          </w:tcPr>
          <w:p w14:paraId="24C5534E">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香城路至通航路</w:t>
            </w:r>
          </w:p>
        </w:tc>
        <w:tc>
          <w:tcPr>
            <w:tcW w:w="212" w:type="pct"/>
            <w:shd w:val="clear" w:color="auto" w:fill="FFFFFF"/>
            <w:noWrap w:val="0"/>
            <w:vAlign w:val="center"/>
          </w:tcPr>
          <w:p w14:paraId="3C63CE38">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750</w:t>
            </w:r>
          </w:p>
        </w:tc>
        <w:tc>
          <w:tcPr>
            <w:tcW w:w="248" w:type="pct"/>
            <w:shd w:val="clear" w:color="auto" w:fill="FFFFFF"/>
            <w:noWrap/>
            <w:vAlign w:val="center"/>
          </w:tcPr>
          <w:p w14:paraId="0F37D73A">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综合性</w:t>
            </w:r>
          </w:p>
        </w:tc>
        <w:tc>
          <w:tcPr>
            <w:tcW w:w="267" w:type="pct"/>
            <w:shd w:val="clear" w:color="auto" w:fill="FFFFFF"/>
            <w:noWrap/>
            <w:vAlign w:val="center"/>
          </w:tcPr>
          <w:p w14:paraId="1BD8C6F4">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混行</w:t>
            </w:r>
          </w:p>
        </w:tc>
        <w:tc>
          <w:tcPr>
            <w:tcW w:w="298" w:type="pct"/>
            <w:shd w:val="clear" w:color="auto" w:fill="FFFFFF"/>
            <w:noWrap/>
            <w:vAlign w:val="center"/>
          </w:tcPr>
          <w:p w14:paraId="34B94AA2">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服饰、餐饮</w:t>
            </w:r>
          </w:p>
        </w:tc>
        <w:tc>
          <w:tcPr>
            <w:tcW w:w="212" w:type="pct"/>
            <w:shd w:val="clear" w:color="auto" w:fill="FFFFFF"/>
            <w:noWrap w:val="0"/>
            <w:vAlign w:val="center"/>
          </w:tcPr>
          <w:p w14:paraId="06590976">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近期</w:t>
            </w:r>
          </w:p>
        </w:tc>
        <w:tc>
          <w:tcPr>
            <w:tcW w:w="2818" w:type="pct"/>
            <w:shd w:val="clear" w:color="auto" w:fill="FFFFFF"/>
            <w:noWrap w:val="0"/>
            <w:vAlign w:val="center"/>
          </w:tcPr>
          <w:p w14:paraId="14FA4DDB">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hAnsi="宋体" w:eastAsia="幼圆" w:cs="宋体"/>
                <w:kern w:val="0"/>
                <w:sz w:val="22"/>
                <w:szCs w:val="22"/>
              </w:rPr>
              <w:t>功能定位：打造成一条为香洲街道居民提供休闲购物、餐饮娱乐等功能于一体的综合性商业街，是香洲街道的主要商业活动空间之一。</w:t>
            </w:r>
          </w:p>
          <w:p w14:paraId="1E5AAFE5">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业态组合：发展国内二三线品牌服饰的专业店、专卖店等商业网点为主，配套发展连锁餐饮、休闲娱乐、教育培训、便利店等网点的业态结构。</w:t>
            </w:r>
          </w:p>
          <w:p w14:paraId="1E2FC8AE">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eastAsia="幼圆"/>
                <w:sz w:val="22"/>
                <w:szCs w:val="22"/>
              </w:rPr>
            </w:pPr>
            <w:r>
              <w:rPr>
                <w:rFonts w:hint="eastAsia" w:ascii="幼圆" w:eastAsia="幼圆"/>
                <w:sz w:val="22"/>
                <w:szCs w:val="22"/>
              </w:rPr>
              <w:t>规划布局：鼓励商业街引入国内二三线品牌的服饰专业店、专卖店以及国内知名品牌的连锁餐饮、主题餐厅等网点，其中服饰、餐饮宜分段布局；同时鼓励商业街适当引入美容会所、亲子教育等服务网点，提升商业街的氛围。</w:t>
            </w:r>
          </w:p>
        </w:tc>
      </w:tr>
      <w:tr w14:paraId="046A7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14" w:type="pct"/>
            <w:shd w:val="clear" w:color="auto" w:fill="FFFFFF"/>
            <w:noWrap w:val="0"/>
            <w:vAlign w:val="center"/>
          </w:tcPr>
          <w:p w14:paraId="6C0491E7">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2</w:t>
            </w:r>
          </w:p>
        </w:tc>
        <w:tc>
          <w:tcPr>
            <w:tcW w:w="413" w:type="pct"/>
            <w:shd w:val="clear" w:color="auto" w:fill="FFFFFF"/>
            <w:noWrap/>
            <w:vAlign w:val="center"/>
          </w:tcPr>
          <w:p w14:paraId="5E09A1E5">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新城街商业街</w:t>
            </w:r>
          </w:p>
        </w:tc>
        <w:tc>
          <w:tcPr>
            <w:tcW w:w="418" w:type="pct"/>
            <w:shd w:val="clear" w:color="auto" w:fill="FFFFFF"/>
            <w:noWrap w:val="0"/>
            <w:vAlign w:val="center"/>
          </w:tcPr>
          <w:p w14:paraId="15ED80DD">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汕尾大道至文明路</w:t>
            </w:r>
          </w:p>
        </w:tc>
        <w:tc>
          <w:tcPr>
            <w:tcW w:w="212" w:type="pct"/>
            <w:shd w:val="clear" w:color="auto" w:fill="FFFFFF"/>
            <w:noWrap w:val="0"/>
            <w:vAlign w:val="center"/>
          </w:tcPr>
          <w:p w14:paraId="5836452B">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500</w:t>
            </w:r>
          </w:p>
        </w:tc>
        <w:tc>
          <w:tcPr>
            <w:tcW w:w="248" w:type="pct"/>
            <w:shd w:val="clear" w:color="auto" w:fill="FFFFFF"/>
            <w:noWrap/>
            <w:vAlign w:val="center"/>
          </w:tcPr>
          <w:p w14:paraId="28833962">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专业性</w:t>
            </w:r>
          </w:p>
        </w:tc>
        <w:tc>
          <w:tcPr>
            <w:tcW w:w="267" w:type="pct"/>
            <w:shd w:val="clear" w:color="auto" w:fill="FFFFFF"/>
            <w:noWrap/>
            <w:vAlign w:val="center"/>
          </w:tcPr>
          <w:p w14:paraId="08814589">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混行</w:t>
            </w:r>
          </w:p>
        </w:tc>
        <w:tc>
          <w:tcPr>
            <w:tcW w:w="298" w:type="pct"/>
            <w:shd w:val="clear" w:color="auto" w:fill="FFFFFF"/>
            <w:noWrap/>
            <w:vAlign w:val="center"/>
          </w:tcPr>
          <w:p w14:paraId="696D0B2B">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电子电器</w:t>
            </w:r>
          </w:p>
        </w:tc>
        <w:tc>
          <w:tcPr>
            <w:tcW w:w="212" w:type="pct"/>
            <w:shd w:val="clear" w:color="auto" w:fill="FFFFFF"/>
            <w:noWrap w:val="0"/>
            <w:vAlign w:val="center"/>
          </w:tcPr>
          <w:p w14:paraId="0B411DED">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近期</w:t>
            </w:r>
          </w:p>
        </w:tc>
        <w:tc>
          <w:tcPr>
            <w:tcW w:w="2818" w:type="pct"/>
            <w:shd w:val="clear" w:color="auto" w:fill="FFFFFF"/>
            <w:noWrap w:val="0"/>
            <w:vAlign w:val="center"/>
          </w:tcPr>
          <w:p w14:paraId="500C87FB">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hAnsi="宋体" w:eastAsia="幼圆" w:cs="宋体"/>
                <w:kern w:val="0"/>
                <w:sz w:val="22"/>
                <w:szCs w:val="22"/>
              </w:rPr>
              <w:t>功能定位：汕尾城区以手机、电脑及其配件用品、办公设备、通讯器材为主的特色商业街区，</w:t>
            </w:r>
            <w:r>
              <w:rPr>
                <w:rFonts w:hint="eastAsia" w:ascii="幼圆" w:eastAsia="幼圆"/>
                <w:sz w:val="22"/>
                <w:szCs w:val="22"/>
              </w:rPr>
              <w:t>是汕尾老城区传统商业中心的特色组成功能单元。</w:t>
            </w:r>
          </w:p>
          <w:p w14:paraId="4FB112A6">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业态组合：以中小型眼镜专卖店、IT专业店、专卖店、战略店为主要业态，适当配套知名连锁式IT教育培训、IT服务等与IT相关的服务设施。</w:t>
            </w:r>
          </w:p>
          <w:p w14:paraId="0188F929">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eastAsia="幼圆"/>
                <w:sz w:val="22"/>
                <w:szCs w:val="22"/>
              </w:rPr>
            </w:pPr>
            <w:r>
              <w:rPr>
                <w:rFonts w:hint="eastAsia" w:ascii="幼圆" w:eastAsia="幼圆"/>
                <w:sz w:val="22"/>
                <w:szCs w:val="22"/>
              </w:rPr>
              <w:t>规划布局：逐步迁转商业街沿线的小吃餐饮、家居建材等类型网点，提纯电子电器商业街、眼镜专业街，眼镜网点宜与电子电器网点分段布局，构建特色商业街区；引入中国移动、中国联通等龙头企业网点、电子电器专业店、专卖店等商业网点，同时置入IT教育培训、维修服务等网点，提升现状商业网点的服务水平和服务能力。</w:t>
            </w:r>
          </w:p>
        </w:tc>
      </w:tr>
      <w:tr w14:paraId="5E453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14" w:type="pct"/>
            <w:shd w:val="clear" w:color="auto" w:fill="FFFFFF"/>
            <w:noWrap w:val="0"/>
            <w:vAlign w:val="center"/>
          </w:tcPr>
          <w:p w14:paraId="3F3053A8">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3</w:t>
            </w:r>
          </w:p>
        </w:tc>
        <w:tc>
          <w:tcPr>
            <w:tcW w:w="413" w:type="pct"/>
            <w:shd w:val="clear" w:color="auto" w:fill="FFFFFF"/>
            <w:noWrap/>
            <w:vAlign w:val="center"/>
          </w:tcPr>
          <w:p w14:paraId="1C157FF5">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园林街餐饮街</w:t>
            </w:r>
          </w:p>
        </w:tc>
        <w:tc>
          <w:tcPr>
            <w:tcW w:w="418" w:type="pct"/>
            <w:shd w:val="clear" w:color="auto" w:fill="FFFFFF"/>
            <w:noWrap w:val="0"/>
            <w:vAlign w:val="center"/>
          </w:tcPr>
          <w:p w14:paraId="534FB706">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园林中街、园林东街</w:t>
            </w:r>
          </w:p>
        </w:tc>
        <w:tc>
          <w:tcPr>
            <w:tcW w:w="212" w:type="pct"/>
            <w:shd w:val="clear" w:color="auto" w:fill="FFFFFF"/>
            <w:noWrap w:val="0"/>
            <w:vAlign w:val="center"/>
          </w:tcPr>
          <w:p w14:paraId="3E7186AC">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700</w:t>
            </w:r>
          </w:p>
        </w:tc>
        <w:tc>
          <w:tcPr>
            <w:tcW w:w="248" w:type="pct"/>
            <w:shd w:val="clear" w:color="auto" w:fill="FFFFFF"/>
            <w:noWrap/>
            <w:vAlign w:val="center"/>
          </w:tcPr>
          <w:p w14:paraId="65995FF5">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专业性</w:t>
            </w:r>
          </w:p>
        </w:tc>
        <w:tc>
          <w:tcPr>
            <w:tcW w:w="267" w:type="pct"/>
            <w:shd w:val="clear" w:color="auto" w:fill="FFFFFF"/>
            <w:noWrap/>
            <w:vAlign w:val="center"/>
          </w:tcPr>
          <w:p w14:paraId="5D667760">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混行</w:t>
            </w:r>
          </w:p>
        </w:tc>
        <w:tc>
          <w:tcPr>
            <w:tcW w:w="298" w:type="pct"/>
            <w:shd w:val="clear" w:color="auto" w:fill="FFFFFF"/>
            <w:noWrap/>
            <w:vAlign w:val="center"/>
          </w:tcPr>
          <w:p w14:paraId="0C0BC8B5">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餐饮</w:t>
            </w:r>
          </w:p>
        </w:tc>
        <w:tc>
          <w:tcPr>
            <w:tcW w:w="212" w:type="pct"/>
            <w:shd w:val="clear" w:color="auto" w:fill="FFFFFF"/>
            <w:noWrap w:val="0"/>
            <w:vAlign w:val="center"/>
          </w:tcPr>
          <w:p w14:paraId="53562126">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近期</w:t>
            </w:r>
          </w:p>
        </w:tc>
        <w:tc>
          <w:tcPr>
            <w:tcW w:w="2818" w:type="pct"/>
            <w:shd w:val="clear" w:color="auto" w:fill="FFFFFF"/>
            <w:noWrap w:val="0"/>
            <w:vAlign w:val="center"/>
          </w:tcPr>
          <w:p w14:paraId="2F074B76">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hAnsi="宋体" w:eastAsia="幼圆" w:cs="宋体"/>
                <w:kern w:val="0"/>
                <w:sz w:val="22"/>
                <w:szCs w:val="22"/>
              </w:rPr>
              <w:t>功能定位：发展成一条为汕尾城区城市居民、商旅人士服务的以休闲式、中档型、地方风味浓郁的特色餐饮商业街，</w:t>
            </w:r>
            <w:r>
              <w:rPr>
                <w:rFonts w:hint="eastAsia" w:ascii="幼圆" w:eastAsia="幼圆"/>
                <w:sz w:val="22"/>
                <w:szCs w:val="22"/>
              </w:rPr>
              <w:t>是老城区传统商业中心的特色组成功能单元。</w:t>
            </w:r>
          </w:p>
          <w:p w14:paraId="2623A932">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业态组合：以休闲式、中档餐饮网点为主导业态，配套发展特产小吃、烟酒零售、便利店等网点的业态结构。</w:t>
            </w:r>
          </w:p>
          <w:p w14:paraId="65A42F22">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规划布局：鼓励沿街区按主题分段布局地方特色餐饮、中档品牌餐饮等网点，严格限制低档餐饮、社区商业的规模比例。</w:t>
            </w:r>
          </w:p>
        </w:tc>
      </w:tr>
      <w:tr w14:paraId="7EF09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14" w:type="pct"/>
            <w:shd w:val="clear" w:color="auto" w:fill="FFFFFF"/>
            <w:noWrap w:val="0"/>
            <w:vAlign w:val="center"/>
          </w:tcPr>
          <w:p w14:paraId="5C1CCE37">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4</w:t>
            </w:r>
          </w:p>
        </w:tc>
        <w:tc>
          <w:tcPr>
            <w:tcW w:w="413" w:type="pct"/>
            <w:shd w:val="clear" w:color="auto" w:fill="FFFFFF"/>
            <w:noWrap/>
            <w:vAlign w:val="center"/>
          </w:tcPr>
          <w:p w14:paraId="40D0FD6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华师南商业街</w:t>
            </w:r>
          </w:p>
        </w:tc>
        <w:tc>
          <w:tcPr>
            <w:tcW w:w="418" w:type="pct"/>
            <w:shd w:val="clear" w:color="auto" w:fill="FFFFFF"/>
            <w:noWrap w:val="0"/>
            <w:vAlign w:val="center"/>
          </w:tcPr>
          <w:p w14:paraId="5CD74F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马宫商业中心</w:t>
            </w:r>
          </w:p>
        </w:tc>
        <w:tc>
          <w:tcPr>
            <w:tcW w:w="212" w:type="pct"/>
            <w:shd w:val="clear" w:color="auto" w:fill="FFFFFF"/>
            <w:noWrap w:val="0"/>
            <w:vAlign w:val="center"/>
          </w:tcPr>
          <w:p w14:paraId="1A09368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350</w:t>
            </w:r>
          </w:p>
        </w:tc>
        <w:tc>
          <w:tcPr>
            <w:tcW w:w="248" w:type="pct"/>
            <w:shd w:val="clear" w:color="auto" w:fill="FFFFFF"/>
            <w:noWrap/>
            <w:vAlign w:val="center"/>
          </w:tcPr>
          <w:p w14:paraId="6441B08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综合性</w:t>
            </w:r>
          </w:p>
        </w:tc>
        <w:tc>
          <w:tcPr>
            <w:tcW w:w="267" w:type="pct"/>
            <w:shd w:val="clear" w:color="auto" w:fill="FFFFFF"/>
            <w:noWrap/>
            <w:vAlign w:val="center"/>
          </w:tcPr>
          <w:p w14:paraId="00DEBF5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幼圆" w:hAnsi="宋体" w:eastAsia="幼圆" w:cs="宋体"/>
                <w:kern w:val="0"/>
                <w:sz w:val="22"/>
                <w:szCs w:val="22"/>
              </w:rPr>
            </w:pPr>
            <w:r>
              <w:rPr>
                <w:rFonts w:hint="eastAsia" w:ascii="幼圆" w:hAnsi="宋体" w:eastAsia="幼圆" w:cs="宋体"/>
                <w:kern w:val="0"/>
                <w:sz w:val="22"/>
                <w:szCs w:val="22"/>
              </w:rPr>
              <w:t>混行</w:t>
            </w:r>
          </w:p>
        </w:tc>
        <w:tc>
          <w:tcPr>
            <w:tcW w:w="298" w:type="pct"/>
            <w:shd w:val="clear" w:color="auto" w:fill="FFFFFF"/>
            <w:noWrap/>
            <w:vAlign w:val="center"/>
          </w:tcPr>
          <w:p w14:paraId="25F8D414">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休闲购物、餐饮娱乐、公寓</w:t>
            </w:r>
          </w:p>
        </w:tc>
        <w:tc>
          <w:tcPr>
            <w:tcW w:w="212" w:type="pct"/>
            <w:shd w:val="clear" w:color="auto" w:fill="FFFFFF"/>
            <w:noWrap w:val="0"/>
            <w:vAlign w:val="center"/>
          </w:tcPr>
          <w:p w14:paraId="4FAF55AA">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远期</w:t>
            </w:r>
          </w:p>
        </w:tc>
        <w:tc>
          <w:tcPr>
            <w:tcW w:w="2818" w:type="pct"/>
            <w:shd w:val="clear" w:color="auto" w:fill="FFFFFF"/>
            <w:noWrap w:val="0"/>
            <w:vAlign w:val="center"/>
          </w:tcPr>
          <w:p w14:paraId="67D36AA2">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hAnsi="宋体" w:eastAsia="幼圆" w:cs="宋体"/>
                <w:kern w:val="0"/>
                <w:sz w:val="22"/>
                <w:szCs w:val="22"/>
              </w:rPr>
              <w:t>功能定位：发展成一条为马宫组团城镇居民、教育园区学生、马宫渔港从业人员以及部分城市旅游者服务的集休闲购物、餐饮娱乐、酒店旅游等功能于一体的综合性商业街，是马宫组团商业中心的重要组成功能单元。</w:t>
            </w:r>
          </w:p>
          <w:p w14:paraId="70E50FB9">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业态组合：以组团型商业综合体/购物中心、中型百货店、大型超市为主导业态，配套发展休闲餐饮、文化娱乐、连锁酒店等商业网点。</w:t>
            </w:r>
          </w:p>
          <w:p w14:paraId="1DC0FB14">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规划布局：结合文化广场的建设，发展1-2处组团型商业综合体/购物中心、中型百货店、大型超市，并以此为主力店组织布局专业店、专卖店等商业网点；休闲购物、餐饮、文化娱乐、连锁酒店等宜分段布局</w:t>
            </w:r>
            <w:r>
              <w:rPr>
                <w:rFonts w:hint="eastAsia" w:ascii="幼圆" w:hAnsi="宋体" w:eastAsia="幼圆" w:cs="宋体"/>
                <w:kern w:val="0"/>
                <w:sz w:val="22"/>
                <w:szCs w:val="22"/>
              </w:rPr>
              <w:t>。</w:t>
            </w:r>
          </w:p>
        </w:tc>
      </w:tr>
      <w:tr w14:paraId="7DC75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14" w:type="pct"/>
            <w:shd w:val="clear" w:color="auto" w:fill="FFFFFF"/>
            <w:noWrap w:val="0"/>
            <w:vAlign w:val="center"/>
          </w:tcPr>
          <w:p w14:paraId="15085D0F">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5</w:t>
            </w:r>
          </w:p>
        </w:tc>
        <w:tc>
          <w:tcPr>
            <w:tcW w:w="413" w:type="pct"/>
            <w:shd w:val="clear" w:color="auto" w:fill="FFFFFF"/>
            <w:noWrap/>
            <w:vAlign w:val="center"/>
          </w:tcPr>
          <w:p w14:paraId="67D6B7D1">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红海湾商业街</w:t>
            </w:r>
          </w:p>
        </w:tc>
        <w:tc>
          <w:tcPr>
            <w:tcW w:w="418" w:type="pct"/>
            <w:shd w:val="clear" w:color="auto" w:fill="FFFFFF"/>
            <w:noWrap w:val="0"/>
            <w:vAlign w:val="center"/>
          </w:tcPr>
          <w:p w14:paraId="5396048C">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红海湾大道</w:t>
            </w:r>
          </w:p>
        </w:tc>
        <w:tc>
          <w:tcPr>
            <w:tcW w:w="212" w:type="pct"/>
            <w:shd w:val="clear" w:color="auto" w:fill="FFFFFF"/>
            <w:noWrap w:val="0"/>
            <w:vAlign w:val="center"/>
          </w:tcPr>
          <w:p w14:paraId="70ED47B5">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500</w:t>
            </w:r>
          </w:p>
        </w:tc>
        <w:tc>
          <w:tcPr>
            <w:tcW w:w="248" w:type="pct"/>
            <w:shd w:val="clear" w:color="auto" w:fill="FFFFFF"/>
            <w:noWrap/>
            <w:vAlign w:val="center"/>
          </w:tcPr>
          <w:p w14:paraId="38E6AF5C">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综合性</w:t>
            </w:r>
          </w:p>
        </w:tc>
        <w:tc>
          <w:tcPr>
            <w:tcW w:w="267" w:type="pct"/>
            <w:shd w:val="clear" w:color="auto" w:fill="FFFFFF"/>
            <w:noWrap/>
            <w:vAlign w:val="center"/>
          </w:tcPr>
          <w:p w14:paraId="30DAE0AB">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混行</w:t>
            </w:r>
          </w:p>
        </w:tc>
        <w:tc>
          <w:tcPr>
            <w:tcW w:w="298" w:type="pct"/>
            <w:shd w:val="clear" w:color="auto" w:fill="FFFFFF"/>
            <w:noWrap/>
            <w:vAlign w:val="center"/>
          </w:tcPr>
          <w:p w14:paraId="5B095721">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购物、餐饮娱乐、酒店</w:t>
            </w:r>
          </w:p>
        </w:tc>
        <w:tc>
          <w:tcPr>
            <w:tcW w:w="212" w:type="pct"/>
            <w:shd w:val="clear" w:color="auto" w:fill="FFFFFF"/>
            <w:noWrap w:val="0"/>
            <w:vAlign w:val="center"/>
          </w:tcPr>
          <w:p w14:paraId="0CA753C4">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远期</w:t>
            </w:r>
          </w:p>
        </w:tc>
        <w:tc>
          <w:tcPr>
            <w:tcW w:w="2818" w:type="pct"/>
            <w:shd w:val="clear" w:color="auto" w:fill="FFFFFF"/>
            <w:noWrap w:val="0"/>
            <w:vAlign w:val="center"/>
          </w:tcPr>
          <w:p w14:paraId="659CFC3E">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hAnsi="宋体" w:eastAsia="幼圆" w:cs="宋体"/>
                <w:kern w:val="0"/>
                <w:sz w:val="22"/>
                <w:szCs w:val="22"/>
              </w:rPr>
              <w:t>功能定位：发展成一条为红海湾组团城镇居民以及游客服务的集休闲购物、餐饮娱乐、酒店旅游等功能于一体的综合性商业街，是红海湾组团商业中心的重要组成功能单元。</w:t>
            </w:r>
          </w:p>
          <w:p w14:paraId="1610D322">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业态组合：以组团型商业综合体/购物中心、中型百货店、大型超市为主导业态，配套发展休闲餐饮、休闲娱乐、星级酒店等商业网点。</w:t>
            </w:r>
          </w:p>
          <w:p w14:paraId="7C59D683">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规划布局：发展2-3处组团型商业综合体/购物中心、中型百货店、大型超市，并以此为主力店组织布局专业店、专卖店、星级酒店等商业网点；其中结合广场在红海湾大道北侧布局专业店、专卖店等网点，红海湾大道南侧布局大中型零售网点、星级酒店、休闲娱乐、休闲餐饮等网点；限制发展批发市场、社区商业等网点</w:t>
            </w:r>
            <w:r>
              <w:rPr>
                <w:rFonts w:hint="eastAsia" w:ascii="幼圆" w:hAnsi="宋体" w:eastAsia="幼圆" w:cs="宋体"/>
                <w:kern w:val="0"/>
                <w:sz w:val="22"/>
                <w:szCs w:val="22"/>
              </w:rPr>
              <w:t>。</w:t>
            </w:r>
          </w:p>
        </w:tc>
      </w:tr>
      <w:tr w14:paraId="68B3A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70" w:hRule="atLeast"/>
          <w:jc w:val="center"/>
        </w:trPr>
        <w:tc>
          <w:tcPr>
            <w:tcW w:w="114" w:type="pct"/>
            <w:shd w:val="clear" w:color="auto" w:fill="FFFFFF"/>
            <w:noWrap w:val="0"/>
            <w:vAlign w:val="center"/>
          </w:tcPr>
          <w:p w14:paraId="630C9170">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6</w:t>
            </w:r>
          </w:p>
        </w:tc>
        <w:tc>
          <w:tcPr>
            <w:tcW w:w="413" w:type="pct"/>
            <w:shd w:val="clear" w:color="auto" w:fill="FFFFFF"/>
            <w:noWrap/>
            <w:vAlign w:val="center"/>
          </w:tcPr>
          <w:p w14:paraId="2F53BDE3">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红草商业街</w:t>
            </w:r>
          </w:p>
        </w:tc>
        <w:tc>
          <w:tcPr>
            <w:tcW w:w="418" w:type="pct"/>
            <w:shd w:val="clear" w:color="auto" w:fill="FFFFFF"/>
            <w:noWrap w:val="0"/>
            <w:vAlign w:val="center"/>
          </w:tcPr>
          <w:p w14:paraId="21AAFEA2">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红草镇海汕公路西侧</w:t>
            </w:r>
          </w:p>
        </w:tc>
        <w:tc>
          <w:tcPr>
            <w:tcW w:w="212" w:type="pct"/>
            <w:shd w:val="clear" w:color="auto" w:fill="FFFFFF"/>
            <w:noWrap w:val="0"/>
            <w:vAlign w:val="center"/>
          </w:tcPr>
          <w:p w14:paraId="7820E49B">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600</w:t>
            </w:r>
          </w:p>
        </w:tc>
        <w:tc>
          <w:tcPr>
            <w:tcW w:w="248" w:type="pct"/>
            <w:shd w:val="clear" w:color="auto" w:fill="FFFFFF"/>
            <w:noWrap/>
            <w:vAlign w:val="center"/>
          </w:tcPr>
          <w:p w14:paraId="561694F7">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综合性</w:t>
            </w:r>
          </w:p>
        </w:tc>
        <w:tc>
          <w:tcPr>
            <w:tcW w:w="267" w:type="pct"/>
            <w:shd w:val="clear" w:color="auto" w:fill="FFFFFF"/>
            <w:noWrap/>
            <w:vAlign w:val="center"/>
          </w:tcPr>
          <w:p w14:paraId="4816328F">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混行</w:t>
            </w:r>
          </w:p>
        </w:tc>
        <w:tc>
          <w:tcPr>
            <w:tcW w:w="298" w:type="pct"/>
            <w:shd w:val="clear" w:color="auto" w:fill="FFFFFF"/>
            <w:noWrap/>
            <w:vAlign w:val="center"/>
          </w:tcPr>
          <w:p w14:paraId="2E10A969">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购物、餐饮娱乐</w:t>
            </w:r>
          </w:p>
        </w:tc>
        <w:tc>
          <w:tcPr>
            <w:tcW w:w="212" w:type="pct"/>
            <w:shd w:val="clear" w:color="auto" w:fill="FFFFFF"/>
            <w:noWrap w:val="0"/>
            <w:vAlign w:val="center"/>
          </w:tcPr>
          <w:p w14:paraId="74CA4E61">
            <w:pPr>
              <w:keepNext w:val="0"/>
              <w:keepLines w:val="0"/>
              <w:pageBreakBefore w:val="0"/>
              <w:widowControl/>
              <w:kinsoku/>
              <w:wordWrap/>
              <w:overflowPunct/>
              <w:topLinePunct w:val="0"/>
              <w:autoSpaceDE/>
              <w:autoSpaceDN/>
              <w:bidi w:val="0"/>
              <w:adjustRightInd/>
              <w:snapToGrid/>
              <w:spacing w:after="24" w:afterLines="10" w:line="240" w:lineRule="auto"/>
              <w:jc w:val="center"/>
              <w:textAlignment w:val="auto"/>
              <w:rPr>
                <w:rFonts w:hint="eastAsia" w:ascii="幼圆" w:hAnsi="宋体" w:eastAsia="幼圆" w:cs="宋体"/>
                <w:kern w:val="0"/>
                <w:sz w:val="22"/>
                <w:szCs w:val="22"/>
              </w:rPr>
            </w:pPr>
            <w:r>
              <w:rPr>
                <w:rFonts w:hint="eastAsia" w:ascii="幼圆" w:hAnsi="宋体" w:eastAsia="幼圆" w:cs="宋体"/>
                <w:kern w:val="0"/>
                <w:sz w:val="22"/>
                <w:szCs w:val="22"/>
              </w:rPr>
              <w:t>远期</w:t>
            </w:r>
          </w:p>
        </w:tc>
        <w:tc>
          <w:tcPr>
            <w:tcW w:w="2818" w:type="pct"/>
            <w:shd w:val="clear" w:color="auto" w:fill="FFFFFF"/>
            <w:noWrap w:val="0"/>
            <w:vAlign w:val="center"/>
          </w:tcPr>
          <w:p w14:paraId="5BAA5ED4">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hAnsi="宋体" w:eastAsia="幼圆" w:cs="宋体"/>
                <w:kern w:val="0"/>
                <w:sz w:val="22"/>
                <w:szCs w:val="22"/>
              </w:rPr>
              <w:t>功能定位：发展成一条为红草组团城镇居民、产业园区从业人员以及部分城市旅游者服务的集休闲购物、餐饮娱乐、酒店旅游等功能于一体的综合性商业街，是红草组团商业中心的重要组成功能单元。</w:t>
            </w:r>
          </w:p>
          <w:p w14:paraId="654AE89A">
            <w:pPr>
              <w:keepNext w:val="0"/>
              <w:keepLines w:val="0"/>
              <w:pageBreakBefore w:val="0"/>
              <w:widowControl/>
              <w:numPr>
                <w:ilvl w:val="0"/>
                <w:numId w:val="40"/>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业态组合：以组团型商业综合体/购物中心、中型百货店、大型超市为主导业态，配套发展休闲餐饮、文化娱乐、连锁酒店等商业网点。</w:t>
            </w:r>
          </w:p>
          <w:p w14:paraId="19FB0D1D">
            <w:pPr>
              <w:keepNext w:val="0"/>
              <w:keepLines w:val="0"/>
              <w:pageBreakBefore w:val="0"/>
              <w:widowControl/>
              <w:numPr>
                <w:ilvl w:val="0"/>
                <w:numId w:val="39"/>
              </w:numPr>
              <w:kinsoku/>
              <w:wordWrap/>
              <w:overflowPunct/>
              <w:topLinePunct w:val="0"/>
              <w:autoSpaceDE/>
              <w:autoSpaceDN/>
              <w:bidi w:val="0"/>
              <w:adjustRightInd/>
              <w:snapToGrid/>
              <w:spacing w:after="24" w:afterLines="10" w:line="240" w:lineRule="auto"/>
              <w:jc w:val="left"/>
              <w:textAlignment w:val="auto"/>
              <w:rPr>
                <w:rFonts w:hint="eastAsia" w:ascii="幼圆" w:hAnsi="宋体" w:eastAsia="幼圆" w:cs="宋体"/>
                <w:kern w:val="0"/>
                <w:sz w:val="22"/>
                <w:szCs w:val="22"/>
              </w:rPr>
            </w:pPr>
            <w:r>
              <w:rPr>
                <w:rFonts w:hint="eastAsia" w:ascii="幼圆" w:eastAsia="幼圆"/>
                <w:sz w:val="22"/>
                <w:szCs w:val="22"/>
              </w:rPr>
              <w:t>规划布局：依托红草轻轨站及红草汽车站交通设施，发展2-3处组团型商业综合体/购物中心、中型百货店、大型超市，以此为主力店组织布局专业店、专卖店等商业网点；休闲购物、餐饮、文化娱乐、连锁酒店等宜分段布局</w:t>
            </w:r>
            <w:r>
              <w:rPr>
                <w:rFonts w:hint="eastAsia" w:ascii="幼圆" w:hAnsi="宋体" w:eastAsia="幼圆" w:cs="宋体"/>
                <w:kern w:val="0"/>
                <w:sz w:val="22"/>
                <w:szCs w:val="22"/>
              </w:rPr>
              <w:t>。</w:t>
            </w:r>
          </w:p>
        </w:tc>
      </w:tr>
    </w:tbl>
    <w:p w14:paraId="1A59C6E3">
      <w:pPr>
        <w:rPr>
          <w:rFonts w:hint="eastAsia"/>
          <w:color w:val="000000"/>
        </w:rPr>
      </w:pPr>
    </w:p>
    <w:p w14:paraId="4CF8C54D">
      <w:pPr>
        <w:rPr>
          <w:color w:val="000000"/>
        </w:rPr>
        <w:sectPr>
          <w:pgSz w:w="23814" w:h="16840" w:orient="landscape"/>
          <w:pgMar w:top="1985" w:right="1985" w:bottom="1418" w:left="1985" w:header="851" w:footer="992" w:gutter="0"/>
          <w:pgNumType w:fmt="decimal"/>
          <w:cols w:space="720" w:num="1"/>
          <w:docGrid w:linePitch="312" w:charSpace="0"/>
        </w:sectPr>
      </w:pPr>
    </w:p>
    <w:p w14:paraId="481B7997">
      <w:pPr>
        <w:spacing w:after="120" w:afterLines="50"/>
        <w:jc w:val="center"/>
        <w:rPr>
          <w:rFonts w:hint="eastAsia"/>
          <w:color w:val="000000"/>
        </w:rPr>
      </w:pPr>
      <w:r>
        <w:rPr>
          <w:rFonts w:hint="eastAsia" w:ascii="幼圆" w:eastAsia="幼圆"/>
          <w:color w:val="000000"/>
          <w:sz w:val="24"/>
        </w:rPr>
        <w:t>社区级商业街规划指引一览表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819"/>
        <w:gridCol w:w="2267"/>
        <w:gridCol w:w="2411"/>
        <w:gridCol w:w="1131"/>
        <w:gridCol w:w="1701"/>
        <w:gridCol w:w="1701"/>
        <w:gridCol w:w="1416"/>
        <w:gridCol w:w="1276"/>
        <w:gridCol w:w="7338"/>
      </w:tblGrid>
      <w:tr w14:paraId="71542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5" w:hRule="atLeast"/>
          <w:jc w:val="center"/>
        </w:trPr>
        <w:tc>
          <w:tcPr>
            <w:tcW w:w="204" w:type="pct"/>
            <w:shd w:val="clear" w:color="auto" w:fill="FFFFFF"/>
            <w:noWrap w:val="0"/>
            <w:vAlign w:val="center"/>
          </w:tcPr>
          <w:p w14:paraId="1CADBDF9">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rPr>
              <w:t>序号</w:t>
            </w:r>
          </w:p>
        </w:tc>
        <w:tc>
          <w:tcPr>
            <w:tcW w:w="565" w:type="pct"/>
            <w:shd w:val="clear" w:color="auto" w:fill="FFFFFF"/>
            <w:noWrap/>
            <w:vAlign w:val="center"/>
          </w:tcPr>
          <w:p w14:paraId="70D49B40">
            <w:pPr>
              <w:widowControl/>
              <w:spacing w:line="312" w:lineRule="auto"/>
              <w:jc w:val="center"/>
              <w:rPr>
                <w:rFonts w:ascii="幼圆" w:hAnsi="宋体" w:eastAsia="幼圆" w:cs="宋体"/>
                <w:b/>
                <w:bCs/>
                <w:kern w:val="0"/>
                <w:sz w:val="24"/>
              </w:rPr>
            </w:pPr>
            <w:r>
              <w:rPr>
                <w:rFonts w:hint="eastAsia" w:ascii="幼圆" w:hAnsi="宋体" w:eastAsia="幼圆" w:cs="宋体"/>
                <w:b/>
                <w:bCs/>
                <w:kern w:val="0"/>
                <w:sz w:val="24"/>
              </w:rPr>
              <w:t>名称</w:t>
            </w:r>
          </w:p>
        </w:tc>
        <w:tc>
          <w:tcPr>
            <w:tcW w:w="601" w:type="pct"/>
            <w:shd w:val="clear" w:color="auto" w:fill="FFFFFF"/>
            <w:noWrap w:val="0"/>
            <w:vAlign w:val="center"/>
          </w:tcPr>
          <w:p w14:paraId="0E1FB678">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rPr>
              <w:t>起止点/位置</w:t>
            </w:r>
          </w:p>
        </w:tc>
        <w:tc>
          <w:tcPr>
            <w:tcW w:w="282" w:type="pct"/>
            <w:shd w:val="clear" w:color="auto" w:fill="FFFFFF"/>
            <w:noWrap w:val="0"/>
            <w:vAlign w:val="center"/>
          </w:tcPr>
          <w:p w14:paraId="74DC4785">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rPr>
              <w:t>长度</w:t>
            </w:r>
            <w:r>
              <w:rPr>
                <w:rFonts w:hint="eastAsia" w:ascii="幼圆" w:hAnsi="宋体" w:eastAsia="幼圆" w:cs="宋体"/>
                <w:b/>
                <w:bCs/>
                <w:kern w:val="0"/>
                <w:sz w:val="24"/>
                <w:lang w:eastAsia="zh-CN"/>
              </w:rPr>
              <w:t>（</w:t>
            </w:r>
            <w:r>
              <w:rPr>
                <w:rFonts w:hint="eastAsia" w:ascii="幼圆" w:hAnsi="宋体" w:eastAsia="幼圆" w:cs="宋体"/>
                <w:b/>
                <w:bCs/>
                <w:kern w:val="0"/>
                <w:sz w:val="24"/>
              </w:rPr>
              <w:t>m</w:t>
            </w:r>
            <w:r>
              <w:rPr>
                <w:rFonts w:hint="eastAsia" w:ascii="幼圆" w:hAnsi="宋体" w:eastAsia="幼圆" w:cs="宋体"/>
                <w:b/>
                <w:bCs/>
                <w:kern w:val="0"/>
                <w:sz w:val="24"/>
                <w:lang w:eastAsia="zh-CN"/>
              </w:rPr>
              <w:t>）</w:t>
            </w:r>
          </w:p>
        </w:tc>
        <w:tc>
          <w:tcPr>
            <w:tcW w:w="424" w:type="pct"/>
            <w:shd w:val="clear" w:color="auto" w:fill="FFFFFF"/>
            <w:noWrap/>
            <w:vAlign w:val="center"/>
          </w:tcPr>
          <w:p w14:paraId="2EAA9142">
            <w:pPr>
              <w:widowControl/>
              <w:spacing w:line="312" w:lineRule="auto"/>
              <w:jc w:val="center"/>
              <w:rPr>
                <w:rFonts w:ascii="幼圆" w:hAnsi="宋体" w:eastAsia="幼圆" w:cs="宋体"/>
                <w:b/>
                <w:bCs/>
                <w:kern w:val="0"/>
                <w:sz w:val="24"/>
              </w:rPr>
            </w:pPr>
            <w:r>
              <w:rPr>
                <w:rFonts w:hint="eastAsia" w:ascii="幼圆" w:hAnsi="宋体" w:eastAsia="幼圆" w:cs="宋体"/>
                <w:b/>
                <w:bCs/>
                <w:kern w:val="0"/>
                <w:sz w:val="24"/>
              </w:rPr>
              <w:t>经营商品属性</w:t>
            </w:r>
          </w:p>
        </w:tc>
        <w:tc>
          <w:tcPr>
            <w:tcW w:w="424" w:type="pct"/>
            <w:shd w:val="clear" w:color="auto" w:fill="FFFFFF"/>
            <w:noWrap/>
            <w:vAlign w:val="center"/>
          </w:tcPr>
          <w:p w14:paraId="4FF36114">
            <w:pPr>
              <w:widowControl/>
              <w:spacing w:line="312" w:lineRule="auto"/>
              <w:jc w:val="center"/>
              <w:rPr>
                <w:rFonts w:ascii="幼圆" w:hAnsi="宋体" w:eastAsia="幼圆" w:cs="宋体"/>
                <w:b/>
                <w:bCs/>
                <w:kern w:val="0"/>
                <w:sz w:val="24"/>
              </w:rPr>
            </w:pPr>
            <w:r>
              <w:rPr>
                <w:rFonts w:hint="eastAsia" w:ascii="幼圆" w:hAnsi="宋体" w:eastAsia="幼圆" w:cs="宋体"/>
                <w:b/>
                <w:bCs/>
                <w:kern w:val="0"/>
                <w:sz w:val="24"/>
              </w:rPr>
              <w:t>交通组织形式</w:t>
            </w:r>
          </w:p>
        </w:tc>
        <w:tc>
          <w:tcPr>
            <w:tcW w:w="353" w:type="pct"/>
            <w:shd w:val="clear" w:color="auto" w:fill="FFFFFF"/>
            <w:noWrap/>
            <w:vAlign w:val="center"/>
          </w:tcPr>
          <w:p w14:paraId="16FC1182">
            <w:pPr>
              <w:widowControl/>
              <w:spacing w:line="312" w:lineRule="auto"/>
              <w:jc w:val="center"/>
              <w:rPr>
                <w:rFonts w:ascii="幼圆" w:hAnsi="宋体" w:eastAsia="幼圆" w:cs="宋体"/>
                <w:b/>
                <w:bCs/>
                <w:kern w:val="0"/>
                <w:sz w:val="24"/>
              </w:rPr>
            </w:pPr>
            <w:r>
              <w:rPr>
                <w:rFonts w:hint="eastAsia" w:ascii="幼圆" w:hAnsi="宋体" w:eastAsia="幼圆" w:cs="宋体"/>
                <w:b/>
                <w:bCs/>
                <w:kern w:val="0"/>
                <w:sz w:val="24"/>
              </w:rPr>
              <w:t>主力业种</w:t>
            </w:r>
          </w:p>
        </w:tc>
        <w:tc>
          <w:tcPr>
            <w:tcW w:w="318" w:type="pct"/>
            <w:shd w:val="clear" w:color="auto" w:fill="FFFFFF"/>
            <w:noWrap w:val="0"/>
            <w:vAlign w:val="center"/>
          </w:tcPr>
          <w:p w14:paraId="64CBCB6B">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rPr>
              <w:t>规划时序</w:t>
            </w:r>
          </w:p>
        </w:tc>
        <w:tc>
          <w:tcPr>
            <w:tcW w:w="1829" w:type="pct"/>
            <w:shd w:val="clear" w:color="auto" w:fill="FFFFFF"/>
            <w:noWrap w:val="0"/>
            <w:vAlign w:val="center"/>
          </w:tcPr>
          <w:p w14:paraId="543F195E">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rPr>
              <w:t>规划指引</w:t>
            </w:r>
          </w:p>
        </w:tc>
      </w:tr>
      <w:tr w14:paraId="28509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73FD6A3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w:t>
            </w:r>
          </w:p>
        </w:tc>
        <w:tc>
          <w:tcPr>
            <w:tcW w:w="565" w:type="pct"/>
            <w:shd w:val="clear" w:color="auto" w:fill="FFFFFF"/>
            <w:noWrap/>
            <w:vAlign w:val="center"/>
          </w:tcPr>
          <w:p w14:paraId="30F5A9FF">
            <w:pPr>
              <w:widowControl/>
              <w:spacing w:line="312" w:lineRule="auto"/>
              <w:jc w:val="center"/>
              <w:rPr>
                <w:rFonts w:ascii="幼圆" w:hAnsi="宋体" w:eastAsia="幼圆" w:cs="宋体"/>
                <w:kern w:val="0"/>
                <w:sz w:val="24"/>
              </w:rPr>
            </w:pPr>
            <w:r>
              <w:rPr>
                <w:rFonts w:hint="eastAsia" w:ascii="幼圆" w:hAnsi="宋体" w:eastAsia="幼圆" w:cs="宋体"/>
                <w:kern w:val="0"/>
                <w:sz w:val="24"/>
              </w:rPr>
              <w:t>金町社区商业街</w:t>
            </w:r>
          </w:p>
        </w:tc>
        <w:tc>
          <w:tcPr>
            <w:tcW w:w="601" w:type="pct"/>
            <w:shd w:val="clear" w:color="auto" w:fill="FFFFFF"/>
            <w:noWrap w:val="0"/>
            <w:vAlign w:val="center"/>
          </w:tcPr>
          <w:p w14:paraId="1468C2B2">
            <w:pPr>
              <w:widowControl/>
              <w:spacing w:line="312" w:lineRule="auto"/>
              <w:jc w:val="center"/>
              <w:rPr>
                <w:rFonts w:ascii="幼圆" w:hAnsi="宋体" w:eastAsia="幼圆" w:cs="宋体"/>
                <w:kern w:val="0"/>
                <w:sz w:val="24"/>
              </w:rPr>
            </w:pPr>
            <w:r>
              <w:rPr>
                <w:rFonts w:hint="eastAsia" w:ascii="幼圆" w:hAnsi="宋体" w:eastAsia="幼圆" w:cs="宋体"/>
                <w:kern w:val="0"/>
                <w:sz w:val="24"/>
              </w:rPr>
              <w:t>金町社区商业中心</w:t>
            </w:r>
          </w:p>
        </w:tc>
        <w:tc>
          <w:tcPr>
            <w:tcW w:w="282" w:type="pct"/>
            <w:shd w:val="clear" w:color="auto" w:fill="FFFFFF"/>
            <w:noWrap w:val="0"/>
            <w:vAlign w:val="center"/>
          </w:tcPr>
          <w:p w14:paraId="116053FF">
            <w:pPr>
              <w:widowControl/>
              <w:spacing w:line="312" w:lineRule="auto"/>
              <w:jc w:val="center"/>
              <w:rPr>
                <w:rFonts w:ascii="幼圆" w:hAnsi="宋体" w:eastAsia="幼圆" w:cs="宋体"/>
                <w:kern w:val="0"/>
                <w:sz w:val="24"/>
              </w:rPr>
            </w:pPr>
            <w:r>
              <w:rPr>
                <w:rFonts w:hint="eastAsia" w:ascii="幼圆" w:hAnsi="宋体" w:eastAsia="幼圆" w:cs="宋体"/>
                <w:kern w:val="0"/>
                <w:sz w:val="24"/>
              </w:rPr>
              <w:t>360</w:t>
            </w:r>
          </w:p>
        </w:tc>
        <w:tc>
          <w:tcPr>
            <w:tcW w:w="424" w:type="pct"/>
            <w:shd w:val="clear" w:color="auto" w:fill="FFFFFF"/>
            <w:noWrap/>
            <w:vAlign w:val="center"/>
          </w:tcPr>
          <w:p w14:paraId="1E3BC720">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61D85677">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2D777C89">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1E9072D3">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restart"/>
            <w:shd w:val="clear" w:color="auto" w:fill="FFFFFF"/>
            <w:noWrap w:val="0"/>
            <w:vAlign w:val="center"/>
          </w:tcPr>
          <w:p w14:paraId="4C7D31DD">
            <w:pPr>
              <w:numPr>
                <w:ilvl w:val="0"/>
                <w:numId w:val="39"/>
              </w:numPr>
              <w:adjustRightInd w:val="0"/>
              <w:snapToGrid w:val="0"/>
              <w:spacing w:line="312" w:lineRule="auto"/>
              <w:ind w:left="0"/>
              <w:rPr>
                <w:rFonts w:ascii="幼圆" w:hAnsi="宋体" w:eastAsia="幼圆" w:cs="宋体"/>
                <w:kern w:val="0"/>
                <w:sz w:val="24"/>
              </w:rPr>
            </w:pPr>
            <w:r>
              <w:rPr>
                <w:rFonts w:hint="eastAsia" w:ascii="幼圆" w:hAnsi="宋体" w:eastAsia="幼圆" w:cs="宋体"/>
                <w:kern w:val="0"/>
                <w:sz w:val="24"/>
              </w:rPr>
              <w:t>功能定位：城市住区型社区商业街，为社区城市居民提供综合性的日常购物和居家服务。</w:t>
            </w:r>
          </w:p>
          <w:p w14:paraId="6147D34C">
            <w:pPr>
              <w:numPr>
                <w:ilvl w:val="0"/>
                <w:numId w:val="39"/>
              </w:numPr>
              <w:adjustRightInd w:val="0"/>
              <w:snapToGrid w:val="0"/>
              <w:spacing w:line="312" w:lineRule="auto"/>
              <w:ind w:left="0"/>
              <w:rPr>
                <w:rFonts w:ascii="幼圆" w:hAnsi="宋体" w:eastAsia="幼圆" w:cs="宋体"/>
                <w:kern w:val="0"/>
                <w:sz w:val="24"/>
              </w:rPr>
            </w:pPr>
            <w:r>
              <w:rPr>
                <w:rFonts w:hint="eastAsia" w:ascii="幼圆" w:hAnsi="宋体" w:eastAsia="幼圆" w:cs="宋体"/>
                <w:kern w:val="0"/>
                <w:sz w:val="24"/>
              </w:rPr>
              <w:t>业态组合：以社区购物中心</w:t>
            </w:r>
            <w:r>
              <w:rPr>
                <w:rFonts w:ascii="幼圆" w:hAnsi="宋体" w:eastAsia="幼圆" w:cs="宋体"/>
                <w:kern w:val="0"/>
                <w:sz w:val="24"/>
              </w:rPr>
              <w:t>/</w:t>
            </w:r>
            <w:r>
              <w:rPr>
                <w:rFonts w:hint="eastAsia" w:ascii="幼圆" w:hAnsi="宋体" w:eastAsia="幼圆" w:cs="宋体"/>
                <w:kern w:val="0"/>
                <w:sz w:val="24"/>
              </w:rPr>
              <w:t>大中型超市</w:t>
            </w:r>
            <w:r>
              <w:rPr>
                <w:rFonts w:ascii="幼圆" w:hAnsi="宋体" w:eastAsia="幼圆" w:cs="宋体"/>
                <w:kern w:val="0"/>
                <w:sz w:val="24"/>
              </w:rPr>
              <w:t>/</w:t>
            </w:r>
            <w:r>
              <w:rPr>
                <w:rFonts w:hint="eastAsia" w:ascii="幼圆" w:hAnsi="宋体" w:eastAsia="幼圆" w:cs="宋体"/>
                <w:kern w:val="0"/>
                <w:sz w:val="24"/>
              </w:rPr>
              <w:t>生鲜超市（农贸市场）、休闲餐饮、家政服务、亲子教育、电器修理为主要业态，按照城市住区型社区商业中心的业态指引要求进行引导。</w:t>
            </w:r>
          </w:p>
          <w:p w14:paraId="0AA1E359">
            <w:pPr>
              <w:widowControl/>
              <w:numPr>
                <w:ilvl w:val="0"/>
                <w:numId w:val="39"/>
              </w:numPr>
              <w:spacing w:line="312" w:lineRule="auto"/>
              <w:ind w:left="0"/>
              <w:jc w:val="left"/>
              <w:rPr>
                <w:rFonts w:hint="eastAsia" w:ascii="幼圆" w:eastAsia="幼圆"/>
                <w:sz w:val="24"/>
              </w:rPr>
            </w:pPr>
            <w:r>
              <w:rPr>
                <w:rFonts w:hint="eastAsia" w:ascii="幼圆" w:hAnsi="宋体" w:eastAsia="幼圆" w:cs="宋体"/>
                <w:kern w:val="0"/>
                <w:sz w:val="24"/>
              </w:rPr>
              <w:t>规划布局：按照社区购物中心或大中型超市</w:t>
            </w:r>
            <w:r>
              <w:rPr>
                <w:rFonts w:ascii="幼圆" w:hAnsi="宋体" w:eastAsia="幼圆" w:cs="宋体"/>
                <w:kern w:val="0"/>
                <w:sz w:val="24"/>
              </w:rPr>
              <w:t>+</w:t>
            </w:r>
            <w:r>
              <w:rPr>
                <w:rFonts w:hint="eastAsia" w:ascii="幼圆" w:hAnsi="宋体" w:eastAsia="幼圆" w:cs="宋体"/>
                <w:kern w:val="0"/>
                <w:sz w:val="24"/>
              </w:rPr>
              <w:t>商业街的模式组织社区商业网点布局；日用品和服饰销售宜集中设置在社区购物中心或大中型超市内，商业街宜突出休闲体验空间环境；逐步推行以生鲜超市替代菜市场，整合于社区商业综合体内配置。</w:t>
            </w:r>
          </w:p>
        </w:tc>
      </w:tr>
      <w:tr w14:paraId="228C9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79074A3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2</w:t>
            </w:r>
          </w:p>
        </w:tc>
        <w:tc>
          <w:tcPr>
            <w:tcW w:w="565" w:type="pct"/>
            <w:shd w:val="clear" w:color="auto" w:fill="FFFFFF"/>
            <w:noWrap/>
            <w:vAlign w:val="center"/>
          </w:tcPr>
          <w:p w14:paraId="5EC38816">
            <w:pPr>
              <w:widowControl/>
              <w:spacing w:line="312" w:lineRule="auto"/>
              <w:jc w:val="center"/>
              <w:rPr>
                <w:rFonts w:ascii="幼圆" w:hAnsi="宋体" w:eastAsia="幼圆" w:cs="宋体"/>
                <w:kern w:val="0"/>
                <w:sz w:val="24"/>
              </w:rPr>
            </w:pPr>
            <w:r>
              <w:rPr>
                <w:rFonts w:hint="eastAsia" w:ascii="幼圆" w:hAnsi="宋体" w:eastAsia="幼圆" w:cs="宋体"/>
                <w:kern w:val="0"/>
                <w:sz w:val="24"/>
              </w:rPr>
              <w:t>西洋商业街</w:t>
            </w:r>
          </w:p>
        </w:tc>
        <w:tc>
          <w:tcPr>
            <w:tcW w:w="601" w:type="pct"/>
            <w:shd w:val="clear" w:color="auto" w:fill="FFFFFF"/>
            <w:noWrap w:val="0"/>
            <w:vAlign w:val="center"/>
          </w:tcPr>
          <w:p w14:paraId="6819285C">
            <w:pPr>
              <w:widowControl/>
              <w:spacing w:line="312" w:lineRule="auto"/>
              <w:jc w:val="center"/>
              <w:rPr>
                <w:rFonts w:ascii="幼圆" w:hAnsi="宋体" w:eastAsia="幼圆" w:cs="宋体"/>
                <w:kern w:val="0"/>
                <w:sz w:val="24"/>
              </w:rPr>
            </w:pPr>
            <w:r>
              <w:rPr>
                <w:rFonts w:hint="eastAsia" w:ascii="幼圆" w:hAnsi="宋体" w:eastAsia="幼圆" w:cs="宋体"/>
                <w:kern w:val="0"/>
                <w:sz w:val="24"/>
              </w:rPr>
              <w:t>西洋社区商业中心</w:t>
            </w:r>
          </w:p>
        </w:tc>
        <w:tc>
          <w:tcPr>
            <w:tcW w:w="282" w:type="pct"/>
            <w:shd w:val="clear" w:color="auto" w:fill="FFFFFF"/>
            <w:noWrap w:val="0"/>
            <w:vAlign w:val="center"/>
          </w:tcPr>
          <w:p w14:paraId="13E45664">
            <w:pPr>
              <w:widowControl/>
              <w:spacing w:line="312" w:lineRule="auto"/>
              <w:jc w:val="center"/>
              <w:rPr>
                <w:rFonts w:ascii="幼圆" w:hAnsi="宋体" w:eastAsia="幼圆" w:cs="宋体"/>
                <w:kern w:val="0"/>
                <w:sz w:val="24"/>
              </w:rPr>
            </w:pPr>
            <w:r>
              <w:rPr>
                <w:rFonts w:hint="eastAsia" w:ascii="幼圆" w:hAnsi="宋体" w:eastAsia="幼圆" w:cs="宋体"/>
                <w:kern w:val="0"/>
                <w:sz w:val="24"/>
              </w:rPr>
              <w:t>420</w:t>
            </w:r>
          </w:p>
        </w:tc>
        <w:tc>
          <w:tcPr>
            <w:tcW w:w="424" w:type="pct"/>
            <w:shd w:val="clear" w:color="auto" w:fill="FFFFFF"/>
            <w:noWrap/>
            <w:vAlign w:val="center"/>
          </w:tcPr>
          <w:p w14:paraId="7877107C">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78CEB74A">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15204889">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5BD257FA">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54514FD0">
            <w:pPr>
              <w:numPr>
                <w:ilvl w:val="0"/>
                <w:numId w:val="39"/>
              </w:numPr>
              <w:adjustRightInd w:val="0"/>
              <w:snapToGrid w:val="0"/>
              <w:spacing w:line="312" w:lineRule="auto"/>
              <w:ind w:left="0"/>
              <w:rPr>
                <w:rFonts w:hint="eastAsia" w:ascii="幼圆" w:hAnsi="宋体" w:eastAsia="幼圆" w:cs="宋体"/>
                <w:kern w:val="0"/>
                <w:sz w:val="24"/>
              </w:rPr>
            </w:pPr>
          </w:p>
        </w:tc>
      </w:tr>
      <w:tr w14:paraId="1D8A0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1290D2B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3</w:t>
            </w:r>
          </w:p>
        </w:tc>
        <w:tc>
          <w:tcPr>
            <w:tcW w:w="565" w:type="pct"/>
            <w:shd w:val="clear" w:color="auto" w:fill="FFFFFF"/>
            <w:noWrap/>
            <w:vAlign w:val="center"/>
          </w:tcPr>
          <w:p w14:paraId="3CA794BD">
            <w:pPr>
              <w:widowControl/>
              <w:spacing w:line="312" w:lineRule="auto"/>
              <w:jc w:val="center"/>
              <w:rPr>
                <w:rFonts w:ascii="幼圆" w:hAnsi="宋体" w:eastAsia="幼圆" w:cs="宋体"/>
                <w:kern w:val="0"/>
                <w:sz w:val="24"/>
              </w:rPr>
            </w:pPr>
            <w:r>
              <w:rPr>
                <w:rFonts w:hint="eastAsia" w:ascii="幼圆" w:hAnsi="宋体" w:eastAsia="幼圆" w:cs="宋体"/>
                <w:kern w:val="0"/>
                <w:sz w:val="24"/>
              </w:rPr>
              <w:t>祥兴商业街</w:t>
            </w:r>
          </w:p>
        </w:tc>
        <w:tc>
          <w:tcPr>
            <w:tcW w:w="601" w:type="pct"/>
            <w:shd w:val="clear" w:color="auto" w:fill="FFFFFF"/>
            <w:noWrap w:val="0"/>
            <w:vAlign w:val="center"/>
          </w:tcPr>
          <w:p w14:paraId="4CBB27B0">
            <w:pPr>
              <w:widowControl/>
              <w:spacing w:line="312" w:lineRule="auto"/>
              <w:jc w:val="center"/>
              <w:rPr>
                <w:rFonts w:ascii="幼圆" w:hAnsi="宋体" w:eastAsia="幼圆" w:cs="宋体"/>
                <w:kern w:val="0"/>
                <w:sz w:val="24"/>
              </w:rPr>
            </w:pPr>
            <w:r>
              <w:rPr>
                <w:rFonts w:hint="eastAsia" w:ascii="幼圆" w:hAnsi="宋体" w:eastAsia="幼圆" w:cs="宋体"/>
                <w:kern w:val="0"/>
                <w:sz w:val="24"/>
              </w:rPr>
              <w:t>祥兴社区商业中心</w:t>
            </w:r>
          </w:p>
        </w:tc>
        <w:tc>
          <w:tcPr>
            <w:tcW w:w="282" w:type="pct"/>
            <w:shd w:val="clear" w:color="auto" w:fill="FFFFFF"/>
            <w:noWrap w:val="0"/>
            <w:vAlign w:val="center"/>
          </w:tcPr>
          <w:p w14:paraId="3DFF9529">
            <w:pPr>
              <w:widowControl/>
              <w:spacing w:line="312" w:lineRule="auto"/>
              <w:jc w:val="center"/>
              <w:rPr>
                <w:rFonts w:ascii="幼圆" w:hAnsi="宋体" w:eastAsia="幼圆" w:cs="宋体"/>
                <w:kern w:val="0"/>
                <w:sz w:val="24"/>
              </w:rPr>
            </w:pPr>
            <w:r>
              <w:rPr>
                <w:rFonts w:hint="eastAsia" w:ascii="幼圆" w:hAnsi="宋体" w:eastAsia="幼圆" w:cs="宋体"/>
                <w:kern w:val="0"/>
                <w:sz w:val="24"/>
              </w:rPr>
              <w:t>320</w:t>
            </w:r>
          </w:p>
        </w:tc>
        <w:tc>
          <w:tcPr>
            <w:tcW w:w="424" w:type="pct"/>
            <w:shd w:val="clear" w:color="auto" w:fill="FFFFFF"/>
            <w:noWrap/>
            <w:vAlign w:val="center"/>
          </w:tcPr>
          <w:p w14:paraId="1DA100F8">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6324BB5F">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216E22D2">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102F4ED7">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60750451">
            <w:pPr>
              <w:numPr>
                <w:ilvl w:val="0"/>
                <w:numId w:val="39"/>
              </w:numPr>
              <w:adjustRightInd w:val="0"/>
              <w:snapToGrid w:val="0"/>
              <w:spacing w:line="312" w:lineRule="auto"/>
              <w:ind w:left="0"/>
              <w:rPr>
                <w:rFonts w:hint="eastAsia" w:ascii="幼圆" w:hAnsi="宋体" w:eastAsia="幼圆" w:cs="宋体"/>
                <w:kern w:val="0"/>
                <w:sz w:val="24"/>
              </w:rPr>
            </w:pPr>
          </w:p>
        </w:tc>
      </w:tr>
      <w:tr w14:paraId="40DF9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71FF8AF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4</w:t>
            </w:r>
          </w:p>
        </w:tc>
        <w:tc>
          <w:tcPr>
            <w:tcW w:w="565" w:type="pct"/>
            <w:shd w:val="clear" w:color="auto" w:fill="FFFFFF"/>
            <w:noWrap/>
            <w:vAlign w:val="center"/>
          </w:tcPr>
          <w:p w14:paraId="2577959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大鹏山社区商业街</w:t>
            </w:r>
          </w:p>
        </w:tc>
        <w:tc>
          <w:tcPr>
            <w:tcW w:w="601" w:type="pct"/>
            <w:shd w:val="clear" w:color="auto" w:fill="FFFFFF"/>
            <w:noWrap w:val="0"/>
            <w:vAlign w:val="center"/>
          </w:tcPr>
          <w:p w14:paraId="355AC0A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大鹏山社区商业中心</w:t>
            </w:r>
          </w:p>
        </w:tc>
        <w:tc>
          <w:tcPr>
            <w:tcW w:w="282" w:type="pct"/>
            <w:shd w:val="clear" w:color="auto" w:fill="FFFFFF"/>
            <w:noWrap w:val="0"/>
            <w:vAlign w:val="center"/>
          </w:tcPr>
          <w:p w14:paraId="2191FB5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350</w:t>
            </w:r>
          </w:p>
        </w:tc>
        <w:tc>
          <w:tcPr>
            <w:tcW w:w="424" w:type="pct"/>
            <w:shd w:val="clear" w:color="auto" w:fill="FFFFFF"/>
            <w:noWrap/>
            <w:vAlign w:val="center"/>
          </w:tcPr>
          <w:p w14:paraId="559D6DE6">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59AA1A4E">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1155EC01">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1CF51812">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46DC4B7C">
            <w:pPr>
              <w:numPr>
                <w:ilvl w:val="0"/>
                <w:numId w:val="39"/>
              </w:numPr>
              <w:adjustRightInd w:val="0"/>
              <w:snapToGrid w:val="0"/>
              <w:spacing w:line="312" w:lineRule="auto"/>
              <w:ind w:left="0"/>
              <w:rPr>
                <w:rFonts w:hint="eastAsia" w:ascii="幼圆" w:hAnsi="宋体" w:eastAsia="幼圆" w:cs="宋体"/>
                <w:kern w:val="0"/>
                <w:sz w:val="24"/>
              </w:rPr>
            </w:pPr>
          </w:p>
        </w:tc>
      </w:tr>
      <w:tr w14:paraId="07CCE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414E95D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5</w:t>
            </w:r>
          </w:p>
        </w:tc>
        <w:tc>
          <w:tcPr>
            <w:tcW w:w="565" w:type="pct"/>
            <w:shd w:val="clear" w:color="auto" w:fill="FFFFFF"/>
            <w:noWrap/>
            <w:vAlign w:val="center"/>
          </w:tcPr>
          <w:p w14:paraId="10EDECAF">
            <w:pPr>
              <w:widowControl/>
              <w:spacing w:line="312" w:lineRule="auto"/>
              <w:jc w:val="center"/>
              <w:rPr>
                <w:rFonts w:ascii="幼圆" w:hAnsi="宋体" w:eastAsia="幼圆" w:cs="宋体"/>
                <w:kern w:val="0"/>
                <w:sz w:val="24"/>
              </w:rPr>
            </w:pPr>
            <w:r>
              <w:rPr>
                <w:rFonts w:hint="eastAsia" w:ascii="幼圆" w:hAnsi="宋体" w:eastAsia="幼圆" w:cs="宋体"/>
                <w:kern w:val="0"/>
                <w:sz w:val="24"/>
              </w:rPr>
              <w:t>凤苑路商业街</w:t>
            </w:r>
          </w:p>
        </w:tc>
        <w:tc>
          <w:tcPr>
            <w:tcW w:w="601" w:type="pct"/>
            <w:shd w:val="clear" w:color="auto" w:fill="FFFFFF"/>
            <w:noWrap w:val="0"/>
            <w:vAlign w:val="center"/>
          </w:tcPr>
          <w:p w14:paraId="1F081D82">
            <w:pPr>
              <w:widowControl/>
              <w:spacing w:line="312" w:lineRule="auto"/>
              <w:jc w:val="center"/>
              <w:rPr>
                <w:rFonts w:ascii="幼圆" w:hAnsi="宋体" w:eastAsia="幼圆" w:cs="宋体"/>
                <w:kern w:val="0"/>
                <w:sz w:val="24"/>
              </w:rPr>
            </w:pPr>
            <w:r>
              <w:rPr>
                <w:rFonts w:hint="eastAsia" w:ascii="幼圆" w:hAnsi="宋体" w:eastAsia="幼圆" w:cs="宋体"/>
                <w:kern w:val="0"/>
                <w:sz w:val="24"/>
              </w:rPr>
              <w:t>凤苑路</w:t>
            </w:r>
          </w:p>
        </w:tc>
        <w:tc>
          <w:tcPr>
            <w:tcW w:w="282" w:type="pct"/>
            <w:shd w:val="clear" w:color="auto" w:fill="FFFFFF"/>
            <w:noWrap w:val="0"/>
            <w:vAlign w:val="center"/>
          </w:tcPr>
          <w:p w14:paraId="6904347E">
            <w:pPr>
              <w:widowControl/>
              <w:spacing w:line="312" w:lineRule="auto"/>
              <w:jc w:val="center"/>
              <w:rPr>
                <w:rFonts w:ascii="幼圆" w:hAnsi="宋体" w:eastAsia="幼圆" w:cs="宋体"/>
                <w:kern w:val="0"/>
                <w:sz w:val="24"/>
              </w:rPr>
            </w:pPr>
            <w:r>
              <w:rPr>
                <w:rFonts w:hint="eastAsia" w:ascii="幼圆" w:hAnsi="宋体" w:eastAsia="幼圆" w:cs="宋体"/>
                <w:kern w:val="0"/>
                <w:sz w:val="24"/>
              </w:rPr>
              <w:t>320</w:t>
            </w:r>
          </w:p>
        </w:tc>
        <w:tc>
          <w:tcPr>
            <w:tcW w:w="424" w:type="pct"/>
            <w:shd w:val="clear" w:color="auto" w:fill="FFFFFF"/>
            <w:noWrap/>
            <w:vAlign w:val="center"/>
          </w:tcPr>
          <w:p w14:paraId="4E42C22D">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12AE58BB">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352EBC25">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3BA1E036">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5DE6CA7E">
            <w:pPr>
              <w:numPr>
                <w:ilvl w:val="0"/>
                <w:numId w:val="39"/>
              </w:numPr>
              <w:adjustRightInd w:val="0"/>
              <w:snapToGrid w:val="0"/>
              <w:spacing w:line="312" w:lineRule="auto"/>
              <w:ind w:left="0"/>
              <w:rPr>
                <w:rFonts w:hint="eastAsia" w:ascii="幼圆" w:hAnsi="宋体" w:eastAsia="幼圆" w:cs="宋体"/>
                <w:kern w:val="0"/>
                <w:sz w:val="24"/>
              </w:rPr>
            </w:pPr>
          </w:p>
        </w:tc>
      </w:tr>
      <w:tr w14:paraId="043CC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436008F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6</w:t>
            </w:r>
          </w:p>
        </w:tc>
        <w:tc>
          <w:tcPr>
            <w:tcW w:w="565" w:type="pct"/>
            <w:shd w:val="clear" w:color="auto" w:fill="FFFFFF"/>
            <w:noWrap/>
            <w:vAlign w:val="center"/>
          </w:tcPr>
          <w:p w14:paraId="000C0016">
            <w:pPr>
              <w:widowControl/>
              <w:spacing w:line="312" w:lineRule="auto"/>
              <w:jc w:val="center"/>
              <w:rPr>
                <w:rFonts w:ascii="幼圆" w:hAnsi="宋体" w:eastAsia="幼圆" w:cs="宋体"/>
                <w:kern w:val="0"/>
                <w:sz w:val="24"/>
              </w:rPr>
            </w:pPr>
            <w:r>
              <w:rPr>
                <w:rFonts w:hint="eastAsia" w:ascii="幼圆" w:hAnsi="宋体" w:eastAsia="幼圆" w:cs="宋体"/>
                <w:kern w:val="0"/>
                <w:sz w:val="24"/>
              </w:rPr>
              <w:t>和顺路商业街</w:t>
            </w:r>
          </w:p>
        </w:tc>
        <w:tc>
          <w:tcPr>
            <w:tcW w:w="601" w:type="pct"/>
            <w:shd w:val="clear" w:color="auto" w:fill="FFFFFF"/>
            <w:noWrap w:val="0"/>
            <w:vAlign w:val="center"/>
          </w:tcPr>
          <w:p w14:paraId="241376B1">
            <w:pPr>
              <w:widowControl/>
              <w:spacing w:line="312" w:lineRule="auto"/>
              <w:jc w:val="center"/>
              <w:rPr>
                <w:rFonts w:ascii="幼圆" w:hAnsi="宋体" w:eastAsia="幼圆" w:cs="宋体"/>
                <w:kern w:val="0"/>
                <w:sz w:val="24"/>
              </w:rPr>
            </w:pPr>
            <w:r>
              <w:rPr>
                <w:rFonts w:hint="eastAsia" w:ascii="幼圆" w:hAnsi="宋体" w:eastAsia="幼圆" w:cs="宋体"/>
                <w:kern w:val="0"/>
                <w:sz w:val="24"/>
              </w:rPr>
              <w:t>和顺路</w:t>
            </w:r>
          </w:p>
        </w:tc>
        <w:tc>
          <w:tcPr>
            <w:tcW w:w="282" w:type="pct"/>
            <w:shd w:val="clear" w:color="auto" w:fill="FFFFFF"/>
            <w:noWrap w:val="0"/>
            <w:vAlign w:val="center"/>
          </w:tcPr>
          <w:p w14:paraId="25138AB0">
            <w:pPr>
              <w:widowControl/>
              <w:spacing w:line="312" w:lineRule="auto"/>
              <w:jc w:val="center"/>
              <w:rPr>
                <w:rFonts w:ascii="幼圆" w:hAnsi="宋体" w:eastAsia="幼圆" w:cs="宋体"/>
                <w:kern w:val="0"/>
                <w:sz w:val="24"/>
              </w:rPr>
            </w:pPr>
            <w:r>
              <w:rPr>
                <w:rFonts w:hint="eastAsia" w:ascii="幼圆" w:hAnsi="宋体" w:eastAsia="幼圆" w:cs="宋体"/>
                <w:kern w:val="0"/>
                <w:sz w:val="24"/>
              </w:rPr>
              <w:t>260</w:t>
            </w:r>
          </w:p>
        </w:tc>
        <w:tc>
          <w:tcPr>
            <w:tcW w:w="424" w:type="pct"/>
            <w:shd w:val="clear" w:color="auto" w:fill="FFFFFF"/>
            <w:noWrap/>
            <w:vAlign w:val="center"/>
          </w:tcPr>
          <w:p w14:paraId="5D2D7B16">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2C09CDC3">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28A1C26E">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35C690D3">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16B1D944">
            <w:pPr>
              <w:numPr>
                <w:ilvl w:val="0"/>
                <w:numId w:val="39"/>
              </w:numPr>
              <w:adjustRightInd w:val="0"/>
              <w:snapToGrid w:val="0"/>
              <w:spacing w:line="312" w:lineRule="auto"/>
              <w:ind w:left="0"/>
              <w:rPr>
                <w:rFonts w:hint="eastAsia" w:ascii="幼圆" w:hAnsi="宋体" w:eastAsia="幼圆" w:cs="宋体"/>
                <w:kern w:val="0"/>
                <w:sz w:val="24"/>
              </w:rPr>
            </w:pPr>
          </w:p>
        </w:tc>
      </w:tr>
      <w:tr w14:paraId="18B68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4840B6F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7</w:t>
            </w:r>
          </w:p>
        </w:tc>
        <w:tc>
          <w:tcPr>
            <w:tcW w:w="565" w:type="pct"/>
            <w:shd w:val="clear" w:color="auto" w:fill="FFFFFF"/>
            <w:noWrap/>
            <w:vAlign w:val="center"/>
          </w:tcPr>
          <w:p w14:paraId="4A03BA04">
            <w:pPr>
              <w:widowControl/>
              <w:spacing w:line="312" w:lineRule="auto"/>
              <w:jc w:val="center"/>
              <w:rPr>
                <w:rFonts w:ascii="幼圆" w:hAnsi="宋体" w:eastAsia="幼圆" w:cs="宋体"/>
                <w:kern w:val="0"/>
                <w:sz w:val="24"/>
              </w:rPr>
            </w:pPr>
            <w:r>
              <w:rPr>
                <w:rFonts w:hint="eastAsia" w:ascii="幼圆" w:hAnsi="宋体" w:eastAsia="幼圆" w:cs="宋体"/>
                <w:kern w:val="0"/>
                <w:sz w:val="24"/>
              </w:rPr>
              <w:t>工业大道商业街</w:t>
            </w:r>
          </w:p>
        </w:tc>
        <w:tc>
          <w:tcPr>
            <w:tcW w:w="601" w:type="pct"/>
            <w:shd w:val="clear" w:color="auto" w:fill="FFFFFF"/>
            <w:noWrap w:val="0"/>
            <w:vAlign w:val="center"/>
          </w:tcPr>
          <w:p w14:paraId="2F3A4ACD">
            <w:pPr>
              <w:widowControl/>
              <w:spacing w:line="312" w:lineRule="auto"/>
              <w:jc w:val="center"/>
              <w:rPr>
                <w:rFonts w:ascii="幼圆" w:hAnsi="宋体" w:eastAsia="幼圆" w:cs="宋体"/>
                <w:kern w:val="0"/>
                <w:sz w:val="24"/>
              </w:rPr>
            </w:pPr>
            <w:r>
              <w:rPr>
                <w:rFonts w:hint="eastAsia" w:ascii="幼圆" w:hAnsi="宋体" w:eastAsia="幼圆" w:cs="宋体"/>
                <w:kern w:val="0"/>
                <w:sz w:val="24"/>
              </w:rPr>
              <w:t>工业大道</w:t>
            </w:r>
          </w:p>
        </w:tc>
        <w:tc>
          <w:tcPr>
            <w:tcW w:w="282" w:type="pct"/>
            <w:shd w:val="clear" w:color="auto" w:fill="FFFFFF"/>
            <w:noWrap w:val="0"/>
            <w:vAlign w:val="center"/>
          </w:tcPr>
          <w:p w14:paraId="4E9417D8">
            <w:pPr>
              <w:widowControl/>
              <w:spacing w:line="312" w:lineRule="auto"/>
              <w:jc w:val="center"/>
              <w:rPr>
                <w:rFonts w:ascii="幼圆" w:hAnsi="宋体" w:eastAsia="幼圆" w:cs="宋体"/>
                <w:kern w:val="0"/>
                <w:sz w:val="24"/>
              </w:rPr>
            </w:pPr>
            <w:r>
              <w:rPr>
                <w:rFonts w:hint="eastAsia" w:ascii="幼圆" w:hAnsi="宋体" w:eastAsia="幼圆" w:cs="宋体"/>
                <w:kern w:val="0"/>
                <w:sz w:val="24"/>
              </w:rPr>
              <w:t>560</w:t>
            </w:r>
          </w:p>
        </w:tc>
        <w:tc>
          <w:tcPr>
            <w:tcW w:w="424" w:type="pct"/>
            <w:shd w:val="clear" w:color="auto" w:fill="FFFFFF"/>
            <w:noWrap/>
            <w:vAlign w:val="center"/>
          </w:tcPr>
          <w:p w14:paraId="40A8317C">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03B8C9BF">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7E6B42EA">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4D2784A6">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58EE91AF">
            <w:pPr>
              <w:numPr>
                <w:ilvl w:val="0"/>
                <w:numId w:val="39"/>
              </w:numPr>
              <w:adjustRightInd w:val="0"/>
              <w:snapToGrid w:val="0"/>
              <w:spacing w:line="312" w:lineRule="auto"/>
              <w:ind w:left="0"/>
              <w:rPr>
                <w:rFonts w:hint="eastAsia" w:ascii="幼圆" w:hAnsi="宋体" w:eastAsia="幼圆" w:cs="宋体"/>
                <w:kern w:val="0"/>
                <w:sz w:val="24"/>
              </w:rPr>
            </w:pPr>
          </w:p>
        </w:tc>
      </w:tr>
      <w:tr w14:paraId="6064D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66ACBE1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8</w:t>
            </w:r>
          </w:p>
        </w:tc>
        <w:tc>
          <w:tcPr>
            <w:tcW w:w="565" w:type="pct"/>
            <w:shd w:val="clear" w:color="auto" w:fill="FFFFFF"/>
            <w:noWrap/>
            <w:vAlign w:val="center"/>
          </w:tcPr>
          <w:p w14:paraId="493C6C69">
            <w:pPr>
              <w:widowControl/>
              <w:spacing w:line="312" w:lineRule="auto"/>
              <w:jc w:val="center"/>
              <w:rPr>
                <w:rFonts w:ascii="幼圆" w:hAnsi="宋体" w:eastAsia="幼圆" w:cs="宋体"/>
                <w:kern w:val="0"/>
                <w:sz w:val="24"/>
              </w:rPr>
            </w:pPr>
            <w:r>
              <w:rPr>
                <w:rFonts w:hint="eastAsia" w:ascii="幼圆" w:hAnsi="宋体" w:eastAsia="幼圆" w:cs="宋体"/>
                <w:kern w:val="0"/>
                <w:sz w:val="24"/>
              </w:rPr>
              <w:t>金湖社区商业街</w:t>
            </w:r>
          </w:p>
        </w:tc>
        <w:tc>
          <w:tcPr>
            <w:tcW w:w="601" w:type="pct"/>
            <w:shd w:val="clear" w:color="auto" w:fill="FFFFFF"/>
            <w:noWrap w:val="0"/>
            <w:vAlign w:val="center"/>
          </w:tcPr>
          <w:p w14:paraId="34DF7624">
            <w:pPr>
              <w:widowControl/>
              <w:spacing w:line="312" w:lineRule="auto"/>
              <w:jc w:val="center"/>
              <w:rPr>
                <w:rFonts w:ascii="幼圆" w:hAnsi="宋体" w:eastAsia="幼圆" w:cs="宋体"/>
                <w:kern w:val="0"/>
                <w:sz w:val="24"/>
              </w:rPr>
            </w:pPr>
            <w:r>
              <w:rPr>
                <w:rFonts w:hint="eastAsia" w:ascii="幼圆" w:hAnsi="宋体" w:eastAsia="幼圆" w:cs="宋体"/>
                <w:kern w:val="0"/>
                <w:sz w:val="24"/>
              </w:rPr>
              <w:t>金湖社区商业中心</w:t>
            </w:r>
          </w:p>
        </w:tc>
        <w:tc>
          <w:tcPr>
            <w:tcW w:w="282" w:type="pct"/>
            <w:shd w:val="clear" w:color="auto" w:fill="FFFFFF"/>
            <w:noWrap w:val="0"/>
            <w:vAlign w:val="center"/>
          </w:tcPr>
          <w:p w14:paraId="35610CAF">
            <w:pPr>
              <w:widowControl/>
              <w:spacing w:line="312" w:lineRule="auto"/>
              <w:jc w:val="center"/>
              <w:rPr>
                <w:rFonts w:ascii="幼圆" w:hAnsi="宋体" w:eastAsia="幼圆" w:cs="宋体"/>
                <w:kern w:val="0"/>
                <w:sz w:val="24"/>
              </w:rPr>
            </w:pPr>
            <w:r>
              <w:rPr>
                <w:rFonts w:hint="eastAsia" w:ascii="幼圆" w:hAnsi="宋体" w:eastAsia="幼圆" w:cs="宋体"/>
                <w:kern w:val="0"/>
                <w:sz w:val="24"/>
              </w:rPr>
              <w:t>290</w:t>
            </w:r>
          </w:p>
        </w:tc>
        <w:tc>
          <w:tcPr>
            <w:tcW w:w="424" w:type="pct"/>
            <w:shd w:val="clear" w:color="auto" w:fill="FFFFFF"/>
            <w:noWrap/>
            <w:vAlign w:val="center"/>
          </w:tcPr>
          <w:p w14:paraId="4BAD5668">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3773C57C">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544EDF9A">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1D1B4E86">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68E5AAFA">
            <w:pPr>
              <w:numPr>
                <w:ilvl w:val="0"/>
                <w:numId w:val="39"/>
              </w:numPr>
              <w:adjustRightInd w:val="0"/>
              <w:snapToGrid w:val="0"/>
              <w:spacing w:line="312" w:lineRule="auto"/>
              <w:ind w:left="0"/>
              <w:rPr>
                <w:rFonts w:hint="eastAsia" w:ascii="幼圆" w:hAnsi="宋体" w:eastAsia="幼圆" w:cs="宋体"/>
                <w:kern w:val="0"/>
                <w:sz w:val="24"/>
              </w:rPr>
            </w:pPr>
          </w:p>
        </w:tc>
      </w:tr>
      <w:tr w14:paraId="6FA6C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50BC0C0E">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9</w:t>
            </w:r>
          </w:p>
        </w:tc>
        <w:tc>
          <w:tcPr>
            <w:tcW w:w="565" w:type="pct"/>
            <w:shd w:val="clear" w:color="auto" w:fill="FFFFFF"/>
            <w:noWrap/>
            <w:vAlign w:val="center"/>
          </w:tcPr>
          <w:p w14:paraId="43497C64">
            <w:pPr>
              <w:widowControl/>
              <w:spacing w:line="312" w:lineRule="auto"/>
              <w:jc w:val="center"/>
              <w:rPr>
                <w:rFonts w:ascii="幼圆" w:hAnsi="宋体" w:eastAsia="幼圆" w:cs="宋体"/>
                <w:kern w:val="0"/>
                <w:sz w:val="24"/>
              </w:rPr>
            </w:pPr>
            <w:r>
              <w:rPr>
                <w:rFonts w:hint="eastAsia" w:ascii="幼圆" w:hAnsi="宋体" w:eastAsia="幼圆" w:cs="宋体"/>
                <w:kern w:val="0"/>
                <w:sz w:val="24"/>
              </w:rPr>
              <w:t>东涌社区商业街</w:t>
            </w:r>
          </w:p>
        </w:tc>
        <w:tc>
          <w:tcPr>
            <w:tcW w:w="601" w:type="pct"/>
            <w:shd w:val="clear" w:color="auto" w:fill="FFFFFF"/>
            <w:noWrap w:val="0"/>
            <w:vAlign w:val="center"/>
          </w:tcPr>
          <w:p w14:paraId="07BA5BF0">
            <w:pPr>
              <w:widowControl/>
              <w:spacing w:line="312" w:lineRule="auto"/>
              <w:jc w:val="center"/>
              <w:rPr>
                <w:rFonts w:ascii="幼圆" w:hAnsi="宋体" w:eastAsia="幼圆" w:cs="宋体"/>
                <w:kern w:val="0"/>
                <w:sz w:val="24"/>
              </w:rPr>
            </w:pPr>
            <w:r>
              <w:rPr>
                <w:rFonts w:hint="eastAsia" w:ascii="幼圆" w:hAnsi="宋体" w:eastAsia="幼圆" w:cs="宋体"/>
                <w:kern w:val="0"/>
                <w:sz w:val="24"/>
              </w:rPr>
              <w:t>东涌社区商业中心</w:t>
            </w:r>
          </w:p>
        </w:tc>
        <w:tc>
          <w:tcPr>
            <w:tcW w:w="282" w:type="pct"/>
            <w:shd w:val="clear" w:color="auto" w:fill="FFFFFF"/>
            <w:noWrap w:val="0"/>
            <w:vAlign w:val="center"/>
          </w:tcPr>
          <w:p w14:paraId="6FD97016">
            <w:pPr>
              <w:widowControl/>
              <w:spacing w:line="312" w:lineRule="auto"/>
              <w:jc w:val="center"/>
              <w:rPr>
                <w:rFonts w:ascii="幼圆" w:hAnsi="宋体" w:eastAsia="幼圆" w:cs="宋体"/>
                <w:kern w:val="0"/>
                <w:sz w:val="24"/>
              </w:rPr>
            </w:pPr>
            <w:r>
              <w:rPr>
                <w:rFonts w:hint="eastAsia" w:ascii="幼圆" w:hAnsi="宋体" w:eastAsia="幼圆" w:cs="宋体"/>
                <w:kern w:val="0"/>
                <w:sz w:val="24"/>
              </w:rPr>
              <w:t>430</w:t>
            </w:r>
          </w:p>
        </w:tc>
        <w:tc>
          <w:tcPr>
            <w:tcW w:w="424" w:type="pct"/>
            <w:shd w:val="clear" w:color="auto" w:fill="FFFFFF"/>
            <w:noWrap/>
            <w:vAlign w:val="center"/>
          </w:tcPr>
          <w:p w14:paraId="276880D5">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5E44092E">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5FEDAFAD">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0E74059F">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3BBCE96E">
            <w:pPr>
              <w:numPr>
                <w:ilvl w:val="0"/>
                <w:numId w:val="39"/>
              </w:numPr>
              <w:adjustRightInd w:val="0"/>
              <w:snapToGrid w:val="0"/>
              <w:spacing w:line="312" w:lineRule="auto"/>
              <w:ind w:left="0"/>
              <w:rPr>
                <w:rFonts w:hint="eastAsia" w:ascii="幼圆" w:hAnsi="宋体" w:eastAsia="幼圆" w:cs="宋体"/>
                <w:kern w:val="0"/>
                <w:sz w:val="24"/>
              </w:rPr>
            </w:pPr>
          </w:p>
        </w:tc>
      </w:tr>
      <w:tr w14:paraId="0A5C8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4B77670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10</w:t>
            </w:r>
          </w:p>
        </w:tc>
        <w:tc>
          <w:tcPr>
            <w:tcW w:w="565" w:type="pct"/>
            <w:shd w:val="clear" w:color="auto" w:fill="FFFFFF"/>
            <w:noWrap/>
            <w:vAlign w:val="center"/>
          </w:tcPr>
          <w:p w14:paraId="60B08777">
            <w:pPr>
              <w:widowControl/>
              <w:spacing w:line="312" w:lineRule="auto"/>
              <w:jc w:val="center"/>
              <w:rPr>
                <w:rFonts w:ascii="幼圆" w:hAnsi="宋体" w:eastAsia="幼圆" w:cs="宋体"/>
                <w:kern w:val="0"/>
                <w:sz w:val="24"/>
              </w:rPr>
            </w:pPr>
            <w:r>
              <w:rPr>
                <w:rFonts w:hint="eastAsia" w:ascii="幼圆" w:hAnsi="宋体" w:eastAsia="幼圆" w:cs="宋体"/>
                <w:kern w:val="0"/>
                <w:sz w:val="24"/>
              </w:rPr>
              <w:t>虎栏埔社区商业街</w:t>
            </w:r>
          </w:p>
        </w:tc>
        <w:tc>
          <w:tcPr>
            <w:tcW w:w="601" w:type="pct"/>
            <w:shd w:val="clear" w:color="auto" w:fill="FFFFFF"/>
            <w:noWrap w:val="0"/>
            <w:vAlign w:val="center"/>
          </w:tcPr>
          <w:p w14:paraId="56326536">
            <w:pPr>
              <w:widowControl/>
              <w:spacing w:line="312" w:lineRule="auto"/>
              <w:jc w:val="center"/>
              <w:rPr>
                <w:rFonts w:ascii="幼圆" w:hAnsi="宋体" w:eastAsia="幼圆" w:cs="宋体"/>
                <w:kern w:val="0"/>
                <w:sz w:val="24"/>
              </w:rPr>
            </w:pPr>
            <w:r>
              <w:rPr>
                <w:rFonts w:hint="eastAsia" w:ascii="幼圆" w:hAnsi="宋体" w:eastAsia="幼圆" w:cs="宋体"/>
                <w:kern w:val="0"/>
                <w:sz w:val="24"/>
              </w:rPr>
              <w:t>虎栏埔社区商业中心</w:t>
            </w:r>
          </w:p>
        </w:tc>
        <w:tc>
          <w:tcPr>
            <w:tcW w:w="282" w:type="pct"/>
            <w:shd w:val="clear" w:color="auto" w:fill="FFFFFF"/>
            <w:noWrap w:val="0"/>
            <w:vAlign w:val="center"/>
          </w:tcPr>
          <w:p w14:paraId="2D6170CE">
            <w:pPr>
              <w:widowControl/>
              <w:spacing w:line="312" w:lineRule="auto"/>
              <w:jc w:val="center"/>
              <w:rPr>
                <w:rFonts w:ascii="幼圆" w:hAnsi="宋体" w:eastAsia="幼圆" w:cs="宋体"/>
                <w:kern w:val="0"/>
                <w:sz w:val="24"/>
              </w:rPr>
            </w:pPr>
            <w:r>
              <w:rPr>
                <w:rFonts w:hint="eastAsia" w:ascii="幼圆" w:hAnsi="宋体" w:eastAsia="幼圆" w:cs="宋体"/>
                <w:kern w:val="0"/>
                <w:sz w:val="24"/>
              </w:rPr>
              <w:t>400</w:t>
            </w:r>
          </w:p>
        </w:tc>
        <w:tc>
          <w:tcPr>
            <w:tcW w:w="424" w:type="pct"/>
            <w:shd w:val="clear" w:color="auto" w:fill="FFFFFF"/>
            <w:noWrap/>
            <w:vAlign w:val="center"/>
          </w:tcPr>
          <w:p w14:paraId="209F2E5C">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050670D2">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4621C506">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670FC95F">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114111C2">
            <w:pPr>
              <w:numPr>
                <w:ilvl w:val="0"/>
                <w:numId w:val="39"/>
              </w:numPr>
              <w:adjustRightInd w:val="0"/>
              <w:snapToGrid w:val="0"/>
              <w:spacing w:line="312" w:lineRule="auto"/>
              <w:ind w:left="0"/>
              <w:rPr>
                <w:rFonts w:hint="eastAsia" w:ascii="幼圆" w:hAnsi="宋体" w:eastAsia="幼圆" w:cs="宋体"/>
                <w:kern w:val="0"/>
                <w:sz w:val="24"/>
              </w:rPr>
            </w:pPr>
          </w:p>
        </w:tc>
      </w:tr>
      <w:tr w14:paraId="4A0E5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04A3C2D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11</w:t>
            </w:r>
          </w:p>
        </w:tc>
        <w:tc>
          <w:tcPr>
            <w:tcW w:w="565" w:type="pct"/>
            <w:shd w:val="clear" w:color="auto" w:fill="FFFFFF"/>
            <w:noWrap/>
            <w:vAlign w:val="center"/>
          </w:tcPr>
          <w:p w14:paraId="654A8719">
            <w:pPr>
              <w:widowControl/>
              <w:spacing w:line="312" w:lineRule="auto"/>
              <w:jc w:val="center"/>
              <w:rPr>
                <w:rFonts w:ascii="幼圆" w:hAnsi="宋体" w:eastAsia="幼圆" w:cs="宋体"/>
                <w:kern w:val="0"/>
                <w:sz w:val="24"/>
              </w:rPr>
            </w:pPr>
            <w:r>
              <w:rPr>
                <w:rFonts w:hint="eastAsia" w:ascii="幼圆" w:hAnsi="宋体" w:eastAsia="幼圆" w:cs="宋体"/>
                <w:kern w:val="0"/>
                <w:sz w:val="24"/>
              </w:rPr>
              <w:t>石洲社区商业街</w:t>
            </w:r>
          </w:p>
        </w:tc>
        <w:tc>
          <w:tcPr>
            <w:tcW w:w="601" w:type="pct"/>
            <w:shd w:val="clear" w:color="auto" w:fill="FFFFFF"/>
            <w:noWrap w:val="0"/>
            <w:vAlign w:val="center"/>
          </w:tcPr>
          <w:p w14:paraId="600C325C">
            <w:pPr>
              <w:widowControl/>
              <w:spacing w:line="312" w:lineRule="auto"/>
              <w:jc w:val="center"/>
              <w:rPr>
                <w:rFonts w:ascii="幼圆" w:hAnsi="宋体" w:eastAsia="幼圆" w:cs="宋体"/>
                <w:kern w:val="0"/>
                <w:sz w:val="24"/>
              </w:rPr>
            </w:pPr>
            <w:r>
              <w:rPr>
                <w:rFonts w:hint="eastAsia" w:ascii="幼圆" w:hAnsi="宋体" w:eastAsia="幼圆" w:cs="宋体"/>
                <w:kern w:val="0"/>
                <w:sz w:val="24"/>
              </w:rPr>
              <w:t>石洲社区商业中心</w:t>
            </w:r>
          </w:p>
        </w:tc>
        <w:tc>
          <w:tcPr>
            <w:tcW w:w="282" w:type="pct"/>
            <w:shd w:val="clear" w:color="auto" w:fill="FFFFFF"/>
            <w:noWrap w:val="0"/>
            <w:vAlign w:val="center"/>
          </w:tcPr>
          <w:p w14:paraId="39713B0E">
            <w:pPr>
              <w:widowControl/>
              <w:spacing w:line="312" w:lineRule="auto"/>
              <w:jc w:val="center"/>
              <w:rPr>
                <w:rFonts w:ascii="幼圆" w:hAnsi="宋体" w:eastAsia="幼圆" w:cs="宋体"/>
                <w:kern w:val="0"/>
                <w:sz w:val="24"/>
              </w:rPr>
            </w:pPr>
            <w:r>
              <w:rPr>
                <w:rFonts w:hint="eastAsia" w:ascii="幼圆" w:hAnsi="宋体" w:eastAsia="幼圆" w:cs="宋体"/>
                <w:kern w:val="0"/>
                <w:sz w:val="24"/>
              </w:rPr>
              <w:t>500</w:t>
            </w:r>
          </w:p>
        </w:tc>
        <w:tc>
          <w:tcPr>
            <w:tcW w:w="424" w:type="pct"/>
            <w:shd w:val="clear" w:color="auto" w:fill="FFFFFF"/>
            <w:noWrap/>
            <w:vAlign w:val="center"/>
          </w:tcPr>
          <w:p w14:paraId="3560CDDB">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719056DD">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7A601F56">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26691CE5">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41F9101C">
            <w:pPr>
              <w:numPr>
                <w:ilvl w:val="0"/>
                <w:numId w:val="39"/>
              </w:numPr>
              <w:adjustRightInd w:val="0"/>
              <w:snapToGrid w:val="0"/>
              <w:spacing w:line="312" w:lineRule="auto"/>
              <w:ind w:left="0"/>
              <w:rPr>
                <w:rFonts w:hint="eastAsia" w:ascii="幼圆" w:hAnsi="宋体" w:eastAsia="幼圆" w:cs="宋体"/>
                <w:kern w:val="0"/>
                <w:sz w:val="24"/>
              </w:rPr>
            </w:pPr>
          </w:p>
        </w:tc>
      </w:tr>
      <w:tr w14:paraId="2802A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1D7E1CF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12</w:t>
            </w:r>
          </w:p>
        </w:tc>
        <w:tc>
          <w:tcPr>
            <w:tcW w:w="565" w:type="pct"/>
            <w:shd w:val="clear" w:color="auto" w:fill="FFFFFF"/>
            <w:noWrap/>
            <w:vAlign w:val="center"/>
          </w:tcPr>
          <w:p w14:paraId="6A68626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星河湾社区商业街</w:t>
            </w:r>
          </w:p>
        </w:tc>
        <w:tc>
          <w:tcPr>
            <w:tcW w:w="601" w:type="pct"/>
            <w:shd w:val="clear" w:color="auto" w:fill="FFFFFF"/>
            <w:noWrap w:val="0"/>
            <w:vAlign w:val="center"/>
          </w:tcPr>
          <w:p w14:paraId="5B11B95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四清围社区商业中心</w:t>
            </w:r>
          </w:p>
        </w:tc>
        <w:tc>
          <w:tcPr>
            <w:tcW w:w="282" w:type="pct"/>
            <w:shd w:val="clear" w:color="auto" w:fill="FFFFFF"/>
            <w:noWrap w:val="0"/>
            <w:vAlign w:val="center"/>
          </w:tcPr>
          <w:p w14:paraId="068F409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400</w:t>
            </w:r>
          </w:p>
        </w:tc>
        <w:tc>
          <w:tcPr>
            <w:tcW w:w="424" w:type="pct"/>
            <w:shd w:val="clear" w:color="auto" w:fill="FFFFFF"/>
            <w:noWrap/>
            <w:vAlign w:val="center"/>
          </w:tcPr>
          <w:p w14:paraId="513F41AC">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5B1CC995">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59EF42C2">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31529E82">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7734D1BF">
            <w:pPr>
              <w:numPr>
                <w:ilvl w:val="0"/>
                <w:numId w:val="39"/>
              </w:numPr>
              <w:adjustRightInd w:val="0"/>
              <w:snapToGrid w:val="0"/>
              <w:spacing w:line="312" w:lineRule="auto"/>
              <w:ind w:left="0"/>
              <w:rPr>
                <w:rFonts w:hint="eastAsia" w:ascii="幼圆" w:hAnsi="宋体" w:eastAsia="幼圆" w:cs="宋体"/>
                <w:kern w:val="0"/>
                <w:sz w:val="24"/>
              </w:rPr>
            </w:pPr>
          </w:p>
        </w:tc>
      </w:tr>
      <w:tr w14:paraId="75990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71E9F43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13</w:t>
            </w:r>
          </w:p>
        </w:tc>
        <w:tc>
          <w:tcPr>
            <w:tcW w:w="565" w:type="pct"/>
            <w:shd w:val="clear" w:color="auto" w:fill="FFFFFF"/>
            <w:noWrap/>
            <w:vAlign w:val="center"/>
          </w:tcPr>
          <w:p w14:paraId="48CED709">
            <w:pPr>
              <w:widowControl/>
              <w:spacing w:line="312" w:lineRule="auto"/>
              <w:jc w:val="center"/>
              <w:rPr>
                <w:rFonts w:ascii="幼圆" w:hAnsi="宋体" w:eastAsia="幼圆" w:cs="宋体"/>
                <w:kern w:val="0"/>
                <w:sz w:val="24"/>
              </w:rPr>
            </w:pPr>
            <w:r>
              <w:rPr>
                <w:rFonts w:hint="eastAsia" w:ascii="幼圆" w:hAnsi="宋体" w:eastAsia="幼圆" w:cs="宋体"/>
                <w:kern w:val="0"/>
                <w:sz w:val="24"/>
              </w:rPr>
              <w:t>湖田社区商业街</w:t>
            </w:r>
          </w:p>
        </w:tc>
        <w:tc>
          <w:tcPr>
            <w:tcW w:w="601" w:type="pct"/>
            <w:shd w:val="clear" w:color="auto" w:fill="FFFFFF"/>
            <w:noWrap w:val="0"/>
            <w:vAlign w:val="center"/>
          </w:tcPr>
          <w:p w14:paraId="49482670">
            <w:pPr>
              <w:widowControl/>
              <w:spacing w:line="312" w:lineRule="auto"/>
              <w:jc w:val="center"/>
              <w:rPr>
                <w:rFonts w:ascii="幼圆" w:hAnsi="宋体" w:eastAsia="幼圆" w:cs="宋体"/>
                <w:kern w:val="0"/>
                <w:sz w:val="24"/>
              </w:rPr>
            </w:pPr>
            <w:r>
              <w:rPr>
                <w:rFonts w:hint="eastAsia" w:ascii="幼圆" w:hAnsi="宋体" w:eastAsia="幼圆" w:cs="宋体"/>
                <w:kern w:val="0"/>
                <w:sz w:val="24"/>
              </w:rPr>
              <w:t>湖田社区商业中心</w:t>
            </w:r>
          </w:p>
        </w:tc>
        <w:tc>
          <w:tcPr>
            <w:tcW w:w="282" w:type="pct"/>
            <w:shd w:val="clear" w:color="auto" w:fill="FFFFFF"/>
            <w:noWrap w:val="0"/>
            <w:vAlign w:val="center"/>
          </w:tcPr>
          <w:p w14:paraId="7C62AB69">
            <w:pPr>
              <w:widowControl/>
              <w:spacing w:line="312" w:lineRule="auto"/>
              <w:jc w:val="center"/>
              <w:rPr>
                <w:rFonts w:ascii="幼圆" w:hAnsi="宋体" w:eastAsia="幼圆" w:cs="宋体"/>
                <w:kern w:val="0"/>
                <w:sz w:val="24"/>
              </w:rPr>
            </w:pPr>
            <w:r>
              <w:rPr>
                <w:rFonts w:hint="eastAsia" w:ascii="幼圆" w:hAnsi="宋体" w:eastAsia="幼圆" w:cs="宋体"/>
                <w:kern w:val="0"/>
                <w:sz w:val="24"/>
              </w:rPr>
              <w:t>300</w:t>
            </w:r>
          </w:p>
        </w:tc>
        <w:tc>
          <w:tcPr>
            <w:tcW w:w="424" w:type="pct"/>
            <w:shd w:val="clear" w:color="auto" w:fill="FFFFFF"/>
            <w:noWrap/>
            <w:vAlign w:val="center"/>
          </w:tcPr>
          <w:p w14:paraId="6740B98E">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0DAB1BAD">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1B89E3E9">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6C7AD507">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restart"/>
            <w:shd w:val="clear" w:color="auto" w:fill="FFFFFF"/>
            <w:noWrap w:val="0"/>
            <w:vAlign w:val="center"/>
          </w:tcPr>
          <w:p w14:paraId="6E826BF1">
            <w:pPr>
              <w:numPr>
                <w:ilvl w:val="0"/>
                <w:numId w:val="39"/>
              </w:numPr>
              <w:adjustRightInd w:val="0"/>
              <w:snapToGrid w:val="0"/>
              <w:spacing w:line="312" w:lineRule="auto"/>
              <w:ind w:left="0"/>
              <w:rPr>
                <w:rFonts w:hint="eastAsia" w:ascii="幼圆" w:eastAsia="幼圆"/>
                <w:sz w:val="24"/>
              </w:rPr>
            </w:pPr>
            <w:r>
              <w:rPr>
                <w:rFonts w:hint="eastAsia" w:ascii="幼圆" w:eastAsia="幼圆"/>
                <w:sz w:val="24"/>
              </w:rPr>
              <w:t>功能定位：产业园区型社区商业街，为产业工人、管理人员提供综合性的日常购物和居家服务。</w:t>
            </w:r>
          </w:p>
          <w:p w14:paraId="7FDEF9B6">
            <w:pPr>
              <w:numPr>
                <w:ilvl w:val="0"/>
                <w:numId w:val="39"/>
              </w:numPr>
              <w:adjustRightInd w:val="0"/>
              <w:snapToGrid w:val="0"/>
              <w:spacing w:line="312" w:lineRule="auto"/>
              <w:ind w:left="0"/>
              <w:rPr>
                <w:rFonts w:hint="eastAsia" w:ascii="幼圆" w:eastAsia="幼圆"/>
                <w:sz w:val="24"/>
              </w:rPr>
            </w:pPr>
            <w:r>
              <w:rPr>
                <w:rFonts w:hint="eastAsia" w:ascii="幼圆" w:eastAsia="幼圆"/>
                <w:sz w:val="24"/>
              </w:rPr>
              <w:t>业态组合：以超市/生鲜超市（农贸市场）、休闲餐饮、家政服务、亲子教育、电器修理为主要业态，按照社区商业中心的业态指引要求进行引导。</w:t>
            </w:r>
          </w:p>
          <w:p w14:paraId="5B0E35A0">
            <w:pPr>
              <w:widowControl/>
              <w:numPr>
                <w:ilvl w:val="0"/>
                <w:numId w:val="39"/>
              </w:numPr>
              <w:spacing w:line="312" w:lineRule="auto"/>
              <w:ind w:left="0"/>
              <w:jc w:val="left"/>
              <w:rPr>
                <w:rFonts w:hint="eastAsia" w:ascii="幼圆" w:eastAsia="幼圆"/>
                <w:sz w:val="24"/>
              </w:rPr>
            </w:pPr>
            <w:r>
              <w:rPr>
                <w:rFonts w:hint="eastAsia" w:ascii="幼圆" w:eastAsia="幼圆"/>
                <w:sz w:val="24"/>
              </w:rPr>
              <w:t>规划布局：按照超市或生鲜超市（农贸市场）+商业街的模式组织社区商业网点布局；鼓励适当发展休闲餐饮、文化娱乐网点；限制发展大中型零售店、家居饰品等商业网点。</w:t>
            </w:r>
          </w:p>
        </w:tc>
      </w:tr>
      <w:tr w14:paraId="0FA75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7FD10C7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14</w:t>
            </w:r>
          </w:p>
        </w:tc>
        <w:tc>
          <w:tcPr>
            <w:tcW w:w="565" w:type="pct"/>
            <w:shd w:val="clear" w:color="auto" w:fill="FFFFFF"/>
            <w:noWrap/>
            <w:vAlign w:val="center"/>
          </w:tcPr>
          <w:p w14:paraId="05EB5A97">
            <w:pPr>
              <w:widowControl/>
              <w:spacing w:line="312" w:lineRule="auto"/>
              <w:jc w:val="center"/>
              <w:rPr>
                <w:rFonts w:ascii="幼圆" w:hAnsi="宋体" w:eastAsia="幼圆" w:cs="宋体"/>
                <w:kern w:val="0"/>
                <w:sz w:val="24"/>
              </w:rPr>
            </w:pPr>
            <w:r>
              <w:rPr>
                <w:rFonts w:hint="eastAsia" w:ascii="幼圆" w:hAnsi="宋体" w:eastAsia="幼圆" w:cs="宋体"/>
                <w:kern w:val="0"/>
                <w:sz w:val="24"/>
              </w:rPr>
              <w:t>径口社区商业街</w:t>
            </w:r>
          </w:p>
        </w:tc>
        <w:tc>
          <w:tcPr>
            <w:tcW w:w="601" w:type="pct"/>
            <w:shd w:val="clear" w:color="auto" w:fill="FFFFFF"/>
            <w:noWrap w:val="0"/>
            <w:vAlign w:val="center"/>
          </w:tcPr>
          <w:p w14:paraId="6E205BC8">
            <w:pPr>
              <w:widowControl/>
              <w:spacing w:line="312" w:lineRule="auto"/>
              <w:jc w:val="center"/>
              <w:rPr>
                <w:rFonts w:ascii="幼圆" w:hAnsi="宋体" w:eastAsia="幼圆" w:cs="宋体"/>
                <w:kern w:val="0"/>
                <w:sz w:val="24"/>
              </w:rPr>
            </w:pPr>
            <w:r>
              <w:rPr>
                <w:rFonts w:hint="eastAsia" w:ascii="幼圆" w:hAnsi="宋体" w:eastAsia="幼圆" w:cs="宋体"/>
                <w:kern w:val="0"/>
                <w:sz w:val="24"/>
              </w:rPr>
              <w:t>径口社区商业中心</w:t>
            </w:r>
          </w:p>
        </w:tc>
        <w:tc>
          <w:tcPr>
            <w:tcW w:w="282" w:type="pct"/>
            <w:shd w:val="clear" w:color="auto" w:fill="FFFFFF"/>
            <w:noWrap w:val="0"/>
            <w:vAlign w:val="center"/>
          </w:tcPr>
          <w:p w14:paraId="28082622">
            <w:pPr>
              <w:widowControl/>
              <w:spacing w:line="312" w:lineRule="auto"/>
              <w:jc w:val="center"/>
              <w:rPr>
                <w:rFonts w:ascii="幼圆" w:hAnsi="宋体" w:eastAsia="幼圆" w:cs="宋体"/>
                <w:kern w:val="0"/>
                <w:sz w:val="24"/>
              </w:rPr>
            </w:pPr>
            <w:r>
              <w:rPr>
                <w:rFonts w:hint="eastAsia" w:ascii="幼圆" w:hAnsi="宋体" w:eastAsia="幼圆" w:cs="宋体"/>
                <w:kern w:val="0"/>
                <w:sz w:val="24"/>
              </w:rPr>
              <w:t>300</w:t>
            </w:r>
          </w:p>
        </w:tc>
        <w:tc>
          <w:tcPr>
            <w:tcW w:w="424" w:type="pct"/>
            <w:shd w:val="clear" w:color="auto" w:fill="FFFFFF"/>
            <w:noWrap/>
            <w:vAlign w:val="center"/>
          </w:tcPr>
          <w:p w14:paraId="6DC69716">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4D4A945E">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17D5A5A7">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6E46A8C7">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18DF4AE0">
            <w:pPr>
              <w:numPr>
                <w:ilvl w:val="0"/>
                <w:numId w:val="39"/>
              </w:numPr>
              <w:adjustRightInd w:val="0"/>
              <w:snapToGrid w:val="0"/>
              <w:spacing w:line="312" w:lineRule="auto"/>
              <w:ind w:left="0"/>
              <w:rPr>
                <w:rFonts w:hint="eastAsia" w:ascii="幼圆" w:eastAsia="幼圆"/>
                <w:sz w:val="24"/>
              </w:rPr>
            </w:pPr>
          </w:p>
        </w:tc>
      </w:tr>
      <w:tr w14:paraId="23C17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5AD4665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15</w:t>
            </w:r>
          </w:p>
        </w:tc>
        <w:tc>
          <w:tcPr>
            <w:tcW w:w="565" w:type="pct"/>
            <w:shd w:val="clear" w:color="auto" w:fill="FFFFFF"/>
            <w:noWrap/>
            <w:vAlign w:val="center"/>
          </w:tcPr>
          <w:p w14:paraId="6AD9F01C">
            <w:pPr>
              <w:widowControl/>
              <w:spacing w:line="312" w:lineRule="auto"/>
              <w:jc w:val="center"/>
              <w:rPr>
                <w:rFonts w:ascii="幼圆" w:hAnsi="宋体" w:eastAsia="幼圆" w:cs="宋体"/>
                <w:kern w:val="0"/>
                <w:sz w:val="24"/>
              </w:rPr>
            </w:pPr>
            <w:r>
              <w:rPr>
                <w:rFonts w:hint="eastAsia" w:ascii="幼圆" w:hAnsi="宋体" w:eastAsia="幼圆" w:cs="宋体"/>
                <w:kern w:val="0"/>
                <w:sz w:val="24"/>
              </w:rPr>
              <w:t>亚洲社区商业街</w:t>
            </w:r>
          </w:p>
        </w:tc>
        <w:tc>
          <w:tcPr>
            <w:tcW w:w="601" w:type="pct"/>
            <w:shd w:val="clear" w:color="auto" w:fill="FFFFFF"/>
            <w:noWrap w:val="0"/>
            <w:vAlign w:val="center"/>
          </w:tcPr>
          <w:p w14:paraId="2CB5E814">
            <w:pPr>
              <w:widowControl/>
              <w:spacing w:line="312" w:lineRule="auto"/>
              <w:jc w:val="center"/>
              <w:rPr>
                <w:rFonts w:ascii="幼圆" w:hAnsi="宋体" w:eastAsia="幼圆" w:cs="宋体"/>
                <w:kern w:val="0"/>
                <w:sz w:val="24"/>
              </w:rPr>
            </w:pPr>
            <w:r>
              <w:rPr>
                <w:rFonts w:hint="eastAsia" w:ascii="幼圆" w:hAnsi="宋体" w:eastAsia="幼圆" w:cs="宋体"/>
                <w:kern w:val="0"/>
                <w:sz w:val="24"/>
              </w:rPr>
              <w:t>亚洲社区商业中心</w:t>
            </w:r>
          </w:p>
        </w:tc>
        <w:tc>
          <w:tcPr>
            <w:tcW w:w="282" w:type="pct"/>
            <w:shd w:val="clear" w:color="auto" w:fill="FFFFFF"/>
            <w:noWrap w:val="0"/>
            <w:vAlign w:val="center"/>
          </w:tcPr>
          <w:p w14:paraId="3558034B">
            <w:pPr>
              <w:widowControl/>
              <w:spacing w:line="312" w:lineRule="auto"/>
              <w:jc w:val="center"/>
              <w:rPr>
                <w:rFonts w:ascii="幼圆" w:hAnsi="宋体" w:eastAsia="幼圆" w:cs="宋体"/>
                <w:kern w:val="0"/>
                <w:sz w:val="24"/>
              </w:rPr>
            </w:pPr>
            <w:r>
              <w:rPr>
                <w:rFonts w:hint="eastAsia" w:ascii="幼圆" w:hAnsi="宋体" w:eastAsia="幼圆" w:cs="宋体"/>
                <w:kern w:val="0"/>
                <w:sz w:val="24"/>
              </w:rPr>
              <w:t>600</w:t>
            </w:r>
          </w:p>
        </w:tc>
        <w:tc>
          <w:tcPr>
            <w:tcW w:w="424" w:type="pct"/>
            <w:shd w:val="clear" w:color="auto" w:fill="FFFFFF"/>
            <w:noWrap/>
            <w:vAlign w:val="center"/>
          </w:tcPr>
          <w:p w14:paraId="7B5D47B0">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6A2947EA">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0BE88168">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1BF24AC5">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6FE74C31">
            <w:pPr>
              <w:numPr>
                <w:ilvl w:val="0"/>
                <w:numId w:val="39"/>
              </w:numPr>
              <w:adjustRightInd w:val="0"/>
              <w:snapToGrid w:val="0"/>
              <w:spacing w:line="312" w:lineRule="auto"/>
              <w:ind w:left="0"/>
              <w:rPr>
                <w:rFonts w:hint="eastAsia" w:ascii="幼圆" w:eastAsia="幼圆"/>
                <w:sz w:val="24"/>
              </w:rPr>
            </w:pPr>
          </w:p>
        </w:tc>
      </w:tr>
      <w:tr w14:paraId="6F47F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6B1761E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16</w:t>
            </w:r>
          </w:p>
        </w:tc>
        <w:tc>
          <w:tcPr>
            <w:tcW w:w="565" w:type="pct"/>
            <w:shd w:val="clear" w:color="auto" w:fill="FFFFFF"/>
            <w:noWrap/>
            <w:vAlign w:val="center"/>
          </w:tcPr>
          <w:p w14:paraId="366CB731">
            <w:pPr>
              <w:widowControl/>
              <w:spacing w:line="312" w:lineRule="auto"/>
              <w:jc w:val="center"/>
              <w:rPr>
                <w:rFonts w:ascii="幼圆" w:hAnsi="宋体" w:eastAsia="幼圆" w:cs="宋体"/>
                <w:kern w:val="0"/>
                <w:sz w:val="24"/>
              </w:rPr>
            </w:pPr>
            <w:r>
              <w:rPr>
                <w:rFonts w:hint="eastAsia" w:ascii="幼圆" w:hAnsi="宋体" w:eastAsia="幼圆" w:cs="宋体"/>
                <w:kern w:val="0"/>
                <w:sz w:val="24"/>
              </w:rPr>
              <w:t>埔边社区商业街</w:t>
            </w:r>
          </w:p>
        </w:tc>
        <w:tc>
          <w:tcPr>
            <w:tcW w:w="601" w:type="pct"/>
            <w:shd w:val="clear" w:color="auto" w:fill="FFFFFF"/>
            <w:noWrap w:val="0"/>
            <w:vAlign w:val="center"/>
          </w:tcPr>
          <w:p w14:paraId="306D3491">
            <w:pPr>
              <w:widowControl/>
              <w:spacing w:line="312" w:lineRule="auto"/>
              <w:jc w:val="center"/>
              <w:rPr>
                <w:rFonts w:ascii="幼圆" w:hAnsi="宋体" w:eastAsia="幼圆" w:cs="宋体"/>
                <w:kern w:val="0"/>
                <w:sz w:val="24"/>
              </w:rPr>
            </w:pPr>
            <w:r>
              <w:rPr>
                <w:rFonts w:hint="eastAsia" w:ascii="幼圆" w:hAnsi="宋体" w:eastAsia="幼圆" w:cs="宋体"/>
                <w:kern w:val="0"/>
                <w:sz w:val="24"/>
              </w:rPr>
              <w:t>埔边社区商业中心</w:t>
            </w:r>
          </w:p>
        </w:tc>
        <w:tc>
          <w:tcPr>
            <w:tcW w:w="282" w:type="pct"/>
            <w:shd w:val="clear" w:color="auto" w:fill="FFFFFF"/>
            <w:noWrap w:val="0"/>
            <w:vAlign w:val="center"/>
          </w:tcPr>
          <w:p w14:paraId="21393EB5">
            <w:pPr>
              <w:widowControl/>
              <w:spacing w:line="312" w:lineRule="auto"/>
              <w:jc w:val="center"/>
              <w:rPr>
                <w:rFonts w:ascii="幼圆" w:hAnsi="宋体" w:eastAsia="幼圆" w:cs="宋体"/>
                <w:kern w:val="0"/>
                <w:sz w:val="24"/>
              </w:rPr>
            </w:pPr>
            <w:r>
              <w:rPr>
                <w:rFonts w:hint="eastAsia" w:ascii="幼圆" w:hAnsi="宋体" w:eastAsia="幼圆" w:cs="宋体"/>
                <w:kern w:val="0"/>
                <w:sz w:val="24"/>
              </w:rPr>
              <w:t>260</w:t>
            </w:r>
          </w:p>
        </w:tc>
        <w:tc>
          <w:tcPr>
            <w:tcW w:w="424" w:type="pct"/>
            <w:shd w:val="clear" w:color="auto" w:fill="FFFFFF"/>
            <w:noWrap/>
            <w:vAlign w:val="center"/>
          </w:tcPr>
          <w:p w14:paraId="304F9DCE">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065C0F43">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3299AB8B">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33353BE7">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515B92AB">
            <w:pPr>
              <w:numPr>
                <w:ilvl w:val="0"/>
                <w:numId w:val="39"/>
              </w:numPr>
              <w:adjustRightInd w:val="0"/>
              <w:snapToGrid w:val="0"/>
              <w:spacing w:line="312" w:lineRule="auto"/>
              <w:ind w:left="0"/>
              <w:rPr>
                <w:rFonts w:hint="eastAsia" w:ascii="幼圆" w:eastAsia="幼圆"/>
                <w:sz w:val="24"/>
              </w:rPr>
            </w:pPr>
          </w:p>
        </w:tc>
      </w:tr>
      <w:tr w14:paraId="0F620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40AC858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17</w:t>
            </w:r>
          </w:p>
        </w:tc>
        <w:tc>
          <w:tcPr>
            <w:tcW w:w="565" w:type="pct"/>
            <w:shd w:val="clear" w:color="auto" w:fill="FFFFFF"/>
            <w:noWrap/>
            <w:vAlign w:val="center"/>
          </w:tcPr>
          <w:p w14:paraId="4AFA6C4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马宫商业街</w:t>
            </w:r>
          </w:p>
        </w:tc>
        <w:tc>
          <w:tcPr>
            <w:tcW w:w="601" w:type="pct"/>
            <w:shd w:val="clear" w:color="auto" w:fill="FFFFFF"/>
            <w:noWrap w:val="0"/>
            <w:vAlign w:val="center"/>
          </w:tcPr>
          <w:p w14:paraId="361C2500">
            <w:pPr>
              <w:widowControl/>
              <w:spacing w:after="24" w:afterLines="10" w:line="240" w:lineRule="exact"/>
              <w:jc w:val="center"/>
              <w:rPr>
                <w:rFonts w:hint="eastAsia" w:ascii="幼圆" w:hAnsi="宋体" w:eastAsia="幼圆" w:cs="宋体"/>
                <w:kern w:val="0"/>
                <w:sz w:val="24"/>
              </w:rPr>
            </w:pPr>
            <w:r>
              <w:rPr>
                <w:rFonts w:hint="eastAsia" w:ascii="幼圆" w:hAnsi="宋体" w:eastAsia="幼圆" w:cs="宋体"/>
                <w:kern w:val="0"/>
                <w:sz w:val="24"/>
              </w:rPr>
              <w:t>马宫水产品批发市场</w:t>
            </w:r>
          </w:p>
        </w:tc>
        <w:tc>
          <w:tcPr>
            <w:tcW w:w="282" w:type="pct"/>
            <w:shd w:val="clear" w:color="auto" w:fill="FFFFFF"/>
            <w:noWrap w:val="0"/>
            <w:vAlign w:val="center"/>
          </w:tcPr>
          <w:p w14:paraId="3DBC7FB0">
            <w:pPr>
              <w:widowControl/>
              <w:spacing w:after="24" w:afterLines="10" w:line="240" w:lineRule="exact"/>
              <w:jc w:val="center"/>
              <w:rPr>
                <w:rFonts w:hint="eastAsia" w:ascii="幼圆" w:hAnsi="宋体" w:eastAsia="幼圆" w:cs="宋体"/>
                <w:kern w:val="0"/>
                <w:sz w:val="24"/>
              </w:rPr>
            </w:pPr>
            <w:r>
              <w:rPr>
                <w:rFonts w:hint="eastAsia" w:ascii="幼圆" w:hAnsi="宋体" w:eastAsia="幼圆" w:cs="宋体"/>
                <w:kern w:val="0"/>
                <w:sz w:val="24"/>
              </w:rPr>
              <w:t>320</w:t>
            </w:r>
          </w:p>
        </w:tc>
        <w:tc>
          <w:tcPr>
            <w:tcW w:w="424" w:type="pct"/>
            <w:shd w:val="clear" w:color="auto" w:fill="FFFFFF"/>
            <w:noWrap/>
            <w:vAlign w:val="center"/>
          </w:tcPr>
          <w:p w14:paraId="085E59E0">
            <w:pPr>
              <w:widowControl/>
              <w:spacing w:after="24" w:afterLines="10" w:line="240" w:lineRule="exact"/>
              <w:jc w:val="center"/>
              <w:rPr>
                <w:rFonts w:hint="eastAsia"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7E36722F">
            <w:pPr>
              <w:widowControl/>
              <w:spacing w:after="24" w:afterLines="10" w:line="240" w:lineRule="exact"/>
              <w:jc w:val="center"/>
              <w:rPr>
                <w:rFonts w:hint="eastAsia"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14155FC6">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6F182DFD">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6D13F5B0">
            <w:pPr>
              <w:numPr>
                <w:ilvl w:val="0"/>
                <w:numId w:val="39"/>
              </w:numPr>
              <w:adjustRightInd w:val="0"/>
              <w:snapToGrid w:val="0"/>
              <w:spacing w:line="312" w:lineRule="auto"/>
              <w:ind w:left="0"/>
              <w:rPr>
                <w:rFonts w:hint="eastAsia" w:ascii="幼圆" w:eastAsia="幼圆"/>
                <w:sz w:val="24"/>
              </w:rPr>
            </w:pPr>
          </w:p>
        </w:tc>
      </w:tr>
      <w:tr w14:paraId="1437D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363AEDD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18</w:t>
            </w:r>
          </w:p>
        </w:tc>
        <w:tc>
          <w:tcPr>
            <w:tcW w:w="565" w:type="pct"/>
            <w:shd w:val="clear" w:color="auto" w:fill="FFFFFF"/>
            <w:noWrap/>
            <w:vAlign w:val="center"/>
          </w:tcPr>
          <w:p w14:paraId="0369703D">
            <w:pPr>
              <w:widowControl/>
              <w:spacing w:line="312" w:lineRule="auto"/>
              <w:jc w:val="center"/>
              <w:rPr>
                <w:rFonts w:ascii="幼圆" w:hAnsi="宋体" w:eastAsia="幼圆" w:cs="宋体"/>
                <w:kern w:val="0"/>
                <w:sz w:val="24"/>
              </w:rPr>
            </w:pPr>
            <w:r>
              <w:rPr>
                <w:rFonts w:hint="eastAsia" w:ascii="幼圆" w:hAnsi="宋体" w:eastAsia="幼圆" w:cs="宋体"/>
                <w:kern w:val="0"/>
                <w:sz w:val="24"/>
              </w:rPr>
              <w:t>虎洞山社区商业街</w:t>
            </w:r>
          </w:p>
        </w:tc>
        <w:tc>
          <w:tcPr>
            <w:tcW w:w="601" w:type="pct"/>
            <w:shd w:val="clear" w:color="auto" w:fill="FFFFFF"/>
            <w:noWrap w:val="0"/>
            <w:vAlign w:val="center"/>
          </w:tcPr>
          <w:p w14:paraId="0481E7B3">
            <w:pPr>
              <w:widowControl/>
              <w:spacing w:line="312" w:lineRule="auto"/>
              <w:jc w:val="center"/>
              <w:rPr>
                <w:rFonts w:ascii="幼圆" w:hAnsi="宋体" w:eastAsia="幼圆" w:cs="宋体"/>
                <w:kern w:val="0"/>
                <w:sz w:val="24"/>
              </w:rPr>
            </w:pPr>
            <w:r>
              <w:rPr>
                <w:rFonts w:hint="eastAsia" w:ascii="幼圆" w:hAnsi="宋体" w:eastAsia="幼圆" w:cs="宋体"/>
                <w:kern w:val="0"/>
                <w:sz w:val="24"/>
              </w:rPr>
              <w:t>虎洞山社区商业中心</w:t>
            </w:r>
          </w:p>
        </w:tc>
        <w:tc>
          <w:tcPr>
            <w:tcW w:w="282" w:type="pct"/>
            <w:shd w:val="clear" w:color="auto" w:fill="FFFFFF"/>
            <w:noWrap w:val="0"/>
            <w:vAlign w:val="center"/>
          </w:tcPr>
          <w:p w14:paraId="2E5CD8DC">
            <w:pPr>
              <w:widowControl/>
              <w:spacing w:line="312" w:lineRule="auto"/>
              <w:jc w:val="center"/>
              <w:rPr>
                <w:rFonts w:ascii="幼圆" w:hAnsi="宋体" w:eastAsia="幼圆" w:cs="宋体"/>
                <w:kern w:val="0"/>
                <w:sz w:val="24"/>
              </w:rPr>
            </w:pPr>
            <w:r>
              <w:rPr>
                <w:rFonts w:hint="eastAsia" w:ascii="幼圆" w:hAnsi="宋体" w:eastAsia="幼圆" w:cs="宋体"/>
                <w:kern w:val="0"/>
                <w:sz w:val="24"/>
              </w:rPr>
              <w:t>330</w:t>
            </w:r>
          </w:p>
        </w:tc>
        <w:tc>
          <w:tcPr>
            <w:tcW w:w="424" w:type="pct"/>
            <w:shd w:val="clear" w:color="auto" w:fill="FFFFFF"/>
            <w:noWrap/>
            <w:vAlign w:val="center"/>
          </w:tcPr>
          <w:p w14:paraId="28339AB8">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2105EC1E">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394C2797">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6F075734">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restart"/>
            <w:shd w:val="clear" w:color="auto" w:fill="FFFFFF"/>
            <w:noWrap w:val="0"/>
            <w:vAlign w:val="center"/>
          </w:tcPr>
          <w:p w14:paraId="419B71D6">
            <w:pPr>
              <w:numPr>
                <w:ilvl w:val="0"/>
                <w:numId w:val="39"/>
              </w:numPr>
              <w:adjustRightInd w:val="0"/>
              <w:snapToGrid w:val="0"/>
              <w:spacing w:line="312" w:lineRule="auto"/>
              <w:ind w:left="0"/>
              <w:rPr>
                <w:rFonts w:hint="eastAsia" w:ascii="幼圆" w:eastAsia="幼圆"/>
                <w:sz w:val="24"/>
              </w:rPr>
            </w:pPr>
            <w:r>
              <w:rPr>
                <w:rFonts w:hint="eastAsia" w:ascii="幼圆" w:eastAsia="幼圆"/>
                <w:sz w:val="24"/>
              </w:rPr>
              <w:t>功能定位：混合功能型社区商业街，为城乡边缘地区、</w:t>
            </w:r>
            <w:r>
              <w:rPr>
                <w:rFonts w:hint="eastAsia" w:ascii="幼圆" w:eastAsia="幼圆"/>
                <w:sz w:val="24"/>
                <w:lang w:eastAsia="zh-CN"/>
              </w:rPr>
              <w:t>城乡接合部</w:t>
            </w:r>
            <w:r>
              <w:rPr>
                <w:rFonts w:hint="eastAsia" w:ascii="幼圆" w:eastAsia="幼圆"/>
                <w:sz w:val="24"/>
              </w:rPr>
              <w:t>等城市居民提供综合性的日常购物和居家服务。</w:t>
            </w:r>
          </w:p>
          <w:p w14:paraId="4DF9D346">
            <w:pPr>
              <w:numPr>
                <w:ilvl w:val="0"/>
                <w:numId w:val="39"/>
              </w:numPr>
              <w:adjustRightInd w:val="0"/>
              <w:snapToGrid w:val="0"/>
              <w:spacing w:line="312" w:lineRule="auto"/>
              <w:ind w:left="0"/>
              <w:rPr>
                <w:rFonts w:hint="eastAsia" w:ascii="幼圆" w:eastAsia="幼圆"/>
                <w:sz w:val="24"/>
              </w:rPr>
            </w:pPr>
            <w:r>
              <w:rPr>
                <w:rFonts w:hint="eastAsia" w:ascii="幼圆" w:eastAsia="幼圆"/>
                <w:sz w:val="24"/>
              </w:rPr>
              <w:t>业态组合：以生鲜超市（农贸市场）、中型超市、休闲娱乐、餐饮服务为主要业态。</w:t>
            </w:r>
          </w:p>
          <w:p w14:paraId="42658997">
            <w:pPr>
              <w:widowControl/>
              <w:numPr>
                <w:ilvl w:val="0"/>
                <w:numId w:val="39"/>
              </w:numPr>
              <w:spacing w:line="312" w:lineRule="auto"/>
              <w:ind w:left="0"/>
              <w:jc w:val="left"/>
              <w:rPr>
                <w:rFonts w:ascii="幼圆" w:eastAsia="幼圆"/>
                <w:sz w:val="24"/>
              </w:rPr>
            </w:pPr>
            <w:r>
              <w:rPr>
                <w:rFonts w:hint="eastAsia" w:ascii="幼圆" w:eastAsia="幼圆"/>
                <w:sz w:val="24"/>
              </w:rPr>
              <w:t>规划布局：按照生鲜超市（农贸市场）+商业街的模式组织社区商业网点布局；以街区式或沿街式集中布局为主，适当发展独立商业体。</w:t>
            </w:r>
          </w:p>
        </w:tc>
      </w:tr>
      <w:tr w14:paraId="0ABCC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20A855C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19</w:t>
            </w:r>
          </w:p>
        </w:tc>
        <w:tc>
          <w:tcPr>
            <w:tcW w:w="565" w:type="pct"/>
            <w:shd w:val="clear" w:color="auto" w:fill="FFFFFF"/>
            <w:noWrap/>
            <w:vAlign w:val="center"/>
          </w:tcPr>
          <w:p w14:paraId="76FB440F">
            <w:pPr>
              <w:widowControl/>
              <w:spacing w:line="312" w:lineRule="auto"/>
              <w:jc w:val="center"/>
              <w:rPr>
                <w:rFonts w:ascii="幼圆" w:hAnsi="宋体" w:eastAsia="幼圆" w:cs="宋体"/>
                <w:kern w:val="0"/>
                <w:sz w:val="24"/>
              </w:rPr>
            </w:pPr>
            <w:r>
              <w:rPr>
                <w:rFonts w:hint="eastAsia" w:ascii="幼圆" w:hAnsi="宋体" w:eastAsia="幼圆" w:cs="宋体"/>
                <w:kern w:val="0"/>
                <w:sz w:val="24"/>
              </w:rPr>
              <w:t>品清北社区商业街</w:t>
            </w:r>
          </w:p>
        </w:tc>
        <w:tc>
          <w:tcPr>
            <w:tcW w:w="601" w:type="pct"/>
            <w:shd w:val="clear" w:color="auto" w:fill="FFFFFF"/>
            <w:noWrap w:val="0"/>
            <w:vAlign w:val="center"/>
          </w:tcPr>
          <w:p w14:paraId="7A1EA4C3">
            <w:pPr>
              <w:widowControl/>
              <w:spacing w:line="312" w:lineRule="auto"/>
              <w:jc w:val="center"/>
              <w:rPr>
                <w:rFonts w:ascii="幼圆" w:hAnsi="宋体" w:eastAsia="幼圆" w:cs="宋体"/>
                <w:kern w:val="0"/>
                <w:sz w:val="24"/>
              </w:rPr>
            </w:pPr>
            <w:r>
              <w:rPr>
                <w:rFonts w:hint="eastAsia" w:ascii="幼圆" w:hAnsi="宋体" w:eastAsia="幼圆" w:cs="宋体"/>
                <w:kern w:val="0"/>
                <w:sz w:val="24"/>
              </w:rPr>
              <w:t>品清北社区商业中心</w:t>
            </w:r>
          </w:p>
        </w:tc>
        <w:tc>
          <w:tcPr>
            <w:tcW w:w="282" w:type="pct"/>
            <w:shd w:val="clear" w:color="auto" w:fill="FFFFFF"/>
            <w:noWrap w:val="0"/>
            <w:vAlign w:val="center"/>
          </w:tcPr>
          <w:p w14:paraId="04E0FAA3">
            <w:pPr>
              <w:widowControl/>
              <w:spacing w:line="312" w:lineRule="auto"/>
              <w:jc w:val="center"/>
              <w:rPr>
                <w:rFonts w:ascii="幼圆" w:hAnsi="宋体" w:eastAsia="幼圆" w:cs="宋体"/>
                <w:kern w:val="0"/>
                <w:sz w:val="24"/>
              </w:rPr>
            </w:pPr>
            <w:r>
              <w:rPr>
                <w:rFonts w:hint="eastAsia" w:ascii="幼圆" w:hAnsi="宋体" w:eastAsia="幼圆" w:cs="宋体"/>
                <w:kern w:val="0"/>
                <w:sz w:val="24"/>
              </w:rPr>
              <w:t>340</w:t>
            </w:r>
          </w:p>
        </w:tc>
        <w:tc>
          <w:tcPr>
            <w:tcW w:w="424" w:type="pct"/>
            <w:shd w:val="clear" w:color="auto" w:fill="FFFFFF"/>
            <w:noWrap/>
            <w:vAlign w:val="center"/>
          </w:tcPr>
          <w:p w14:paraId="75A21CFB">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474A669D">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0FC4B470">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3B20379C">
            <w:pPr>
              <w:widowControl/>
              <w:spacing w:line="312" w:lineRule="auto"/>
              <w:jc w:val="center"/>
              <w:rPr>
                <w:rFonts w:ascii="幼圆" w:hAnsi="宋体" w:eastAsia="幼圆" w:cs="宋体"/>
                <w:kern w:val="0"/>
                <w:sz w:val="24"/>
              </w:rPr>
            </w:pPr>
            <w:r>
              <w:rPr>
                <w:rFonts w:hint="eastAsia" w:ascii="幼圆" w:hAnsi="宋体" w:eastAsia="幼圆" w:cs="宋体"/>
                <w:kern w:val="0"/>
                <w:sz w:val="24"/>
              </w:rPr>
              <w:t>远期</w:t>
            </w:r>
          </w:p>
        </w:tc>
        <w:tc>
          <w:tcPr>
            <w:tcW w:w="1829" w:type="pct"/>
            <w:vMerge w:val="continue"/>
            <w:shd w:val="clear" w:color="auto" w:fill="FFFFFF"/>
            <w:noWrap w:val="0"/>
            <w:vAlign w:val="center"/>
          </w:tcPr>
          <w:p w14:paraId="55DEA34D">
            <w:pPr>
              <w:numPr>
                <w:ilvl w:val="0"/>
                <w:numId w:val="39"/>
              </w:numPr>
              <w:adjustRightInd w:val="0"/>
              <w:snapToGrid w:val="0"/>
              <w:spacing w:line="312" w:lineRule="auto"/>
              <w:ind w:left="0"/>
              <w:rPr>
                <w:rFonts w:hint="eastAsia" w:ascii="幼圆" w:eastAsia="幼圆"/>
                <w:sz w:val="24"/>
              </w:rPr>
            </w:pPr>
          </w:p>
        </w:tc>
      </w:tr>
      <w:tr w14:paraId="405B2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766745E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20</w:t>
            </w:r>
          </w:p>
        </w:tc>
        <w:tc>
          <w:tcPr>
            <w:tcW w:w="565" w:type="pct"/>
            <w:shd w:val="clear" w:color="auto" w:fill="FFFFFF"/>
            <w:noWrap/>
            <w:vAlign w:val="center"/>
          </w:tcPr>
          <w:p w14:paraId="25B66F42">
            <w:pPr>
              <w:widowControl/>
              <w:spacing w:line="312" w:lineRule="auto"/>
              <w:jc w:val="center"/>
              <w:rPr>
                <w:rFonts w:ascii="幼圆" w:hAnsi="宋体" w:eastAsia="幼圆" w:cs="宋体"/>
                <w:kern w:val="0"/>
                <w:sz w:val="24"/>
              </w:rPr>
            </w:pPr>
            <w:r>
              <w:rPr>
                <w:rFonts w:hint="eastAsia" w:ascii="幼圆" w:hAnsi="宋体" w:eastAsia="幼圆" w:cs="宋体"/>
                <w:kern w:val="0"/>
                <w:sz w:val="24"/>
              </w:rPr>
              <w:t>田墘社区商业街</w:t>
            </w:r>
          </w:p>
        </w:tc>
        <w:tc>
          <w:tcPr>
            <w:tcW w:w="601" w:type="pct"/>
            <w:shd w:val="clear" w:color="auto" w:fill="FFFFFF"/>
            <w:noWrap w:val="0"/>
            <w:vAlign w:val="center"/>
          </w:tcPr>
          <w:p w14:paraId="5F07E472">
            <w:pPr>
              <w:widowControl/>
              <w:spacing w:line="312" w:lineRule="auto"/>
              <w:jc w:val="center"/>
              <w:rPr>
                <w:rFonts w:ascii="幼圆" w:hAnsi="宋体" w:eastAsia="幼圆" w:cs="宋体"/>
                <w:kern w:val="0"/>
                <w:sz w:val="24"/>
              </w:rPr>
            </w:pPr>
            <w:r>
              <w:rPr>
                <w:rFonts w:hint="eastAsia" w:ascii="幼圆" w:hAnsi="宋体" w:eastAsia="幼圆" w:cs="宋体"/>
                <w:kern w:val="0"/>
                <w:sz w:val="24"/>
              </w:rPr>
              <w:t>田墘社区商业中心</w:t>
            </w:r>
          </w:p>
        </w:tc>
        <w:tc>
          <w:tcPr>
            <w:tcW w:w="282" w:type="pct"/>
            <w:shd w:val="clear" w:color="auto" w:fill="FFFFFF"/>
            <w:noWrap w:val="0"/>
            <w:vAlign w:val="center"/>
          </w:tcPr>
          <w:p w14:paraId="5DD9DC5F">
            <w:pPr>
              <w:widowControl/>
              <w:spacing w:line="312" w:lineRule="auto"/>
              <w:jc w:val="center"/>
              <w:rPr>
                <w:rFonts w:ascii="幼圆" w:hAnsi="宋体" w:eastAsia="幼圆" w:cs="宋体"/>
                <w:kern w:val="0"/>
                <w:sz w:val="24"/>
              </w:rPr>
            </w:pPr>
            <w:r>
              <w:rPr>
                <w:rFonts w:hint="eastAsia" w:ascii="幼圆" w:hAnsi="宋体" w:eastAsia="幼圆" w:cs="宋体"/>
                <w:kern w:val="0"/>
                <w:sz w:val="24"/>
              </w:rPr>
              <w:t>520</w:t>
            </w:r>
          </w:p>
        </w:tc>
        <w:tc>
          <w:tcPr>
            <w:tcW w:w="424" w:type="pct"/>
            <w:shd w:val="clear" w:color="auto" w:fill="FFFFFF"/>
            <w:noWrap/>
            <w:vAlign w:val="center"/>
          </w:tcPr>
          <w:p w14:paraId="4E8E8013">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7C11B69E">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5250144E">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068E87D3">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4975920F">
            <w:pPr>
              <w:numPr>
                <w:ilvl w:val="0"/>
                <w:numId w:val="39"/>
              </w:numPr>
              <w:adjustRightInd w:val="0"/>
              <w:snapToGrid w:val="0"/>
              <w:spacing w:line="312" w:lineRule="auto"/>
              <w:ind w:left="0"/>
              <w:rPr>
                <w:rFonts w:hint="eastAsia" w:ascii="幼圆" w:eastAsia="幼圆"/>
                <w:sz w:val="24"/>
              </w:rPr>
            </w:pPr>
          </w:p>
        </w:tc>
      </w:tr>
      <w:tr w14:paraId="0A65B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04" w:type="pct"/>
            <w:shd w:val="clear" w:color="auto" w:fill="FFFFFF"/>
            <w:noWrap w:val="0"/>
            <w:vAlign w:val="center"/>
          </w:tcPr>
          <w:p w14:paraId="39F64F1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21</w:t>
            </w:r>
          </w:p>
        </w:tc>
        <w:tc>
          <w:tcPr>
            <w:tcW w:w="565" w:type="pct"/>
            <w:shd w:val="clear" w:color="auto" w:fill="FFFFFF"/>
            <w:noWrap/>
            <w:vAlign w:val="center"/>
          </w:tcPr>
          <w:p w14:paraId="1A11A494">
            <w:pPr>
              <w:widowControl/>
              <w:spacing w:line="312" w:lineRule="auto"/>
              <w:jc w:val="center"/>
              <w:rPr>
                <w:rFonts w:ascii="幼圆" w:hAnsi="宋体" w:eastAsia="幼圆" w:cs="宋体"/>
                <w:kern w:val="0"/>
                <w:sz w:val="24"/>
              </w:rPr>
            </w:pPr>
            <w:r>
              <w:rPr>
                <w:rFonts w:hint="eastAsia" w:ascii="幼圆" w:hAnsi="宋体" w:eastAsia="幼圆" w:cs="宋体"/>
                <w:kern w:val="0"/>
                <w:sz w:val="24"/>
              </w:rPr>
              <w:t>东洲社区商业街</w:t>
            </w:r>
          </w:p>
        </w:tc>
        <w:tc>
          <w:tcPr>
            <w:tcW w:w="601" w:type="pct"/>
            <w:shd w:val="clear" w:color="auto" w:fill="FFFFFF"/>
            <w:noWrap w:val="0"/>
            <w:vAlign w:val="center"/>
          </w:tcPr>
          <w:p w14:paraId="61DD5E9A">
            <w:pPr>
              <w:widowControl/>
              <w:spacing w:line="312" w:lineRule="auto"/>
              <w:jc w:val="center"/>
              <w:rPr>
                <w:rFonts w:ascii="幼圆" w:hAnsi="宋体" w:eastAsia="幼圆" w:cs="宋体"/>
                <w:kern w:val="0"/>
                <w:sz w:val="24"/>
              </w:rPr>
            </w:pPr>
            <w:r>
              <w:rPr>
                <w:rFonts w:hint="eastAsia" w:ascii="幼圆" w:hAnsi="宋体" w:eastAsia="幼圆" w:cs="宋体"/>
                <w:kern w:val="0"/>
                <w:sz w:val="24"/>
              </w:rPr>
              <w:t>东洲社区商业中心</w:t>
            </w:r>
          </w:p>
        </w:tc>
        <w:tc>
          <w:tcPr>
            <w:tcW w:w="282" w:type="pct"/>
            <w:shd w:val="clear" w:color="auto" w:fill="FFFFFF"/>
            <w:noWrap w:val="0"/>
            <w:vAlign w:val="center"/>
          </w:tcPr>
          <w:p w14:paraId="78B886AE">
            <w:pPr>
              <w:widowControl/>
              <w:spacing w:line="312" w:lineRule="auto"/>
              <w:jc w:val="center"/>
              <w:rPr>
                <w:rFonts w:ascii="幼圆" w:hAnsi="宋体" w:eastAsia="幼圆" w:cs="宋体"/>
                <w:kern w:val="0"/>
                <w:sz w:val="24"/>
              </w:rPr>
            </w:pPr>
            <w:r>
              <w:rPr>
                <w:rFonts w:hint="eastAsia" w:ascii="幼圆" w:hAnsi="宋体" w:eastAsia="幼圆" w:cs="宋体"/>
                <w:kern w:val="0"/>
                <w:sz w:val="24"/>
              </w:rPr>
              <w:t>480</w:t>
            </w:r>
          </w:p>
        </w:tc>
        <w:tc>
          <w:tcPr>
            <w:tcW w:w="424" w:type="pct"/>
            <w:shd w:val="clear" w:color="auto" w:fill="FFFFFF"/>
            <w:noWrap/>
            <w:vAlign w:val="center"/>
          </w:tcPr>
          <w:p w14:paraId="13C7FCFC">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53DCC5C5">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3AB515B7">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4EB69F98">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373BE735">
            <w:pPr>
              <w:numPr>
                <w:ilvl w:val="0"/>
                <w:numId w:val="39"/>
              </w:numPr>
              <w:adjustRightInd w:val="0"/>
              <w:snapToGrid w:val="0"/>
              <w:spacing w:line="312" w:lineRule="auto"/>
              <w:ind w:left="0"/>
              <w:rPr>
                <w:rFonts w:hint="eastAsia" w:ascii="幼圆" w:eastAsia="幼圆"/>
                <w:sz w:val="24"/>
              </w:rPr>
            </w:pPr>
          </w:p>
        </w:tc>
      </w:tr>
      <w:tr w14:paraId="0E012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204" w:type="pct"/>
            <w:shd w:val="clear" w:color="auto" w:fill="FFFFFF"/>
            <w:noWrap w:val="0"/>
            <w:vAlign w:val="center"/>
          </w:tcPr>
          <w:p w14:paraId="68392FF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rPr>
              <w:t>22</w:t>
            </w:r>
          </w:p>
        </w:tc>
        <w:tc>
          <w:tcPr>
            <w:tcW w:w="565" w:type="pct"/>
            <w:shd w:val="clear" w:color="auto" w:fill="FFFFFF"/>
            <w:noWrap/>
            <w:vAlign w:val="center"/>
          </w:tcPr>
          <w:p w14:paraId="0EE3DE06">
            <w:pPr>
              <w:widowControl/>
              <w:spacing w:line="312" w:lineRule="auto"/>
              <w:jc w:val="center"/>
              <w:rPr>
                <w:rFonts w:ascii="幼圆" w:hAnsi="宋体" w:eastAsia="幼圆" w:cs="宋体"/>
                <w:kern w:val="0"/>
                <w:sz w:val="24"/>
              </w:rPr>
            </w:pPr>
            <w:r>
              <w:rPr>
                <w:rFonts w:hint="eastAsia" w:ascii="幼圆" w:hAnsi="宋体" w:eastAsia="幼圆" w:cs="宋体"/>
                <w:kern w:val="0"/>
                <w:sz w:val="24"/>
              </w:rPr>
              <w:t>捷胜社区商业街</w:t>
            </w:r>
          </w:p>
        </w:tc>
        <w:tc>
          <w:tcPr>
            <w:tcW w:w="601" w:type="pct"/>
            <w:shd w:val="clear" w:color="auto" w:fill="FFFFFF"/>
            <w:noWrap w:val="0"/>
            <w:vAlign w:val="center"/>
          </w:tcPr>
          <w:p w14:paraId="619233CD">
            <w:pPr>
              <w:widowControl/>
              <w:spacing w:line="312" w:lineRule="auto"/>
              <w:jc w:val="center"/>
              <w:rPr>
                <w:rFonts w:ascii="幼圆" w:hAnsi="宋体" w:eastAsia="幼圆" w:cs="宋体"/>
                <w:kern w:val="0"/>
                <w:sz w:val="24"/>
              </w:rPr>
            </w:pPr>
            <w:r>
              <w:rPr>
                <w:rFonts w:hint="eastAsia" w:ascii="幼圆" w:hAnsi="宋体" w:eastAsia="幼圆" w:cs="宋体"/>
                <w:kern w:val="0"/>
                <w:sz w:val="24"/>
              </w:rPr>
              <w:t>捷胜社区商业中心</w:t>
            </w:r>
          </w:p>
        </w:tc>
        <w:tc>
          <w:tcPr>
            <w:tcW w:w="282" w:type="pct"/>
            <w:shd w:val="clear" w:color="auto" w:fill="FFFFFF"/>
            <w:noWrap w:val="0"/>
            <w:vAlign w:val="center"/>
          </w:tcPr>
          <w:p w14:paraId="4855D829">
            <w:pPr>
              <w:widowControl/>
              <w:spacing w:line="312" w:lineRule="auto"/>
              <w:jc w:val="center"/>
              <w:rPr>
                <w:rFonts w:ascii="幼圆" w:hAnsi="宋体" w:eastAsia="幼圆" w:cs="宋体"/>
                <w:kern w:val="0"/>
                <w:sz w:val="24"/>
              </w:rPr>
            </w:pPr>
            <w:r>
              <w:rPr>
                <w:rFonts w:hint="eastAsia" w:ascii="幼圆" w:hAnsi="宋体" w:eastAsia="幼圆" w:cs="宋体"/>
                <w:kern w:val="0"/>
                <w:sz w:val="24"/>
              </w:rPr>
              <w:t>530</w:t>
            </w:r>
          </w:p>
        </w:tc>
        <w:tc>
          <w:tcPr>
            <w:tcW w:w="424" w:type="pct"/>
            <w:shd w:val="clear" w:color="auto" w:fill="FFFFFF"/>
            <w:noWrap/>
            <w:vAlign w:val="center"/>
          </w:tcPr>
          <w:p w14:paraId="105F7A31">
            <w:pPr>
              <w:widowControl/>
              <w:spacing w:line="312" w:lineRule="auto"/>
              <w:jc w:val="center"/>
              <w:rPr>
                <w:rFonts w:ascii="幼圆" w:hAnsi="宋体" w:eastAsia="幼圆" w:cs="宋体"/>
                <w:kern w:val="0"/>
                <w:sz w:val="24"/>
              </w:rPr>
            </w:pPr>
            <w:r>
              <w:rPr>
                <w:rFonts w:hint="eastAsia" w:ascii="幼圆" w:hAnsi="宋体" w:eastAsia="幼圆" w:cs="宋体"/>
                <w:kern w:val="0"/>
                <w:sz w:val="24"/>
              </w:rPr>
              <w:t>综合性</w:t>
            </w:r>
          </w:p>
        </w:tc>
        <w:tc>
          <w:tcPr>
            <w:tcW w:w="424" w:type="pct"/>
            <w:shd w:val="clear" w:color="auto" w:fill="FFFFFF"/>
            <w:noWrap/>
            <w:vAlign w:val="center"/>
          </w:tcPr>
          <w:p w14:paraId="508A726C">
            <w:pPr>
              <w:widowControl/>
              <w:spacing w:line="312" w:lineRule="auto"/>
              <w:jc w:val="center"/>
              <w:rPr>
                <w:rFonts w:ascii="幼圆" w:hAnsi="宋体" w:eastAsia="幼圆" w:cs="宋体"/>
                <w:kern w:val="0"/>
                <w:sz w:val="24"/>
              </w:rPr>
            </w:pPr>
            <w:r>
              <w:rPr>
                <w:rFonts w:hint="eastAsia" w:ascii="幼圆" w:hAnsi="宋体" w:eastAsia="幼圆" w:cs="宋体"/>
                <w:kern w:val="0"/>
                <w:sz w:val="24"/>
              </w:rPr>
              <w:t>混行</w:t>
            </w:r>
          </w:p>
        </w:tc>
        <w:tc>
          <w:tcPr>
            <w:tcW w:w="353" w:type="pct"/>
            <w:shd w:val="clear" w:color="auto" w:fill="FFFFFF"/>
            <w:noWrap/>
            <w:vAlign w:val="center"/>
          </w:tcPr>
          <w:p w14:paraId="7BA6F1D6">
            <w:pPr>
              <w:widowControl/>
              <w:spacing w:line="312" w:lineRule="auto"/>
              <w:jc w:val="center"/>
              <w:rPr>
                <w:rFonts w:ascii="幼圆" w:hAnsi="宋体" w:eastAsia="幼圆" w:cs="宋体"/>
                <w:kern w:val="0"/>
                <w:sz w:val="24"/>
              </w:rPr>
            </w:pPr>
            <w:r>
              <w:rPr>
                <w:rFonts w:hint="eastAsia" w:ascii="幼圆" w:hAnsi="宋体" w:eastAsia="幼圆" w:cs="宋体"/>
                <w:kern w:val="0"/>
                <w:sz w:val="24"/>
              </w:rPr>
              <w:t>购物、餐饮</w:t>
            </w:r>
          </w:p>
        </w:tc>
        <w:tc>
          <w:tcPr>
            <w:tcW w:w="318" w:type="pct"/>
            <w:shd w:val="clear" w:color="auto" w:fill="FFFFFF"/>
            <w:noWrap w:val="0"/>
            <w:vAlign w:val="center"/>
          </w:tcPr>
          <w:p w14:paraId="19886313">
            <w:pPr>
              <w:widowControl/>
              <w:spacing w:line="312" w:lineRule="auto"/>
              <w:jc w:val="center"/>
              <w:rPr>
                <w:rFonts w:ascii="幼圆" w:hAnsi="宋体" w:eastAsia="幼圆" w:cs="宋体"/>
                <w:kern w:val="0"/>
                <w:sz w:val="24"/>
              </w:rPr>
            </w:pPr>
            <w:r>
              <w:rPr>
                <w:rFonts w:hint="eastAsia" w:ascii="幼圆" w:hAnsi="宋体" w:eastAsia="幼圆" w:cs="宋体"/>
                <w:kern w:val="0"/>
                <w:sz w:val="24"/>
              </w:rPr>
              <w:t>近期</w:t>
            </w:r>
          </w:p>
        </w:tc>
        <w:tc>
          <w:tcPr>
            <w:tcW w:w="1829" w:type="pct"/>
            <w:vMerge w:val="continue"/>
            <w:shd w:val="clear" w:color="auto" w:fill="FFFFFF"/>
            <w:noWrap w:val="0"/>
            <w:vAlign w:val="center"/>
          </w:tcPr>
          <w:p w14:paraId="43159BC1">
            <w:pPr>
              <w:numPr>
                <w:ilvl w:val="0"/>
                <w:numId w:val="39"/>
              </w:numPr>
              <w:adjustRightInd w:val="0"/>
              <w:snapToGrid w:val="0"/>
              <w:spacing w:line="312" w:lineRule="auto"/>
              <w:ind w:left="0"/>
              <w:rPr>
                <w:rFonts w:hint="eastAsia" w:ascii="幼圆" w:eastAsia="幼圆"/>
                <w:sz w:val="24"/>
              </w:rPr>
            </w:pPr>
          </w:p>
        </w:tc>
      </w:tr>
    </w:tbl>
    <w:p w14:paraId="702145B0">
      <w:pPr>
        <w:rPr>
          <w:rFonts w:hint="eastAsia"/>
          <w:color w:val="000000"/>
        </w:rPr>
      </w:pPr>
    </w:p>
    <w:p w14:paraId="20E75AA5">
      <w:pPr>
        <w:rPr>
          <w:color w:val="000000"/>
        </w:rPr>
        <w:sectPr>
          <w:pgSz w:w="23814" w:h="16840" w:orient="landscape"/>
          <w:pgMar w:top="1985" w:right="1985" w:bottom="1418" w:left="1985" w:header="851" w:footer="992" w:gutter="0"/>
          <w:pgNumType w:fmt="decimal"/>
          <w:cols w:space="720" w:num="1"/>
          <w:docGrid w:linePitch="312" w:charSpace="0"/>
        </w:sectPr>
      </w:pPr>
    </w:p>
    <w:p w14:paraId="4FE8A8C3">
      <w:pPr>
        <w:pStyle w:val="3"/>
        <w:spacing w:before="120" w:beforeLines="50" w:after="120" w:afterLines="50" w:line="360" w:lineRule="auto"/>
        <w:rPr>
          <w:rFonts w:hint="eastAsia" w:ascii="华文中宋" w:hAnsi="华文中宋" w:eastAsia="华文中宋"/>
          <w:color w:val="000000"/>
          <w:sz w:val="36"/>
          <w:szCs w:val="36"/>
        </w:rPr>
      </w:pPr>
      <w:bookmarkStart w:id="108" w:name="_Toc3329"/>
      <w:r>
        <w:rPr>
          <w:rFonts w:hint="eastAsia" w:ascii="华文中宋" w:hAnsi="华文中宋" w:eastAsia="华文中宋"/>
          <w:color w:val="000000"/>
          <w:sz w:val="36"/>
          <w:szCs w:val="36"/>
        </w:rPr>
        <w:t>附表</w:t>
      </w:r>
      <w:r>
        <w:rPr>
          <w:rFonts w:hint="eastAsia" w:ascii="华文中宋" w:hAnsi="华文中宋" w:eastAsia="华文中宋"/>
          <w:color w:val="000000"/>
          <w:sz w:val="36"/>
          <w:szCs w:val="36"/>
          <w:lang w:val="en-US" w:eastAsia="zh-CN"/>
        </w:rPr>
        <w:t>9</w:t>
      </w:r>
      <w:r>
        <w:rPr>
          <w:rFonts w:hint="eastAsia" w:ascii="华文中宋" w:hAnsi="华文中宋" w:eastAsia="华文中宋"/>
          <w:color w:val="000000"/>
          <w:sz w:val="36"/>
          <w:szCs w:val="36"/>
        </w:rPr>
        <w:t>：中心城区农贸市场规划指引</w:t>
      </w:r>
      <w:bookmarkEnd w:id="108"/>
    </w:p>
    <w:tbl>
      <w:tblPr>
        <w:tblStyle w:val="34"/>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57"/>
        <w:gridCol w:w="2697"/>
        <w:gridCol w:w="2658"/>
        <w:gridCol w:w="2750"/>
        <w:gridCol w:w="2750"/>
        <w:gridCol w:w="2774"/>
        <w:gridCol w:w="3770"/>
      </w:tblGrid>
      <w:tr w14:paraId="1BB091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14DBDF3A">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社区编码</w:t>
            </w:r>
          </w:p>
        </w:tc>
        <w:tc>
          <w:tcPr>
            <w:tcW w:w="67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58969A2C">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社区名称</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3464AFE3">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社区人口</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53FBADC8">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社区类型</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743985F">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规划农贸市场数量</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6DD588CE">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建设类型</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4DE466AB">
            <w:pPr>
              <w:widowControl/>
              <w:spacing w:line="312" w:lineRule="auto"/>
              <w:jc w:val="center"/>
              <w:rPr>
                <w:rFonts w:hint="eastAsia" w:ascii="幼圆" w:hAnsi="宋体" w:eastAsia="幼圆" w:cs="宋体"/>
                <w:b/>
                <w:bCs/>
                <w:kern w:val="0"/>
                <w:sz w:val="24"/>
              </w:rPr>
            </w:pPr>
            <w:r>
              <w:rPr>
                <w:rFonts w:hint="eastAsia" w:ascii="幼圆" w:hAnsi="宋体" w:eastAsia="幼圆" w:cs="宋体"/>
                <w:b/>
                <w:bCs/>
                <w:kern w:val="0"/>
                <w:sz w:val="24"/>
                <w:lang w:val="en-US" w:eastAsia="zh-CN"/>
              </w:rPr>
              <w:t>建设形式</w:t>
            </w:r>
          </w:p>
        </w:tc>
      </w:tr>
      <w:tr w14:paraId="5BE9A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34DEF75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A-01</w:t>
            </w:r>
          </w:p>
        </w:tc>
        <w:tc>
          <w:tcPr>
            <w:tcW w:w="672"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0C6E52E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金町社区</w:t>
            </w:r>
          </w:p>
        </w:tc>
        <w:tc>
          <w:tcPr>
            <w:tcW w:w="662"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28EE750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3.5</w:t>
            </w:r>
          </w:p>
        </w:tc>
        <w:tc>
          <w:tcPr>
            <w:tcW w:w="68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DA53EF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72DB979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w:t>
            </w:r>
          </w:p>
        </w:tc>
        <w:tc>
          <w:tcPr>
            <w:tcW w:w="691"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13DEF7A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新建3个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2FEF3C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农贸市场2个</w:t>
            </w:r>
          </w:p>
        </w:tc>
      </w:tr>
      <w:tr w14:paraId="5AF84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4ACAC011">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73482415">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4EA5597F">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FC672EF">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1BC0D756">
            <w:pPr>
              <w:widowControl/>
              <w:spacing w:line="312" w:lineRule="auto"/>
              <w:jc w:val="center"/>
              <w:rPr>
                <w:rFonts w:hint="eastAsia" w:ascii="幼圆" w:hAnsi="宋体" w:eastAsia="幼圆" w:cs="宋体"/>
                <w:kern w:val="0"/>
                <w:sz w:val="24"/>
              </w:rPr>
            </w:pPr>
          </w:p>
        </w:tc>
        <w:tc>
          <w:tcPr>
            <w:tcW w:w="691" w:type="pct"/>
            <w:vMerge w:val="continue"/>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2619DE96">
            <w:pPr>
              <w:widowControl/>
              <w:spacing w:line="312" w:lineRule="auto"/>
              <w:jc w:val="center"/>
              <w:rPr>
                <w:rFonts w:hint="eastAsia" w:ascii="幼圆" w:hAnsi="宋体" w:eastAsia="幼圆" w:cs="宋体"/>
                <w:kern w:val="0"/>
                <w:sz w:val="24"/>
              </w:rPr>
            </w:pP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0B0DEDB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生鲜超市1个</w:t>
            </w:r>
          </w:p>
        </w:tc>
      </w:tr>
      <w:tr w14:paraId="1CEBD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362F45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A-02</w:t>
            </w:r>
          </w:p>
        </w:tc>
        <w:tc>
          <w:tcPr>
            <w:tcW w:w="67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0420D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西洋社区</w:t>
            </w:r>
          </w:p>
        </w:tc>
        <w:tc>
          <w:tcPr>
            <w:tcW w:w="66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4D1BB4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1.7</w:t>
            </w:r>
          </w:p>
        </w:tc>
        <w:tc>
          <w:tcPr>
            <w:tcW w:w="68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BAF80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EA8049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w:t>
            </w:r>
          </w:p>
        </w:tc>
        <w:tc>
          <w:tcPr>
            <w:tcW w:w="691"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03E1205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新建3个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A00101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农贸市场2个</w:t>
            </w:r>
          </w:p>
        </w:tc>
      </w:tr>
      <w:tr w14:paraId="124F4A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2F5F20C">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F4FFA67">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BF0AE82">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3E661A">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2CF911A">
            <w:pPr>
              <w:widowControl/>
              <w:spacing w:line="312" w:lineRule="auto"/>
              <w:jc w:val="center"/>
              <w:rPr>
                <w:rFonts w:hint="eastAsia" w:ascii="幼圆" w:hAnsi="宋体" w:eastAsia="幼圆" w:cs="宋体"/>
                <w:kern w:val="0"/>
                <w:sz w:val="24"/>
              </w:rPr>
            </w:pPr>
          </w:p>
        </w:tc>
        <w:tc>
          <w:tcPr>
            <w:tcW w:w="691" w:type="pct"/>
            <w:vMerge w:val="continue"/>
            <w:tcBorders>
              <w:top w:val="single" w:color="000000" w:sz="8" w:space="0"/>
              <w:left w:val="single" w:color="000000" w:sz="8" w:space="0"/>
              <w:bottom w:val="single" w:color="000000" w:sz="8" w:space="0"/>
              <w:right w:val="single" w:color="000000" w:sz="8" w:space="0"/>
            </w:tcBorders>
            <w:shd w:val="clear" w:color="auto" w:fill="FFFFFF"/>
            <w:noWrap/>
            <w:vAlign w:val="center"/>
          </w:tcPr>
          <w:p w14:paraId="79086255">
            <w:pPr>
              <w:widowControl/>
              <w:spacing w:line="312" w:lineRule="auto"/>
              <w:jc w:val="center"/>
              <w:rPr>
                <w:rFonts w:hint="eastAsia" w:ascii="幼圆" w:hAnsi="宋体" w:eastAsia="幼圆" w:cs="宋体"/>
                <w:kern w:val="0"/>
                <w:sz w:val="24"/>
              </w:rPr>
            </w:pP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E6320E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生鲜超市1个</w:t>
            </w:r>
          </w:p>
        </w:tc>
      </w:tr>
      <w:tr w14:paraId="3A017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08E9664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A-03</w:t>
            </w:r>
          </w:p>
        </w:tc>
        <w:tc>
          <w:tcPr>
            <w:tcW w:w="67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351F3C4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祥兴社区</w:t>
            </w:r>
          </w:p>
        </w:tc>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04106A2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3214B6BE">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2D1201F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4</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182B18A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提升3个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80EB3B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农贸市场3个</w:t>
            </w:r>
          </w:p>
        </w:tc>
      </w:tr>
      <w:tr w14:paraId="269A6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4012358A">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5835754C">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5EDA8BDD">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23FC7C2B">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47EEAD63">
            <w:pPr>
              <w:widowControl/>
              <w:spacing w:line="312" w:lineRule="auto"/>
              <w:jc w:val="center"/>
              <w:rPr>
                <w:rFonts w:hint="eastAsia" w:ascii="幼圆" w:hAnsi="宋体" w:eastAsia="幼圆" w:cs="宋体"/>
                <w:kern w:val="0"/>
                <w:sz w:val="24"/>
              </w:rPr>
            </w:pP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01AA061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DBEF5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生鲜超市1个</w:t>
            </w:r>
          </w:p>
        </w:tc>
      </w:tr>
      <w:tr w14:paraId="4158D0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0F4DB97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A-04</w:t>
            </w:r>
          </w:p>
        </w:tc>
        <w:tc>
          <w:tcPr>
            <w:tcW w:w="67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36781C1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大鹏山社区</w:t>
            </w:r>
          </w:p>
        </w:tc>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48AF088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1.8</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7DD981B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29E6485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4</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64D12924">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提升3个</w:t>
            </w:r>
          </w:p>
        </w:tc>
        <w:tc>
          <w:tcPr>
            <w:tcW w:w="939"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2E052CED">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农贸市场4个</w:t>
            </w:r>
          </w:p>
        </w:tc>
      </w:tr>
      <w:tr w14:paraId="42BE4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6DDA97F8">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25B3EF49">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2DAB3D14">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70AB2315">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65044B40">
            <w:pPr>
              <w:widowControl/>
              <w:spacing w:line="312" w:lineRule="auto"/>
              <w:jc w:val="center"/>
              <w:rPr>
                <w:rFonts w:hint="eastAsia" w:ascii="幼圆" w:hAnsi="宋体" w:eastAsia="幼圆" w:cs="宋体"/>
                <w:kern w:val="0"/>
                <w:sz w:val="24"/>
              </w:rPr>
            </w:pP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3A1F804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0A0BC946">
            <w:pPr>
              <w:widowControl/>
              <w:spacing w:line="312" w:lineRule="auto"/>
              <w:jc w:val="center"/>
              <w:rPr>
                <w:rFonts w:hint="eastAsia" w:ascii="幼圆" w:hAnsi="宋体" w:eastAsia="幼圆" w:cs="宋体"/>
                <w:kern w:val="0"/>
                <w:sz w:val="24"/>
              </w:rPr>
            </w:pPr>
          </w:p>
        </w:tc>
      </w:tr>
      <w:tr w14:paraId="4264D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17C09A8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A-05</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24DF096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奎山西社区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4D5F246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0.5</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65DAB03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534B0B6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7672056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9AFEC1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0E5848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17A1501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A-06</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3104E30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永昌社区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0354170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1.4</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7B77C6F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190079A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4</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29FAA53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提升4个</w:t>
            </w:r>
          </w:p>
        </w:tc>
        <w:tc>
          <w:tcPr>
            <w:tcW w:w="939" w:type="pct"/>
            <w:tcBorders>
              <w:top w:val="single" w:color="000000" w:sz="8" w:space="0"/>
              <w:left w:val="single" w:color="000000" w:sz="8" w:space="0"/>
              <w:bottom w:val="nil"/>
              <w:right w:val="single" w:color="000000" w:sz="8" w:space="0"/>
            </w:tcBorders>
            <w:shd w:val="clear" w:color="auto" w:fill="FFFFFF"/>
            <w:noWrap w:val="0"/>
            <w:vAlign w:val="center"/>
          </w:tcPr>
          <w:p w14:paraId="6BA6DC0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农贸市场4个</w:t>
            </w:r>
          </w:p>
        </w:tc>
      </w:tr>
      <w:tr w14:paraId="794F90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046D29DE">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A-07</w:t>
            </w:r>
          </w:p>
        </w:tc>
        <w:tc>
          <w:tcPr>
            <w:tcW w:w="67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7C9E494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联兴社区</w:t>
            </w:r>
          </w:p>
        </w:tc>
        <w:tc>
          <w:tcPr>
            <w:tcW w:w="662" w:type="pct"/>
            <w:vMerge w:val="restart"/>
            <w:tcBorders>
              <w:top w:val="single" w:color="000000" w:sz="8" w:space="0"/>
              <w:left w:val="single" w:color="000000" w:sz="8" w:space="0"/>
              <w:bottom w:val="nil"/>
              <w:right w:val="single" w:color="000000" w:sz="8" w:space="0"/>
            </w:tcBorders>
            <w:shd w:val="clear" w:color="auto" w:fill="auto"/>
            <w:noWrap/>
            <w:vAlign w:val="center"/>
          </w:tcPr>
          <w:p w14:paraId="3579338E">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1.9</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1ADB4BA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70CFE65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3CCD571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提升2个</w:t>
            </w:r>
          </w:p>
        </w:tc>
        <w:tc>
          <w:tcPr>
            <w:tcW w:w="939" w:type="pct"/>
            <w:tcBorders>
              <w:top w:val="single" w:color="000000" w:sz="8" w:space="0"/>
              <w:left w:val="single" w:color="000000" w:sz="8" w:space="0"/>
              <w:bottom w:val="nil"/>
              <w:right w:val="single" w:color="000000" w:sz="8" w:space="0"/>
            </w:tcBorders>
            <w:shd w:val="clear" w:color="auto" w:fill="FFFFFF"/>
            <w:noWrap w:val="0"/>
            <w:vAlign w:val="center"/>
          </w:tcPr>
          <w:p w14:paraId="0853843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农贸市场2个</w:t>
            </w:r>
          </w:p>
        </w:tc>
      </w:tr>
      <w:tr w14:paraId="2828AD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271747D2">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1849E94E">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nil"/>
              <w:right w:val="single" w:color="000000" w:sz="8" w:space="0"/>
            </w:tcBorders>
            <w:shd w:val="clear" w:color="auto" w:fill="auto"/>
            <w:noWrap/>
            <w:vAlign w:val="center"/>
          </w:tcPr>
          <w:p w14:paraId="370B37D3">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314CE974">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34F5A6AB">
            <w:pPr>
              <w:widowControl/>
              <w:spacing w:line="312" w:lineRule="auto"/>
              <w:jc w:val="center"/>
              <w:rPr>
                <w:rFonts w:hint="eastAsia" w:ascii="幼圆" w:hAnsi="宋体" w:eastAsia="幼圆" w:cs="宋体"/>
                <w:kern w:val="0"/>
                <w:sz w:val="24"/>
              </w:rPr>
            </w:pP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5B65D6E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F031F5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生鲜超市1个</w:t>
            </w:r>
          </w:p>
        </w:tc>
      </w:tr>
      <w:tr w14:paraId="5F75B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00DDB26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A-08</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55199B1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凤山社区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0C72D39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1.4</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062D85A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3889625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090485F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720442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1AA8C3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23F8EDA4">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A-09</w:t>
            </w:r>
          </w:p>
        </w:tc>
        <w:tc>
          <w:tcPr>
            <w:tcW w:w="67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4A2E741D">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玉台山社区</w:t>
            </w:r>
          </w:p>
        </w:tc>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628DFFE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1.1</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5FAB39A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47AFC7B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2</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07E872E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640BBE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3C9B78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768E541B">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2B9FF8DF">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69E48F7E">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7E3421CE">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476944B7">
            <w:pPr>
              <w:widowControl/>
              <w:spacing w:line="312" w:lineRule="auto"/>
              <w:jc w:val="center"/>
              <w:rPr>
                <w:rFonts w:hint="eastAsia" w:ascii="幼圆" w:hAnsi="宋体" w:eastAsia="幼圆" w:cs="宋体"/>
                <w:kern w:val="0"/>
                <w:sz w:val="24"/>
              </w:rPr>
            </w:pP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5E52C00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保留1个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713557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61AD4A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6E6978F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A-10</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73CC3C9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和顺社区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43DF8F5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1.6</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14C607C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6096DBC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7CB1242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4D4C9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3A305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343DED0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A-11</w:t>
            </w:r>
          </w:p>
        </w:tc>
        <w:tc>
          <w:tcPr>
            <w:tcW w:w="67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53F1C97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林埔山社区</w:t>
            </w:r>
          </w:p>
        </w:tc>
        <w:tc>
          <w:tcPr>
            <w:tcW w:w="662"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3DD7B01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1.3</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5B7D819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vMerge w:val="restart"/>
            <w:tcBorders>
              <w:top w:val="single" w:color="000000" w:sz="8" w:space="0"/>
              <w:left w:val="single" w:color="000000" w:sz="8" w:space="0"/>
              <w:bottom w:val="nil"/>
              <w:right w:val="single" w:color="000000" w:sz="8" w:space="0"/>
            </w:tcBorders>
            <w:shd w:val="clear" w:color="auto" w:fill="FFFFFF"/>
            <w:noWrap w:val="0"/>
            <w:vAlign w:val="center"/>
          </w:tcPr>
          <w:p w14:paraId="7EF14BC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63A5426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D938ED">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6BD6AD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5C64FA36">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0BE1100B">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31E39724">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05CE2A5C">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656AACAC">
            <w:pPr>
              <w:widowControl/>
              <w:spacing w:line="312" w:lineRule="auto"/>
              <w:jc w:val="center"/>
              <w:rPr>
                <w:rFonts w:hint="eastAsia" w:ascii="幼圆" w:hAnsi="宋体" w:eastAsia="幼圆" w:cs="宋体"/>
                <w:kern w:val="0"/>
                <w:sz w:val="24"/>
              </w:rPr>
            </w:pP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3874C92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提升1个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18D2D12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生鲜超市1个</w:t>
            </w:r>
          </w:p>
        </w:tc>
      </w:tr>
      <w:tr w14:paraId="443560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1F37F1CC">
            <w:pPr>
              <w:widowControl/>
              <w:spacing w:line="312" w:lineRule="auto"/>
              <w:jc w:val="center"/>
              <w:rPr>
                <w:rFonts w:hint="eastAsia" w:ascii="幼圆" w:hAnsi="宋体" w:eastAsia="幼圆" w:cs="宋体"/>
                <w:kern w:val="0"/>
                <w:sz w:val="24"/>
              </w:rPr>
            </w:pPr>
          </w:p>
        </w:tc>
        <w:tc>
          <w:tcPr>
            <w:tcW w:w="67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4F29173A">
            <w:pPr>
              <w:widowControl/>
              <w:spacing w:line="312" w:lineRule="auto"/>
              <w:jc w:val="center"/>
              <w:rPr>
                <w:rFonts w:hint="eastAsia" w:ascii="幼圆" w:hAnsi="宋体" w:eastAsia="幼圆" w:cs="宋体"/>
                <w:kern w:val="0"/>
                <w:sz w:val="24"/>
              </w:rPr>
            </w:pPr>
          </w:p>
        </w:tc>
        <w:tc>
          <w:tcPr>
            <w:tcW w:w="662"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63B32855">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38529CBB">
            <w:pPr>
              <w:widowControl/>
              <w:spacing w:line="312" w:lineRule="auto"/>
              <w:jc w:val="center"/>
              <w:rPr>
                <w:rFonts w:hint="eastAsia" w:ascii="幼圆" w:hAnsi="宋体" w:eastAsia="幼圆" w:cs="宋体"/>
                <w:kern w:val="0"/>
                <w:sz w:val="24"/>
              </w:rPr>
            </w:pPr>
          </w:p>
        </w:tc>
        <w:tc>
          <w:tcPr>
            <w:tcW w:w="685" w:type="pct"/>
            <w:vMerge w:val="continue"/>
            <w:tcBorders>
              <w:top w:val="single" w:color="000000" w:sz="8" w:space="0"/>
              <w:left w:val="single" w:color="000000" w:sz="8" w:space="0"/>
              <w:bottom w:val="nil"/>
              <w:right w:val="single" w:color="000000" w:sz="8" w:space="0"/>
            </w:tcBorders>
            <w:shd w:val="clear" w:color="auto" w:fill="FFFFFF"/>
            <w:noWrap w:val="0"/>
            <w:vAlign w:val="center"/>
          </w:tcPr>
          <w:p w14:paraId="32F2B1C5">
            <w:pPr>
              <w:widowControl/>
              <w:spacing w:line="312" w:lineRule="auto"/>
              <w:jc w:val="center"/>
              <w:rPr>
                <w:rFonts w:hint="eastAsia" w:ascii="幼圆" w:hAnsi="宋体" w:eastAsia="幼圆" w:cs="宋体"/>
                <w:kern w:val="0"/>
                <w:sz w:val="24"/>
              </w:rPr>
            </w:pP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2639229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4CCE619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生鲜超市1个</w:t>
            </w:r>
          </w:p>
        </w:tc>
      </w:tr>
      <w:tr w14:paraId="70046A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6D5F0EB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A-12</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3866341D">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虎洞山社区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4930E46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1.2</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22D79240">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混合功能型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7F39F855">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3EF294E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12CC32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6CE508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6F39C52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A-13</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3E60FE5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湖田社区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3469023C">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0.6</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4557DAD1">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产业园区型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67665862">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0D610D4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6BCA9B4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r w14:paraId="55F85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3C9454BE">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A-14</w:t>
            </w:r>
          </w:p>
        </w:tc>
        <w:tc>
          <w:tcPr>
            <w:tcW w:w="672" w:type="pct"/>
            <w:tcBorders>
              <w:top w:val="single" w:color="000000" w:sz="8" w:space="0"/>
              <w:left w:val="single" w:color="000000" w:sz="8" w:space="0"/>
              <w:bottom w:val="nil"/>
              <w:right w:val="single" w:color="000000" w:sz="8" w:space="0"/>
            </w:tcBorders>
            <w:shd w:val="clear" w:color="auto" w:fill="FFFFFF"/>
            <w:noWrap w:val="0"/>
            <w:vAlign w:val="center"/>
          </w:tcPr>
          <w:p w14:paraId="41748C2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新湖社区</w:t>
            </w:r>
          </w:p>
        </w:tc>
        <w:tc>
          <w:tcPr>
            <w:tcW w:w="662" w:type="pct"/>
            <w:tcBorders>
              <w:top w:val="single" w:color="000000" w:sz="8" w:space="0"/>
              <w:left w:val="single" w:color="000000" w:sz="8" w:space="0"/>
              <w:bottom w:val="nil"/>
              <w:right w:val="single" w:color="000000" w:sz="8" w:space="0"/>
            </w:tcBorders>
            <w:shd w:val="clear" w:color="auto" w:fill="FFFFFF"/>
            <w:noWrap w:val="0"/>
            <w:vAlign w:val="center"/>
          </w:tcPr>
          <w:p w14:paraId="0F0668FA">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1.1</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6FA40817">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tcBorders>
              <w:top w:val="single" w:color="000000" w:sz="8" w:space="0"/>
              <w:left w:val="single" w:color="000000" w:sz="8" w:space="0"/>
              <w:bottom w:val="nil"/>
              <w:right w:val="single" w:color="000000" w:sz="8" w:space="0"/>
            </w:tcBorders>
            <w:shd w:val="clear" w:color="auto" w:fill="FFFFFF"/>
            <w:noWrap w:val="0"/>
            <w:vAlign w:val="center"/>
          </w:tcPr>
          <w:p w14:paraId="78F21D8B">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2</w:t>
            </w:r>
          </w:p>
        </w:tc>
        <w:tc>
          <w:tcPr>
            <w:tcW w:w="691" w:type="pct"/>
            <w:tcBorders>
              <w:top w:val="single" w:color="000000" w:sz="8" w:space="0"/>
              <w:left w:val="single" w:color="000000" w:sz="8" w:space="0"/>
              <w:bottom w:val="nil"/>
              <w:right w:val="single" w:color="000000" w:sz="8" w:space="0"/>
            </w:tcBorders>
            <w:shd w:val="clear" w:color="auto" w:fill="FFFFFF"/>
            <w:noWrap w:val="0"/>
            <w:vAlign w:val="center"/>
          </w:tcPr>
          <w:p w14:paraId="73B76AF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新建2个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828490F">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生鲜超市2个</w:t>
            </w:r>
          </w:p>
        </w:tc>
      </w:tr>
      <w:tr w14:paraId="0EBFC9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6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2D55D5D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A-15</w:t>
            </w:r>
          </w:p>
        </w:tc>
        <w:tc>
          <w:tcPr>
            <w:tcW w:w="6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E81F9A9">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金湖社区</w:t>
            </w:r>
          </w:p>
        </w:tc>
        <w:tc>
          <w:tcPr>
            <w:tcW w:w="6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3244AF88">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3.2</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A19C7C3">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城市居住区型</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48ACB8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1</w:t>
            </w:r>
          </w:p>
        </w:tc>
        <w:tc>
          <w:tcPr>
            <w:tcW w:w="6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50616CFD">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新建1个</w:t>
            </w:r>
          </w:p>
        </w:tc>
        <w:tc>
          <w:tcPr>
            <w:tcW w:w="9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14:paraId="7928DAE6">
            <w:pPr>
              <w:widowControl/>
              <w:spacing w:line="312" w:lineRule="auto"/>
              <w:jc w:val="center"/>
              <w:rPr>
                <w:rFonts w:hint="eastAsia" w:ascii="幼圆" w:hAnsi="宋体" w:eastAsia="幼圆" w:cs="宋体"/>
                <w:kern w:val="0"/>
                <w:sz w:val="24"/>
              </w:rPr>
            </w:pPr>
            <w:r>
              <w:rPr>
                <w:rFonts w:hint="eastAsia" w:ascii="幼圆" w:hAnsi="宋体" w:eastAsia="幼圆" w:cs="宋体"/>
                <w:kern w:val="0"/>
                <w:sz w:val="24"/>
                <w:lang w:val="en-US" w:eastAsia="zh-CN"/>
              </w:rPr>
              <w:t>农贸市场1个</w:t>
            </w:r>
          </w:p>
        </w:tc>
      </w:tr>
    </w:tbl>
    <w:p w14:paraId="7A6C2D65">
      <w:pPr>
        <w:rPr>
          <w:color w:val="000000"/>
        </w:rPr>
        <w:sectPr>
          <w:pgSz w:w="23814" w:h="16840" w:orient="landscape"/>
          <w:pgMar w:top="1985" w:right="1985" w:bottom="1418" w:left="1985" w:header="851" w:footer="992" w:gutter="0"/>
          <w:pgNumType w:fmt="decimal"/>
          <w:cols w:space="720" w:num="1"/>
          <w:docGrid w:linePitch="312" w:charSpace="0"/>
        </w:sectPr>
      </w:pPr>
    </w:p>
    <w:p w14:paraId="251B627A">
      <w:pPr>
        <w:pStyle w:val="3"/>
        <w:spacing w:before="120" w:beforeLines="50" w:after="120" w:afterLines="50" w:line="360" w:lineRule="auto"/>
        <w:rPr>
          <w:rFonts w:hint="eastAsia" w:ascii="华文中宋" w:hAnsi="华文中宋" w:eastAsia="华文中宋"/>
          <w:color w:val="000000"/>
          <w:sz w:val="36"/>
          <w:szCs w:val="36"/>
        </w:rPr>
      </w:pPr>
      <w:bookmarkStart w:id="109" w:name="_Toc17708"/>
      <w:r>
        <w:rPr>
          <w:rFonts w:hint="eastAsia" w:ascii="华文中宋" w:hAnsi="华文中宋" w:eastAsia="华文中宋"/>
          <w:color w:val="000000"/>
          <w:sz w:val="36"/>
          <w:szCs w:val="36"/>
        </w:rPr>
        <w:t>附表</w:t>
      </w:r>
      <w:r>
        <w:rPr>
          <w:rFonts w:hint="eastAsia" w:ascii="华文中宋" w:hAnsi="华文中宋" w:eastAsia="华文中宋"/>
          <w:color w:val="000000"/>
          <w:sz w:val="36"/>
          <w:szCs w:val="36"/>
          <w:lang w:val="en-US" w:eastAsia="zh-CN"/>
        </w:rPr>
        <w:t>10</w:t>
      </w:r>
      <w:r>
        <w:rPr>
          <w:rFonts w:hint="eastAsia" w:ascii="华文中宋" w:hAnsi="华文中宋" w:eastAsia="华文中宋"/>
          <w:color w:val="000000"/>
          <w:sz w:val="36"/>
          <w:szCs w:val="36"/>
        </w:rPr>
        <w:t>：</w:t>
      </w:r>
      <w:r>
        <w:rPr>
          <w:rFonts w:hint="eastAsia" w:ascii="华文中宋" w:hAnsi="华文中宋" w:eastAsia="华文中宋"/>
          <w:color w:val="000000"/>
          <w:sz w:val="36"/>
          <w:szCs w:val="36"/>
          <w:lang w:val="en-US" w:eastAsia="zh-CN"/>
        </w:rPr>
        <w:t>中心城区</w:t>
      </w:r>
      <w:r>
        <w:rPr>
          <w:rFonts w:hint="eastAsia" w:ascii="华文中宋" w:hAnsi="华文中宋" w:eastAsia="华文中宋"/>
          <w:color w:val="000000"/>
          <w:sz w:val="36"/>
          <w:szCs w:val="36"/>
        </w:rPr>
        <w:t>专业（交易）市场</w:t>
      </w:r>
      <w:r>
        <w:rPr>
          <w:rFonts w:hint="eastAsia" w:ascii="华文中宋" w:hAnsi="华文中宋" w:eastAsia="华文中宋"/>
          <w:color w:val="000000"/>
          <w:sz w:val="36"/>
          <w:szCs w:val="36"/>
          <w:lang w:val="en-US" w:eastAsia="zh-CN"/>
        </w:rPr>
        <w:t>布局体系</w:t>
      </w:r>
      <w:r>
        <w:rPr>
          <w:rFonts w:hint="eastAsia" w:ascii="华文中宋" w:hAnsi="华文中宋" w:eastAsia="华文中宋"/>
          <w:color w:val="000000"/>
          <w:sz w:val="36"/>
          <w:szCs w:val="36"/>
        </w:rPr>
        <w:t>规划指引</w:t>
      </w:r>
      <w:bookmarkEnd w:id="109"/>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818"/>
        <w:gridCol w:w="2552"/>
        <w:gridCol w:w="5103"/>
        <w:gridCol w:w="11587"/>
      </w:tblGrid>
      <w:tr w14:paraId="13191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1" w:hRule="atLeast"/>
          <w:jc w:val="center"/>
        </w:trPr>
        <w:tc>
          <w:tcPr>
            <w:tcW w:w="840" w:type="pct"/>
            <w:gridSpan w:val="2"/>
            <w:shd w:val="clear" w:color="auto" w:fill="FFFFFF"/>
            <w:noWrap w:val="0"/>
            <w:vAlign w:val="center"/>
          </w:tcPr>
          <w:p w14:paraId="2A76721F">
            <w:pPr>
              <w:spacing w:before="24" w:beforeLines="10" w:after="24" w:afterLines="10" w:line="324" w:lineRule="auto"/>
              <w:ind w:left="-105" w:leftChars="-50"/>
              <w:jc w:val="center"/>
              <w:rPr>
                <w:rFonts w:hint="eastAsia" w:ascii="幼圆" w:hAnsi="宋体" w:eastAsia="幼圆"/>
                <w:b/>
                <w:sz w:val="24"/>
              </w:rPr>
            </w:pPr>
            <w:r>
              <w:rPr>
                <w:rFonts w:hint="eastAsia" w:ascii="幼圆" w:hAnsi="宋体" w:eastAsia="幼圆"/>
                <w:b/>
                <w:sz w:val="24"/>
              </w:rPr>
              <w:t>专业（交易）市场集聚区</w:t>
            </w:r>
          </w:p>
        </w:tc>
        <w:tc>
          <w:tcPr>
            <w:tcW w:w="1272" w:type="pct"/>
            <w:shd w:val="clear" w:color="auto" w:fill="FFFFFF"/>
            <w:noWrap w:val="0"/>
            <w:vAlign w:val="center"/>
          </w:tcPr>
          <w:p w14:paraId="01ADEBC9">
            <w:pPr>
              <w:spacing w:before="24" w:beforeLines="10" w:after="24" w:afterLines="10" w:line="324" w:lineRule="auto"/>
              <w:jc w:val="center"/>
              <w:rPr>
                <w:rFonts w:hint="eastAsia" w:ascii="幼圆" w:hAnsi="宋体" w:eastAsia="幼圆"/>
                <w:b/>
                <w:sz w:val="24"/>
              </w:rPr>
            </w:pPr>
            <w:r>
              <w:rPr>
                <w:rFonts w:hint="eastAsia" w:ascii="幼圆" w:hAnsi="宋体" w:eastAsia="幼圆"/>
                <w:b/>
                <w:sz w:val="24"/>
              </w:rPr>
              <w:t>功能定位</w:t>
            </w:r>
          </w:p>
        </w:tc>
        <w:tc>
          <w:tcPr>
            <w:tcW w:w="2888" w:type="pct"/>
            <w:shd w:val="clear" w:color="auto" w:fill="FFFFFF"/>
            <w:noWrap w:val="0"/>
            <w:vAlign w:val="center"/>
          </w:tcPr>
          <w:p w14:paraId="1092D539">
            <w:pPr>
              <w:spacing w:before="24" w:beforeLines="10" w:after="24" w:afterLines="10" w:line="324" w:lineRule="auto"/>
              <w:jc w:val="center"/>
              <w:rPr>
                <w:rFonts w:hint="eastAsia" w:ascii="幼圆" w:hAnsi="宋体" w:eastAsia="幼圆"/>
                <w:b/>
                <w:sz w:val="24"/>
              </w:rPr>
            </w:pPr>
            <w:r>
              <w:rPr>
                <w:rFonts w:hint="eastAsia" w:ascii="幼圆" w:hAnsi="宋体" w:eastAsia="幼圆"/>
                <w:b/>
                <w:sz w:val="24"/>
              </w:rPr>
              <w:t>规划指引</w:t>
            </w:r>
          </w:p>
        </w:tc>
      </w:tr>
      <w:tr w14:paraId="48E70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204" w:type="pct"/>
            <w:shd w:val="clear" w:color="auto" w:fill="FFFFFF"/>
            <w:noWrap w:val="0"/>
            <w:vAlign w:val="center"/>
          </w:tcPr>
          <w:p w14:paraId="1F80EE54">
            <w:pPr>
              <w:spacing w:before="24" w:beforeLines="10" w:after="24" w:afterLines="10" w:line="324" w:lineRule="auto"/>
              <w:jc w:val="center"/>
              <w:rPr>
                <w:rFonts w:hint="eastAsia" w:ascii="幼圆" w:hAnsi="宋体" w:eastAsia="幼圆"/>
                <w:sz w:val="24"/>
              </w:rPr>
            </w:pPr>
            <w:r>
              <w:rPr>
                <w:rFonts w:hint="eastAsia" w:ascii="幼圆" w:hAnsi="宋体" w:eastAsia="幼圆"/>
                <w:sz w:val="24"/>
              </w:rPr>
              <w:t>一心</w:t>
            </w:r>
          </w:p>
        </w:tc>
        <w:tc>
          <w:tcPr>
            <w:tcW w:w="636" w:type="pct"/>
            <w:shd w:val="clear" w:color="auto" w:fill="FFFFFF"/>
            <w:noWrap w:val="0"/>
            <w:vAlign w:val="center"/>
          </w:tcPr>
          <w:p w14:paraId="24DF8435">
            <w:pPr>
              <w:spacing w:before="24" w:beforeLines="10" w:after="24" w:afterLines="10" w:line="324" w:lineRule="auto"/>
              <w:jc w:val="center"/>
              <w:rPr>
                <w:rFonts w:hint="eastAsia" w:ascii="幼圆" w:hAnsi="宋体" w:eastAsia="幼圆"/>
                <w:sz w:val="24"/>
              </w:rPr>
            </w:pPr>
            <w:r>
              <w:rPr>
                <w:rFonts w:hint="eastAsia" w:ascii="幼圆" w:hAnsi="宋体" w:eastAsia="幼圆"/>
                <w:sz w:val="24"/>
              </w:rPr>
              <w:t>汕尾站综合专业（交易）市场集聚中心</w:t>
            </w:r>
          </w:p>
        </w:tc>
        <w:tc>
          <w:tcPr>
            <w:tcW w:w="1272" w:type="pct"/>
            <w:shd w:val="clear" w:color="auto" w:fill="FFFFFF"/>
            <w:noWrap w:val="0"/>
            <w:vAlign w:val="center"/>
          </w:tcPr>
          <w:p w14:paraId="36EC9CA7">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打造服务于汕尾市及其周边地区、汕尾市规模最大、品种最全、业态层级最高的区域性综合商贸交易平台。</w:t>
            </w:r>
          </w:p>
        </w:tc>
        <w:tc>
          <w:tcPr>
            <w:tcW w:w="2888" w:type="pct"/>
            <w:shd w:val="clear" w:color="auto" w:fill="FFFFFF"/>
            <w:noWrap w:val="0"/>
            <w:vAlign w:val="center"/>
          </w:tcPr>
          <w:p w14:paraId="492F7953">
            <w:pPr>
              <w:numPr>
                <w:ilvl w:val="0"/>
                <w:numId w:val="39"/>
              </w:numPr>
              <w:spacing w:before="24" w:beforeLines="10" w:after="24" w:afterLines="10" w:line="324" w:lineRule="auto"/>
              <w:jc w:val="left"/>
              <w:rPr>
                <w:rFonts w:ascii="幼圆" w:hAnsi="宋体" w:eastAsia="幼圆"/>
                <w:sz w:val="24"/>
              </w:rPr>
            </w:pPr>
            <w:r>
              <w:rPr>
                <w:rFonts w:hint="eastAsia" w:ascii="幼圆" w:hAnsi="宋体" w:eastAsia="幼圆"/>
                <w:sz w:val="24"/>
              </w:rPr>
              <w:t>围绕汕尾站建设枢纽站前片区，按照“新枢纽、新地标、新业态、新商圈”标准打造，融合发展商业零售、专业市场、高端商务、现代服务、智慧物流、电子商务、金融、创新创业等功能产业，激活站前片区活力，提升枢纽辐射能力；</w:t>
            </w:r>
          </w:p>
          <w:p w14:paraId="2409E5E1">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突出品清湖新区作为消费品供应地的产地优势，壮大新轻奢产业发展，以服装、珠宝等优势传统产业为创意时尚消费基础，打造服饰珠宝全时尚消费链条。整合新区现有的零散分布的家居建材商店、商品批发市场、农贸市场等资源，推动传统专业市场转型升级，集中建设综合专业（交易）市场集聚中心，并分类分区对专业（交易）市场进行统筹安排；</w:t>
            </w:r>
          </w:p>
          <w:p w14:paraId="70AEC68B">
            <w:pPr>
              <w:numPr>
                <w:ilvl w:val="0"/>
                <w:numId w:val="39"/>
              </w:numPr>
              <w:spacing w:before="24" w:beforeLines="10" w:after="24" w:afterLines="10" w:line="324" w:lineRule="auto"/>
              <w:jc w:val="left"/>
              <w:rPr>
                <w:rFonts w:hint="eastAsia" w:ascii="幼圆" w:hAnsi="宋体" w:eastAsia="幼圆"/>
                <w:sz w:val="24"/>
              </w:rPr>
            </w:pPr>
            <w:r>
              <w:rPr>
                <w:rFonts w:hint="eastAsia" w:ascii="幼圆" w:eastAsia="幼圆"/>
                <w:sz w:val="24"/>
              </w:rPr>
              <w:t>结合专业（交易）市场的布局，统筹安排仓储物流、金融、居住、餐饮旅宿、综合信息等功能，完善相应的配套服务设施；</w:t>
            </w:r>
          </w:p>
          <w:p w14:paraId="4D5CFFA2">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近期将城区蔬菜三鸟批发市场进行迁转，远期逐渐将东辉批发市场、</w:t>
            </w:r>
            <w:r>
              <w:rPr>
                <w:rFonts w:hint="eastAsia" w:ascii="幼圆" w:hAnsi="宋体" w:eastAsia="幼圆" w:cs="宋体"/>
                <w:kern w:val="0"/>
                <w:sz w:val="24"/>
              </w:rPr>
              <w:t>景福居装饰材料城等老城区的批发交易功能往汕尾站综合专业（交易）市场集聚中心搬迁，远期汕尾老城区不再承担批发交易功能。</w:t>
            </w:r>
          </w:p>
        </w:tc>
      </w:tr>
      <w:tr w14:paraId="4F105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204" w:type="pct"/>
            <w:vMerge w:val="restart"/>
            <w:shd w:val="clear" w:color="auto" w:fill="FFFFFF"/>
            <w:noWrap w:val="0"/>
            <w:vAlign w:val="center"/>
          </w:tcPr>
          <w:p w14:paraId="7B217374">
            <w:pPr>
              <w:spacing w:before="24" w:beforeLines="10" w:after="24" w:afterLines="10" w:line="324" w:lineRule="auto"/>
              <w:jc w:val="center"/>
              <w:rPr>
                <w:rFonts w:hint="eastAsia" w:ascii="幼圆" w:hAnsi="宋体" w:eastAsia="幼圆"/>
                <w:sz w:val="24"/>
              </w:rPr>
            </w:pPr>
            <w:r>
              <w:rPr>
                <w:rFonts w:hint="eastAsia" w:ascii="幼圆" w:hAnsi="宋体" w:eastAsia="幼圆"/>
                <w:sz w:val="24"/>
              </w:rPr>
              <w:t>三点</w:t>
            </w:r>
          </w:p>
        </w:tc>
        <w:tc>
          <w:tcPr>
            <w:tcW w:w="636" w:type="pct"/>
            <w:shd w:val="clear" w:color="auto" w:fill="FFFFFF"/>
            <w:noWrap w:val="0"/>
            <w:vAlign w:val="center"/>
          </w:tcPr>
          <w:p w14:paraId="7E00A848">
            <w:pPr>
              <w:spacing w:before="24" w:beforeLines="10" w:after="24" w:afterLines="10" w:line="324" w:lineRule="auto"/>
              <w:jc w:val="center"/>
              <w:rPr>
                <w:rFonts w:hint="eastAsia" w:ascii="幼圆" w:hAnsi="宋体" w:eastAsia="幼圆"/>
                <w:sz w:val="24"/>
              </w:rPr>
            </w:pPr>
            <w:r>
              <w:rPr>
                <w:rFonts w:hint="eastAsia" w:ascii="幼圆" w:hAnsi="宋体" w:eastAsia="幼圆"/>
                <w:sz w:val="24"/>
              </w:rPr>
              <w:t>汕尾新港大宗物资专业（交易）市场节点</w:t>
            </w:r>
          </w:p>
        </w:tc>
        <w:tc>
          <w:tcPr>
            <w:tcW w:w="1272" w:type="pct"/>
            <w:shd w:val="clear" w:color="auto" w:fill="FFFFFF"/>
            <w:noWrap w:val="0"/>
            <w:vAlign w:val="center"/>
          </w:tcPr>
          <w:p w14:paraId="40F1DA7F">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打造服务于汕尾市及其周边地区的大宗物资交易平台。</w:t>
            </w:r>
          </w:p>
        </w:tc>
        <w:tc>
          <w:tcPr>
            <w:tcW w:w="2888" w:type="pct"/>
            <w:shd w:val="clear" w:color="auto" w:fill="FFFFFF"/>
            <w:noWrap w:val="0"/>
            <w:vAlign w:val="center"/>
          </w:tcPr>
          <w:p w14:paraId="125162B4">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结合汕尾新港物流基地布局；</w:t>
            </w:r>
          </w:p>
          <w:p w14:paraId="786C8F28">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结合汕尾新港物流区及汕尾市综合保税区的布局，建设大宗物资专业（交易）市场、保税交易市场。</w:t>
            </w:r>
          </w:p>
        </w:tc>
      </w:tr>
      <w:tr w14:paraId="1F725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204" w:type="pct"/>
            <w:vMerge w:val="continue"/>
            <w:shd w:val="clear" w:color="auto" w:fill="FFFFFF"/>
            <w:noWrap w:val="0"/>
            <w:vAlign w:val="center"/>
          </w:tcPr>
          <w:p w14:paraId="11FF0C65">
            <w:pPr>
              <w:spacing w:before="24" w:beforeLines="10" w:after="24" w:afterLines="10" w:line="324" w:lineRule="auto"/>
              <w:jc w:val="center"/>
              <w:rPr>
                <w:rFonts w:hint="eastAsia" w:ascii="幼圆" w:hAnsi="宋体" w:eastAsia="幼圆"/>
                <w:sz w:val="24"/>
              </w:rPr>
            </w:pPr>
          </w:p>
        </w:tc>
        <w:tc>
          <w:tcPr>
            <w:tcW w:w="636" w:type="pct"/>
            <w:shd w:val="clear" w:color="auto" w:fill="FFFFFF"/>
            <w:noWrap w:val="0"/>
            <w:vAlign w:val="center"/>
          </w:tcPr>
          <w:p w14:paraId="434AD2B5">
            <w:pPr>
              <w:spacing w:before="24" w:beforeLines="10" w:after="24" w:afterLines="10" w:line="324" w:lineRule="auto"/>
              <w:jc w:val="center"/>
              <w:rPr>
                <w:rFonts w:hint="eastAsia" w:ascii="幼圆" w:hAnsi="宋体" w:eastAsia="幼圆"/>
                <w:sz w:val="24"/>
              </w:rPr>
            </w:pPr>
            <w:r>
              <w:rPr>
                <w:rFonts w:hint="eastAsia" w:ascii="幼圆" w:hAnsi="宋体" w:eastAsia="幼圆"/>
                <w:sz w:val="24"/>
              </w:rPr>
              <w:t>马宫专业（交易）市场节点</w:t>
            </w:r>
          </w:p>
        </w:tc>
        <w:tc>
          <w:tcPr>
            <w:tcW w:w="1272" w:type="pct"/>
            <w:shd w:val="clear" w:color="auto" w:fill="FFFFFF"/>
            <w:noWrap w:val="0"/>
            <w:vAlign w:val="center"/>
          </w:tcPr>
          <w:p w14:paraId="0241644C">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打造服务于全国各地的大型水产品交易平台。</w:t>
            </w:r>
          </w:p>
        </w:tc>
        <w:tc>
          <w:tcPr>
            <w:tcW w:w="2888" w:type="pct"/>
            <w:shd w:val="clear" w:color="auto" w:fill="FFFFFF"/>
            <w:noWrap w:val="0"/>
            <w:vAlign w:val="center"/>
          </w:tcPr>
          <w:p w14:paraId="2842FC9C">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布局于马宫街道汕尾渔港南侧；</w:t>
            </w:r>
          </w:p>
          <w:p w14:paraId="7E246462">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依托马宫街道新建的汕尾渔港，建设汕尾市水产品专业（交易）市场，构建功能完善、设施齐全的大型水产品综合专业（交易）市场；</w:t>
            </w:r>
          </w:p>
          <w:p w14:paraId="77FA640F">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近期逐渐将中心城区通港路的现状水产品专业（交易）市场的功能迁转至该专业（交易）市场。</w:t>
            </w:r>
          </w:p>
        </w:tc>
      </w:tr>
      <w:tr w14:paraId="2CA2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204" w:type="pct"/>
            <w:vMerge w:val="continue"/>
            <w:shd w:val="clear" w:color="auto" w:fill="FFFFFF"/>
            <w:noWrap w:val="0"/>
            <w:vAlign w:val="center"/>
          </w:tcPr>
          <w:p w14:paraId="5E237043">
            <w:pPr>
              <w:spacing w:before="24" w:beforeLines="10" w:after="24" w:afterLines="10" w:line="324" w:lineRule="auto"/>
              <w:jc w:val="center"/>
              <w:rPr>
                <w:rFonts w:hint="eastAsia" w:ascii="幼圆" w:hAnsi="宋体" w:eastAsia="幼圆"/>
                <w:sz w:val="24"/>
              </w:rPr>
            </w:pPr>
          </w:p>
        </w:tc>
        <w:tc>
          <w:tcPr>
            <w:tcW w:w="636" w:type="pct"/>
            <w:shd w:val="clear" w:color="auto" w:fill="FFFFFF"/>
            <w:noWrap w:val="0"/>
            <w:vAlign w:val="center"/>
          </w:tcPr>
          <w:p w14:paraId="55B6EF41">
            <w:pPr>
              <w:spacing w:before="24" w:beforeLines="10" w:after="24" w:afterLines="10" w:line="324" w:lineRule="auto"/>
              <w:jc w:val="center"/>
              <w:rPr>
                <w:rFonts w:hint="eastAsia" w:ascii="幼圆" w:hAnsi="宋体" w:eastAsia="幼圆"/>
                <w:sz w:val="24"/>
              </w:rPr>
            </w:pPr>
            <w:r>
              <w:rPr>
                <w:rFonts w:hint="eastAsia" w:ascii="幼圆" w:hAnsi="宋体" w:eastAsia="幼圆"/>
                <w:sz w:val="24"/>
              </w:rPr>
              <w:t>红草产业园专业（交易）市场节点</w:t>
            </w:r>
          </w:p>
        </w:tc>
        <w:tc>
          <w:tcPr>
            <w:tcW w:w="1272" w:type="pct"/>
            <w:shd w:val="clear" w:color="auto" w:fill="FFFFFF"/>
            <w:noWrap w:val="0"/>
            <w:vAlign w:val="center"/>
          </w:tcPr>
          <w:p w14:paraId="03BB9E43">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打造服务于汕尾市及其周边地区的大型汽车汽配商贸交易平台。</w:t>
            </w:r>
          </w:p>
        </w:tc>
        <w:tc>
          <w:tcPr>
            <w:tcW w:w="2888" w:type="pct"/>
            <w:shd w:val="clear" w:color="auto" w:fill="FFFFFF"/>
            <w:noWrap w:val="0"/>
            <w:vAlign w:val="center"/>
          </w:tcPr>
          <w:p w14:paraId="2D83DFFD">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布局于红草产业园区；</w:t>
            </w:r>
          </w:p>
          <w:p w14:paraId="55763F41">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以建设大型区域性汽车商贸城为目标，有序扩大现有的汽车商贸网点的发展规模，完善相应的配套服务设施；</w:t>
            </w:r>
          </w:p>
          <w:p w14:paraId="7BF3DAB9">
            <w:pPr>
              <w:numPr>
                <w:ilvl w:val="0"/>
                <w:numId w:val="39"/>
              </w:numPr>
              <w:spacing w:before="24" w:beforeLines="10" w:after="24" w:afterLines="10" w:line="324" w:lineRule="auto"/>
              <w:jc w:val="left"/>
              <w:rPr>
                <w:rFonts w:hint="eastAsia" w:ascii="幼圆" w:hAnsi="宋体" w:eastAsia="幼圆"/>
                <w:sz w:val="24"/>
              </w:rPr>
            </w:pPr>
            <w:r>
              <w:rPr>
                <w:rFonts w:hint="eastAsia" w:ascii="幼圆" w:hAnsi="宋体" w:eastAsia="幼圆"/>
                <w:sz w:val="24"/>
              </w:rPr>
              <w:t>增加二手车专业（交易）市场、汽车维修、汽车文化等服务项目，丰富汽车交易和服务的门类。</w:t>
            </w:r>
          </w:p>
        </w:tc>
      </w:tr>
    </w:tbl>
    <w:p w14:paraId="44E02BDB">
      <w:pPr>
        <w:spacing w:after="120" w:afterLines="50" w:line="360" w:lineRule="auto"/>
        <w:rPr>
          <w:rFonts w:hint="eastAsia" w:ascii="幼圆" w:eastAsia="幼圆"/>
          <w:color w:val="000000"/>
          <w:sz w:val="24"/>
        </w:rPr>
      </w:pPr>
    </w:p>
    <w:p w14:paraId="049C0D0F">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617345C9">
      <w:pPr>
        <w:pStyle w:val="3"/>
        <w:spacing w:before="120" w:beforeLines="50" w:after="120" w:afterLines="50" w:line="360" w:lineRule="auto"/>
        <w:rPr>
          <w:rFonts w:hint="eastAsia" w:ascii="华文中宋" w:hAnsi="华文中宋" w:eastAsia="华文中宋"/>
          <w:color w:val="000000"/>
          <w:sz w:val="36"/>
          <w:szCs w:val="36"/>
        </w:rPr>
      </w:pPr>
      <w:bookmarkStart w:id="110" w:name="_Toc5043"/>
      <w:r>
        <w:rPr>
          <w:rFonts w:hint="eastAsia" w:ascii="华文中宋" w:hAnsi="华文中宋" w:eastAsia="华文中宋"/>
          <w:color w:val="000000"/>
          <w:sz w:val="36"/>
          <w:szCs w:val="36"/>
        </w:rPr>
        <w:t>附表1</w:t>
      </w:r>
      <w:r>
        <w:rPr>
          <w:rFonts w:hint="eastAsia" w:ascii="华文中宋" w:hAnsi="华文中宋" w:eastAsia="华文中宋"/>
          <w:color w:val="000000"/>
          <w:sz w:val="36"/>
          <w:szCs w:val="36"/>
          <w:lang w:val="en-US" w:eastAsia="zh-CN"/>
        </w:rPr>
        <w:t>1</w:t>
      </w:r>
      <w:r>
        <w:rPr>
          <w:rFonts w:hint="eastAsia" w:ascii="华文中宋" w:hAnsi="华文中宋" w:eastAsia="华文中宋"/>
          <w:color w:val="000000"/>
          <w:sz w:val="36"/>
          <w:szCs w:val="36"/>
        </w:rPr>
        <w:t>：中心城区专业（交易）市场布局规划指引</w:t>
      </w:r>
      <w:bookmarkEnd w:id="110"/>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74"/>
        <w:gridCol w:w="2836"/>
        <w:gridCol w:w="1701"/>
        <w:gridCol w:w="2311"/>
        <w:gridCol w:w="2508"/>
        <w:gridCol w:w="1488"/>
        <w:gridCol w:w="1348"/>
        <w:gridCol w:w="7194"/>
      </w:tblGrid>
      <w:tr w14:paraId="336F9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5" w:hRule="atLeast"/>
          <w:tblHeader/>
          <w:jc w:val="center"/>
        </w:trPr>
        <w:tc>
          <w:tcPr>
            <w:tcW w:w="168" w:type="pct"/>
            <w:shd w:val="clear" w:color="auto" w:fill="FFFFFF"/>
            <w:noWrap w:val="0"/>
            <w:vAlign w:val="center"/>
          </w:tcPr>
          <w:p w14:paraId="337670FA">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序号</w:t>
            </w:r>
          </w:p>
        </w:tc>
        <w:tc>
          <w:tcPr>
            <w:tcW w:w="707" w:type="pct"/>
            <w:shd w:val="clear" w:color="auto" w:fill="FFFFFF"/>
            <w:noWrap w:val="0"/>
            <w:vAlign w:val="center"/>
          </w:tcPr>
          <w:p w14:paraId="3BB6BF11">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市场名称</w:t>
            </w:r>
          </w:p>
        </w:tc>
        <w:tc>
          <w:tcPr>
            <w:tcW w:w="424" w:type="pct"/>
            <w:shd w:val="clear" w:color="auto" w:fill="FFFFFF"/>
            <w:noWrap w:val="0"/>
            <w:vAlign w:val="center"/>
          </w:tcPr>
          <w:p w14:paraId="71ED30AF">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市场类型</w:t>
            </w:r>
          </w:p>
        </w:tc>
        <w:tc>
          <w:tcPr>
            <w:tcW w:w="576" w:type="pct"/>
            <w:shd w:val="clear" w:color="auto" w:fill="FFFFFF"/>
            <w:noWrap w:val="0"/>
            <w:vAlign w:val="center"/>
          </w:tcPr>
          <w:p w14:paraId="5CC611D8">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经营类别</w:t>
            </w:r>
          </w:p>
        </w:tc>
        <w:tc>
          <w:tcPr>
            <w:tcW w:w="625" w:type="pct"/>
            <w:shd w:val="clear" w:color="auto" w:fill="FFFFFF"/>
            <w:noWrap w:val="0"/>
            <w:vAlign w:val="center"/>
          </w:tcPr>
          <w:p w14:paraId="7B050491">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布局位置</w:t>
            </w:r>
          </w:p>
        </w:tc>
        <w:tc>
          <w:tcPr>
            <w:tcW w:w="371" w:type="pct"/>
            <w:shd w:val="clear" w:color="auto" w:fill="FFFFFF"/>
            <w:noWrap w:val="0"/>
            <w:vAlign w:val="center"/>
          </w:tcPr>
          <w:p w14:paraId="2BEBD8F6">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服务范围</w:t>
            </w:r>
          </w:p>
        </w:tc>
        <w:tc>
          <w:tcPr>
            <w:tcW w:w="336" w:type="pct"/>
            <w:shd w:val="clear" w:color="auto" w:fill="FFFFFF"/>
            <w:noWrap w:val="0"/>
            <w:vAlign w:val="center"/>
          </w:tcPr>
          <w:p w14:paraId="145EF768">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用地规模（ha）</w:t>
            </w:r>
          </w:p>
        </w:tc>
        <w:tc>
          <w:tcPr>
            <w:tcW w:w="1793" w:type="pct"/>
            <w:shd w:val="clear" w:color="auto" w:fill="FFFFFF"/>
            <w:noWrap w:val="0"/>
            <w:vAlign w:val="center"/>
          </w:tcPr>
          <w:p w14:paraId="08D3842B">
            <w:pPr>
              <w:widowControl/>
              <w:adjustRightInd w:val="0"/>
              <w:snapToGrid w:val="0"/>
              <w:spacing w:line="264" w:lineRule="auto"/>
              <w:jc w:val="center"/>
              <w:rPr>
                <w:rFonts w:hint="eastAsia" w:ascii="幼圆" w:hAnsi="宋体" w:eastAsia="幼圆" w:cs="宋体"/>
                <w:b/>
                <w:kern w:val="0"/>
                <w:sz w:val="24"/>
              </w:rPr>
            </w:pPr>
            <w:r>
              <w:rPr>
                <w:rFonts w:hint="eastAsia" w:ascii="幼圆" w:hAnsi="宋体" w:eastAsia="幼圆" w:cs="宋体"/>
                <w:b/>
                <w:kern w:val="0"/>
                <w:sz w:val="24"/>
              </w:rPr>
              <w:t>规划指引</w:t>
            </w:r>
          </w:p>
        </w:tc>
      </w:tr>
      <w:tr w14:paraId="472AE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8" w:type="pct"/>
            <w:shd w:val="clear" w:color="auto" w:fill="FFFFFF"/>
            <w:noWrap w:val="0"/>
            <w:vAlign w:val="center"/>
          </w:tcPr>
          <w:p w14:paraId="7EF74D7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w:t>
            </w:r>
          </w:p>
        </w:tc>
        <w:tc>
          <w:tcPr>
            <w:tcW w:w="707" w:type="pct"/>
            <w:shd w:val="clear" w:color="auto" w:fill="FFFFFF"/>
            <w:noWrap w:val="0"/>
            <w:vAlign w:val="center"/>
          </w:tcPr>
          <w:p w14:paraId="4F092B0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汕尾市区水产品批发市场</w:t>
            </w:r>
          </w:p>
        </w:tc>
        <w:tc>
          <w:tcPr>
            <w:tcW w:w="424" w:type="pct"/>
            <w:shd w:val="clear" w:color="auto" w:fill="FFFFFF"/>
            <w:noWrap w:val="0"/>
            <w:vAlign w:val="center"/>
          </w:tcPr>
          <w:p w14:paraId="1635C00E">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农副产品市场</w:t>
            </w:r>
          </w:p>
        </w:tc>
        <w:tc>
          <w:tcPr>
            <w:tcW w:w="576" w:type="pct"/>
            <w:shd w:val="clear" w:color="auto" w:fill="FFFFFF"/>
            <w:noWrap w:val="0"/>
            <w:vAlign w:val="center"/>
          </w:tcPr>
          <w:p w14:paraId="0BAA324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水产品</w:t>
            </w:r>
          </w:p>
        </w:tc>
        <w:tc>
          <w:tcPr>
            <w:tcW w:w="625" w:type="pct"/>
            <w:shd w:val="clear" w:color="auto" w:fill="FFFFFF"/>
            <w:noWrap w:val="0"/>
            <w:vAlign w:val="center"/>
          </w:tcPr>
          <w:p w14:paraId="4E4C165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汕尾城区通港路</w:t>
            </w:r>
          </w:p>
        </w:tc>
        <w:tc>
          <w:tcPr>
            <w:tcW w:w="371" w:type="pct"/>
            <w:shd w:val="clear" w:color="auto" w:fill="FFFFFF"/>
            <w:noWrap w:val="0"/>
            <w:vAlign w:val="center"/>
          </w:tcPr>
          <w:p w14:paraId="29EB1731">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国内外</w:t>
            </w:r>
          </w:p>
        </w:tc>
        <w:tc>
          <w:tcPr>
            <w:tcW w:w="336" w:type="pct"/>
            <w:shd w:val="clear" w:color="auto" w:fill="FFFFFF"/>
            <w:noWrap w:val="0"/>
            <w:vAlign w:val="center"/>
          </w:tcPr>
          <w:p w14:paraId="6730858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1.7</w:t>
            </w:r>
          </w:p>
        </w:tc>
        <w:tc>
          <w:tcPr>
            <w:tcW w:w="1793" w:type="pct"/>
            <w:shd w:val="clear" w:color="auto" w:fill="FFFFFF"/>
            <w:noWrap w:val="0"/>
            <w:vAlign w:val="center"/>
          </w:tcPr>
          <w:p w14:paraId="3626B09D">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近期迁转；</w:t>
            </w:r>
          </w:p>
          <w:p w14:paraId="37F95D9D">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规划将其功能迁转至马宫街道新建的汕尾市（马宫）水产品批发交易市场。</w:t>
            </w:r>
          </w:p>
        </w:tc>
      </w:tr>
      <w:tr w14:paraId="6D12C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35C3B191">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2</w:t>
            </w:r>
          </w:p>
        </w:tc>
        <w:tc>
          <w:tcPr>
            <w:tcW w:w="707" w:type="pct"/>
            <w:shd w:val="clear" w:color="auto" w:fill="FFFFFF"/>
            <w:noWrap w:val="0"/>
            <w:vAlign w:val="center"/>
          </w:tcPr>
          <w:p w14:paraId="2B3DC6B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东辉批发市场</w:t>
            </w:r>
          </w:p>
        </w:tc>
        <w:tc>
          <w:tcPr>
            <w:tcW w:w="424" w:type="pct"/>
            <w:shd w:val="clear" w:color="auto" w:fill="FFFFFF"/>
            <w:noWrap w:val="0"/>
            <w:vAlign w:val="center"/>
          </w:tcPr>
          <w:p w14:paraId="4EE298EB">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农副产品市场</w:t>
            </w:r>
          </w:p>
        </w:tc>
        <w:tc>
          <w:tcPr>
            <w:tcW w:w="576" w:type="pct"/>
            <w:shd w:val="clear" w:color="auto" w:fill="FFFFFF"/>
            <w:noWrap w:val="0"/>
            <w:vAlign w:val="center"/>
          </w:tcPr>
          <w:p w14:paraId="25456495">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日用百货、水果、农副产品等</w:t>
            </w:r>
          </w:p>
        </w:tc>
        <w:tc>
          <w:tcPr>
            <w:tcW w:w="625" w:type="pct"/>
            <w:shd w:val="clear" w:color="auto" w:fill="FFFFFF"/>
            <w:noWrap w:val="0"/>
            <w:vAlign w:val="center"/>
          </w:tcPr>
          <w:p w14:paraId="0420AD8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汕尾城区四马路</w:t>
            </w:r>
          </w:p>
        </w:tc>
        <w:tc>
          <w:tcPr>
            <w:tcW w:w="371" w:type="pct"/>
            <w:shd w:val="clear" w:color="auto" w:fill="FFFFFF"/>
            <w:noWrap w:val="0"/>
            <w:vAlign w:val="center"/>
          </w:tcPr>
          <w:p w14:paraId="7EC1FA7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w:t>
            </w:r>
          </w:p>
        </w:tc>
        <w:tc>
          <w:tcPr>
            <w:tcW w:w="336" w:type="pct"/>
            <w:shd w:val="clear" w:color="auto" w:fill="FFFFFF"/>
            <w:noWrap w:val="0"/>
            <w:vAlign w:val="center"/>
          </w:tcPr>
          <w:p w14:paraId="43DABCD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1.0</w:t>
            </w:r>
          </w:p>
        </w:tc>
        <w:tc>
          <w:tcPr>
            <w:tcW w:w="1793" w:type="pct"/>
            <w:shd w:val="clear" w:color="auto" w:fill="FFFFFF"/>
            <w:noWrap w:val="0"/>
            <w:vAlign w:val="center"/>
          </w:tcPr>
          <w:p w14:paraId="6083F102">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近期保留，远期迁转；</w:t>
            </w:r>
          </w:p>
          <w:p w14:paraId="60B1B8F7">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近期重点整治提升市场的面貌，远期将其功能迁转至汕尾火车站南侧新建的日用百货批发交易市场。</w:t>
            </w:r>
          </w:p>
        </w:tc>
      </w:tr>
      <w:tr w14:paraId="0C504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70E6571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3</w:t>
            </w:r>
          </w:p>
        </w:tc>
        <w:tc>
          <w:tcPr>
            <w:tcW w:w="707" w:type="pct"/>
            <w:shd w:val="clear" w:color="auto" w:fill="FFFFFF"/>
            <w:noWrap w:val="0"/>
            <w:vAlign w:val="center"/>
          </w:tcPr>
          <w:p w14:paraId="7468462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城区蔬菜三鸟批发市场</w:t>
            </w:r>
          </w:p>
        </w:tc>
        <w:tc>
          <w:tcPr>
            <w:tcW w:w="424" w:type="pct"/>
            <w:shd w:val="clear" w:color="auto" w:fill="FFFFFF"/>
            <w:noWrap w:val="0"/>
            <w:vAlign w:val="center"/>
          </w:tcPr>
          <w:p w14:paraId="554B1E0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农副产品市场</w:t>
            </w:r>
          </w:p>
        </w:tc>
        <w:tc>
          <w:tcPr>
            <w:tcW w:w="576" w:type="pct"/>
            <w:shd w:val="clear" w:color="auto" w:fill="FFFFFF"/>
            <w:noWrap w:val="0"/>
            <w:vAlign w:val="center"/>
          </w:tcPr>
          <w:p w14:paraId="7A8DD93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蔬菜、水果</w:t>
            </w:r>
          </w:p>
        </w:tc>
        <w:tc>
          <w:tcPr>
            <w:tcW w:w="625" w:type="pct"/>
            <w:shd w:val="clear" w:color="auto" w:fill="FFFFFF"/>
            <w:noWrap w:val="0"/>
            <w:vAlign w:val="center"/>
          </w:tcPr>
          <w:p w14:paraId="5AAC51D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汕尾城区康平路</w:t>
            </w:r>
          </w:p>
        </w:tc>
        <w:tc>
          <w:tcPr>
            <w:tcW w:w="371" w:type="pct"/>
            <w:shd w:val="clear" w:color="auto" w:fill="FFFFFF"/>
            <w:noWrap w:val="0"/>
            <w:vAlign w:val="center"/>
          </w:tcPr>
          <w:p w14:paraId="58E8D289">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w:t>
            </w:r>
          </w:p>
        </w:tc>
        <w:tc>
          <w:tcPr>
            <w:tcW w:w="336" w:type="pct"/>
            <w:shd w:val="clear" w:color="auto" w:fill="FFFFFF"/>
            <w:noWrap w:val="0"/>
            <w:vAlign w:val="center"/>
          </w:tcPr>
          <w:p w14:paraId="7A42B8A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0.9</w:t>
            </w:r>
          </w:p>
        </w:tc>
        <w:tc>
          <w:tcPr>
            <w:tcW w:w="1793" w:type="pct"/>
            <w:shd w:val="clear" w:color="auto" w:fill="FFFFFF"/>
            <w:noWrap w:val="0"/>
            <w:vAlign w:val="center"/>
          </w:tcPr>
          <w:p w14:paraId="1E796755">
            <w:pPr>
              <w:widowControl/>
              <w:numPr>
                <w:ilvl w:val="0"/>
                <w:numId w:val="41"/>
              </w:numPr>
              <w:adjustRightInd w:val="0"/>
              <w:snapToGrid w:val="0"/>
              <w:spacing w:line="264" w:lineRule="auto"/>
              <w:rPr>
                <w:rFonts w:hint="eastAsia" w:ascii="幼圆" w:hAnsi="宋体" w:eastAsia="幼圆" w:cs="宋体"/>
                <w:kern w:val="0"/>
                <w:sz w:val="24"/>
              </w:rPr>
            </w:pPr>
            <w:r>
              <w:rPr>
                <w:rFonts w:hint="eastAsia" w:ascii="幼圆" w:hAnsi="宋体" w:eastAsia="幼圆" w:cs="宋体"/>
                <w:kern w:val="0"/>
                <w:sz w:val="24"/>
              </w:rPr>
              <w:t>近期迁转；</w:t>
            </w:r>
          </w:p>
          <w:p w14:paraId="2FED08C8">
            <w:pPr>
              <w:widowControl/>
              <w:numPr>
                <w:ilvl w:val="0"/>
                <w:numId w:val="41"/>
              </w:numPr>
              <w:adjustRightInd w:val="0"/>
              <w:snapToGrid w:val="0"/>
              <w:spacing w:line="264" w:lineRule="auto"/>
              <w:rPr>
                <w:rFonts w:hint="eastAsia" w:ascii="幼圆" w:hAnsi="宋体" w:eastAsia="幼圆" w:cs="宋体"/>
                <w:kern w:val="0"/>
                <w:sz w:val="24"/>
              </w:rPr>
            </w:pPr>
            <w:r>
              <w:rPr>
                <w:rFonts w:hint="eastAsia" w:ascii="幼圆" w:hAnsi="Wingdings" w:eastAsia="幼圆" w:cs="宋体"/>
                <w:kern w:val="0"/>
                <w:sz w:val="24"/>
              </w:rPr>
              <w:t>规划将其功能迁转至汕尾火车站南侧新建的农副产品批发交易市场。</w:t>
            </w:r>
          </w:p>
        </w:tc>
      </w:tr>
      <w:tr w14:paraId="45255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38BA0AB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4</w:t>
            </w:r>
          </w:p>
        </w:tc>
        <w:tc>
          <w:tcPr>
            <w:tcW w:w="707" w:type="pct"/>
            <w:shd w:val="clear" w:color="auto" w:fill="FFFFFF"/>
            <w:noWrap w:val="0"/>
            <w:vAlign w:val="center"/>
          </w:tcPr>
          <w:p w14:paraId="7C381FB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汕尾市协兴广场</w:t>
            </w:r>
          </w:p>
        </w:tc>
        <w:tc>
          <w:tcPr>
            <w:tcW w:w="424" w:type="pct"/>
            <w:shd w:val="clear" w:color="auto" w:fill="FFFFFF"/>
            <w:noWrap w:val="0"/>
            <w:vAlign w:val="center"/>
          </w:tcPr>
          <w:p w14:paraId="25A784B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综合市场</w:t>
            </w:r>
          </w:p>
        </w:tc>
        <w:tc>
          <w:tcPr>
            <w:tcW w:w="576" w:type="pct"/>
            <w:shd w:val="clear" w:color="auto" w:fill="FFFFFF"/>
            <w:noWrap w:val="0"/>
            <w:vAlign w:val="center"/>
          </w:tcPr>
          <w:p w14:paraId="7E4B1E5D">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服装、饰品等</w:t>
            </w:r>
          </w:p>
        </w:tc>
        <w:tc>
          <w:tcPr>
            <w:tcW w:w="625" w:type="pct"/>
            <w:shd w:val="clear" w:color="auto" w:fill="FFFFFF"/>
            <w:noWrap w:val="0"/>
            <w:vAlign w:val="center"/>
          </w:tcPr>
          <w:p w14:paraId="3B79205E">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汕尾城区四马路</w:t>
            </w:r>
          </w:p>
        </w:tc>
        <w:tc>
          <w:tcPr>
            <w:tcW w:w="371" w:type="pct"/>
            <w:shd w:val="clear" w:color="auto" w:fill="FFFFFF"/>
            <w:noWrap w:val="0"/>
            <w:vAlign w:val="center"/>
          </w:tcPr>
          <w:p w14:paraId="3023CF05">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w:t>
            </w:r>
          </w:p>
        </w:tc>
        <w:tc>
          <w:tcPr>
            <w:tcW w:w="336" w:type="pct"/>
            <w:shd w:val="clear" w:color="auto" w:fill="FFFFFF"/>
            <w:noWrap w:val="0"/>
            <w:vAlign w:val="center"/>
          </w:tcPr>
          <w:p w14:paraId="3F65A36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0.7</w:t>
            </w:r>
          </w:p>
        </w:tc>
        <w:tc>
          <w:tcPr>
            <w:tcW w:w="1793" w:type="pct"/>
            <w:shd w:val="clear" w:color="auto" w:fill="FFFFFF"/>
            <w:noWrap w:val="0"/>
            <w:vAlign w:val="center"/>
          </w:tcPr>
          <w:p w14:paraId="535851EE">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近期保留，远期迁转；</w:t>
            </w:r>
          </w:p>
          <w:p w14:paraId="25FB2B88">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规划将其功能迁转至汕尾火车站南侧新建的日用百货批发交易市场。</w:t>
            </w:r>
          </w:p>
        </w:tc>
      </w:tr>
      <w:tr w14:paraId="7309F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1E0F3EA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5</w:t>
            </w:r>
          </w:p>
        </w:tc>
        <w:tc>
          <w:tcPr>
            <w:tcW w:w="707" w:type="pct"/>
            <w:shd w:val="clear" w:color="auto" w:fill="FFFFFF"/>
            <w:noWrap w:val="0"/>
            <w:vAlign w:val="center"/>
          </w:tcPr>
          <w:p w14:paraId="6EEF67B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景福居装饰材料城</w:t>
            </w:r>
          </w:p>
        </w:tc>
        <w:tc>
          <w:tcPr>
            <w:tcW w:w="424" w:type="pct"/>
            <w:shd w:val="clear" w:color="auto" w:fill="FFFFFF"/>
            <w:noWrap w:val="0"/>
            <w:vAlign w:val="center"/>
          </w:tcPr>
          <w:p w14:paraId="13BD14A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家居建材市场</w:t>
            </w:r>
          </w:p>
        </w:tc>
        <w:tc>
          <w:tcPr>
            <w:tcW w:w="576" w:type="pct"/>
            <w:shd w:val="clear" w:color="auto" w:fill="FFFFFF"/>
            <w:noWrap w:val="0"/>
            <w:vAlign w:val="center"/>
          </w:tcPr>
          <w:p w14:paraId="02F2AA9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w:t>
            </w:r>
          </w:p>
        </w:tc>
        <w:tc>
          <w:tcPr>
            <w:tcW w:w="625" w:type="pct"/>
            <w:shd w:val="clear" w:color="auto" w:fill="FFFFFF"/>
            <w:noWrap w:val="0"/>
            <w:vAlign w:val="center"/>
          </w:tcPr>
          <w:p w14:paraId="5D9E3B90">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汕尾城区湖滨大道泰濠世纪豪庭</w:t>
            </w:r>
          </w:p>
        </w:tc>
        <w:tc>
          <w:tcPr>
            <w:tcW w:w="371" w:type="pct"/>
            <w:shd w:val="clear" w:color="auto" w:fill="FFFFFF"/>
            <w:noWrap w:val="0"/>
            <w:vAlign w:val="center"/>
          </w:tcPr>
          <w:p w14:paraId="73840CC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w:t>
            </w:r>
          </w:p>
        </w:tc>
        <w:tc>
          <w:tcPr>
            <w:tcW w:w="336" w:type="pct"/>
            <w:shd w:val="clear" w:color="auto" w:fill="FFFFFF"/>
            <w:noWrap w:val="0"/>
            <w:vAlign w:val="center"/>
          </w:tcPr>
          <w:p w14:paraId="6CC642F2">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1.0</w:t>
            </w:r>
          </w:p>
        </w:tc>
        <w:tc>
          <w:tcPr>
            <w:tcW w:w="1793" w:type="pct"/>
            <w:shd w:val="clear" w:color="auto" w:fill="FFFFFF"/>
            <w:noWrap w:val="0"/>
            <w:vAlign w:val="center"/>
          </w:tcPr>
          <w:p w14:paraId="62A562EB">
            <w:pPr>
              <w:widowControl/>
              <w:numPr>
                <w:ilvl w:val="0"/>
                <w:numId w:val="41"/>
              </w:numPr>
              <w:adjustRightInd w:val="0"/>
              <w:snapToGrid w:val="0"/>
              <w:spacing w:line="264" w:lineRule="auto"/>
              <w:rPr>
                <w:rFonts w:hint="eastAsia" w:ascii="幼圆" w:hAnsi="宋体" w:eastAsia="幼圆" w:cs="宋体"/>
                <w:kern w:val="0"/>
                <w:sz w:val="24"/>
              </w:rPr>
            </w:pPr>
            <w:r>
              <w:rPr>
                <w:rFonts w:hint="eastAsia" w:ascii="幼圆" w:hAnsi="Wingdings" w:eastAsia="幼圆" w:cs="宋体"/>
                <w:kern w:val="0"/>
                <w:sz w:val="24"/>
              </w:rPr>
              <w:t>近期保留，远期迁转；</w:t>
            </w:r>
          </w:p>
          <w:p w14:paraId="645323D6">
            <w:pPr>
              <w:widowControl/>
              <w:numPr>
                <w:ilvl w:val="0"/>
                <w:numId w:val="41"/>
              </w:numPr>
              <w:adjustRightInd w:val="0"/>
              <w:snapToGrid w:val="0"/>
              <w:spacing w:line="264" w:lineRule="auto"/>
              <w:rPr>
                <w:rFonts w:hint="eastAsia" w:ascii="幼圆" w:hAnsi="宋体" w:eastAsia="幼圆" w:cs="宋体"/>
                <w:kern w:val="0"/>
                <w:sz w:val="24"/>
              </w:rPr>
            </w:pPr>
            <w:r>
              <w:rPr>
                <w:rFonts w:hint="eastAsia" w:ascii="幼圆" w:hAnsi="Wingdings" w:eastAsia="幼圆" w:cs="宋体"/>
                <w:kern w:val="0"/>
                <w:sz w:val="24"/>
              </w:rPr>
              <w:t>规划远期将其功能迁转至汕尾火车站南侧新建的品牌家居交易市场。</w:t>
            </w:r>
          </w:p>
        </w:tc>
      </w:tr>
      <w:tr w14:paraId="5EF22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29A6026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6</w:t>
            </w:r>
          </w:p>
        </w:tc>
        <w:tc>
          <w:tcPr>
            <w:tcW w:w="707" w:type="pct"/>
            <w:shd w:val="clear" w:color="auto" w:fill="FFFFFF"/>
            <w:noWrap w:val="0"/>
            <w:vAlign w:val="center"/>
          </w:tcPr>
          <w:p w14:paraId="7A92AEC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汕尾广物汽车城</w:t>
            </w:r>
          </w:p>
        </w:tc>
        <w:tc>
          <w:tcPr>
            <w:tcW w:w="424" w:type="pct"/>
            <w:shd w:val="clear" w:color="auto" w:fill="FFFFFF"/>
            <w:noWrap w:val="0"/>
            <w:vAlign w:val="center"/>
          </w:tcPr>
          <w:p w14:paraId="20112CE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汽车摩配市场</w:t>
            </w:r>
          </w:p>
        </w:tc>
        <w:tc>
          <w:tcPr>
            <w:tcW w:w="576" w:type="pct"/>
            <w:shd w:val="clear" w:color="auto" w:fill="FFFFFF"/>
            <w:noWrap w:val="0"/>
            <w:vAlign w:val="center"/>
          </w:tcPr>
          <w:p w14:paraId="05D60870">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汽车、汽配、汽车维修等</w:t>
            </w:r>
          </w:p>
        </w:tc>
        <w:tc>
          <w:tcPr>
            <w:tcW w:w="625" w:type="pct"/>
            <w:shd w:val="clear" w:color="auto" w:fill="FFFFFF"/>
            <w:noWrap w:val="0"/>
            <w:vAlign w:val="center"/>
          </w:tcPr>
          <w:p w14:paraId="3C9AA0D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汕尾红草产业园区</w:t>
            </w:r>
          </w:p>
        </w:tc>
        <w:tc>
          <w:tcPr>
            <w:tcW w:w="371" w:type="pct"/>
            <w:shd w:val="clear" w:color="auto" w:fill="FFFFFF"/>
            <w:noWrap w:val="0"/>
            <w:vAlign w:val="center"/>
          </w:tcPr>
          <w:p w14:paraId="6BAB0BE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24A9DCF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4.0</w:t>
            </w:r>
          </w:p>
        </w:tc>
        <w:tc>
          <w:tcPr>
            <w:tcW w:w="1793" w:type="pct"/>
            <w:shd w:val="clear" w:color="auto" w:fill="FFFFFF"/>
            <w:noWrap w:val="0"/>
            <w:vAlign w:val="center"/>
          </w:tcPr>
          <w:p w14:paraId="4D0AA1BC">
            <w:pPr>
              <w:widowControl/>
              <w:numPr>
                <w:ilvl w:val="0"/>
                <w:numId w:val="41"/>
              </w:numPr>
              <w:adjustRightInd w:val="0"/>
              <w:snapToGrid w:val="0"/>
              <w:spacing w:line="264" w:lineRule="auto"/>
              <w:rPr>
                <w:rFonts w:hint="eastAsia" w:ascii="幼圆" w:hAnsi="宋体" w:eastAsia="幼圆" w:cs="宋体"/>
                <w:kern w:val="0"/>
                <w:sz w:val="24"/>
              </w:rPr>
            </w:pPr>
            <w:r>
              <w:rPr>
                <w:rFonts w:hint="eastAsia" w:ascii="幼圆" w:hAnsi="宋体" w:eastAsia="幼圆" w:cs="宋体"/>
                <w:kern w:val="0"/>
                <w:sz w:val="24"/>
              </w:rPr>
              <w:t>保留提升；</w:t>
            </w:r>
          </w:p>
          <w:p w14:paraId="217C07C9">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宋体" w:eastAsia="幼圆" w:cs="宋体"/>
                <w:kern w:val="0"/>
                <w:sz w:val="24"/>
              </w:rPr>
              <w:t>建设集汽车销售服务、二手车交易、配件广场、汽车文化、汽车俱乐部会所等功能于一体的综合性汽车服务项目，完善其配套服务设施。</w:t>
            </w:r>
          </w:p>
        </w:tc>
      </w:tr>
      <w:tr w14:paraId="31B1C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3181ADBE">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7</w:t>
            </w:r>
          </w:p>
        </w:tc>
        <w:tc>
          <w:tcPr>
            <w:tcW w:w="707" w:type="pct"/>
            <w:shd w:val="clear" w:color="auto" w:fill="FFFFFF"/>
            <w:noWrap w:val="0"/>
            <w:vAlign w:val="center"/>
          </w:tcPr>
          <w:p w14:paraId="68EB37A1">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汕尾市（马宫）水产品批发交易市场</w:t>
            </w:r>
          </w:p>
        </w:tc>
        <w:tc>
          <w:tcPr>
            <w:tcW w:w="424" w:type="pct"/>
            <w:shd w:val="clear" w:color="auto" w:fill="FFFFFF"/>
            <w:noWrap w:val="0"/>
            <w:vAlign w:val="center"/>
          </w:tcPr>
          <w:p w14:paraId="28F3E26D">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农副产品市场</w:t>
            </w:r>
          </w:p>
        </w:tc>
        <w:tc>
          <w:tcPr>
            <w:tcW w:w="576" w:type="pct"/>
            <w:shd w:val="clear" w:color="auto" w:fill="FFFFFF"/>
            <w:noWrap w:val="0"/>
            <w:vAlign w:val="center"/>
          </w:tcPr>
          <w:p w14:paraId="1F7C0E9E">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水产品</w:t>
            </w:r>
          </w:p>
        </w:tc>
        <w:tc>
          <w:tcPr>
            <w:tcW w:w="625" w:type="pct"/>
            <w:shd w:val="clear" w:color="auto" w:fill="FFFFFF"/>
            <w:noWrap w:val="0"/>
            <w:vAlign w:val="center"/>
          </w:tcPr>
          <w:p w14:paraId="78293CF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马宫街道汕尾渔港南侧</w:t>
            </w:r>
          </w:p>
        </w:tc>
        <w:tc>
          <w:tcPr>
            <w:tcW w:w="371" w:type="pct"/>
            <w:shd w:val="clear" w:color="auto" w:fill="FFFFFF"/>
            <w:noWrap w:val="0"/>
            <w:vAlign w:val="center"/>
          </w:tcPr>
          <w:p w14:paraId="29AF10D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国内外</w:t>
            </w:r>
          </w:p>
        </w:tc>
        <w:tc>
          <w:tcPr>
            <w:tcW w:w="336" w:type="pct"/>
            <w:shd w:val="clear" w:color="auto" w:fill="FFFFFF"/>
            <w:noWrap w:val="0"/>
            <w:vAlign w:val="center"/>
          </w:tcPr>
          <w:p w14:paraId="46A4973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30</w:t>
            </w:r>
          </w:p>
        </w:tc>
        <w:tc>
          <w:tcPr>
            <w:tcW w:w="1793" w:type="pct"/>
            <w:shd w:val="clear" w:color="auto" w:fill="FFFFFF"/>
            <w:noWrap w:val="0"/>
            <w:vAlign w:val="center"/>
          </w:tcPr>
          <w:p w14:paraId="3D2B36A6">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3DE01F47">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依托汕尾渔港，建设水产品综合批发交易市场，包括水产品交易区、水产品加工区、冷链物流区、电子信息中心、功能配套区等，集活、鲜、冻、干水产品于一体的大型水产品批发交易综合市场。</w:t>
            </w:r>
          </w:p>
        </w:tc>
      </w:tr>
      <w:tr w14:paraId="2EAD1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5C31F1E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8</w:t>
            </w:r>
          </w:p>
        </w:tc>
        <w:tc>
          <w:tcPr>
            <w:tcW w:w="707" w:type="pct"/>
            <w:shd w:val="clear" w:color="auto" w:fill="FFFFFF"/>
            <w:noWrap w:val="0"/>
            <w:vAlign w:val="center"/>
          </w:tcPr>
          <w:p w14:paraId="62BDB2D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汕尾市（石洲）水产品批发交易市场</w:t>
            </w:r>
          </w:p>
        </w:tc>
        <w:tc>
          <w:tcPr>
            <w:tcW w:w="424" w:type="pct"/>
            <w:shd w:val="clear" w:color="auto" w:fill="FFFFFF"/>
            <w:noWrap w:val="0"/>
            <w:vAlign w:val="center"/>
          </w:tcPr>
          <w:p w14:paraId="1F9F426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农副产品市场</w:t>
            </w:r>
          </w:p>
        </w:tc>
        <w:tc>
          <w:tcPr>
            <w:tcW w:w="576" w:type="pct"/>
            <w:shd w:val="clear" w:color="auto" w:fill="FFFFFF"/>
            <w:noWrap w:val="0"/>
            <w:vAlign w:val="center"/>
          </w:tcPr>
          <w:p w14:paraId="5BD7D662">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特色水产品</w:t>
            </w:r>
          </w:p>
        </w:tc>
        <w:tc>
          <w:tcPr>
            <w:tcW w:w="625" w:type="pct"/>
            <w:shd w:val="clear" w:color="auto" w:fill="FFFFFF"/>
            <w:noWrap w:val="0"/>
            <w:vAlign w:val="center"/>
          </w:tcPr>
          <w:p w14:paraId="3831C470">
            <w:pPr>
              <w:spacing w:line="264" w:lineRule="auto"/>
              <w:jc w:val="center"/>
              <w:rPr>
                <w:rFonts w:hint="eastAsia" w:ascii="幼圆" w:hAnsi="宋体" w:eastAsia="幼圆" w:cs="宋体"/>
                <w:kern w:val="0"/>
                <w:sz w:val="24"/>
              </w:rPr>
            </w:pPr>
            <w:r>
              <w:rPr>
                <w:rFonts w:hint="eastAsia" w:ascii="幼圆" w:hAnsi="宋体" w:eastAsia="幼圆" w:cs="宋体"/>
                <w:kern w:val="0"/>
                <w:sz w:val="24"/>
              </w:rPr>
              <w:t>石洲村南</w:t>
            </w:r>
          </w:p>
        </w:tc>
        <w:tc>
          <w:tcPr>
            <w:tcW w:w="371" w:type="pct"/>
            <w:shd w:val="clear" w:color="auto" w:fill="FFFFFF"/>
            <w:noWrap w:val="0"/>
            <w:vAlign w:val="center"/>
          </w:tcPr>
          <w:p w14:paraId="749ED2D5">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704FE316">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15</w:t>
            </w:r>
          </w:p>
        </w:tc>
        <w:tc>
          <w:tcPr>
            <w:tcW w:w="1793" w:type="pct"/>
            <w:shd w:val="clear" w:color="auto" w:fill="FFFFFF"/>
            <w:noWrap w:val="0"/>
            <w:vAlign w:val="center"/>
          </w:tcPr>
          <w:p w14:paraId="64A92823">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353B43F9">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建设以汕尾水产为特色的创新型市集旅游目的地；</w:t>
            </w:r>
          </w:p>
          <w:p w14:paraId="2B5078E8">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建设水产零售批发、海鲜特色餐厅、生鲜超市、料理烹饪体验、餐厨具展售、书店。</w:t>
            </w:r>
          </w:p>
        </w:tc>
      </w:tr>
      <w:tr w14:paraId="4DA7D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1B8C66F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9</w:t>
            </w:r>
          </w:p>
        </w:tc>
        <w:tc>
          <w:tcPr>
            <w:tcW w:w="707" w:type="pct"/>
            <w:shd w:val="clear" w:color="auto" w:fill="FFFFFF"/>
            <w:noWrap w:val="0"/>
            <w:vAlign w:val="center"/>
          </w:tcPr>
          <w:p w14:paraId="4364C8F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汕尾家具建材综合市场</w:t>
            </w:r>
          </w:p>
        </w:tc>
        <w:tc>
          <w:tcPr>
            <w:tcW w:w="424" w:type="pct"/>
            <w:shd w:val="clear" w:color="auto" w:fill="FFFFFF"/>
            <w:noWrap w:val="0"/>
            <w:vAlign w:val="center"/>
          </w:tcPr>
          <w:p w14:paraId="13F354D5">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家居建材市场</w:t>
            </w:r>
          </w:p>
        </w:tc>
        <w:tc>
          <w:tcPr>
            <w:tcW w:w="576" w:type="pct"/>
            <w:shd w:val="clear" w:color="auto" w:fill="FFFFFF"/>
            <w:noWrap w:val="0"/>
            <w:vAlign w:val="center"/>
          </w:tcPr>
          <w:p w14:paraId="4D95F0C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w:t>
            </w:r>
          </w:p>
        </w:tc>
        <w:tc>
          <w:tcPr>
            <w:tcW w:w="625" w:type="pct"/>
            <w:shd w:val="clear" w:color="auto" w:fill="FFFFFF"/>
            <w:noWrap w:val="0"/>
            <w:vAlign w:val="center"/>
          </w:tcPr>
          <w:p w14:paraId="11041834">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汕尾站站前片区</w:t>
            </w:r>
          </w:p>
        </w:tc>
        <w:tc>
          <w:tcPr>
            <w:tcW w:w="371" w:type="pct"/>
            <w:shd w:val="clear" w:color="auto" w:fill="FFFFFF"/>
            <w:noWrap w:val="0"/>
            <w:vAlign w:val="center"/>
          </w:tcPr>
          <w:p w14:paraId="0374D19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4C70594B">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5.5</w:t>
            </w:r>
          </w:p>
        </w:tc>
        <w:tc>
          <w:tcPr>
            <w:tcW w:w="1793" w:type="pct"/>
            <w:shd w:val="clear" w:color="auto" w:fill="FFFFFF"/>
            <w:noWrap w:val="0"/>
            <w:vAlign w:val="center"/>
          </w:tcPr>
          <w:p w14:paraId="74D6CA15">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33413CBC">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依托汕尾火车站、高快速路等便捷的区域交通设施，建设高档次、品种丰富的品牌家居展销中心；</w:t>
            </w:r>
          </w:p>
          <w:p w14:paraId="0E32C6E7">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构建家居电子商务平台，注重定制家居、体验家居等类型家居的设置。</w:t>
            </w:r>
          </w:p>
        </w:tc>
      </w:tr>
      <w:tr w14:paraId="51684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2AC8842D">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10</w:t>
            </w:r>
          </w:p>
        </w:tc>
        <w:tc>
          <w:tcPr>
            <w:tcW w:w="707" w:type="pct"/>
            <w:shd w:val="clear" w:color="auto" w:fill="FFFFFF"/>
            <w:noWrap w:val="0"/>
            <w:vAlign w:val="center"/>
          </w:tcPr>
          <w:p w14:paraId="0B7A935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汕尾汽配城</w:t>
            </w:r>
          </w:p>
        </w:tc>
        <w:tc>
          <w:tcPr>
            <w:tcW w:w="424" w:type="pct"/>
            <w:shd w:val="clear" w:color="auto" w:fill="FFFFFF"/>
            <w:noWrap w:val="0"/>
            <w:vAlign w:val="center"/>
          </w:tcPr>
          <w:p w14:paraId="31AF7C8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汽车后市场</w:t>
            </w:r>
          </w:p>
        </w:tc>
        <w:tc>
          <w:tcPr>
            <w:tcW w:w="576" w:type="pct"/>
            <w:shd w:val="clear" w:color="auto" w:fill="FFFFFF"/>
            <w:noWrap w:val="0"/>
            <w:vAlign w:val="center"/>
          </w:tcPr>
          <w:p w14:paraId="36925AAD">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品牌型4s 服务、新能源汽车产业文化展示、汽车金融保险服务、二手交易及租赁、汽车专业改装等</w:t>
            </w:r>
          </w:p>
        </w:tc>
        <w:tc>
          <w:tcPr>
            <w:tcW w:w="625" w:type="pct"/>
            <w:shd w:val="clear" w:color="auto" w:fill="FFFFFF"/>
            <w:noWrap w:val="0"/>
            <w:vAlign w:val="center"/>
          </w:tcPr>
          <w:p w14:paraId="74B3DB2E">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汕尾站站前片区</w:t>
            </w:r>
          </w:p>
        </w:tc>
        <w:tc>
          <w:tcPr>
            <w:tcW w:w="371" w:type="pct"/>
            <w:shd w:val="clear" w:color="auto" w:fill="FFFFFF"/>
            <w:noWrap w:val="0"/>
            <w:vAlign w:val="center"/>
          </w:tcPr>
          <w:p w14:paraId="245841DB">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2378C759">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8</w:t>
            </w:r>
          </w:p>
        </w:tc>
        <w:tc>
          <w:tcPr>
            <w:tcW w:w="1793" w:type="pct"/>
            <w:shd w:val="clear" w:color="auto" w:fill="FFFFFF"/>
            <w:noWrap w:val="0"/>
            <w:vAlign w:val="center"/>
          </w:tcPr>
          <w:p w14:paraId="1E0AFC90">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3486E3AE">
            <w:pPr>
              <w:widowControl/>
              <w:numPr>
                <w:ilvl w:val="0"/>
                <w:numId w:val="41"/>
              </w:numPr>
              <w:adjustRightInd w:val="0"/>
              <w:snapToGrid w:val="0"/>
              <w:spacing w:line="264" w:lineRule="auto"/>
              <w:rPr>
                <w:rFonts w:ascii="幼圆" w:hAnsi="Wingdings" w:eastAsia="幼圆" w:cs="宋体"/>
                <w:kern w:val="0"/>
                <w:sz w:val="24"/>
              </w:rPr>
            </w:pPr>
            <w:r>
              <w:rPr>
                <w:rFonts w:hint="eastAsia" w:ascii="幼圆" w:hAnsi="Wingdings" w:eastAsia="幼圆" w:cs="宋体"/>
                <w:kern w:val="0"/>
                <w:sz w:val="24"/>
              </w:rPr>
              <w:t>协同深汕汽车城，依托新区铁路及主城区物流中心发展汽车后市场服务产业，打造集汽车定制服务、产品展销、试驾体验、车检维护、主题娱乐等功能于一体的一站式汽配中心；</w:t>
            </w:r>
          </w:p>
          <w:p w14:paraId="600E4108">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建设品牌型4s 服务中心、新能源汽车产业文化展馆、汽车金融保险服务中心、二手交易及租赁中心、汽车专业改装基地、车友俱乐部等。</w:t>
            </w:r>
          </w:p>
        </w:tc>
      </w:tr>
      <w:tr w14:paraId="3140F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49A2D5D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11</w:t>
            </w:r>
          </w:p>
        </w:tc>
        <w:tc>
          <w:tcPr>
            <w:tcW w:w="707" w:type="pct"/>
            <w:shd w:val="clear" w:color="auto" w:fill="FFFFFF"/>
            <w:noWrap w:val="0"/>
            <w:vAlign w:val="center"/>
          </w:tcPr>
          <w:p w14:paraId="15431863">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汕尾珠宝首饰产业中心</w:t>
            </w:r>
          </w:p>
        </w:tc>
        <w:tc>
          <w:tcPr>
            <w:tcW w:w="424" w:type="pct"/>
            <w:shd w:val="clear" w:color="auto" w:fill="FFFFFF"/>
            <w:noWrap w:val="0"/>
            <w:vAlign w:val="center"/>
          </w:tcPr>
          <w:p w14:paraId="0F11A9F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珠宝市场</w:t>
            </w:r>
          </w:p>
        </w:tc>
        <w:tc>
          <w:tcPr>
            <w:tcW w:w="576" w:type="pct"/>
            <w:shd w:val="clear" w:color="auto" w:fill="FFFFFF"/>
            <w:noWrap w:val="0"/>
            <w:vAlign w:val="center"/>
          </w:tcPr>
          <w:p w14:paraId="2EEA362D">
            <w:pPr>
              <w:spacing w:line="264" w:lineRule="auto"/>
              <w:jc w:val="center"/>
              <w:rPr>
                <w:rFonts w:hint="eastAsia" w:ascii="幼圆" w:hAnsi="宋体" w:eastAsia="幼圆" w:cs="宋体"/>
                <w:kern w:val="0"/>
                <w:sz w:val="24"/>
              </w:rPr>
            </w:pPr>
            <w:r>
              <w:rPr>
                <w:rFonts w:hint="eastAsia" w:ascii="幼圆" w:hAnsi="宋体" w:eastAsia="幼圆" w:cs="宋体"/>
                <w:kern w:val="0"/>
                <w:sz w:val="24"/>
              </w:rPr>
              <w:t>珠宝玉石</w:t>
            </w:r>
          </w:p>
        </w:tc>
        <w:tc>
          <w:tcPr>
            <w:tcW w:w="625" w:type="pct"/>
            <w:shd w:val="clear" w:color="auto" w:fill="FFFFFF"/>
            <w:noWrap w:val="0"/>
            <w:vAlign w:val="center"/>
          </w:tcPr>
          <w:p w14:paraId="4AD4D027">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汕尾站站前片区</w:t>
            </w:r>
          </w:p>
        </w:tc>
        <w:tc>
          <w:tcPr>
            <w:tcW w:w="371" w:type="pct"/>
            <w:shd w:val="clear" w:color="auto" w:fill="FFFFFF"/>
            <w:noWrap w:val="0"/>
            <w:vAlign w:val="center"/>
          </w:tcPr>
          <w:p w14:paraId="1FE0E310">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590A5BF9">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3.1</w:t>
            </w:r>
          </w:p>
        </w:tc>
        <w:tc>
          <w:tcPr>
            <w:tcW w:w="1793" w:type="pct"/>
            <w:shd w:val="clear" w:color="auto" w:fill="FFFFFF"/>
            <w:noWrap w:val="0"/>
            <w:vAlign w:val="center"/>
          </w:tcPr>
          <w:p w14:paraId="467BEC8A">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17A22097">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建设为集珠宝玉石现货展示销售、品牌设计工作室、产品研发基地、检测鉴定评估实验室、珠宝跨境电商平台等大型综合性交易市场。</w:t>
            </w:r>
          </w:p>
        </w:tc>
      </w:tr>
      <w:tr w14:paraId="2AB29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25402A7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12</w:t>
            </w:r>
          </w:p>
        </w:tc>
        <w:tc>
          <w:tcPr>
            <w:tcW w:w="707" w:type="pct"/>
            <w:shd w:val="clear" w:color="auto" w:fill="FFFFFF"/>
            <w:noWrap w:val="0"/>
            <w:vAlign w:val="center"/>
          </w:tcPr>
          <w:p w14:paraId="57BB8A85">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汕尾茶文化综合市场</w:t>
            </w:r>
          </w:p>
        </w:tc>
        <w:tc>
          <w:tcPr>
            <w:tcW w:w="424" w:type="pct"/>
            <w:shd w:val="clear" w:color="auto" w:fill="FFFFFF"/>
            <w:noWrap w:val="0"/>
            <w:vAlign w:val="center"/>
          </w:tcPr>
          <w:p w14:paraId="73C637D1">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综合市场</w:t>
            </w:r>
          </w:p>
        </w:tc>
        <w:tc>
          <w:tcPr>
            <w:tcW w:w="576" w:type="pct"/>
            <w:shd w:val="clear" w:color="auto" w:fill="FFFFFF"/>
            <w:noWrap w:val="0"/>
            <w:vAlign w:val="center"/>
          </w:tcPr>
          <w:p w14:paraId="20F7631D">
            <w:pPr>
              <w:spacing w:line="264" w:lineRule="auto"/>
              <w:jc w:val="center"/>
              <w:rPr>
                <w:rFonts w:hint="eastAsia" w:ascii="幼圆" w:hAnsi="宋体" w:eastAsia="幼圆" w:cs="宋体"/>
                <w:kern w:val="0"/>
                <w:sz w:val="24"/>
              </w:rPr>
            </w:pPr>
            <w:r>
              <w:rPr>
                <w:rFonts w:hint="eastAsia" w:ascii="幼圆" w:hAnsi="宋体" w:eastAsia="幼圆" w:cs="宋体"/>
                <w:kern w:val="0"/>
                <w:sz w:val="24"/>
              </w:rPr>
              <w:t>茶文化、鲜花饰品、水族和渔具、书画古玩为主</w:t>
            </w:r>
          </w:p>
        </w:tc>
        <w:tc>
          <w:tcPr>
            <w:tcW w:w="625" w:type="pct"/>
            <w:shd w:val="clear" w:color="auto" w:fill="FFFFFF"/>
            <w:noWrap w:val="0"/>
            <w:vAlign w:val="center"/>
          </w:tcPr>
          <w:p w14:paraId="7714A2A8">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汕尾站站前片区</w:t>
            </w:r>
          </w:p>
        </w:tc>
        <w:tc>
          <w:tcPr>
            <w:tcW w:w="371" w:type="pct"/>
            <w:shd w:val="clear" w:color="auto" w:fill="FFFFFF"/>
            <w:noWrap w:val="0"/>
            <w:vAlign w:val="center"/>
          </w:tcPr>
          <w:p w14:paraId="4C6340D6">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02BC6984">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2</w:t>
            </w:r>
          </w:p>
        </w:tc>
        <w:tc>
          <w:tcPr>
            <w:tcW w:w="1793" w:type="pct"/>
            <w:shd w:val="clear" w:color="auto" w:fill="FFFFFF"/>
            <w:noWrap w:val="0"/>
            <w:vAlign w:val="center"/>
          </w:tcPr>
          <w:p w14:paraId="63CD3B50">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407937C8">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建设以茶文化产品销售为核心，兼顾</w:t>
            </w:r>
            <w:r>
              <w:rPr>
                <w:rFonts w:hint="eastAsia" w:ascii="幼圆" w:hAnsi="宋体" w:eastAsia="幼圆" w:cs="宋体"/>
                <w:kern w:val="0"/>
                <w:sz w:val="24"/>
              </w:rPr>
              <w:t>鲜花饰品、水族和渔具、书画古玩销售及社交休闲体验</w:t>
            </w:r>
            <w:r>
              <w:rPr>
                <w:rFonts w:hint="eastAsia" w:ascii="幼圆" w:hAnsi="Wingdings" w:eastAsia="幼圆" w:cs="宋体"/>
                <w:kern w:val="0"/>
                <w:sz w:val="24"/>
              </w:rPr>
              <w:t>等功能为一体的综合性、规范化的现代综合市场。</w:t>
            </w:r>
          </w:p>
        </w:tc>
      </w:tr>
      <w:tr w14:paraId="4B155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5035DE6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13</w:t>
            </w:r>
          </w:p>
        </w:tc>
        <w:tc>
          <w:tcPr>
            <w:tcW w:w="707" w:type="pct"/>
            <w:shd w:val="clear" w:color="auto" w:fill="FFFFFF"/>
            <w:noWrap w:val="0"/>
            <w:vAlign w:val="center"/>
          </w:tcPr>
          <w:p w14:paraId="5CF5BA0E">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汕尾小商品零售市场</w:t>
            </w:r>
          </w:p>
        </w:tc>
        <w:tc>
          <w:tcPr>
            <w:tcW w:w="424" w:type="pct"/>
            <w:shd w:val="clear" w:color="auto" w:fill="FFFFFF"/>
            <w:noWrap w:val="0"/>
            <w:vAlign w:val="center"/>
          </w:tcPr>
          <w:p w14:paraId="7A7A85F9">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综合市场</w:t>
            </w:r>
          </w:p>
        </w:tc>
        <w:tc>
          <w:tcPr>
            <w:tcW w:w="576" w:type="pct"/>
            <w:shd w:val="clear" w:color="auto" w:fill="FFFFFF"/>
            <w:noWrap w:val="0"/>
            <w:vAlign w:val="center"/>
          </w:tcPr>
          <w:p w14:paraId="10E8089C">
            <w:pPr>
              <w:spacing w:line="264" w:lineRule="auto"/>
              <w:jc w:val="center"/>
              <w:rPr>
                <w:rFonts w:hint="eastAsia" w:ascii="幼圆" w:hAnsi="宋体" w:eastAsia="幼圆" w:cs="宋体"/>
                <w:kern w:val="0"/>
                <w:sz w:val="24"/>
              </w:rPr>
            </w:pPr>
            <w:r>
              <w:rPr>
                <w:rFonts w:hint="eastAsia" w:ascii="幼圆" w:hAnsi="宋体" w:eastAsia="幼圆" w:cs="宋体"/>
                <w:kern w:val="0"/>
                <w:sz w:val="24"/>
              </w:rPr>
              <w:t>日用品、小商品等生活物资为主</w:t>
            </w:r>
          </w:p>
        </w:tc>
        <w:tc>
          <w:tcPr>
            <w:tcW w:w="625" w:type="pct"/>
            <w:shd w:val="clear" w:color="auto" w:fill="FFFFFF"/>
            <w:noWrap w:val="0"/>
            <w:vAlign w:val="center"/>
          </w:tcPr>
          <w:p w14:paraId="039F1F5F">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汕尾站站前片区</w:t>
            </w:r>
          </w:p>
        </w:tc>
        <w:tc>
          <w:tcPr>
            <w:tcW w:w="371" w:type="pct"/>
            <w:shd w:val="clear" w:color="auto" w:fill="FFFFFF"/>
            <w:noWrap w:val="0"/>
            <w:vAlign w:val="center"/>
          </w:tcPr>
          <w:p w14:paraId="1448C026">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00ABDC12">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3.8</w:t>
            </w:r>
          </w:p>
        </w:tc>
        <w:tc>
          <w:tcPr>
            <w:tcW w:w="1793" w:type="pct"/>
            <w:shd w:val="clear" w:color="auto" w:fill="FFFFFF"/>
            <w:noWrap w:val="0"/>
            <w:vAlign w:val="center"/>
          </w:tcPr>
          <w:p w14:paraId="0B46C910">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74A7DD8D">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建设日用品、小商品、农副产品等生活物资为一体的大型综合交易市场。</w:t>
            </w:r>
          </w:p>
        </w:tc>
      </w:tr>
      <w:tr w14:paraId="7E273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68" w:type="pct"/>
            <w:shd w:val="clear" w:color="auto" w:fill="FFFFFF"/>
            <w:noWrap w:val="0"/>
            <w:vAlign w:val="center"/>
          </w:tcPr>
          <w:p w14:paraId="7368C5A4">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14</w:t>
            </w:r>
          </w:p>
        </w:tc>
        <w:tc>
          <w:tcPr>
            <w:tcW w:w="707" w:type="pct"/>
            <w:shd w:val="clear" w:color="auto" w:fill="FFFFFF"/>
            <w:noWrap w:val="0"/>
            <w:vAlign w:val="center"/>
          </w:tcPr>
          <w:p w14:paraId="26485F08">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汕尾金泰装饰材料综合市场</w:t>
            </w:r>
          </w:p>
        </w:tc>
        <w:tc>
          <w:tcPr>
            <w:tcW w:w="424" w:type="pct"/>
            <w:shd w:val="clear" w:color="auto" w:fill="FFFFFF"/>
            <w:noWrap w:val="0"/>
            <w:vAlign w:val="center"/>
          </w:tcPr>
          <w:p w14:paraId="698190D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家居建材市场</w:t>
            </w:r>
          </w:p>
        </w:tc>
        <w:tc>
          <w:tcPr>
            <w:tcW w:w="576" w:type="pct"/>
            <w:shd w:val="clear" w:color="auto" w:fill="FFFFFF"/>
            <w:noWrap w:val="0"/>
            <w:vAlign w:val="center"/>
          </w:tcPr>
          <w:p w14:paraId="1436388A">
            <w:pPr>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w:t>
            </w:r>
          </w:p>
        </w:tc>
        <w:tc>
          <w:tcPr>
            <w:tcW w:w="625" w:type="pct"/>
            <w:shd w:val="clear" w:color="auto" w:fill="FFFFFF"/>
            <w:noWrap w:val="0"/>
            <w:vAlign w:val="center"/>
          </w:tcPr>
          <w:p w14:paraId="5DA2AA2A">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汕尾城区海汕路与快速路交汇处</w:t>
            </w:r>
          </w:p>
        </w:tc>
        <w:tc>
          <w:tcPr>
            <w:tcW w:w="371" w:type="pct"/>
            <w:shd w:val="clear" w:color="auto" w:fill="FFFFFF"/>
            <w:noWrap w:val="0"/>
            <w:vAlign w:val="center"/>
          </w:tcPr>
          <w:p w14:paraId="415676C4">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w:t>
            </w:r>
          </w:p>
        </w:tc>
        <w:tc>
          <w:tcPr>
            <w:tcW w:w="336" w:type="pct"/>
            <w:shd w:val="clear" w:color="auto" w:fill="FFFFFF"/>
            <w:noWrap w:val="0"/>
            <w:vAlign w:val="center"/>
          </w:tcPr>
          <w:p w14:paraId="247D59F3">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4.5</w:t>
            </w:r>
          </w:p>
        </w:tc>
        <w:tc>
          <w:tcPr>
            <w:tcW w:w="1793" w:type="pct"/>
            <w:shd w:val="clear" w:color="auto" w:fill="FFFFFF"/>
            <w:noWrap w:val="0"/>
            <w:vAlign w:val="center"/>
          </w:tcPr>
          <w:p w14:paraId="27F0207C">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5001955E">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建设集批发、零售、采购、物流、仓储等功能于一体的综合化建筑材料市场。</w:t>
            </w:r>
          </w:p>
        </w:tc>
      </w:tr>
      <w:tr w14:paraId="6BFAC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68" w:type="pct"/>
            <w:shd w:val="clear" w:color="auto" w:fill="FFFFFF"/>
            <w:noWrap w:val="0"/>
            <w:vAlign w:val="center"/>
          </w:tcPr>
          <w:p w14:paraId="718E502C">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15</w:t>
            </w:r>
          </w:p>
        </w:tc>
        <w:tc>
          <w:tcPr>
            <w:tcW w:w="707" w:type="pct"/>
            <w:shd w:val="clear" w:color="auto" w:fill="FFFFFF"/>
            <w:noWrap w:val="0"/>
            <w:vAlign w:val="center"/>
          </w:tcPr>
          <w:p w14:paraId="116A0287">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汕尾新港钢铁市场</w:t>
            </w:r>
          </w:p>
        </w:tc>
        <w:tc>
          <w:tcPr>
            <w:tcW w:w="424" w:type="pct"/>
            <w:shd w:val="clear" w:color="auto" w:fill="FFFFFF"/>
            <w:noWrap w:val="0"/>
            <w:vAlign w:val="center"/>
          </w:tcPr>
          <w:p w14:paraId="034CD3DF">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家居建材市场</w:t>
            </w:r>
          </w:p>
        </w:tc>
        <w:tc>
          <w:tcPr>
            <w:tcW w:w="576" w:type="pct"/>
            <w:shd w:val="clear" w:color="auto" w:fill="FFFFFF"/>
            <w:noWrap w:val="0"/>
            <w:vAlign w:val="center"/>
          </w:tcPr>
          <w:p w14:paraId="2458AE5D">
            <w:pPr>
              <w:spacing w:line="264" w:lineRule="auto"/>
              <w:jc w:val="center"/>
              <w:rPr>
                <w:rFonts w:hint="eastAsia" w:ascii="幼圆" w:hAnsi="宋体" w:eastAsia="幼圆" w:cs="宋体"/>
                <w:kern w:val="0"/>
                <w:sz w:val="24"/>
              </w:rPr>
            </w:pPr>
            <w:r>
              <w:rPr>
                <w:rFonts w:hint="eastAsia" w:ascii="幼圆" w:hAnsi="宋体" w:eastAsia="幼圆" w:cs="宋体"/>
                <w:kern w:val="0"/>
                <w:sz w:val="24"/>
              </w:rPr>
              <w:t>钢铁、建材</w:t>
            </w:r>
          </w:p>
        </w:tc>
        <w:tc>
          <w:tcPr>
            <w:tcW w:w="625" w:type="pct"/>
            <w:shd w:val="clear" w:color="auto" w:fill="FFFFFF"/>
            <w:noWrap w:val="0"/>
            <w:vAlign w:val="center"/>
          </w:tcPr>
          <w:p w14:paraId="02C67222">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汕尾新港临港物流园</w:t>
            </w:r>
          </w:p>
        </w:tc>
        <w:tc>
          <w:tcPr>
            <w:tcW w:w="371" w:type="pct"/>
            <w:shd w:val="clear" w:color="auto" w:fill="FFFFFF"/>
            <w:noWrap w:val="0"/>
            <w:vAlign w:val="center"/>
          </w:tcPr>
          <w:p w14:paraId="63617313">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汕尾市域及周边地区</w:t>
            </w:r>
          </w:p>
        </w:tc>
        <w:tc>
          <w:tcPr>
            <w:tcW w:w="336" w:type="pct"/>
            <w:shd w:val="clear" w:color="auto" w:fill="FFFFFF"/>
            <w:noWrap w:val="0"/>
            <w:vAlign w:val="center"/>
          </w:tcPr>
          <w:p w14:paraId="3C7C3919">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5</w:t>
            </w:r>
          </w:p>
        </w:tc>
        <w:tc>
          <w:tcPr>
            <w:tcW w:w="1793" w:type="pct"/>
            <w:shd w:val="clear" w:color="auto" w:fill="FFFFFF"/>
            <w:noWrap w:val="0"/>
            <w:vAlign w:val="center"/>
          </w:tcPr>
          <w:p w14:paraId="4461331D">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远期新建；</w:t>
            </w:r>
          </w:p>
          <w:p w14:paraId="3CCF43EF">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结合汕尾新港及其物流园区的建设，建设集钢材仓储、运输、配送、流通加工、贸易等为一体的综合性钢铁市场。</w:t>
            </w:r>
          </w:p>
        </w:tc>
      </w:tr>
      <w:tr w14:paraId="03B98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68" w:type="pct"/>
            <w:shd w:val="clear" w:color="auto" w:fill="FFFFFF"/>
            <w:noWrap w:val="0"/>
            <w:vAlign w:val="center"/>
          </w:tcPr>
          <w:p w14:paraId="5AB8E650">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16</w:t>
            </w:r>
          </w:p>
        </w:tc>
        <w:tc>
          <w:tcPr>
            <w:tcW w:w="707" w:type="pct"/>
            <w:shd w:val="clear" w:color="auto" w:fill="FFFFFF"/>
            <w:noWrap w:val="0"/>
            <w:vAlign w:val="center"/>
          </w:tcPr>
          <w:p w14:paraId="6EB9E530">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汕尾遮浪渔港水产品交易市场</w:t>
            </w:r>
          </w:p>
        </w:tc>
        <w:tc>
          <w:tcPr>
            <w:tcW w:w="424" w:type="pct"/>
            <w:shd w:val="clear" w:color="auto" w:fill="FFFFFF"/>
            <w:noWrap w:val="0"/>
            <w:vAlign w:val="center"/>
          </w:tcPr>
          <w:p w14:paraId="4754AC9D">
            <w:pPr>
              <w:widowControl/>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农副产品市场</w:t>
            </w:r>
          </w:p>
        </w:tc>
        <w:tc>
          <w:tcPr>
            <w:tcW w:w="576" w:type="pct"/>
            <w:shd w:val="clear" w:color="auto" w:fill="FFFFFF"/>
            <w:noWrap w:val="0"/>
            <w:vAlign w:val="center"/>
          </w:tcPr>
          <w:p w14:paraId="3D0E92A4">
            <w:pPr>
              <w:spacing w:line="264" w:lineRule="auto"/>
              <w:jc w:val="center"/>
              <w:rPr>
                <w:rFonts w:hint="eastAsia" w:ascii="幼圆" w:hAnsi="宋体" w:eastAsia="幼圆" w:cs="宋体"/>
                <w:kern w:val="0"/>
                <w:sz w:val="24"/>
              </w:rPr>
            </w:pPr>
            <w:r>
              <w:rPr>
                <w:rFonts w:hint="eastAsia" w:ascii="幼圆" w:hAnsi="宋体" w:eastAsia="幼圆" w:cs="宋体"/>
                <w:kern w:val="0"/>
                <w:sz w:val="24"/>
              </w:rPr>
              <w:t>水产品</w:t>
            </w:r>
          </w:p>
        </w:tc>
        <w:tc>
          <w:tcPr>
            <w:tcW w:w="625" w:type="pct"/>
            <w:shd w:val="clear" w:color="auto" w:fill="FFFFFF"/>
            <w:noWrap w:val="0"/>
            <w:vAlign w:val="center"/>
          </w:tcPr>
          <w:p w14:paraId="5EB8C365">
            <w:pPr>
              <w:spacing w:line="264" w:lineRule="auto"/>
              <w:jc w:val="center"/>
              <w:rPr>
                <w:rFonts w:hint="eastAsia" w:ascii="幼圆" w:hAnsi="宋体" w:eastAsia="幼圆" w:cs="宋体"/>
                <w:kern w:val="0"/>
                <w:sz w:val="24"/>
              </w:rPr>
            </w:pPr>
            <w:r>
              <w:rPr>
                <w:rFonts w:hint="eastAsia" w:ascii="幼圆" w:hAnsi="宋体" w:eastAsia="幼圆" w:cs="宋体"/>
                <w:kern w:val="0"/>
                <w:sz w:val="24"/>
              </w:rPr>
              <w:t>汕尾遮浪街道遮浪渔港北侧</w:t>
            </w:r>
          </w:p>
        </w:tc>
        <w:tc>
          <w:tcPr>
            <w:tcW w:w="371" w:type="pct"/>
            <w:shd w:val="clear" w:color="auto" w:fill="FFFFFF"/>
            <w:noWrap w:val="0"/>
            <w:vAlign w:val="center"/>
          </w:tcPr>
          <w:p w14:paraId="43A6A45A">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汕尾市域</w:t>
            </w:r>
          </w:p>
        </w:tc>
        <w:tc>
          <w:tcPr>
            <w:tcW w:w="336" w:type="pct"/>
            <w:shd w:val="clear" w:color="auto" w:fill="FFFFFF"/>
            <w:noWrap w:val="0"/>
            <w:vAlign w:val="center"/>
          </w:tcPr>
          <w:p w14:paraId="7F073C41">
            <w:pPr>
              <w:adjustRightInd w:val="0"/>
              <w:snapToGrid w:val="0"/>
              <w:spacing w:line="264" w:lineRule="auto"/>
              <w:jc w:val="center"/>
              <w:rPr>
                <w:rFonts w:hint="eastAsia" w:ascii="幼圆" w:hAnsi="宋体" w:eastAsia="幼圆" w:cs="宋体"/>
                <w:kern w:val="0"/>
                <w:sz w:val="24"/>
              </w:rPr>
            </w:pPr>
            <w:r>
              <w:rPr>
                <w:rFonts w:hint="eastAsia" w:ascii="幼圆" w:hAnsi="宋体" w:eastAsia="幼圆" w:cs="宋体"/>
                <w:kern w:val="0"/>
                <w:sz w:val="24"/>
              </w:rPr>
              <w:t>4</w:t>
            </w:r>
          </w:p>
        </w:tc>
        <w:tc>
          <w:tcPr>
            <w:tcW w:w="1793" w:type="pct"/>
            <w:shd w:val="clear" w:color="auto" w:fill="FFFFFF"/>
            <w:noWrap w:val="0"/>
            <w:vAlign w:val="center"/>
          </w:tcPr>
          <w:p w14:paraId="0355E7C2">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近期新建；</w:t>
            </w:r>
          </w:p>
          <w:p w14:paraId="2F23D7FF">
            <w:pPr>
              <w:widowControl/>
              <w:numPr>
                <w:ilvl w:val="0"/>
                <w:numId w:val="41"/>
              </w:numPr>
              <w:adjustRightInd w:val="0"/>
              <w:snapToGrid w:val="0"/>
              <w:spacing w:line="264" w:lineRule="auto"/>
              <w:rPr>
                <w:rFonts w:hint="eastAsia" w:ascii="幼圆" w:hAnsi="Wingdings" w:eastAsia="幼圆" w:cs="宋体"/>
                <w:kern w:val="0"/>
                <w:sz w:val="24"/>
              </w:rPr>
            </w:pPr>
            <w:r>
              <w:rPr>
                <w:rFonts w:hint="eastAsia" w:ascii="幼圆" w:hAnsi="Wingdings" w:eastAsia="幼圆" w:cs="宋体"/>
                <w:kern w:val="0"/>
                <w:sz w:val="24"/>
              </w:rPr>
              <w:t>依托遮浪渔港，建设水产品交易市场、水产品深加工及相关配套设施等。</w:t>
            </w:r>
          </w:p>
        </w:tc>
      </w:tr>
    </w:tbl>
    <w:p w14:paraId="471CC84B">
      <w:pPr>
        <w:spacing w:after="120" w:afterLines="50" w:line="360" w:lineRule="auto"/>
        <w:rPr>
          <w:rFonts w:hint="eastAsia" w:ascii="幼圆" w:eastAsia="幼圆"/>
          <w:color w:val="000000"/>
          <w:sz w:val="24"/>
        </w:rPr>
      </w:pPr>
    </w:p>
    <w:p w14:paraId="2C37A1DD">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2DC5672D">
      <w:pPr>
        <w:pStyle w:val="3"/>
        <w:spacing w:before="120" w:beforeLines="50" w:after="120" w:afterLines="50" w:line="360" w:lineRule="auto"/>
        <w:rPr>
          <w:rFonts w:hint="eastAsia" w:ascii="华文中宋" w:hAnsi="华文中宋" w:eastAsia="华文中宋" w:cs="Times New Roman"/>
          <w:b/>
          <w:bCs/>
          <w:color w:val="000000"/>
          <w:sz w:val="36"/>
          <w:szCs w:val="36"/>
        </w:rPr>
      </w:pPr>
      <w:bookmarkStart w:id="111" w:name="_Toc2615"/>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12</w:t>
      </w:r>
      <w:r>
        <w:rPr>
          <w:rFonts w:hint="eastAsia" w:ascii="华文中宋" w:hAnsi="华文中宋" w:eastAsia="华文中宋" w:cs="Times New Roman"/>
          <w:b/>
          <w:bCs/>
          <w:color w:val="000000"/>
          <w:sz w:val="36"/>
          <w:szCs w:val="36"/>
        </w:rPr>
        <w:t>：中心城区餐饮集聚区</w:t>
      </w:r>
      <w:r>
        <w:rPr>
          <w:rFonts w:hint="eastAsia" w:ascii="华文中宋" w:hAnsi="华文中宋" w:eastAsia="华文中宋" w:cs="Times New Roman"/>
          <w:b/>
          <w:bCs/>
          <w:color w:val="000000"/>
          <w:sz w:val="36"/>
          <w:szCs w:val="36"/>
          <w:lang w:val="en-US" w:eastAsia="zh-CN"/>
        </w:rPr>
        <w:t>及</w:t>
      </w:r>
      <w:r>
        <w:rPr>
          <w:rFonts w:hint="eastAsia" w:ascii="华文中宋" w:hAnsi="华文中宋" w:eastAsia="华文中宋" w:cs="Times New Roman"/>
          <w:b/>
          <w:bCs/>
          <w:color w:val="000000"/>
          <w:sz w:val="36"/>
          <w:szCs w:val="36"/>
        </w:rPr>
        <w:t>特色美食街规划指引</w:t>
      </w:r>
      <w:bookmarkEnd w:id="111"/>
    </w:p>
    <w:p w14:paraId="5A2022B4">
      <w:pPr>
        <w:keepNext w:val="0"/>
        <w:keepLines w:val="0"/>
        <w:pageBreakBefore w:val="0"/>
        <w:widowControl/>
        <w:kinsoku/>
        <w:wordWrap/>
        <w:overflowPunct/>
        <w:topLinePunct w:val="0"/>
        <w:autoSpaceDE/>
        <w:autoSpaceDN/>
        <w:bidi w:val="0"/>
        <w:adjustRightInd w:val="0"/>
        <w:snapToGrid w:val="0"/>
        <w:spacing w:after="157" w:afterLines="50"/>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中心城区餐饮集聚区规划指引</w:t>
      </w:r>
    </w:p>
    <w:tbl>
      <w:tblPr>
        <w:tblStyle w:val="34"/>
        <w:tblW w:w="4987" w:type="pct"/>
        <w:tblInd w:w="-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57" w:type="dxa"/>
          <w:bottom w:w="0" w:type="dxa"/>
          <w:right w:w="57" w:type="dxa"/>
        </w:tblCellMar>
      </w:tblPr>
      <w:tblGrid>
        <w:gridCol w:w="1675"/>
        <w:gridCol w:w="3043"/>
        <w:gridCol w:w="3847"/>
        <w:gridCol w:w="3192"/>
        <w:gridCol w:w="8149"/>
      </w:tblGrid>
      <w:tr w14:paraId="2FB7D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97" w:hRule="atLeast"/>
        </w:trPr>
        <w:tc>
          <w:tcPr>
            <w:tcW w:w="420" w:type="pct"/>
            <w:shd w:val="clear" w:color="auto" w:fill="FFFFFF"/>
            <w:noWrap/>
            <w:vAlign w:val="center"/>
          </w:tcPr>
          <w:p w14:paraId="175DFD5B">
            <w:pPr>
              <w:widowControl/>
              <w:jc w:val="center"/>
              <w:rPr>
                <w:rFonts w:ascii="幼圆" w:hAnsi="宋体" w:eastAsia="幼圆" w:cs="宋体"/>
                <w:b/>
                <w:bCs/>
                <w:kern w:val="0"/>
                <w:sz w:val="22"/>
                <w:szCs w:val="22"/>
              </w:rPr>
            </w:pPr>
            <w:r>
              <w:rPr>
                <w:rFonts w:hint="eastAsia" w:ascii="幼圆" w:hAnsi="宋体" w:eastAsia="幼圆" w:cs="宋体"/>
                <w:b/>
                <w:bCs/>
                <w:kern w:val="0"/>
                <w:sz w:val="22"/>
                <w:szCs w:val="22"/>
              </w:rPr>
              <w:t>类型</w:t>
            </w:r>
          </w:p>
        </w:tc>
        <w:tc>
          <w:tcPr>
            <w:tcW w:w="764" w:type="pct"/>
            <w:shd w:val="clear" w:color="auto" w:fill="FFFFFF"/>
            <w:noWrap w:val="0"/>
            <w:vAlign w:val="center"/>
          </w:tcPr>
          <w:p w14:paraId="4805A2B4">
            <w:pPr>
              <w:widowControl/>
              <w:jc w:val="center"/>
              <w:rPr>
                <w:rFonts w:ascii="幼圆" w:hAnsi="宋体" w:eastAsia="幼圆" w:cs="宋体"/>
                <w:b/>
                <w:bCs/>
                <w:kern w:val="0"/>
                <w:sz w:val="22"/>
                <w:szCs w:val="22"/>
              </w:rPr>
            </w:pPr>
            <w:r>
              <w:rPr>
                <w:rFonts w:hint="eastAsia" w:ascii="幼圆" w:hAnsi="宋体" w:eastAsia="幼圆" w:cs="宋体"/>
                <w:b/>
                <w:bCs/>
                <w:kern w:val="0"/>
                <w:sz w:val="22"/>
                <w:szCs w:val="22"/>
              </w:rPr>
              <w:t>餐饮集聚区</w:t>
            </w:r>
          </w:p>
        </w:tc>
        <w:tc>
          <w:tcPr>
            <w:tcW w:w="965" w:type="pct"/>
            <w:shd w:val="clear" w:color="auto" w:fill="FFFFFF"/>
            <w:noWrap/>
            <w:vAlign w:val="center"/>
          </w:tcPr>
          <w:p w14:paraId="7631BD75">
            <w:pPr>
              <w:widowControl/>
              <w:jc w:val="center"/>
              <w:rPr>
                <w:rFonts w:ascii="幼圆" w:hAnsi="宋体" w:eastAsia="幼圆" w:cs="宋体"/>
                <w:b/>
                <w:bCs/>
                <w:kern w:val="0"/>
                <w:sz w:val="22"/>
                <w:szCs w:val="22"/>
              </w:rPr>
            </w:pPr>
            <w:r>
              <w:rPr>
                <w:rFonts w:hint="eastAsia" w:ascii="幼圆" w:hAnsi="宋体" w:eastAsia="幼圆" w:cs="宋体"/>
                <w:b/>
                <w:bCs/>
                <w:kern w:val="0"/>
                <w:sz w:val="22"/>
                <w:szCs w:val="22"/>
              </w:rPr>
              <w:t>位置</w:t>
            </w:r>
          </w:p>
        </w:tc>
        <w:tc>
          <w:tcPr>
            <w:tcW w:w="802" w:type="pct"/>
            <w:shd w:val="clear" w:color="auto" w:fill="FFFFFF"/>
            <w:noWrap w:val="0"/>
            <w:vAlign w:val="center"/>
          </w:tcPr>
          <w:p w14:paraId="3E9174CB">
            <w:pPr>
              <w:widowControl/>
              <w:jc w:val="center"/>
              <w:rPr>
                <w:rFonts w:ascii="幼圆" w:hAnsi="宋体" w:eastAsia="幼圆" w:cs="宋体"/>
                <w:b/>
                <w:bCs/>
                <w:kern w:val="0"/>
                <w:sz w:val="22"/>
                <w:szCs w:val="22"/>
              </w:rPr>
            </w:pPr>
            <w:r>
              <w:rPr>
                <w:rFonts w:hint="eastAsia" w:ascii="幼圆" w:hAnsi="宋体" w:eastAsia="幼圆" w:cs="宋体"/>
                <w:b/>
                <w:bCs/>
                <w:kern w:val="0"/>
                <w:sz w:val="22"/>
                <w:szCs w:val="22"/>
              </w:rPr>
              <w:t>主要服务人群</w:t>
            </w:r>
          </w:p>
        </w:tc>
        <w:tc>
          <w:tcPr>
            <w:tcW w:w="2046" w:type="pct"/>
            <w:shd w:val="clear" w:color="auto" w:fill="FFFFFF"/>
            <w:noWrap/>
            <w:vAlign w:val="center"/>
          </w:tcPr>
          <w:p w14:paraId="25BD5236">
            <w:pPr>
              <w:widowControl/>
              <w:jc w:val="center"/>
              <w:rPr>
                <w:rFonts w:ascii="幼圆" w:hAnsi="宋体" w:eastAsia="幼圆" w:cs="宋体"/>
                <w:b/>
                <w:bCs/>
                <w:kern w:val="0"/>
                <w:sz w:val="22"/>
                <w:szCs w:val="22"/>
              </w:rPr>
            </w:pPr>
            <w:r>
              <w:rPr>
                <w:rFonts w:hint="eastAsia" w:ascii="幼圆" w:hAnsi="宋体" w:eastAsia="幼圆" w:cs="宋体"/>
                <w:b/>
                <w:bCs/>
                <w:kern w:val="0"/>
                <w:sz w:val="22"/>
                <w:szCs w:val="22"/>
              </w:rPr>
              <w:t>发展指引</w:t>
            </w:r>
          </w:p>
        </w:tc>
      </w:tr>
      <w:tr w14:paraId="1A61C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restart"/>
            <w:shd w:val="clear" w:color="auto" w:fill="FFFFFF"/>
            <w:noWrap w:val="0"/>
            <w:vAlign w:val="center"/>
          </w:tcPr>
          <w:p w14:paraId="1F55045C">
            <w:pPr>
              <w:widowControl/>
              <w:jc w:val="center"/>
              <w:rPr>
                <w:rFonts w:ascii="幼圆" w:hAnsi="宋体" w:eastAsia="幼圆" w:cs="宋体"/>
                <w:b/>
                <w:kern w:val="0"/>
                <w:sz w:val="22"/>
                <w:szCs w:val="22"/>
              </w:rPr>
            </w:pPr>
            <w:r>
              <w:rPr>
                <w:rFonts w:hint="eastAsia" w:ascii="幼圆" w:hAnsi="宋体" w:eastAsia="幼圆" w:cs="宋体"/>
                <w:b/>
                <w:kern w:val="0"/>
                <w:sz w:val="22"/>
                <w:szCs w:val="22"/>
              </w:rPr>
              <w:t>综合型</w:t>
            </w:r>
          </w:p>
        </w:tc>
        <w:tc>
          <w:tcPr>
            <w:tcW w:w="764" w:type="pct"/>
            <w:shd w:val="clear" w:color="auto" w:fill="FFFFFF"/>
            <w:noWrap w:val="0"/>
            <w:vAlign w:val="center"/>
          </w:tcPr>
          <w:p w14:paraId="574BDA5B">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旧城西片区</w:t>
            </w:r>
          </w:p>
        </w:tc>
        <w:tc>
          <w:tcPr>
            <w:tcW w:w="965" w:type="pct"/>
            <w:shd w:val="clear" w:color="auto" w:fill="FFFFFF"/>
            <w:noWrap/>
            <w:vAlign w:val="center"/>
          </w:tcPr>
          <w:p w14:paraId="10FE7D90">
            <w:pPr>
              <w:widowControl/>
              <w:jc w:val="center"/>
              <w:rPr>
                <w:rFonts w:ascii="幼圆" w:hAnsi="宋体" w:eastAsia="幼圆" w:cs="宋体"/>
                <w:kern w:val="0"/>
                <w:sz w:val="22"/>
                <w:szCs w:val="22"/>
              </w:rPr>
            </w:pPr>
            <w:r>
              <w:rPr>
                <w:rFonts w:hint="eastAsia" w:ascii="幼圆" w:hAnsi="宋体" w:eastAsia="幼圆" w:cs="宋体"/>
                <w:kern w:val="0"/>
                <w:sz w:val="22"/>
                <w:szCs w:val="22"/>
              </w:rPr>
              <w:t>结合城区商业中心及三条美食街布局</w:t>
            </w:r>
          </w:p>
        </w:tc>
        <w:tc>
          <w:tcPr>
            <w:tcW w:w="802" w:type="pct"/>
            <w:vMerge w:val="restart"/>
            <w:shd w:val="clear" w:color="auto" w:fill="FFFFFF"/>
            <w:noWrap w:val="0"/>
            <w:vAlign w:val="center"/>
          </w:tcPr>
          <w:p w14:paraId="2620C04D">
            <w:pPr>
              <w:widowControl/>
              <w:jc w:val="center"/>
              <w:rPr>
                <w:rFonts w:ascii="幼圆" w:hAnsi="宋体" w:eastAsia="幼圆" w:cs="宋体"/>
                <w:kern w:val="0"/>
                <w:sz w:val="22"/>
                <w:szCs w:val="22"/>
              </w:rPr>
            </w:pPr>
            <w:r>
              <w:rPr>
                <w:rFonts w:hint="eastAsia" w:ascii="幼圆" w:hAnsi="宋体" w:eastAsia="幼圆" w:cs="宋体"/>
                <w:kern w:val="0"/>
                <w:sz w:val="22"/>
                <w:szCs w:val="22"/>
              </w:rPr>
              <w:t>全市居民和区域游客</w:t>
            </w:r>
          </w:p>
        </w:tc>
        <w:tc>
          <w:tcPr>
            <w:tcW w:w="2046" w:type="pct"/>
            <w:shd w:val="clear" w:color="auto" w:fill="FFFFFF"/>
            <w:noWrap/>
            <w:vAlign w:val="center"/>
          </w:tcPr>
          <w:p w14:paraId="35051402">
            <w:pPr>
              <w:widowControl/>
              <w:jc w:val="left"/>
              <w:rPr>
                <w:rFonts w:ascii="幼圆" w:hAnsi="宋体" w:eastAsia="幼圆" w:cs="宋体"/>
                <w:kern w:val="0"/>
                <w:sz w:val="22"/>
                <w:szCs w:val="22"/>
              </w:rPr>
            </w:pPr>
            <w:r>
              <w:rPr>
                <w:rFonts w:hint="eastAsia" w:ascii="幼圆" w:hAnsi="宋体" w:eastAsia="幼圆" w:cs="宋体"/>
                <w:kern w:val="0"/>
                <w:sz w:val="22"/>
                <w:szCs w:val="22"/>
              </w:rPr>
              <w:t>依托城区的商业中心基础以及自然、历史文化资源，重点发展传统特色餐饮等。</w:t>
            </w:r>
          </w:p>
        </w:tc>
      </w:tr>
      <w:tr w14:paraId="1BE04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continue"/>
            <w:shd w:val="clear" w:color="auto" w:fill="FFFFFF"/>
            <w:noWrap w:val="0"/>
            <w:vAlign w:val="center"/>
          </w:tcPr>
          <w:p w14:paraId="5F1620A3">
            <w:pPr>
              <w:widowControl/>
              <w:jc w:val="center"/>
              <w:rPr>
                <w:rFonts w:hint="eastAsia" w:ascii="幼圆" w:hAnsi="宋体" w:eastAsia="幼圆" w:cs="宋体"/>
                <w:b/>
                <w:kern w:val="0"/>
                <w:sz w:val="22"/>
                <w:szCs w:val="22"/>
              </w:rPr>
            </w:pPr>
          </w:p>
        </w:tc>
        <w:tc>
          <w:tcPr>
            <w:tcW w:w="764" w:type="pct"/>
            <w:shd w:val="clear" w:color="auto" w:fill="FFFFFF"/>
            <w:noWrap w:val="0"/>
            <w:vAlign w:val="center"/>
          </w:tcPr>
          <w:p w14:paraId="291C8F73">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品清湖片区</w:t>
            </w:r>
          </w:p>
        </w:tc>
        <w:tc>
          <w:tcPr>
            <w:tcW w:w="965" w:type="pct"/>
            <w:shd w:val="clear" w:color="auto" w:fill="FFFFFF"/>
            <w:noWrap/>
            <w:vAlign w:val="center"/>
          </w:tcPr>
          <w:p w14:paraId="698CD649">
            <w:pPr>
              <w:widowControl/>
              <w:jc w:val="center"/>
              <w:rPr>
                <w:rFonts w:hint="eastAsia" w:ascii="幼圆" w:hAnsi="宋体" w:eastAsia="幼圆" w:cs="宋体"/>
                <w:kern w:val="0"/>
                <w:sz w:val="22"/>
                <w:szCs w:val="22"/>
              </w:rPr>
            </w:pPr>
            <w:r>
              <w:rPr>
                <w:rFonts w:hint="eastAsia" w:ascii="幼圆" w:hAnsi="宋体" w:eastAsia="幼圆" w:cs="宋体"/>
                <w:kern w:val="0"/>
                <w:sz w:val="22"/>
                <w:szCs w:val="22"/>
              </w:rPr>
              <w:t>结合品清湖片区商业中心及一条休闲餐饮街布局</w:t>
            </w:r>
          </w:p>
        </w:tc>
        <w:tc>
          <w:tcPr>
            <w:tcW w:w="802" w:type="pct"/>
            <w:vMerge w:val="continue"/>
            <w:shd w:val="clear" w:color="auto" w:fill="FFFFFF"/>
            <w:noWrap w:val="0"/>
            <w:vAlign w:val="center"/>
          </w:tcPr>
          <w:p w14:paraId="29EF07F9">
            <w:pPr>
              <w:widowControl/>
              <w:jc w:val="center"/>
              <w:rPr>
                <w:rFonts w:hint="eastAsia" w:ascii="幼圆" w:hAnsi="宋体" w:eastAsia="幼圆" w:cs="宋体"/>
                <w:kern w:val="0"/>
                <w:sz w:val="22"/>
                <w:szCs w:val="22"/>
              </w:rPr>
            </w:pPr>
          </w:p>
        </w:tc>
        <w:tc>
          <w:tcPr>
            <w:tcW w:w="2046" w:type="pct"/>
            <w:shd w:val="clear" w:color="auto" w:fill="FFFFFF"/>
            <w:noWrap/>
            <w:vAlign w:val="center"/>
          </w:tcPr>
          <w:p w14:paraId="06B42367">
            <w:pPr>
              <w:widowControl/>
              <w:jc w:val="left"/>
              <w:rPr>
                <w:rFonts w:hint="eastAsia" w:ascii="幼圆" w:hAnsi="宋体" w:eastAsia="幼圆" w:cs="宋体"/>
                <w:kern w:val="0"/>
                <w:sz w:val="22"/>
                <w:szCs w:val="22"/>
              </w:rPr>
            </w:pPr>
            <w:r>
              <w:rPr>
                <w:rFonts w:hint="eastAsia" w:ascii="幼圆" w:hAnsi="宋体" w:eastAsia="幼圆" w:cs="宋体"/>
                <w:kern w:val="0"/>
                <w:sz w:val="22"/>
                <w:szCs w:val="22"/>
              </w:rPr>
              <w:t>依托水系，重点建设休闲餐饮街，以休闲、异国风情为基调，发展现代中高档餐饮。</w:t>
            </w:r>
          </w:p>
        </w:tc>
      </w:tr>
      <w:tr w14:paraId="7E9F7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restart"/>
            <w:shd w:val="clear" w:color="auto" w:fill="FFFFFF"/>
            <w:noWrap w:val="0"/>
            <w:vAlign w:val="center"/>
          </w:tcPr>
          <w:p w14:paraId="04B462D9">
            <w:pPr>
              <w:widowControl/>
              <w:jc w:val="center"/>
              <w:rPr>
                <w:rFonts w:hint="eastAsia" w:ascii="幼圆" w:hAnsi="宋体" w:eastAsia="幼圆" w:cs="宋体"/>
                <w:b/>
                <w:kern w:val="0"/>
                <w:sz w:val="22"/>
                <w:szCs w:val="22"/>
              </w:rPr>
            </w:pPr>
            <w:r>
              <w:rPr>
                <w:rFonts w:hint="eastAsia" w:ascii="幼圆" w:hAnsi="宋体" w:eastAsia="幼圆" w:cs="宋体"/>
                <w:b/>
                <w:kern w:val="0"/>
                <w:sz w:val="22"/>
                <w:szCs w:val="22"/>
              </w:rPr>
              <w:t>旅游型</w:t>
            </w:r>
          </w:p>
        </w:tc>
        <w:tc>
          <w:tcPr>
            <w:tcW w:w="764" w:type="pct"/>
            <w:shd w:val="clear" w:color="auto" w:fill="FFFFFF"/>
            <w:noWrap w:val="0"/>
            <w:vAlign w:val="center"/>
          </w:tcPr>
          <w:p w14:paraId="7E605527">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金町湾片区</w:t>
            </w:r>
          </w:p>
        </w:tc>
        <w:tc>
          <w:tcPr>
            <w:tcW w:w="965" w:type="pct"/>
            <w:shd w:val="clear" w:color="auto" w:fill="FFFFFF"/>
            <w:noWrap/>
            <w:vAlign w:val="center"/>
          </w:tcPr>
          <w:p w14:paraId="30719533">
            <w:pPr>
              <w:widowControl/>
              <w:jc w:val="center"/>
              <w:rPr>
                <w:rFonts w:hint="eastAsia" w:ascii="幼圆" w:hAnsi="宋体" w:eastAsia="幼圆" w:cs="宋体"/>
                <w:kern w:val="0"/>
                <w:sz w:val="22"/>
                <w:szCs w:val="22"/>
              </w:rPr>
            </w:pPr>
            <w:r>
              <w:rPr>
                <w:rFonts w:hint="eastAsia" w:ascii="幼圆" w:hAnsi="宋体" w:eastAsia="幼圆" w:cs="宋体"/>
                <w:kern w:val="0"/>
                <w:sz w:val="22"/>
                <w:szCs w:val="22"/>
              </w:rPr>
              <w:t>结合金町湾滨海旅游、地产项目布局及一条餐饮街布局</w:t>
            </w:r>
          </w:p>
        </w:tc>
        <w:tc>
          <w:tcPr>
            <w:tcW w:w="802" w:type="pct"/>
            <w:vMerge w:val="restart"/>
            <w:shd w:val="clear" w:color="auto" w:fill="FFFFFF"/>
            <w:noWrap w:val="0"/>
            <w:vAlign w:val="center"/>
          </w:tcPr>
          <w:p w14:paraId="30B5DD7F">
            <w:pPr>
              <w:widowControl/>
              <w:jc w:val="center"/>
              <w:rPr>
                <w:rFonts w:hint="eastAsia" w:ascii="幼圆" w:hAnsi="宋体" w:eastAsia="幼圆" w:cs="宋体"/>
                <w:kern w:val="0"/>
                <w:sz w:val="22"/>
                <w:szCs w:val="22"/>
              </w:rPr>
            </w:pPr>
            <w:r>
              <w:rPr>
                <w:rFonts w:hint="eastAsia" w:ascii="幼圆" w:hAnsi="宋体" w:eastAsia="幼圆" w:cs="宋体"/>
                <w:kern w:val="0"/>
                <w:sz w:val="22"/>
                <w:szCs w:val="22"/>
              </w:rPr>
              <w:t>片区居民和区域游客</w:t>
            </w:r>
          </w:p>
        </w:tc>
        <w:tc>
          <w:tcPr>
            <w:tcW w:w="2046" w:type="pct"/>
            <w:shd w:val="clear" w:color="auto" w:fill="FFFFFF"/>
            <w:noWrap/>
            <w:vAlign w:val="center"/>
          </w:tcPr>
          <w:p w14:paraId="3B10C73D">
            <w:pPr>
              <w:widowControl/>
              <w:jc w:val="left"/>
              <w:rPr>
                <w:rFonts w:hint="eastAsia" w:ascii="幼圆" w:hAnsi="宋体" w:eastAsia="幼圆" w:cs="宋体"/>
                <w:kern w:val="0"/>
                <w:sz w:val="22"/>
                <w:szCs w:val="22"/>
              </w:rPr>
            </w:pPr>
            <w:r>
              <w:rPr>
                <w:rFonts w:hint="eastAsia" w:ascii="幼圆" w:hAnsi="宋体" w:eastAsia="幼圆" w:cs="宋体"/>
                <w:kern w:val="0"/>
                <w:sz w:val="22"/>
                <w:szCs w:val="22"/>
              </w:rPr>
              <w:t>依托滨海旅游及地产项目，重点发展滨海特色餐饮，休闲体验式餐饮。</w:t>
            </w:r>
          </w:p>
        </w:tc>
      </w:tr>
      <w:tr w14:paraId="5E348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continue"/>
            <w:shd w:val="clear" w:color="auto" w:fill="FFFFFF"/>
            <w:noWrap w:val="0"/>
            <w:vAlign w:val="center"/>
          </w:tcPr>
          <w:p w14:paraId="42736FAE">
            <w:pPr>
              <w:widowControl/>
              <w:jc w:val="center"/>
              <w:rPr>
                <w:rFonts w:hint="eastAsia" w:ascii="幼圆" w:hAnsi="宋体" w:eastAsia="幼圆" w:cs="宋体"/>
                <w:b/>
                <w:kern w:val="0"/>
                <w:sz w:val="22"/>
                <w:szCs w:val="22"/>
              </w:rPr>
            </w:pPr>
          </w:p>
        </w:tc>
        <w:tc>
          <w:tcPr>
            <w:tcW w:w="764" w:type="pct"/>
            <w:shd w:val="clear" w:color="auto" w:fill="FFFFFF"/>
            <w:noWrap w:val="0"/>
            <w:vAlign w:val="center"/>
          </w:tcPr>
          <w:p w14:paraId="26B37775">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遮浪片区</w:t>
            </w:r>
          </w:p>
        </w:tc>
        <w:tc>
          <w:tcPr>
            <w:tcW w:w="965" w:type="pct"/>
            <w:shd w:val="clear" w:color="auto" w:fill="FFFFFF"/>
            <w:noWrap/>
            <w:vAlign w:val="center"/>
          </w:tcPr>
          <w:p w14:paraId="5D73E91A">
            <w:pPr>
              <w:widowControl/>
              <w:jc w:val="center"/>
              <w:rPr>
                <w:rFonts w:hint="eastAsia" w:ascii="幼圆" w:hAnsi="宋体" w:eastAsia="幼圆" w:cs="宋体"/>
                <w:kern w:val="0"/>
                <w:sz w:val="22"/>
                <w:szCs w:val="22"/>
              </w:rPr>
            </w:pPr>
            <w:r>
              <w:rPr>
                <w:rFonts w:hint="eastAsia" w:ascii="幼圆" w:hAnsi="宋体" w:eastAsia="幼圆" w:cs="宋体"/>
                <w:kern w:val="0"/>
                <w:sz w:val="22"/>
                <w:szCs w:val="22"/>
              </w:rPr>
              <w:t>结合红海湾旅游项目布局及两条餐饮街布局</w:t>
            </w:r>
          </w:p>
        </w:tc>
        <w:tc>
          <w:tcPr>
            <w:tcW w:w="802" w:type="pct"/>
            <w:vMerge w:val="continue"/>
            <w:shd w:val="clear" w:color="auto" w:fill="FFFFFF"/>
            <w:noWrap w:val="0"/>
            <w:vAlign w:val="center"/>
          </w:tcPr>
          <w:p w14:paraId="22B3EE20">
            <w:pPr>
              <w:widowControl/>
              <w:jc w:val="center"/>
              <w:rPr>
                <w:rFonts w:hint="eastAsia" w:ascii="幼圆" w:hAnsi="宋体" w:eastAsia="幼圆" w:cs="宋体"/>
                <w:kern w:val="0"/>
                <w:sz w:val="22"/>
                <w:szCs w:val="22"/>
              </w:rPr>
            </w:pPr>
          </w:p>
        </w:tc>
        <w:tc>
          <w:tcPr>
            <w:tcW w:w="2046" w:type="pct"/>
            <w:shd w:val="clear" w:color="auto" w:fill="FFFFFF"/>
            <w:noWrap/>
            <w:vAlign w:val="center"/>
          </w:tcPr>
          <w:p w14:paraId="39BBAA15">
            <w:pPr>
              <w:widowControl/>
              <w:jc w:val="left"/>
              <w:rPr>
                <w:rFonts w:hint="eastAsia" w:ascii="幼圆" w:hAnsi="宋体" w:eastAsia="幼圆" w:cs="宋体"/>
                <w:kern w:val="0"/>
                <w:sz w:val="22"/>
                <w:szCs w:val="22"/>
              </w:rPr>
            </w:pPr>
            <w:r>
              <w:rPr>
                <w:rFonts w:hint="eastAsia" w:ascii="幼圆" w:hAnsi="宋体" w:eastAsia="幼圆" w:cs="宋体"/>
                <w:kern w:val="0"/>
                <w:sz w:val="22"/>
                <w:szCs w:val="22"/>
              </w:rPr>
              <w:t>依托旅游项目，重点发展滨海特色餐饮，主题餐饮等。</w:t>
            </w:r>
          </w:p>
        </w:tc>
      </w:tr>
      <w:tr w14:paraId="5EF89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shd w:val="clear" w:color="auto" w:fill="FFFFFF"/>
            <w:noWrap w:val="0"/>
            <w:vAlign w:val="center"/>
          </w:tcPr>
          <w:p w14:paraId="2B16DB9C">
            <w:pPr>
              <w:widowControl/>
              <w:jc w:val="center"/>
              <w:rPr>
                <w:rFonts w:ascii="幼圆" w:hAnsi="宋体" w:eastAsia="幼圆" w:cs="宋体"/>
                <w:b/>
                <w:kern w:val="0"/>
                <w:sz w:val="22"/>
                <w:szCs w:val="22"/>
              </w:rPr>
            </w:pPr>
            <w:r>
              <w:rPr>
                <w:rFonts w:hint="eastAsia" w:ascii="幼圆" w:hAnsi="宋体" w:eastAsia="幼圆" w:cs="宋体"/>
                <w:b/>
                <w:kern w:val="0"/>
                <w:sz w:val="22"/>
                <w:szCs w:val="22"/>
              </w:rPr>
              <w:t>商务型</w:t>
            </w:r>
          </w:p>
        </w:tc>
        <w:tc>
          <w:tcPr>
            <w:tcW w:w="764" w:type="pct"/>
            <w:shd w:val="clear" w:color="auto" w:fill="FFFFFF"/>
            <w:noWrap w:val="0"/>
            <w:vAlign w:val="center"/>
          </w:tcPr>
          <w:p w14:paraId="2FD6F8F8">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站前片区</w:t>
            </w:r>
          </w:p>
        </w:tc>
        <w:tc>
          <w:tcPr>
            <w:tcW w:w="965" w:type="pct"/>
            <w:shd w:val="clear" w:color="auto" w:fill="FFFFFF"/>
            <w:noWrap/>
            <w:vAlign w:val="center"/>
          </w:tcPr>
          <w:p w14:paraId="2845418A">
            <w:pPr>
              <w:widowControl/>
              <w:jc w:val="center"/>
              <w:rPr>
                <w:rFonts w:ascii="幼圆" w:hAnsi="宋体" w:eastAsia="幼圆" w:cs="宋体"/>
                <w:kern w:val="0"/>
                <w:sz w:val="22"/>
                <w:szCs w:val="22"/>
              </w:rPr>
            </w:pPr>
            <w:r>
              <w:rPr>
                <w:rFonts w:hint="eastAsia" w:ascii="幼圆" w:hAnsi="宋体" w:eastAsia="幼圆" w:cs="宋体"/>
                <w:kern w:val="0"/>
                <w:sz w:val="22"/>
                <w:szCs w:val="22"/>
              </w:rPr>
              <w:t>结合火车站商务中心布局</w:t>
            </w:r>
          </w:p>
        </w:tc>
        <w:tc>
          <w:tcPr>
            <w:tcW w:w="802" w:type="pct"/>
            <w:shd w:val="clear" w:color="auto" w:fill="FFFFFF"/>
            <w:noWrap w:val="0"/>
            <w:vAlign w:val="center"/>
          </w:tcPr>
          <w:p w14:paraId="64765498">
            <w:pPr>
              <w:widowControl/>
              <w:jc w:val="center"/>
              <w:rPr>
                <w:rFonts w:ascii="幼圆" w:hAnsi="宋体" w:eastAsia="幼圆" w:cs="宋体"/>
                <w:kern w:val="0"/>
                <w:sz w:val="22"/>
                <w:szCs w:val="22"/>
              </w:rPr>
            </w:pPr>
            <w:r>
              <w:rPr>
                <w:rFonts w:hint="eastAsia" w:ascii="幼圆" w:hAnsi="宋体" w:eastAsia="幼圆" w:cs="宋体"/>
                <w:kern w:val="0"/>
                <w:sz w:val="22"/>
                <w:szCs w:val="22"/>
              </w:rPr>
              <w:t>高端人群及商务人士</w:t>
            </w:r>
          </w:p>
        </w:tc>
        <w:tc>
          <w:tcPr>
            <w:tcW w:w="2046" w:type="pct"/>
            <w:shd w:val="clear" w:color="auto" w:fill="FFFFFF"/>
            <w:noWrap/>
            <w:vAlign w:val="center"/>
          </w:tcPr>
          <w:p w14:paraId="079ABA4C">
            <w:pPr>
              <w:widowControl/>
              <w:jc w:val="left"/>
              <w:rPr>
                <w:rFonts w:ascii="幼圆" w:hAnsi="宋体" w:eastAsia="幼圆" w:cs="宋体"/>
                <w:kern w:val="0"/>
                <w:sz w:val="22"/>
                <w:szCs w:val="22"/>
              </w:rPr>
            </w:pPr>
            <w:r>
              <w:rPr>
                <w:rFonts w:hint="eastAsia" w:ascii="幼圆" w:hAnsi="宋体" w:eastAsia="幼圆" w:cs="宋体"/>
                <w:kern w:val="0"/>
                <w:sz w:val="22"/>
                <w:szCs w:val="22"/>
              </w:rPr>
              <w:t>重点发展中高档中西餐、各国风味饮食等，普通地方餐饮为辅。</w:t>
            </w:r>
          </w:p>
        </w:tc>
      </w:tr>
      <w:tr w14:paraId="2DDC8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restart"/>
            <w:shd w:val="clear" w:color="auto" w:fill="FFFFFF"/>
            <w:noWrap w:val="0"/>
            <w:vAlign w:val="center"/>
          </w:tcPr>
          <w:p w14:paraId="3A60B22E">
            <w:pPr>
              <w:widowControl/>
              <w:jc w:val="center"/>
              <w:rPr>
                <w:rFonts w:ascii="幼圆" w:hAnsi="宋体" w:eastAsia="幼圆" w:cs="宋体"/>
                <w:b/>
                <w:kern w:val="0"/>
                <w:sz w:val="22"/>
                <w:szCs w:val="22"/>
              </w:rPr>
            </w:pPr>
            <w:r>
              <w:rPr>
                <w:rFonts w:hint="eastAsia" w:ascii="幼圆" w:hAnsi="宋体" w:eastAsia="幼圆" w:cs="宋体"/>
                <w:b/>
                <w:kern w:val="0"/>
                <w:sz w:val="22"/>
                <w:szCs w:val="22"/>
              </w:rPr>
              <w:t>产业型</w:t>
            </w:r>
          </w:p>
        </w:tc>
        <w:tc>
          <w:tcPr>
            <w:tcW w:w="764" w:type="pct"/>
            <w:shd w:val="clear" w:color="auto" w:fill="FFFFFF"/>
            <w:noWrap w:val="0"/>
            <w:vAlign w:val="center"/>
          </w:tcPr>
          <w:p w14:paraId="623F3A78">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湖田片区</w:t>
            </w:r>
          </w:p>
        </w:tc>
        <w:tc>
          <w:tcPr>
            <w:tcW w:w="965" w:type="pct"/>
            <w:vMerge w:val="restart"/>
            <w:shd w:val="clear" w:color="auto" w:fill="FFFFFF"/>
            <w:noWrap/>
            <w:vAlign w:val="center"/>
          </w:tcPr>
          <w:p w14:paraId="3F38C2FB">
            <w:pPr>
              <w:widowControl/>
              <w:jc w:val="center"/>
              <w:rPr>
                <w:rFonts w:ascii="幼圆" w:hAnsi="宋体" w:eastAsia="幼圆" w:cs="宋体"/>
                <w:kern w:val="0"/>
                <w:sz w:val="22"/>
                <w:szCs w:val="22"/>
              </w:rPr>
            </w:pPr>
            <w:r>
              <w:rPr>
                <w:rFonts w:hint="eastAsia" w:ascii="幼圆" w:hAnsi="宋体" w:eastAsia="幼圆" w:cs="宋体"/>
                <w:kern w:val="0"/>
                <w:sz w:val="22"/>
                <w:szCs w:val="22"/>
              </w:rPr>
              <w:t>结合片区商业中心布局</w:t>
            </w:r>
          </w:p>
        </w:tc>
        <w:tc>
          <w:tcPr>
            <w:tcW w:w="802" w:type="pct"/>
            <w:vMerge w:val="restart"/>
            <w:shd w:val="clear" w:color="auto" w:fill="FFFFFF"/>
            <w:noWrap w:val="0"/>
            <w:vAlign w:val="center"/>
          </w:tcPr>
          <w:p w14:paraId="6C09D4AA">
            <w:pPr>
              <w:widowControl/>
              <w:jc w:val="center"/>
              <w:rPr>
                <w:rFonts w:ascii="幼圆" w:hAnsi="宋体" w:eastAsia="幼圆" w:cs="宋体"/>
                <w:kern w:val="0"/>
                <w:sz w:val="22"/>
                <w:szCs w:val="22"/>
              </w:rPr>
            </w:pPr>
            <w:r>
              <w:rPr>
                <w:rFonts w:hint="eastAsia" w:ascii="幼圆" w:hAnsi="宋体" w:eastAsia="幼圆" w:cs="宋体"/>
                <w:kern w:val="0"/>
                <w:sz w:val="22"/>
                <w:szCs w:val="22"/>
              </w:rPr>
              <w:t>产业员工及周边居民</w:t>
            </w:r>
          </w:p>
        </w:tc>
        <w:tc>
          <w:tcPr>
            <w:tcW w:w="2046" w:type="pct"/>
            <w:vMerge w:val="restart"/>
            <w:shd w:val="clear" w:color="auto" w:fill="FFFFFF"/>
            <w:noWrap/>
            <w:vAlign w:val="center"/>
          </w:tcPr>
          <w:p w14:paraId="6E601A64">
            <w:pPr>
              <w:widowControl/>
              <w:jc w:val="left"/>
              <w:rPr>
                <w:rFonts w:ascii="幼圆" w:hAnsi="宋体" w:eastAsia="幼圆" w:cs="宋体"/>
                <w:kern w:val="0"/>
                <w:sz w:val="22"/>
                <w:szCs w:val="22"/>
              </w:rPr>
            </w:pPr>
            <w:r>
              <w:rPr>
                <w:rFonts w:hint="eastAsia" w:ascii="幼圆" w:hAnsi="宋体" w:eastAsia="幼圆" w:cs="宋体"/>
                <w:kern w:val="0"/>
                <w:sz w:val="22"/>
                <w:szCs w:val="22"/>
              </w:rPr>
              <w:t>定位于大众化消费，主要满足居民及职工日常就餐需求。</w:t>
            </w:r>
          </w:p>
        </w:tc>
      </w:tr>
      <w:tr w14:paraId="0C057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continue"/>
            <w:shd w:val="clear" w:color="auto" w:fill="FFFFFF"/>
            <w:noWrap w:val="0"/>
            <w:vAlign w:val="center"/>
          </w:tcPr>
          <w:p w14:paraId="2AC414CB">
            <w:pPr>
              <w:widowControl/>
              <w:jc w:val="center"/>
              <w:rPr>
                <w:rFonts w:hint="eastAsia" w:ascii="幼圆" w:hAnsi="宋体" w:eastAsia="幼圆" w:cs="宋体"/>
                <w:b/>
                <w:kern w:val="0"/>
                <w:sz w:val="22"/>
                <w:szCs w:val="22"/>
              </w:rPr>
            </w:pPr>
          </w:p>
        </w:tc>
        <w:tc>
          <w:tcPr>
            <w:tcW w:w="764" w:type="pct"/>
            <w:shd w:val="clear" w:color="auto" w:fill="FFFFFF"/>
            <w:noWrap w:val="0"/>
            <w:vAlign w:val="center"/>
          </w:tcPr>
          <w:p w14:paraId="02B87D11">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红草片区</w:t>
            </w:r>
          </w:p>
        </w:tc>
        <w:tc>
          <w:tcPr>
            <w:tcW w:w="965" w:type="pct"/>
            <w:vMerge w:val="continue"/>
            <w:shd w:val="clear" w:color="auto" w:fill="FFFFFF"/>
            <w:noWrap/>
            <w:vAlign w:val="center"/>
          </w:tcPr>
          <w:p w14:paraId="31048400">
            <w:pPr>
              <w:widowControl/>
              <w:jc w:val="center"/>
              <w:rPr>
                <w:rFonts w:ascii="幼圆" w:hAnsi="宋体" w:eastAsia="幼圆" w:cs="宋体"/>
                <w:kern w:val="0"/>
                <w:sz w:val="22"/>
                <w:szCs w:val="22"/>
              </w:rPr>
            </w:pPr>
          </w:p>
        </w:tc>
        <w:tc>
          <w:tcPr>
            <w:tcW w:w="802" w:type="pct"/>
            <w:vMerge w:val="continue"/>
            <w:shd w:val="clear" w:color="auto" w:fill="FFFFFF"/>
            <w:noWrap w:val="0"/>
            <w:vAlign w:val="center"/>
          </w:tcPr>
          <w:p w14:paraId="68269E15">
            <w:pPr>
              <w:widowControl/>
              <w:jc w:val="center"/>
              <w:rPr>
                <w:rFonts w:hint="eastAsia" w:ascii="幼圆" w:hAnsi="宋体" w:eastAsia="幼圆" w:cs="宋体"/>
                <w:kern w:val="0"/>
                <w:sz w:val="22"/>
                <w:szCs w:val="22"/>
              </w:rPr>
            </w:pPr>
          </w:p>
        </w:tc>
        <w:tc>
          <w:tcPr>
            <w:tcW w:w="2046" w:type="pct"/>
            <w:vMerge w:val="continue"/>
            <w:shd w:val="clear" w:color="auto" w:fill="FFFFFF"/>
            <w:noWrap/>
            <w:vAlign w:val="center"/>
          </w:tcPr>
          <w:p w14:paraId="2F564E8A">
            <w:pPr>
              <w:widowControl/>
              <w:jc w:val="left"/>
              <w:rPr>
                <w:rFonts w:hint="eastAsia" w:ascii="幼圆" w:hAnsi="宋体" w:eastAsia="幼圆" w:cs="宋体"/>
                <w:kern w:val="0"/>
                <w:sz w:val="22"/>
                <w:szCs w:val="22"/>
              </w:rPr>
            </w:pPr>
          </w:p>
        </w:tc>
      </w:tr>
      <w:tr w14:paraId="5C12F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restart"/>
            <w:shd w:val="clear" w:color="auto" w:fill="FFFFFF"/>
            <w:noWrap w:val="0"/>
            <w:vAlign w:val="center"/>
          </w:tcPr>
          <w:p w14:paraId="28879809">
            <w:pPr>
              <w:widowControl/>
              <w:jc w:val="center"/>
              <w:rPr>
                <w:rFonts w:ascii="幼圆" w:hAnsi="宋体" w:eastAsia="幼圆" w:cs="宋体"/>
                <w:b/>
                <w:kern w:val="0"/>
                <w:sz w:val="22"/>
                <w:szCs w:val="22"/>
              </w:rPr>
            </w:pPr>
            <w:r>
              <w:rPr>
                <w:rFonts w:hint="eastAsia" w:ascii="幼圆" w:hAnsi="宋体" w:eastAsia="幼圆" w:cs="宋体"/>
                <w:b/>
                <w:kern w:val="0"/>
                <w:sz w:val="22"/>
                <w:szCs w:val="22"/>
              </w:rPr>
              <w:t>生活型</w:t>
            </w:r>
          </w:p>
        </w:tc>
        <w:tc>
          <w:tcPr>
            <w:tcW w:w="764" w:type="pct"/>
            <w:shd w:val="clear" w:color="auto" w:fill="FFFFFF"/>
            <w:noWrap w:val="0"/>
            <w:vAlign w:val="center"/>
          </w:tcPr>
          <w:p w14:paraId="6846DDEB">
            <w:pPr>
              <w:jc w:val="center"/>
              <w:rPr>
                <w:rFonts w:hint="eastAsia" w:ascii="幼圆" w:hAnsi="宋体" w:eastAsia="幼圆" w:cs="宋体"/>
                <w:kern w:val="0"/>
                <w:sz w:val="22"/>
                <w:szCs w:val="22"/>
              </w:rPr>
            </w:pPr>
            <w:r>
              <w:rPr>
                <w:rFonts w:hint="eastAsia" w:ascii="幼圆" w:hAnsi="宋体" w:eastAsia="幼圆" w:cs="宋体"/>
                <w:kern w:val="0"/>
                <w:sz w:val="22"/>
                <w:szCs w:val="22"/>
              </w:rPr>
              <w:t>马宫片区</w:t>
            </w:r>
          </w:p>
        </w:tc>
        <w:tc>
          <w:tcPr>
            <w:tcW w:w="965" w:type="pct"/>
            <w:vMerge w:val="restart"/>
            <w:shd w:val="clear" w:color="auto" w:fill="FFFFFF"/>
            <w:noWrap/>
            <w:vAlign w:val="center"/>
          </w:tcPr>
          <w:p w14:paraId="64E6089A">
            <w:pPr>
              <w:widowControl/>
              <w:jc w:val="center"/>
              <w:rPr>
                <w:rFonts w:ascii="幼圆" w:hAnsi="宋体" w:eastAsia="幼圆" w:cs="宋体"/>
                <w:kern w:val="0"/>
                <w:sz w:val="22"/>
                <w:szCs w:val="22"/>
              </w:rPr>
            </w:pPr>
            <w:r>
              <w:rPr>
                <w:rFonts w:hint="eastAsia" w:ascii="幼圆" w:hAnsi="宋体" w:eastAsia="幼圆" w:cs="宋体"/>
                <w:kern w:val="0"/>
                <w:sz w:val="22"/>
                <w:szCs w:val="22"/>
              </w:rPr>
              <w:t>结合片区商业中心布局</w:t>
            </w:r>
          </w:p>
        </w:tc>
        <w:tc>
          <w:tcPr>
            <w:tcW w:w="802" w:type="pct"/>
            <w:vMerge w:val="restart"/>
            <w:shd w:val="clear" w:color="auto" w:fill="FFFFFF"/>
            <w:noWrap w:val="0"/>
            <w:vAlign w:val="center"/>
          </w:tcPr>
          <w:p w14:paraId="16E25D04">
            <w:pPr>
              <w:widowControl/>
              <w:jc w:val="center"/>
              <w:rPr>
                <w:rFonts w:ascii="幼圆" w:hAnsi="宋体" w:eastAsia="幼圆" w:cs="宋体"/>
                <w:kern w:val="0"/>
                <w:sz w:val="22"/>
                <w:szCs w:val="22"/>
              </w:rPr>
            </w:pPr>
            <w:r>
              <w:rPr>
                <w:rFonts w:hint="eastAsia" w:ascii="幼圆" w:hAnsi="宋体" w:eastAsia="幼圆" w:cs="宋体"/>
                <w:kern w:val="0"/>
                <w:sz w:val="22"/>
                <w:szCs w:val="22"/>
              </w:rPr>
              <w:t>主要为片区居民</w:t>
            </w:r>
          </w:p>
        </w:tc>
        <w:tc>
          <w:tcPr>
            <w:tcW w:w="2046" w:type="pct"/>
            <w:vMerge w:val="restart"/>
            <w:shd w:val="clear" w:color="auto" w:fill="FFFFFF"/>
            <w:noWrap/>
            <w:vAlign w:val="center"/>
          </w:tcPr>
          <w:p w14:paraId="24ED73E4">
            <w:pPr>
              <w:widowControl/>
              <w:jc w:val="left"/>
              <w:rPr>
                <w:rFonts w:ascii="幼圆" w:hAnsi="宋体" w:eastAsia="幼圆" w:cs="宋体"/>
                <w:kern w:val="0"/>
                <w:sz w:val="22"/>
                <w:szCs w:val="22"/>
              </w:rPr>
            </w:pPr>
            <w:r>
              <w:rPr>
                <w:rFonts w:hint="eastAsia" w:ascii="幼圆" w:hAnsi="宋体" w:eastAsia="幼圆" w:cs="宋体"/>
                <w:kern w:val="0"/>
                <w:sz w:val="22"/>
                <w:szCs w:val="22"/>
              </w:rPr>
              <w:t>依托良好的自然资源、景观条件，发展民族特色餐饮、农家菜、传统家常菜等。</w:t>
            </w:r>
          </w:p>
        </w:tc>
      </w:tr>
      <w:tr w14:paraId="5C668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continue"/>
            <w:shd w:val="clear" w:color="auto" w:fill="FFFFFF"/>
            <w:noWrap w:val="0"/>
            <w:vAlign w:val="center"/>
          </w:tcPr>
          <w:p w14:paraId="2972EA7F">
            <w:pPr>
              <w:widowControl/>
              <w:jc w:val="center"/>
              <w:rPr>
                <w:rFonts w:hint="eastAsia" w:ascii="幼圆" w:hAnsi="宋体" w:eastAsia="幼圆" w:cs="宋体"/>
                <w:b/>
                <w:kern w:val="0"/>
                <w:sz w:val="22"/>
                <w:szCs w:val="22"/>
              </w:rPr>
            </w:pPr>
          </w:p>
        </w:tc>
        <w:tc>
          <w:tcPr>
            <w:tcW w:w="764" w:type="pct"/>
            <w:shd w:val="clear" w:color="auto" w:fill="FFFFFF"/>
            <w:noWrap w:val="0"/>
            <w:vAlign w:val="center"/>
          </w:tcPr>
          <w:p w14:paraId="5C237EFA">
            <w:pPr>
              <w:jc w:val="center"/>
              <w:rPr>
                <w:rFonts w:hint="eastAsia" w:ascii="幼圆" w:hAnsi="宋体" w:eastAsia="幼圆" w:cs="宋体"/>
                <w:kern w:val="0"/>
                <w:sz w:val="22"/>
                <w:szCs w:val="22"/>
              </w:rPr>
            </w:pPr>
            <w:r>
              <w:rPr>
                <w:rFonts w:hint="eastAsia" w:ascii="幼圆" w:hAnsi="宋体" w:eastAsia="幼圆" w:cs="宋体"/>
                <w:kern w:val="0"/>
                <w:sz w:val="22"/>
                <w:szCs w:val="22"/>
              </w:rPr>
              <w:t>城东组团</w:t>
            </w:r>
          </w:p>
        </w:tc>
        <w:tc>
          <w:tcPr>
            <w:tcW w:w="965" w:type="pct"/>
            <w:vMerge w:val="continue"/>
            <w:shd w:val="clear" w:color="auto" w:fill="FFFFFF"/>
            <w:noWrap/>
            <w:vAlign w:val="center"/>
          </w:tcPr>
          <w:p w14:paraId="7354A0FE">
            <w:pPr>
              <w:jc w:val="center"/>
              <w:rPr>
                <w:rFonts w:ascii="幼圆" w:hAnsi="宋体" w:eastAsia="幼圆" w:cs="宋体"/>
                <w:kern w:val="0"/>
                <w:sz w:val="22"/>
                <w:szCs w:val="22"/>
              </w:rPr>
            </w:pPr>
          </w:p>
        </w:tc>
        <w:tc>
          <w:tcPr>
            <w:tcW w:w="802" w:type="pct"/>
            <w:vMerge w:val="continue"/>
            <w:shd w:val="clear" w:color="auto" w:fill="FFFFFF"/>
            <w:noWrap w:val="0"/>
            <w:vAlign w:val="center"/>
          </w:tcPr>
          <w:p w14:paraId="2EBAF869">
            <w:pPr>
              <w:widowControl/>
              <w:jc w:val="left"/>
              <w:rPr>
                <w:rFonts w:ascii="幼圆" w:hAnsi="宋体" w:eastAsia="幼圆" w:cs="宋体"/>
                <w:kern w:val="0"/>
                <w:sz w:val="22"/>
                <w:szCs w:val="22"/>
              </w:rPr>
            </w:pPr>
          </w:p>
        </w:tc>
        <w:tc>
          <w:tcPr>
            <w:tcW w:w="2046" w:type="pct"/>
            <w:vMerge w:val="continue"/>
            <w:shd w:val="clear" w:color="auto" w:fill="FFFFFF"/>
            <w:noWrap/>
            <w:vAlign w:val="center"/>
          </w:tcPr>
          <w:p w14:paraId="068B9F05">
            <w:pPr>
              <w:widowControl/>
              <w:jc w:val="left"/>
              <w:rPr>
                <w:rFonts w:hint="eastAsia" w:ascii="幼圆" w:hAnsi="宋体" w:eastAsia="幼圆" w:cs="宋体"/>
                <w:kern w:val="0"/>
                <w:sz w:val="22"/>
                <w:szCs w:val="22"/>
              </w:rPr>
            </w:pPr>
          </w:p>
        </w:tc>
      </w:tr>
      <w:tr w14:paraId="08224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continue"/>
            <w:shd w:val="clear" w:color="auto" w:fill="FFFFFF"/>
            <w:noWrap w:val="0"/>
            <w:vAlign w:val="center"/>
          </w:tcPr>
          <w:p w14:paraId="56ACD05A">
            <w:pPr>
              <w:widowControl/>
              <w:jc w:val="center"/>
              <w:rPr>
                <w:rFonts w:hint="eastAsia" w:ascii="幼圆" w:hAnsi="宋体" w:eastAsia="幼圆" w:cs="宋体"/>
                <w:b/>
                <w:kern w:val="0"/>
                <w:sz w:val="22"/>
                <w:szCs w:val="22"/>
              </w:rPr>
            </w:pPr>
          </w:p>
        </w:tc>
        <w:tc>
          <w:tcPr>
            <w:tcW w:w="764" w:type="pct"/>
            <w:shd w:val="clear" w:color="auto" w:fill="FFFFFF"/>
            <w:noWrap w:val="0"/>
            <w:vAlign w:val="center"/>
          </w:tcPr>
          <w:p w14:paraId="47AFB24F">
            <w:pPr>
              <w:jc w:val="center"/>
              <w:rPr>
                <w:rFonts w:hint="eastAsia" w:ascii="幼圆" w:hAnsi="宋体" w:eastAsia="幼圆" w:cs="宋体"/>
                <w:kern w:val="0"/>
                <w:sz w:val="22"/>
                <w:szCs w:val="22"/>
              </w:rPr>
            </w:pPr>
            <w:r>
              <w:rPr>
                <w:rFonts w:hint="eastAsia" w:ascii="幼圆" w:hAnsi="宋体" w:eastAsia="幼圆" w:cs="宋体"/>
                <w:kern w:val="0"/>
                <w:sz w:val="22"/>
                <w:szCs w:val="22"/>
              </w:rPr>
              <w:t>石洲组团</w:t>
            </w:r>
          </w:p>
        </w:tc>
        <w:tc>
          <w:tcPr>
            <w:tcW w:w="965" w:type="pct"/>
            <w:vMerge w:val="continue"/>
            <w:shd w:val="clear" w:color="auto" w:fill="FFFFFF"/>
            <w:noWrap/>
            <w:vAlign w:val="center"/>
          </w:tcPr>
          <w:p w14:paraId="4C4C24E9">
            <w:pPr>
              <w:jc w:val="center"/>
              <w:rPr>
                <w:rFonts w:ascii="幼圆" w:hAnsi="宋体" w:eastAsia="幼圆" w:cs="宋体"/>
                <w:kern w:val="0"/>
                <w:sz w:val="22"/>
                <w:szCs w:val="22"/>
              </w:rPr>
            </w:pPr>
          </w:p>
        </w:tc>
        <w:tc>
          <w:tcPr>
            <w:tcW w:w="802" w:type="pct"/>
            <w:vMerge w:val="continue"/>
            <w:shd w:val="clear" w:color="auto" w:fill="FFFFFF"/>
            <w:noWrap w:val="0"/>
            <w:vAlign w:val="center"/>
          </w:tcPr>
          <w:p w14:paraId="23382F91">
            <w:pPr>
              <w:widowControl/>
              <w:jc w:val="left"/>
              <w:rPr>
                <w:rFonts w:ascii="幼圆" w:hAnsi="宋体" w:eastAsia="幼圆" w:cs="宋体"/>
                <w:kern w:val="0"/>
                <w:sz w:val="22"/>
                <w:szCs w:val="22"/>
              </w:rPr>
            </w:pPr>
          </w:p>
        </w:tc>
        <w:tc>
          <w:tcPr>
            <w:tcW w:w="2046" w:type="pct"/>
            <w:vMerge w:val="continue"/>
            <w:shd w:val="clear" w:color="auto" w:fill="FFFFFF"/>
            <w:noWrap/>
            <w:vAlign w:val="center"/>
          </w:tcPr>
          <w:p w14:paraId="70243F47">
            <w:pPr>
              <w:widowControl/>
              <w:jc w:val="left"/>
              <w:rPr>
                <w:rFonts w:hint="eastAsia" w:ascii="幼圆" w:hAnsi="宋体" w:eastAsia="幼圆" w:cs="宋体"/>
                <w:kern w:val="0"/>
                <w:sz w:val="22"/>
                <w:szCs w:val="22"/>
              </w:rPr>
            </w:pPr>
          </w:p>
        </w:tc>
      </w:tr>
      <w:tr w14:paraId="49FC2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0" w:type="pct"/>
            <w:vMerge w:val="continue"/>
            <w:shd w:val="clear" w:color="auto" w:fill="FFFFFF"/>
            <w:noWrap w:val="0"/>
            <w:vAlign w:val="center"/>
          </w:tcPr>
          <w:p w14:paraId="67698F16">
            <w:pPr>
              <w:widowControl/>
              <w:jc w:val="center"/>
              <w:rPr>
                <w:rFonts w:hint="eastAsia" w:ascii="幼圆" w:hAnsi="宋体" w:eastAsia="幼圆" w:cs="宋体"/>
                <w:b/>
                <w:kern w:val="0"/>
                <w:sz w:val="22"/>
                <w:szCs w:val="22"/>
              </w:rPr>
            </w:pPr>
          </w:p>
        </w:tc>
        <w:tc>
          <w:tcPr>
            <w:tcW w:w="764" w:type="pct"/>
            <w:shd w:val="clear" w:color="auto" w:fill="FFFFFF"/>
            <w:noWrap w:val="0"/>
            <w:vAlign w:val="center"/>
          </w:tcPr>
          <w:p w14:paraId="1EC422F8">
            <w:pPr>
              <w:jc w:val="center"/>
              <w:rPr>
                <w:rFonts w:hint="eastAsia" w:ascii="幼圆" w:hAnsi="宋体" w:eastAsia="幼圆" w:cs="宋体"/>
                <w:kern w:val="0"/>
                <w:sz w:val="22"/>
                <w:szCs w:val="22"/>
              </w:rPr>
            </w:pPr>
            <w:r>
              <w:rPr>
                <w:rFonts w:hint="eastAsia" w:ascii="幼圆" w:hAnsi="宋体" w:eastAsia="幼圆" w:cs="宋体"/>
                <w:kern w:val="0"/>
                <w:sz w:val="22"/>
                <w:szCs w:val="22"/>
              </w:rPr>
              <w:t>田</w:t>
            </w:r>
            <w:r>
              <w:rPr>
                <w:rFonts w:ascii="幼圆" w:hAnsi="宋体" w:eastAsia="幼圆" w:cs="宋体"/>
                <w:kern w:val="0"/>
                <w:sz w:val="22"/>
                <w:szCs w:val="22"/>
              </w:rPr>
              <w:t>墘</w:t>
            </w:r>
            <w:r>
              <w:rPr>
                <w:rFonts w:hint="eastAsia" w:ascii="幼圆" w:hAnsi="宋体" w:eastAsia="幼圆" w:cs="宋体"/>
                <w:kern w:val="0"/>
                <w:sz w:val="22"/>
                <w:szCs w:val="22"/>
              </w:rPr>
              <w:t>组团</w:t>
            </w:r>
          </w:p>
        </w:tc>
        <w:tc>
          <w:tcPr>
            <w:tcW w:w="965" w:type="pct"/>
            <w:vMerge w:val="continue"/>
            <w:shd w:val="clear" w:color="auto" w:fill="FFFFFF"/>
            <w:noWrap/>
            <w:vAlign w:val="center"/>
          </w:tcPr>
          <w:p w14:paraId="4A3EF2DD">
            <w:pPr>
              <w:jc w:val="center"/>
              <w:rPr>
                <w:rFonts w:ascii="幼圆" w:hAnsi="宋体" w:eastAsia="幼圆" w:cs="宋体"/>
                <w:kern w:val="0"/>
                <w:sz w:val="22"/>
                <w:szCs w:val="22"/>
              </w:rPr>
            </w:pPr>
          </w:p>
        </w:tc>
        <w:tc>
          <w:tcPr>
            <w:tcW w:w="802" w:type="pct"/>
            <w:vMerge w:val="continue"/>
            <w:shd w:val="clear" w:color="auto" w:fill="FFFFFF"/>
            <w:noWrap w:val="0"/>
            <w:vAlign w:val="center"/>
          </w:tcPr>
          <w:p w14:paraId="105E3C94">
            <w:pPr>
              <w:widowControl/>
              <w:jc w:val="left"/>
              <w:rPr>
                <w:rFonts w:ascii="幼圆" w:hAnsi="宋体" w:eastAsia="幼圆" w:cs="宋体"/>
                <w:kern w:val="0"/>
                <w:sz w:val="22"/>
                <w:szCs w:val="22"/>
              </w:rPr>
            </w:pPr>
          </w:p>
        </w:tc>
        <w:tc>
          <w:tcPr>
            <w:tcW w:w="2046" w:type="pct"/>
            <w:vMerge w:val="continue"/>
            <w:shd w:val="clear" w:color="auto" w:fill="FFFFFF"/>
            <w:noWrap/>
            <w:vAlign w:val="center"/>
          </w:tcPr>
          <w:p w14:paraId="07A82F56">
            <w:pPr>
              <w:widowControl/>
              <w:jc w:val="left"/>
              <w:rPr>
                <w:rFonts w:hint="eastAsia" w:ascii="幼圆" w:hAnsi="宋体" w:eastAsia="幼圆" w:cs="宋体"/>
                <w:kern w:val="0"/>
                <w:sz w:val="22"/>
                <w:szCs w:val="22"/>
              </w:rPr>
            </w:pPr>
          </w:p>
        </w:tc>
      </w:tr>
    </w:tbl>
    <w:p w14:paraId="668EDE7D">
      <w:pPr>
        <w:rPr>
          <w:rFonts w:hint="eastAsia"/>
          <w:color w:val="000000"/>
        </w:rPr>
      </w:pPr>
    </w:p>
    <w:p w14:paraId="62FEF536">
      <w:pPr>
        <w:keepNext w:val="0"/>
        <w:keepLines w:val="0"/>
        <w:pageBreakBefore w:val="0"/>
        <w:widowControl/>
        <w:kinsoku/>
        <w:wordWrap/>
        <w:overflowPunct/>
        <w:topLinePunct w:val="0"/>
        <w:autoSpaceDE/>
        <w:autoSpaceDN/>
        <w:bidi w:val="0"/>
        <w:adjustRightInd w:val="0"/>
        <w:snapToGrid w:val="0"/>
        <w:spacing w:after="157" w:afterLines="50"/>
        <w:jc w:val="center"/>
        <w:textAlignment w:val="auto"/>
        <w:rPr>
          <w:rFonts w:hint="eastAsia" w:ascii="幼圆" w:hAnsi="宋体" w:eastAsia="幼圆" w:cs="宋体"/>
          <w:kern w:val="0"/>
          <w:sz w:val="24"/>
          <w:szCs w:val="24"/>
        </w:rPr>
      </w:pPr>
      <w:r>
        <w:rPr>
          <w:rFonts w:hint="eastAsia" w:ascii="幼圆" w:hAnsi="宋体" w:eastAsia="幼圆" w:cs="宋体"/>
          <w:kern w:val="0"/>
          <w:sz w:val="24"/>
          <w:szCs w:val="24"/>
        </w:rPr>
        <w:t>特色美食街规划指引</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1580"/>
        <w:gridCol w:w="5613"/>
        <w:gridCol w:w="2885"/>
        <w:gridCol w:w="9978"/>
      </w:tblGrid>
      <w:tr w14:paraId="476DE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trPr>
        <w:tc>
          <w:tcPr>
            <w:tcW w:w="394" w:type="pct"/>
            <w:shd w:val="clear" w:color="auto" w:fill="FFFFFF"/>
            <w:noWrap w:val="0"/>
            <w:vAlign w:val="center"/>
          </w:tcPr>
          <w:p w14:paraId="1856A897">
            <w:pPr>
              <w:widowControl/>
              <w:adjustRightInd w:val="0"/>
              <w:snapToGrid w:val="0"/>
              <w:jc w:val="center"/>
              <w:rPr>
                <w:rFonts w:hint="eastAsia" w:ascii="幼圆" w:hAnsi="宋体" w:eastAsia="幼圆" w:cs="宋体"/>
                <w:b/>
                <w:bCs/>
                <w:color w:val="000000"/>
                <w:kern w:val="0"/>
                <w:sz w:val="22"/>
                <w:szCs w:val="22"/>
              </w:rPr>
            </w:pPr>
            <w:r>
              <w:rPr>
                <w:rFonts w:hint="eastAsia" w:ascii="幼圆" w:hAnsi="宋体" w:eastAsia="幼圆" w:cs="宋体"/>
                <w:b/>
                <w:bCs/>
                <w:color w:val="000000"/>
                <w:kern w:val="0"/>
                <w:sz w:val="22"/>
                <w:szCs w:val="22"/>
              </w:rPr>
              <w:t>序号</w:t>
            </w:r>
          </w:p>
        </w:tc>
        <w:tc>
          <w:tcPr>
            <w:tcW w:w="1399" w:type="pct"/>
            <w:shd w:val="clear" w:color="auto" w:fill="FFFFFF"/>
            <w:noWrap w:val="0"/>
            <w:vAlign w:val="center"/>
          </w:tcPr>
          <w:p w14:paraId="3F1316DE">
            <w:pPr>
              <w:widowControl/>
              <w:adjustRightInd w:val="0"/>
              <w:snapToGrid w:val="0"/>
              <w:jc w:val="center"/>
              <w:rPr>
                <w:rFonts w:hint="eastAsia" w:ascii="幼圆" w:hAnsi="宋体" w:eastAsia="幼圆" w:cs="宋体"/>
                <w:b/>
                <w:bCs/>
                <w:color w:val="000000"/>
                <w:kern w:val="0"/>
                <w:sz w:val="22"/>
                <w:szCs w:val="22"/>
              </w:rPr>
            </w:pPr>
            <w:r>
              <w:rPr>
                <w:rFonts w:hint="eastAsia" w:ascii="幼圆" w:hAnsi="宋体" w:eastAsia="幼圆" w:cs="宋体"/>
                <w:b/>
                <w:bCs/>
                <w:color w:val="000000"/>
                <w:kern w:val="0"/>
                <w:sz w:val="22"/>
                <w:szCs w:val="22"/>
              </w:rPr>
              <w:t>名称</w:t>
            </w:r>
          </w:p>
        </w:tc>
        <w:tc>
          <w:tcPr>
            <w:tcW w:w="719" w:type="pct"/>
            <w:shd w:val="clear" w:color="auto" w:fill="FFFFFF"/>
            <w:noWrap w:val="0"/>
            <w:vAlign w:val="center"/>
          </w:tcPr>
          <w:p w14:paraId="5F1AAD44">
            <w:pPr>
              <w:widowControl/>
              <w:adjustRightInd w:val="0"/>
              <w:snapToGrid w:val="0"/>
              <w:jc w:val="center"/>
              <w:rPr>
                <w:rFonts w:hint="eastAsia" w:ascii="幼圆" w:hAnsi="宋体" w:eastAsia="幼圆" w:cs="宋体"/>
                <w:b/>
                <w:bCs/>
                <w:color w:val="000000"/>
                <w:kern w:val="0"/>
                <w:sz w:val="22"/>
                <w:szCs w:val="22"/>
              </w:rPr>
            </w:pPr>
            <w:r>
              <w:rPr>
                <w:rFonts w:hint="eastAsia" w:ascii="幼圆" w:hAnsi="宋体" w:eastAsia="幼圆" w:cs="宋体"/>
                <w:b/>
                <w:bCs/>
                <w:color w:val="000000"/>
                <w:kern w:val="0"/>
                <w:sz w:val="22"/>
                <w:szCs w:val="22"/>
              </w:rPr>
              <w:t>长度(m)</w:t>
            </w:r>
          </w:p>
        </w:tc>
        <w:tc>
          <w:tcPr>
            <w:tcW w:w="2487" w:type="pct"/>
            <w:shd w:val="clear" w:color="auto" w:fill="FFFFFF"/>
            <w:noWrap w:val="0"/>
            <w:vAlign w:val="center"/>
          </w:tcPr>
          <w:p w14:paraId="38C0A361">
            <w:pPr>
              <w:widowControl/>
              <w:adjustRightInd w:val="0"/>
              <w:snapToGrid w:val="0"/>
              <w:jc w:val="center"/>
              <w:rPr>
                <w:rFonts w:hint="eastAsia" w:ascii="幼圆" w:hAnsi="宋体" w:eastAsia="幼圆" w:cs="宋体"/>
                <w:b/>
                <w:bCs/>
                <w:color w:val="000000"/>
                <w:kern w:val="0"/>
                <w:sz w:val="22"/>
                <w:szCs w:val="22"/>
              </w:rPr>
            </w:pPr>
            <w:r>
              <w:rPr>
                <w:rFonts w:hint="eastAsia" w:ascii="幼圆" w:hAnsi="宋体" w:eastAsia="幼圆" w:cs="宋体"/>
                <w:b/>
                <w:bCs/>
                <w:color w:val="000000"/>
                <w:kern w:val="0"/>
                <w:sz w:val="22"/>
                <w:szCs w:val="22"/>
              </w:rPr>
              <w:t>餐饮特色</w:t>
            </w:r>
          </w:p>
        </w:tc>
      </w:tr>
      <w:tr w14:paraId="5A4BE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66CF37F5">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1</w:t>
            </w:r>
          </w:p>
        </w:tc>
        <w:tc>
          <w:tcPr>
            <w:tcW w:w="1399" w:type="pct"/>
            <w:shd w:val="clear" w:color="auto" w:fill="FFFFFF"/>
            <w:noWrap w:val="0"/>
            <w:vAlign w:val="center"/>
          </w:tcPr>
          <w:p w14:paraId="033C61EE">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二马路特色餐饮街</w:t>
            </w:r>
          </w:p>
        </w:tc>
        <w:tc>
          <w:tcPr>
            <w:tcW w:w="719" w:type="pct"/>
            <w:shd w:val="clear" w:color="auto" w:fill="FFFFFF"/>
            <w:noWrap w:val="0"/>
            <w:vAlign w:val="center"/>
          </w:tcPr>
          <w:p w14:paraId="41BE977B">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950</w:t>
            </w:r>
          </w:p>
        </w:tc>
        <w:tc>
          <w:tcPr>
            <w:tcW w:w="2487" w:type="pct"/>
            <w:shd w:val="clear" w:color="auto" w:fill="FFFFFF"/>
            <w:noWrap w:val="0"/>
            <w:vAlign w:val="center"/>
          </w:tcPr>
          <w:p w14:paraId="5D4536B6">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传统特色餐饮，休闲餐饮，体验式主题餐饮</w:t>
            </w:r>
          </w:p>
        </w:tc>
      </w:tr>
      <w:tr w14:paraId="67565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4CEAAD46">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2</w:t>
            </w:r>
          </w:p>
        </w:tc>
        <w:tc>
          <w:tcPr>
            <w:tcW w:w="1399" w:type="pct"/>
            <w:shd w:val="clear" w:color="auto" w:fill="FFFFFF"/>
            <w:noWrap w:val="0"/>
            <w:vAlign w:val="center"/>
          </w:tcPr>
          <w:p w14:paraId="3B9FD996">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文明路餐饮街</w:t>
            </w:r>
          </w:p>
        </w:tc>
        <w:tc>
          <w:tcPr>
            <w:tcW w:w="719" w:type="pct"/>
            <w:shd w:val="clear" w:color="auto" w:fill="FFFFFF"/>
            <w:noWrap w:val="0"/>
            <w:vAlign w:val="center"/>
          </w:tcPr>
          <w:p w14:paraId="66EBEA37">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800</w:t>
            </w:r>
          </w:p>
        </w:tc>
        <w:tc>
          <w:tcPr>
            <w:tcW w:w="2487" w:type="pct"/>
            <w:shd w:val="clear" w:color="auto" w:fill="FFFFFF"/>
            <w:noWrap w:val="0"/>
            <w:vAlign w:val="center"/>
          </w:tcPr>
          <w:p w14:paraId="583783F5">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品牌餐饮，大众化餐饮</w:t>
            </w:r>
          </w:p>
        </w:tc>
      </w:tr>
      <w:tr w14:paraId="258AE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704D27DB">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3</w:t>
            </w:r>
          </w:p>
        </w:tc>
        <w:tc>
          <w:tcPr>
            <w:tcW w:w="1399" w:type="pct"/>
            <w:shd w:val="clear" w:color="auto" w:fill="FFFFFF"/>
            <w:noWrap w:val="0"/>
            <w:vAlign w:val="center"/>
          </w:tcPr>
          <w:p w14:paraId="437A1956">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通港路餐饮街</w:t>
            </w:r>
          </w:p>
        </w:tc>
        <w:tc>
          <w:tcPr>
            <w:tcW w:w="719" w:type="pct"/>
            <w:shd w:val="clear" w:color="auto" w:fill="FFFFFF"/>
            <w:noWrap w:val="0"/>
            <w:vAlign w:val="center"/>
          </w:tcPr>
          <w:p w14:paraId="11E2C492">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700</w:t>
            </w:r>
          </w:p>
        </w:tc>
        <w:tc>
          <w:tcPr>
            <w:tcW w:w="2487" w:type="pct"/>
            <w:shd w:val="clear" w:color="auto" w:fill="FFFFFF"/>
            <w:noWrap w:val="0"/>
            <w:vAlign w:val="center"/>
          </w:tcPr>
          <w:p w14:paraId="2FFE56F2">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品牌餐饮，大众化餐饮</w:t>
            </w:r>
          </w:p>
        </w:tc>
      </w:tr>
      <w:tr w14:paraId="3DE2E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11BE9140">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4</w:t>
            </w:r>
          </w:p>
        </w:tc>
        <w:tc>
          <w:tcPr>
            <w:tcW w:w="1399" w:type="pct"/>
            <w:shd w:val="clear" w:color="auto" w:fill="FFFFFF"/>
            <w:noWrap w:val="0"/>
            <w:vAlign w:val="center"/>
          </w:tcPr>
          <w:p w14:paraId="4A4DFFD9">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品清湖休闲餐饮街</w:t>
            </w:r>
          </w:p>
        </w:tc>
        <w:tc>
          <w:tcPr>
            <w:tcW w:w="719" w:type="pct"/>
            <w:shd w:val="clear" w:color="auto" w:fill="FFFFFF"/>
            <w:noWrap w:val="0"/>
            <w:vAlign w:val="center"/>
          </w:tcPr>
          <w:p w14:paraId="151A2CA2">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580</w:t>
            </w:r>
          </w:p>
        </w:tc>
        <w:tc>
          <w:tcPr>
            <w:tcW w:w="2487" w:type="pct"/>
            <w:shd w:val="clear" w:color="auto" w:fill="FFFFFF"/>
            <w:noWrap w:val="0"/>
            <w:vAlign w:val="center"/>
          </w:tcPr>
          <w:p w14:paraId="6AA7D07E">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高档品牌西餐，休闲餐饮</w:t>
            </w:r>
          </w:p>
        </w:tc>
      </w:tr>
      <w:tr w14:paraId="2CBE7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0664A6B1">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5</w:t>
            </w:r>
          </w:p>
        </w:tc>
        <w:tc>
          <w:tcPr>
            <w:tcW w:w="1399" w:type="pct"/>
            <w:shd w:val="clear" w:color="auto" w:fill="FFFFFF"/>
            <w:noWrap w:val="0"/>
            <w:vAlign w:val="center"/>
          </w:tcPr>
          <w:p w14:paraId="6D447029">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金町湾休闲餐饮街</w:t>
            </w:r>
          </w:p>
        </w:tc>
        <w:tc>
          <w:tcPr>
            <w:tcW w:w="719" w:type="pct"/>
            <w:shd w:val="clear" w:color="auto" w:fill="FFFFFF"/>
            <w:noWrap w:val="0"/>
            <w:vAlign w:val="center"/>
          </w:tcPr>
          <w:p w14:paraId="21AD6DE9">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590</w:t>
            </w:r>
          </w:p>
        </w:tc>
        <w:tc>
          <w:tcPr>
            <w:tcW w:w="2487" w:type="pct"/>
            <w:shd w:val="clear" w:color="auto" w:fill="FFFFFF"/>
            <w:noWrap w:val="0"/>
            <w:vAlign w:val="center"/>
          </w:tcPr>
          <w:p w14:paraId="69A680F9">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传统特色餐饮，休闲餐饮</w:t>
            </w:r>
          </w:p>
        </w:tc>
      </w:tr>
      <w:tr w14:paraId="2E701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3292C058">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6</w:t>
            </w:r>
          </w:p>
        </w:tc>
        <w:tc>
          <w:tcPr>
            <w:tcW w:w="1399" w:type="pct"/>
            <w:shd w:val="clear" w:color="auto" w:fill="FFFFFF"/>
            <w:noWrap w:val="0"/>
            <w:vAlign w:val="center"/>
          </w:tcPr>
          <w:p w14:paraId="405048FF">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遮浪餐饮街</w:t>
            </w:r>
          </w:p>
        </w:tc>
        <w:tc>
          <w:tcPr>
            <w:tcW w:w="719" w:type="pct"/>
            <w:shd w:val="clear" w:color="auto" w:fill="FFFFFF"/>
            <w:noWrap w:val="0"/>
            <w:vAlign w:val="center"/>
          </w:tcPr>
          <w:p w14:paraId="38CA748F">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960</w:t>
            </w:r>
          </w:p>
        </w:tc>
        <w:tc>
          <w:tcPr>
            <w:tcW w:w="2487" w:type="pct"/>
            <w:shd w:val="clear" w:color="auto" w:fill="FFFFFF"/>
            <w:noWrap w:val="0"/>
            <w:vAlign w:val="center"/>
          </w:tcPr>
          <w:p w14:paraId="6CD9B80C">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传统特色餐饮，大众化餐饮</w:t>
            </w:r>
          </w:p>
        </w:tc>
      </w:tr>
      <w:tr w14:paraId="18D2F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4" w:type="pct"/>
            <w:shd w:val="clear" w:color="auto" w:fill="FFFFFF"/>
            <w:noWrap w:val="0"/>
            <w:vAlign w:val="center"/>
          </w:tcPr>
          <w:p w14:paraId="6442A804">
            <w:pPr>
              <w:widowControl/>
              <w:adjustRightInd w:val="0"/>
              <w:snapToGrid w:val="0"/>
              <w:jc w:val="center"/>
              <w:rPr>
                <w:rFonts w:hint="eastAsia" w:ascii="幼圆" w:hAnsi="宋体" w:eastAsia="幼圆" w:cs="宋体"/>
                <w:kern w:val="0"/>
                <w:sz w:val="22"/>
                <w:szCs w:val="22"/>
              </w:rPr>
            </w:pPr>
            <w:r>
              <w:rPr>
                <w:rFonts w:hint="eastAsia" w:ascii="幼圆" w:hAnsi="宋体" w:eastAsia="幼圆" w:cs="宋体"/>
                <w:kern w:val="0"/>
                <w:sz w:val="22"/>
                <w:szCs w:val="22"/>
              </w:rPr>
              <w:t>7</w:t>
            </w:r>
          </w:p>
        </w:tc>
        <w:tc>
          <w:tcPr>
            <w:tcW w:w="1399" w:type="pct"/>
            <w:shd w:val="clear" w:color="auto" w:fill="FFFFFF"/>
            <w:noWrap w:val="0"/>
            <w:vAlign w:val="center"/>
          </w:tcPr>
          <w:p w14:paraId="5D7D0E9A">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滨海休闲餐饮街</w:t>
            </w:r>
          </w:p>
        </w:tc>
        <w:tc>
          <w:tcPr>
            <w:tcW w:w="719" w:type="pct"/>
            <w:shd w:val="clear" w:color="auto" w:fill="FFFFFF"/>
            <w:noWrap w:val="0"/>
            <w:vAlign w:val="center"/>
          </w:tcPr>
          <w:p w14:paraId="69EF19BA">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230</w:t>
            </w:r>
          </w:p>
        </w:tc>
        <w:tc>
          <w:tcPr>
            <w:tcW w:w="2487" w:type="pct"/>
            <w:shd w:val="clear" w:color="auto" w:fill="FFFFFF"/>
            <w:noWrap w:val="0"/>
            <w:vAlign w:val="center"/>
          </w:tcPr>
          <w:p w14:paraId="00585405">
            <w:pPr>
              <w:widowControl/>
              <w:adjustRightInd w:val="0"/>
              <w:snapToGrid w:val="0"/>
              <w:jc w:val="center"/>
              <w:rPr>
                <w:rFonts w:ascii="幼圆" w:hAnsi="宋体" w:eastAsia="幼圆" w:cs="宋体"/>
                <w:kern w:val="0"/>
                <w:sz w:val="22"/>
                <w:szCs w:val="22"/>
              </w:rPr>
            </w:pPr>
            <w:r>
              <w:rPr>
                <w:rFonts w:hint="eastAsia" w:ascii="幼圆" w:hAnsi="宋体" w:eastAsia="幼圆" w:cs="宋体"/>
                <w:kern w:val="0"/>
                <w:sz w:val="22"/>
                <w:szCs w:val="22"/>
              </w:rPr>
              <w:t>海鲜主题，休闲餐饮</w:t>
            </w:r>
          </w:p>
        </w:tc>
      </w:tr>
    </w:tbl>
    <w:p w14:paraId="08EBB71F">
      <w:pPr>
        <w:rPr>
          <w:rFonts w:hint="eastAsia"/>
          <w:color w:val="000000"/>
        </w:rPr>
      </w:pPr>
    </w:p>
    <w:p w14:paraId="484AD9A6">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0E6D6CF2">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2" w:name="_Toc27347"/>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13</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陆丰市市域商圈规划指引</w:t>
      </w:r>
      <w:bookmarkEnd w:id="112"/>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2"/>
        <w:gridCol w:w="3273"/>
        <w:gridCol w:w="4693"/>
        <w:gridCol w:w="9278"/>
      </w:tblGrid>
      <w:tr w14:paraId="2B8F0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noWrap w:val="0"/>
            <w:vAlign w:val="top"/>
          </w:tcPr>
          <w:p w14:paraId="606952F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市域商圈规划指引</w:t>
            </w:r>
          </w:p>
        </w:tc>
      </w:tr>
      <w:tr w14:paraId="5DD71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top"/>
          </w:tcPr>
          <w:p w14:paraId="0C2802A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商圈名称</w:t>
            </w:r>
          </w:p>
        </w:tc>
        <w:tc>
          <w:tcPr>
            <w:tcW w:w="816" w:type="pct"/>
            <w:noWrap w:val="0"/>
            <w:vAlign w:val="top"/>
          </w:tcPr>
          <w:p w14:paraId="32EDE53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位置</w:t>
            </w:r>
          </w:p>
        </w:tc>
        <w:tc>
          <w:tcPr>
            <w:tcW w:w="1170" w:type="pct"/>
            <w:noWrap w:val="0"/>
            <w:vAlign w:val="top"/>
          </w:tcPr>
          <w:p w14:paraId="0F25247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功能定位</w:t>
            </w:r>
          </w:p>
        </w:tc>
        <w:tc>
          <w:tcPr>
            <w:tcW w:w="2312" w:type="pct"/>
            <w:noWrap w:val="0"/>
            <w:vAlign w:val="top"/>
          </w:tcPr>
          <w:p w14:paraId="4F3274D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规划指引</w:t>
            </w:r>
          </w:p>
        </w:tc>
      </w:tr>
      <w:tr w14:paraId="79CFC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center"/>
          </w:tcPr>
          <w:p w14:paraId="45895BE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新城产城融合商圈</w:t>
            </w:r>
          </w:p>
        </w:tc>
        <w:tc>
          <w:tcPr>
            <w:tcW w:w="816" w:type="pct"/>
            <w:noWrap w:val="0"/>
            <w:vAlign w:val="center"/>
          </w:tcPr>
          <w:p w14:paraId="27F6250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东海街道滨海新城核心区</w:t>
            </w:r>
            <w:r>
              <w:rPr>
                <w:rFonts w:hint="eastAsia" w:ascii="幼圆" w:hAnsi="Times New Roman" w:eastAsia="幼圆" w:cs="Times New Roman"/>
                <w:b w:val="0"/>
                <w:bCs w:val="0"/>
                <w:color w:val="000000"/>
                <w:sz w:val="24"/>
                <w:highlight w:val="none"/>
                <w:lang w:val="en-US" w:eastAsia="zh-CN"/>
              </w:rPr>
              <w:t>。</w:t>
            </w:r>
          </w:p>
        </w:tc>
        <w:tc>
          <w:tcPr>
            <w:tcW w:w="1170" w:type="pct"/>
            <w:noWrap w:val="0"/>
            <w:vAlign w:val="center"/>
          </w:tcPr>
          <w:p w14:paraId="1CECCCEE">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打造粤东滨海旅游消费门户</w:t>
            </w:r>
            <w:r>
              <w:rPr>
                <w:rFonts w:hint="eastAsia" w:ascii="幼圆" w:hAnsi="Times New Roman" w:eastAsia="幼圆" w:cs="Times New Roman"/>
                <w:b w:val="0"/>
                <w:bCs w:val="0"/>
                <w:color w:val="000000"/>
                <w:sz w:val="24"/>
                <w:highlight w:val="none"/>
                <w:lang w:val="en-US" w:eastAsia="zh-CN"/>
              </w:rPr>
              <w:t>，融合滨海度假、文化体验、高端消费功能，构建“商旅文”三位一体的城市级商圈。</w:t>
            </w:r>
          </w:p>
        </w:tc>
        <w:tc>
          <w:tcPr>
            <w:tcW w:w="2312" w:type="pct"/>
            <w:noWrap w:val="0"/>
            <w:vAlign w:val="center"/>
          </w:tcPr>
          <w:p w14:paraId="265E0FF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发展品质滨海商务业，引入区域总部经济，建设五星级酒店及滨河商业街；活化利用六驿村传统民居与闲置空间，重点引入非遗工坊、乡土文创、特色小吃集合店等业态，联动周边侨批档案资源打造微型侨情展示角，塑造‘小而美、精而特’的乡土文化体验节点；沿东海大道沿线，引入商业综合体、影院、高端酒店等，打造一站式购物娱乐中心。</w:t>
            </w:r>
          </w:p>
        </w:tc>
      </w:tr>
      <w:tr w14:paraId="14296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center"/>
          </w:tcPr>
          <w:p w14:paraId="6D427BB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滨海科创商贸</w:t>
            </w:r>
            <w:r>
              <w:rPr>
                <w:rFonts w:hint="eastAsia" w:ascii="幼圆" w:hAnsi="Times New Roman" w:eastAsia="幼圆" w:cs="Times New Roman"/>
                <w:b w:val="0"/>
                <w:bCs w:val="0"/>
                <w:color w:val="000000"/>
                <w:sz w:val="24"/>
                <w:highlight w:val="none"/>
                <w:lang w:val="en-US" w:eastAsia="zh-CN"/>
              </w:rPr>
              <w:t>商圈</w:t>
            </w:r>
          </w:p>
        </w:tc>
        <w:tc>
          <w:tcPr>
            <w:tcW w:w="816" w:type="pct"/>
            <w:noWrap w:val="0"/>
            <w:vAlign w:val="center"/>
          </w:tcPr>
          <w:p w14:paraId="0A55077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东海街道陆丰南站周边</w:t>
            </w:r>
            <w:r>
              <w:rPr>
                <w:rFonts w:hint="eastAsia" w:ascii="幼圆" w:hAnsi="Times New Roman" w:eastAsia="幼圆" w:cs="Times New Roman"/>
                <w:b w:val="0"/>
                <w:bCs w:val="0"/>
                <w:color w:val="000000"/>
                <w:sz w:val="24"/>
                <w:highlight w:val="none"/>
                <w:lang w:val="en-US" w:eastAsia="zh-CN"/>
              </w:rPr>
              <w:t>。</w:t>
            </w:r>
          </w:p>
        </w:tc>
        <w:tc>
          <w:tcPr>
            <w:tcW w:w="1170" w:type="pct"/>
            <w:noWrap w:val="0"/>
            <w:vAlign w:val="center"/>
          </w:tcPr>
          <w:p w14:paraId="44B6FF9B">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依托高铁枢纽优势，打造粤东商贸物流集散枢纽，承接珠三角产业转移，服务粤东区域商贸流通。</w:t>
            </w:r>
          </w:p>
        </w:tc>
        <w:tc>
          <w:tcPr>
            <w:tcW w:w="2312" w:type="pct"/>
            <w:noWrap w:val="0"/>
            <w:vAlign w:val="center"/>
          </w:tcPr>
          <w:p w14:paraId="71CF061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建设陆丰南站商业综合体</w:t>
            </w:r>
            <w:r>
              <w:rPr>
                <w:rFonts w:hint="eastAsia" w:ascii="幼圆" w:hAnsi="Times New Roman" w:eastAsia="幼圆" w:cs="Times New Roman"/>
                <w:b w:val="0"/>
                <w:bCs w:val="0"/>
                <w:color w:val="000000"/>
                <w:sz w:val="24"/>
                <w:highlight w:val="none"/>
                <w:lang w:val="en-US" w:eastAsia="zh-CN"/>
              </w:rPr>
              <w:t>，引入品牌商务酒店、连锁餐饮、24小时零售商业等；布局快递物流分拨中心、冷链仓储基地，</w:t>
            </w:r>
            <w:r>
              <w:rPr>
                <w:rFonts w:hint="default" w:ascii="幼圆" w:hAnsi="Times New Roman" w:eastAsia="幼圆" w:cs="Times New Roman"/>
                <w:b w:val="0"/>
                <w:bCs w:val="0"/>
                <w:color w:val="000000"/>
                <w:sz w:val="24"/>
                <w:highlight w:val="none"/>
                <w:lang w:val="en-US" w:eastAsia="zh-CN"/>
              </w:rPr>
              <w:t>服务粤东区域商贸流通</w:t>
            </w:r>
            <w:r>
              <w:rPr>
                <w:rFonts w:hint="eastAsia" w:ascii="幼圆" w:hAnsi="Times New Roman" w:eastAsia="幼圆" w:cs="Times New Roman"/>
                <w:b w:val="0"/>
                <w:bCs w:val="0"/>
                <w:color w:val="000000"/>
                <w:sz w:val="24"/>
                <w:highlight w:val="none"/>
                <w:lang w:val="en-US" w:eastAsia="zh-CN"/>
              </w:rPr>
              <w:t>。</w:t>
            </w:r>
          </w:p>
        </w:tc>
      </w:tr>
    </w:tbl>
    <w:p w14:paraId="302E6BEA">
      <w:pPr>
        <w:rPr>
          <w:rFonts w:hint="eastAsia"/>
        </w:rPr>
      </w:pPr>
    </w:p>
    <w:p w14:paraId="60E4EC29">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076016FA">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3" w:name="_Toc32054"/>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14</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陆丰市重点镇域商圈规划指引</w:t>
      </w:r>
      <w:bookmarkEnd w:id="113"/>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1533"/>
        <w:gridCol w:w="2067"/>
        <w:gridCol w:w="1332"/>
        <w:gridCol w:w="5084"/>
        <w:gridCol w:w="9334"/>
      </w:tblGrid>
      <w:tr w14:paraId="31959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176" w:type="pct"/>
            <w:noWrap w:val="0"/>
            <w:vAlign w:val="center"/>
          </w:tcPr>
          <w:p w14:paraId="2BEA03C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序号</w:t>
            </w:r>
          </w:p>
        </w:tc>
        <w:tc>
          <w:tcPr>
            <w:tcW w:w="382" w:type="pct"/>
            <w:noWrap w:val="0"/>
            <w:vAlign w:val="center"/>
          </w:tcPr>
          <w:p w14:paraId="2A5D09F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商圈名称</w:t>
            </w:r>
          </w:p>
        </w:tc>
        <w:tc>
          <w:tcPr>
            <w:tcW w:w="515" w:type="pct"/>
            <w:noWrap w:val="0"/>
            <w:vAlign w:val="center"/>
          </w:tcPr>
          <w:p w14:paraId="6D36027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位置</w:t>
            </w:r>
          </w:p>
        </w:tc>
        <w:tc>
          <w:tcPr>
            <w:tcW w:w="332" w:type="pct"/>
            <w:noWrap w:val="0"/>
            <w:vAlign w:val="center"/>
          </w:tcPr>
          <w:p w14:paraId="61BA6B1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性质</w:t>
            </w:r>
          </w:p>
        </w:tc>
        <w:tc>
          <w:tcPr>
            <w:tcW w:w="1267" w:type="pct"/>
            <w:noWrap w:val="0"/>
            <w:vAlign w:val="center"/>
          </w:tcPr>
          <w:p w14:paraId="674417E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功能定位</w:t>
            </w:r>
          </w:p>
        </w:tc>
        <w:tc>
          <w:tcPr>
            <w:tcW w:w="2326" w:type="pct"/>
            <w:noWrap w:val="0"/>
            <w:vAlign w:val="center"/>
          </w:tcPr>
          <w:p w14:paraId="30B2584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规划指引</w:t>
            </w:r>
          </w:p>
        </w:tc>
      </w:tr>
      <w:tr w14:paraId="0EA95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76" w:type="pct"/>
            <w:noWrap w:val="0"/>
            <w:vAlign w:val="center"/>
          </w:tcPr>
          <w:p w14:paraId="4A20695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w:t>
            </w:r>
          </w:p>
        </w:tc>
        <w:tc>
          <w:tcPr>
            <w:tcW w:w="382" w:type="pct"/>
            <w:noWrap w:val="0"/>
            <w:vAlign w:val="center"/>
          </w:tcPr>
          <w:p w14:paraId="32E5BEE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碣石镇滨海文旅商圈</w:t>
            </w:r>
          </w:p>
        </w:tc>
        <w:tc>
          <w:tcPr>
            <w:tcW w:w="515" w:type="pct"/>
            <w:noWrap w:val="0"/>
            <w:vAlign w:val="center"/>
          </w:tcPr>
          <w:p w14:paraId="582D5BA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碣石镇东海大道-滨海大道沿线</w:t>
            </w:r>
            <w:r>
              <w:rPr>
                <w:rFonts w:hint="eastAsia" w:ascii="幼圆" w:hAnsi="Times New Roman" w:eastAsia="幼圆" w:cs="Times New Roman"/>
                <w:b w:val="0"/>
                <w:bCs w:val="0"/>
                <w:color w:val="000000"/>
                <w:sz w:val="24"/>
                <w:highlight w:val="none"/>
                <w:lang w:val="en-US" w:eastAsia="zh-CN"/>
              </w:rPr>
              <w:t>。</w:t>
            </w:r>
          </w:p>
        </w:tc>
        <w:tc>
          <w:tcPr>
            <w:tcW w:w="332" w:type="pct"/>
            <w:noWrap w:val="0"/>
            <w:vAlign w:val="center"/>
          </w:tcPr>
          <w:p w14:paraId="35110EA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综合商圈</w:t>
            </w:r>
          </w:p>
        </w:tc>
        <w:tc>
          <w:tcPr>
            <w:tcW w:w="1267" w:type="pct"/>
            <w:noWrap w:val="0"/>
            <w:vAlign w:val="center"/>
          </w:tcPr>
          <w:p w14:paraId="42E747F7">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城乡融合型滨海旅游商圈，依托国家级历史文化名镇底蕴与海工装备制造产业基础，打造“文旅商旅一体化”消费核心区。</w:t>
            </w:r>
          </w:p>
        </w:tc>
        <w:tc>
          <w:tcPr>
            <w:tcW w:w="2326" w:type="pct"/>
            <w:noWrap w:val="0"/>
            <w:vAlign w:val="center"/>
          </w:tcPr>
          <w:p w14:paraId="677354A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整合明清古卫城遗址、滨海旅游资源，发展特色民宿、文创商店、海鲜美食街，吸引观光客群与本地居民消费；围绕海工装备制造产业链，配套建设工业旅游展示中心、装备配件交易市场，服务企业采购与技术交流需求。</w:t>
            </w:r>
          </w:p>
        </w:tc>
      </w:tr>
      <w:tr w14:paraId="6B98A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76" w:type="pct"/>
            <w:noWrap w:val="0"/>
            <w:vAlign w:val="center"/>
          </w:tcPr>
          <w:p w14:paraId="7C1EA98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2</w:t>
            </w:r>
          </w:p>
        </w:tc>
        <w:tc>
          <w:tcPr>
            <w:tcW w:w="382" w:type="pct"/>
            <w:noWrap w:val="0"/>
            <w:vAlign w:val="center"/>
          </w:tcPr>
          <w:p w14:paraId="45F2D3B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星都产业商贸商圈</w:t>
            </w:r>
          </w:p>
        </w:tc>
        <w:tc>
          <w:tcPr>
            <w:tcW w:w="515" w:type="pct"/>
            <w:noWrap w:val="0"/>
            <w:vAlign w:val="center"/>
          </w:tcPr>
          <w:p w14:paraId="2D70246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星都开发区核心启动区</w:t>
            </w:r>
            <w:r>
              <w:rPr>
                <w:rFonts w:hint="eastAsia" w:ascii="幼圆" w:hAnsi="Times New Roman" w:eastAsia="幼圆" w:cs="Times New Roman"/>
                <w:b w:val="0"/>
                <w:bCs w:val="0"/>
                <w:color w:val="000000"/>
                <w:sz w:val="24"/>
                <w:highlight w:val="none"/>
                <w:lang w:val="en-US" w:eastAsia="zh-CN"/>
              </w:rPr>
              <w:t>。</w:t>
            </w:r>
          </w:p>
        </w:tc>
        <w:tc>
          <w:tcPr>
            <w:tcW w:w="332" w:type="pct"/>
            <w:noWrap w:val="0"/>
            <w:vAlign w:val="center"/>
          </w:tcPr>
          <w:p w14:paraId="69D71C1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专业商圈</w:t>
            </w:r>
          </w:p>
        </w:tc>
        <w:tc>
          <w:tcPr>
            <w:tcW w:w="1267" w:type="pct"/>
            <w:noWrap w:val="0"/>
            <w:vAlign w:val="center"/>
          </w:tcPr>
          <w:p w14:paraId="7060623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新兴产业配套服务商圈，聚焦生物医药、电子信息等高端制造业，构建“产城融合型供应链服务中心”。</w:t>
            </w:r>
          </w:p>
        </w:tc>
        <w:tc>
          <w:tcPr>
            <w:tcW w:w="2326" w:type="pct"/>
            <w:noWrap w:val="0"/>
            <w:vAlign w:val="center"/>
          </w:tcPr>
          <w:p w14:paraId="778B0FC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配套产业园区，发展商务酒店、连锁餐饮等商业业种业态；围绕园区企业需求，布局原材料集散中心、保税物流仓库、检验检测服务平台。</w:t>
            </w:r>
          </w:p>
        </w:tc>
      </w:tr>
      <w:tr w14:paraId="6B6A0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76" w:type="pct"/>
            <w:noWrap w:val="0"/>
            <w:vAlign w:val="center"/>
          </w:tcPr>
          <w:p w14:paraId="29465A9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3</w:t>
            </w:r>
          </w:p>
        </w:tc>
        <w:tc>
          <w:tcPr>
            <w:tcW w:w="382" w:type="pct"/>
            <w:noWrap w:val="0"/>
            <w:vAlign w:val="center"/>
          </w:tcPr>
          <w:p w14:paraId="23B13F9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甲子镇渔港商贸商圈</w:t>
            </w:r>
          </w:p>
        </w:tc>
        <w:tc>
          <w:tcPr>
            <w:tcW w:w="515" w:type="pct"/>
            <w:noWrap w:val="0"/>
            <w:vAlign w:val="center"/>
          </w:tcPr>
          <w:p w14:paraId="0C9EA22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甲子渔港瀛江大道-人民路沿线</w:t>
            </w:r>
            <w:r>
              <w:rPr>
                <w:rFonts w:hint="eastAsia" w:ascii="幼圆" w:hAnsi="Times New Roman" w:eastAsia="幼圆" w:cs="Times New Roman"/>
                <w:b w:val="0"/>
                <w:bCs w:val="0"/>
                <w:color w:val="000000"/>
                <w:sz w:val="24"/>
                <w:highlight w:val="none"/>
                <w:lang w:val="en-US" w:eastAsia="zh-CN"/>
              </w:rPr>
              <w:t>。</w:t>
            </w:r>
          </w:p>
        </w:tc>
        <w:tc>
          <w:tcPr>
            <w:tcW w:w="332" w:type="pct"/>
            <w:noWrap w:val="0"/>
            <w:vAlign w:val="center"/>
          </w:tcPr>
          <w:p w14:paraId="17D9B1A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专业商圈</w:t>
            </w:r>
          </w:p>
        </w:tc>
        <w:tc>
          <w:tcPr>
            <w:tcW w:w="1267" w:type="pct"/>
            <w:noWrap w:val="0"/>
            <w:vAlign w:val="center"/>
          </w:tcPr>
          <w:p w14:paraId="77534939">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三甲地区海洋商贸枢纽，以水产冷链物流为核心，打造“渔业全产业链交易服务中心”。</w:t>
            </w:r>
          </w:p>
        </w:tc>
        <w:tc>
          <w:tcPr>
            <w:tcW w:w="2326" w:type="pct"/>
            <w:noWrap w:val="0"/>
            <w:vAlign w:val="center"/>
          </w:tcPr>
          <w:p w14:paraId="2C2D172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依托深水码头与渔港经济区，建设大型水产品批发市场、冷冻仓储基地，辐射粤东、闽南地区；融合海鲜餐饮、渔需物资供应、船舶维修服务等关联业态，形成“捕捞—加工—销售—服务”全链条闭环。</w:t>
            </w:r>
          </w:p>
        </w:tc>
      </w:tr>
      <w:tr w14:paraId="1E1E5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76" w:type="pct"/>
            <w:noWrap w:val="0"/>
            <w:vAlign w:val="center"/>
          </w:tcPr>
          <w:p w14:paraId="7DC017D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4</w:t>
            </w:r>
          </w:p>
        </w:tc>
        <w:tc>
          <w:tcPr>
            <w:tcW w:w="382" w:type="pct"/>
            <w:noWrap w:val="0"/>
            <w:vAlign w:val="center"/>
          </w:tcPr>
          <w:p w14:paraId="55C4119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南塘镇生态农旅商圈</w:t>
            </w:r>
          </w:p>
        </w:tc>
        <w:tc>
          <w:tcPr>
            <w:tcW w:w="515" w:type="pct"/>
            <w:noWrap w:val="0"/>
            <w:vAlign w:val="center"/>
          </w:tcPr>
          <w:p w14:paraId="6783B34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南塘镇环镇路</w:t>
            </w:r>
            <w:r>
              <w:rPr>
                <w:rFonts w:hint="eastAsia" w:ascii="幼圆" w:hAnsi="Times New Roman" w:eastAsia="幼圆" w:cs="Times New Roman"/>
                <w:b w:val="0"/>
                <w:bCs w:val="0"/>
                <w:color w:val="000000"/>
                <w:sz w:val="24"/>
                <w:highlight w:val="none"/>
                <w:lang w:val="en-US" w:eastAsia="zh-CN"/>
              </w:rPr>
              <w:t>。</w:t>
            </w:r>
          </w:p>
        </w:tc>
        <w:tc>
          <w:tcPr>
            <w:tcW w:w="332" w:type="pct"/>
            <w:noWrap w:val="0"/>
            <w:vAlign w:val="center"/>
          </w:tcPr>
          <w:p w14:paraId="14CECC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专业商圈</w:t>
            </w:r>
          </w:p>
        </w:tc>
        <w:tc>
          <w:tcPr>
            <w:tcW w:w="1267" w:type="pct"/>
            <w:noWrap w:val="0"/>
            <w:vAlign w:val="center"/>
          </w:tcPr>
          <w:p w14:paraId="59D4AF9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市域东南部农副产品流通枢纽，建设“农产品深加工+电商直播”融合型消费中心</w:t>
            </w:r>
          </w:p>
        </w:tc>
        <w:tc>
          <w:tcPr>
            <w:tcW w:w="2326" w:type="pct"/>
            <w:noWrap w:val="0"/>
            <w:vAlign w:val="center"/>
          </w:tcPr>
          <w:p w14:paraId="73B734C9">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依托周边乡镇蔬菜、水果种植基地，发展标准化分拣包装、冷链配送服务，打通“田间到餐桌”供应链；引入农村电商产业园、直播带货基地，培育本土品牌，推动农产品上行与工业品下行双向流通。</w:t>
            </w:r>
          </w:p>
        </w:tc>
      </w:tr>
    </w:tbl>
    <w:p w14:paraId="1DBDE9F1">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258933E5">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4" w:name="_Toc26456"/>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15</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陆丰市一般镇域商圈规划指引</w:t>
      </w:r>
      <w:bookmarkEnd w:id="114"/>
    </w:p>
    <w:tbl>
      <w:tblPr>
        <w:tblStyle w:val="3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100"/>
        <w:gridCol w:w="2528"/>
        <w:gridCol w:w="5679"/>
        <w:gridCol w:w="9017"/>
      </w:tblGrid>
      <w:tr w14:paraId="074D1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720" w:type="dxa"/>
            <w:noWrap w:val="0"/>
            <w:vAlign w:val="center"/>
          </w:tcPr>
          <w:p w14:paraId="23E6610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cs="宋体"/>
                <w:b w:val="0"/>
                <w:bCs w:val="0"/>
                <w:sz w:val="28"/>
                <w:szCs w:val="28"/>
                <w:highlight w:val="none"/>
                <w:vertAlign w:val="baseline"/>
                <w:lang w:val="en-US" w:eastAsia="zh-CN"/>
              </w:rPr>
            </w:pPr>
            <w:r>
              <w:rPr>
                <w:rFonts w:hint="eastAsia" w:ascii="幼圆" w:hAnsi="Times New Roman" w:eastAsia="幼圆" w:cs="Times New Roman"/>
                <w:b/>
                <w:bCs/>
                <w:color w:val="000000"/>
                <w:sz w:val="24"/>
                <w:highlight w:val="none"/>
                <w:lang w:val="en-US" w:eastAsia="zh-CN"/>
              </w:rPr>
              <w:t>序号</w:t>
            </w:r>
          </w:p>
        </w:tc>
        <w:tc>
          <w:tcPr>
            <w:tcW w:w="2100" w:type="dxa"/>
            <w:noWrap w:val="0"/>
            <w:vAlign w:val="center"/>
          </w:tcPr>
          <w:p w14:paraId="1DB7564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宋体" w:hAnsi="宋体" w:cs="宋体"/>
                <w:b w:val="0"/>
                <w:bCs w:val="0"/>
                <w:sz w:val="28"/>
                <w:szCs w:val="28"/>
                <w:highlight w:val="none"/>
                <w:vertAlign w:val="baseline"/>
                <w:lang w:val="en-US" w:eastAsia="zh-CN"/>
              </w:rPr>
            </w:pPr>
            <w:r>
              <w:rPr>
                <w:rFonts w:hint="eastAsia" w:ascii="幼圆" w:hAnsi="Times New Roman" w:eastAsia="幼圆" w:cs="Times New Roman"/>
                <w:b/>
                <w:bCs/>
                <w:color w:val="000000"/>
                <w:sz w:val="24"/>
                <w:highlight w:val="none"/>
                <w:lang w:val="en-US" w:eastAsia="zh-CN"/>
              </w:rPr>
              <w:t>商圈名称</w:t>
            </w:r>
          </w:p>
        </w:tc>
        <w:tc>
          <w:tcPr>
            <w:tcW w:w="2528" w:type="dxa"/>
            <w:noWrap w:val="0"/>
            <w:vAlign w:val="center"/>
          </w:tcPr>
          <w:p w14:paraId="0B3C47B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宋体" w:hAnsi="宋体" w:cs="宋体"/>
                <w:b w:val="0"/>
                <w:bCs w:val="0"/>
                <w:sz w:val="28"/>
                <w:szCs w:val="28"/>
                <w:highlight w:val="none"/>
                <w:vertAlign w:val="baseline"/>
                <w:lang w:val="en-US" w:eastAsia="zh-CN"/>
              </w:rPr>
            </w:pPr>
            <w:r>
              <w:rPr>
                <w:rFonts w:hint="eastAsia" w:ascii="幼圆" w:hAnsi="Times New Roman" w:eastAsia="幼圆" w:cs="Times New Roman"/>
                <w:b/>
                <w:bCs/>
                <w:color w:val="000000"/>
                <w:sz w:val="24"/>
                <w:highlight w:val="none"/>
                <w:lang w:val="en-US" w:eastAsia="zh-CN"/>
              </w:rPr>
              <w:t>位置</w:t>
            </w:r>
          </w:p>
        </w:tc>
        <w:tc>
          <w:tcPr>
            <w:tcW w:w="5679" w:type="dxa"/>
            <w:noWrap w:val="0"/>
            <w:vAlign w:val="center"/>
          </w:tcPr>
          <w:p w14:paraId="39C0E12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cs="宋体"/>
                <w:b w:val="0"/>
                <w:bCs w:val="0"/>
                <w:sz w:val="28"/>
                <w:szCs w:val="28"/>
                <w:highlight w:val="none"/>
                <w:vertAlign w:val="baseline"/>
                <w:lang w:val="en-US" w:eastAsia="zh-CN"/>
              </w:rPr>
            </w:pPr>
            <w:r>
              <w:rPr>
                <w:rFonts w:hint="eastAsia" w:ascii="幼圆" w:hAnsi="Times New Roman" w:eastAsia="幼圆" w:cs="Times New Roman"/>
                <w:b/>
                <w:bCs/>
                <w:color w:val="000000"/>
                <w:sz w:val="24"/>
                <w:highlight w:val="none"/>
                <w:lang w:val="en-US" w:eastAsia="zh-CN"/>
              </w:rPr>
              <w:t>性质</w:t>
            </w:r>
          </w:p>
        </w:tc>
        <w:tc>
          <w:tcPr>
            <w:tcW w:w="9017" w:type="dxa"/>
            <w:noWrap w:val="0"/>
            <w:vAlign w:val="center"/>
          </w:tcPr>
          <w:p w14:paraId="7081107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宋体" w:hAnsi="宋体" w:cs="宋体"/>
                <w:b w:val="0"/>
                <w:bCs w:val="0"/>
                <w:sz w:val="28"/>
                <w:szCs w:val="28"/>
                <w:highlight w:val="none"/>
                <w:vertAlign w:val="baseline"/>
                <w:lang w:val="en-US" w:eastAsia="zh-CN"/>
              </w:rPr>
            </w:pPr>
            <w:r>
              <w:rPr>
                <w:rFonts w:hint="eastAsia" w:ascii="幼圆" w:hAnsi="Times New Roman" w:eastAsia="幼圆" w:cs="Times New Roman"/>
                <w:b/>
                <w:bCs/>
                <w:color w:val="000000"/>
                <w:sz w:val="24"/>
                <w:highlight w:val="none"/>
                <w:lang w:val="en-US" w:eastAsia="zh-CN"/>
              </w:rPr>
              <w:t>功能定位</w:t>
            </w:r>
          </w:p>
        </w:tc>
      </w:tr>
      <w:tr w14:paraId="4371E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054B903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w:t>
            </w:r>
          </w:p>
        </w:tc>
        <w:tc>
          <w:tcPr>
            <w:tcW w:w="2100" w:type="dxa"/>
            <w:noWrap w:val="0"/>
            <w:vAlign w:val="center"/>
          </w:tcPr>
          <w:p w14:paraId="6F5A098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金厢镇红色滨海文旅商圈</w:t>
            </w:r>
          </w:p>
        </w:tc>
        <w:tc>
          <w:tcPr>
            <w:tcW w:w="2528" w:type="dxa"/>
            <w:noWrap w:val="0"/>
            <w:vAlign w:val="center"/>
          </w:tcPr>
          <w:p w14:paraId="6DC68FD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以金厢滩、周恩来同志渡海处纪念碑为核心区域</w:t>
            </w:r>
            <w:r>
              <w:rPr>
                <w:rFonts w:hint="eastAsia" w:ascii="幼圆" w:hAnsi="Times New Roman" w:eastAsia="幼圆" w:cs="Times New Roman"/>
                <w:b w:val="0"/>
                <w:bCs w:val="0"/>
                <w:color w:val="000000"/>
                <w:sz w:val="24"/>
                <w:highlight w:val="none"/>
                <w:lang w:val="en-US" w:eastAsia="zh-CN"/>
              </w:rPr>
              <w:t>。</w:t>
            </w:r>
          </w:p>
        </w:tc>
        <w:tc>
          <w:tcPr>
            <w:tcW w:w="5679" w:type="dxa"/>
            <w:noWrap w:val="0"/>
            <w:vAlign w:val="center"/>
          </w:tcPr>
          <w:p w14:paraId="1C5B1C21">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以红色文化为魂、滨海休闲为形，打造集红色教育、滨海度假、乡村体验于一体的全域旅游特色消费区。</w:t>
            </w:r>
          </w:p>
        </w:tc>
        <w:tc>
          <w:tcPr>
            <w:tcW w:w="9017" w:type="dxa"/>
            <w:noWrap w:val="0"/>
            <w:vAlign w:val="center"/>
          </w:tcPr>
          <w:p w14:paraId="54FCF24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提升红色遗址周边环境，建设红色文化纪念广场、研学基地，配套特色文创商店、主题民宿集群。优化滨海沿线商业设施，发展海鲜美食街、滨海夜市，串联“红色+蓝色”旅游消费动线。</w:t>
            </w:r>
          </w:p>
        </w:tc>
      </w:tr>
      <w:tr w14:paraId="2439B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0089DD7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2</w:t>
            </w:r>
          </w:p>
        </w:tc>
        <w:tc>
          <w:tcPr>
            <w:tcW w:w="2100" w:type="dxa"/>
            <w:noWrap w:val="0"/>
            <w:vAlign w:val="center"/>
          </w:tcPr>
          <w:p w14:paraId="72FEE45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河东镇“山水画廊”农旅休闲商圈</w:t>
            </w:r>
          </w:p>
        </w:tc>
        <w:tc>
          <w:tcPr>
            <w:tcW w:w="2528" w:type="dxa"/>
            <w:noWrap w:val="0"/>
            <w:vAlign w:val="center"/>
          </w:tcPr>
          <w:p w14:paraId="2F58CC8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河东镇镇区</w:t>
            </w:r>
            <w:r>
              <w:rPr>
                <w:rFonts w:hint="eastAsia" w:ascii="幼圆" w:hAnsi="Times New Roman" w:eastAsia="幼圆" w:cs="Times New Roman"/>
                <w:b w:val="0"/>
                <w:bCs w:val="0"/>
                <w:color w:val="000000"/>
                <w:sz w:val="24"/>
                <w:highlight w:val="none"/>
                <w:lang w:val="en-US" w:eastAsia="zh-CN"/>
              </w:rPr>
              <w:t>。</w:t>
            </w:r>
          </w:p>
        </w:tc>
        <w:tc>
          <w:tcPr>
            <w:tcW w:w="5679" w:type="dxa"/>
            <w:noWrap w:val="0"/>
            <w:vAlign w:val="center"/>
          </w:tcPr>
          <w:p w14:paraId="6BE8FC7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服务城区拓展与乡村旅游，打造以生态观光、农业体验、休闲消费为特色的城郊型农旅融合商圈。</w:t>
            </w:r>
          </w:p>
        </w:tc>
        <w:tc>
          <w:tcPr>
            <w:tcW w:w="9017" w:type="dxa"/>
            <w:noWrap w:val="0"/>
            <w:vAlign w:val="center"/>
          </w:tcPr>
          <w:p w14:paraId="2F335B28">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依托“山水画廊”示范带建设，在镇区布局旅游集散中心、特色农产品展销中心（展销河东优质农产品）。发展农家乐、田园民宿、亲子农耕体验园等业态，满足市民近郊休闲需求。</w:t>
            </w:r>
          </w:p>
        </w:tc>
      </w:tr>
      <w:tr w14:paraId="6AFDC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2D6C90A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3</w:t>
            </w:r>
          </w:p>
        </w:tc>
        <w:tc>
          <w:tcPr>
            <w:tcW w:w="2100" w:type="dxa"/>
            <w:noWrap w:val="0"/>
            <w:vAlign w:val="center"/>
          </w:tcPr>
          <w:p w14:paraId="54FD3C4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潭西镇生态文旅农贸商圈</w:t>
            </w:r>
          </w:p>
        </w:tc>
        <w:tc>
          <w:tcPr>
            <w:tcW w:w="2528" w:type="dxa"/>
            <w:noWrap w:val="0"/>
            <w:vAlign w:val="center"/>
          </w:tcPr>
          <w:p w14:paraId="4B69BE8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潭西镇镇中心区。</w:t>
            </w:r>
          </w:p>
        </w:tc>
        <w:tc>
          <w:tcPr>
            <w:tcW w:w="5679" w:type="dxa"/>
            <w:noWrap w:val="0"/>
            <w:vAlign w:val="center"/>
          </w:tcPr>
          <w:p w14:paraId="01D43C81">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服务于优质粮食产区与生态文旅强镇建设，打造集农产品交易、文旅服务、日常消费于一体的城乡融合先行区商业中心。</w:t>
            </w:r>
          </w:p>
        </w:tc>
        <w:tc>
          <w:tcPr>
            <w:tcW w:w="9017" w:type="dxa"/>
            <w:noWrap w:val="0"/>
            <w:vAlign w:val="center"/>
          </w:tcPr>
          <w:p w14:paraId="0979975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提升镇区传统集市，建设标准化农贸市场，配套粮食、农副产品初加工与包装服务。结合本地文化资源，改造提升镇区商业街风貌，引入特色餐饮、茶座等休闲业态，服务本地居民及周边游客。</w:t>
            </w:r>
          </w:p>
        </w:tc>
      </w:tr>
      <w:tr w14:paraId="77F2B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086B05C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4</w:t>
            </w:r>
          </w:p>
        </w:tc>
        <w:tc>
          <w:tcPr>
            <w:tcW w:w="2100" w:type="dxa"/>
            <w:noWrap w:val="0"/>
            <w:vAlign w:val="center"/>
          </w:tcPr>
          <w:p w14:paraId="4818138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大安镇历史文化与特色农业商圈</w:t>
            </w:r>
          </w:p>
        </w:tc>
        <w:tc>
          <w:tcPr>
            <w:tcW w:w="2528" w:type="dxa"/>
            <w:noWrap w:val="0"/>
            <w:vAlign w:val="center"/>
          </w:tcPr>
          <w:p w14:paraId="305AE39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大安镇古镇核心区及新镇区。</w:t>
            </w:r>
          </w:p>
        </w:tc>
        <w:tc>
          <w:tcPr>
            <w:tcW w:w="5679" w:type="dxa"/>
            <w:noWrap w:val="0"/>
            <w:vAlign w:val="center"/>
          </w:tcPr>
          <w:p w14:paraId="22DA24A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围绕历史文化资源保护与利用，建设集文化体验、特色农业展销、美丽圩镇消费于一体的文旅商融合商圈。</w:t>
            </w:r>
          </w:p>
        </w:tc>
        <w:tc>
          <w:tcPr>
            <w:tcW w:w="9017" w:type="dxa"/>
            <w:noWrap w:val="0"/>
            <w:vAlign w:val="center"/>
          </w:tcPr>
          <w:p w14:paraId="2D125DD8">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修缮活化古建筑群，引入非遗工坊、文化客栈，打造历史文化体验街区。在镇区外围布局特色农产品（如大安蒜、优质米）交易区，结合现代农业发展观光采摘园，形成“文农旅商”联动发展。</w:t>
            </w:r>
          </w:p>
        </w:tc>
      </w:tr>
      <w:tr w14:paraId="3BD65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67378D3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5</w:t>
            </w:r>
          </w:p>
        </w:tc>
        <w:tc>
          <w:tcPr>
            <w:tcW w:w="2100" w:type="dxa"/>
            <w:noWrap w:val="0"/>
            <w:vAlign w:val="center"/>
          </w:tcPr>
          <w:p w14:paraId="12A8476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上英镇滨海田园休闲商圈</w:t>
            </w:r>
          </w:p>
        </w:tc>
        <w:tc>
          <w:tcPr>
            <w:tcW w:w="2528" w:type="dxa"/>
            <w:noWrap w:val="0"/>
            <w:vAlign w:val="center"/>
          </w:tcPr>
          <w:p w14:paraId="75AB339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上英镇镇区及主要乡村休闲项目沿线。</w:t>
            </w:r>
          </w:p>
        </w:tc>
        <w:tc>
          <w:tcPr>
            <w:tcW w:w="5679" w:type="dxa"/>
            <w:noWrap w:val="0"/>
            <w:vAlign w:val="center"/>
          </w:tcPr>
          <w:p w14:paraId="13525C3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结合特色农业与滨海资源，打造服务于田园观光、红色文化体验、滨海乡村休闲的特色消费节点。</w:t>
            </w:r>
          </w:p>
        </w:tc>
        <w:tc>
          <w:tcPr>
            <w:tcW w:w="9017" w:type="dxa"/>
            <w:noWrap w:val="0"/>
            <w:vAlign w:val="center"/>
          </w:tcPr>
          <w:p w14:paraId="70D8A3A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发展田园综合体，建设农产品直销市场、农家乐集群。挖掘本地红色文化资源，与田园风光结合，设计红色研学路线，配套简餐、住宿服务。优化镇区商业服务，满足本地居民及游客基本消费需求。</w:t>
            </w:r>
          </w:p>
        </w:tc>
      </w:tr>
      <w:tr w14:paraId="1CBD7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6C49C2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6</w:t>
            </w:r>
          </w:p>
        </w:tc>
        <w:tc>
          <w:tcPr>
            <w:tcW w:w="2100" w:type="dxa"/>
            <w:noWrap w:val="0"/>
            <w:vAlign w:val="center"/>
          </w:tcPr>
          <w:p w14:paraId="5C126A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湖东镇港区综合服务商圈</w:t>
            </w:r>
          </w:p>
        </w:tc>
        <w:tc>
          <w:tcPr>
            <w:tcW w:w="2528" w:type="dxa"/>
            <w:noWrap w:val="0"/>
            <w:vAlign w:val="center"/>
          </w:tcPr>
          <w:p w14:paraId="5E2F7C0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大南海物流基地</w:t>
            </w:r>
            <w:r>
              <w:rPr>
                <w:rFonts w:hint="default" w:ascii="幼圆" w:hAnsi="Times New Roman" w:eastAsia="幼圆" w:cs="Times New Roman"/>
                <w:b w:val="0"/>
                <w:bCs w:val="0"/>
                <w:color w:val="000000"/>
                <w:sz w:val="24"/>
                <w:highlight w:val="none"/>
                <w:lang w:val="en-US" w:eastAsia="zh-CN"/>
              </w:rPr>
              <w:t>区域及镇中心区。</w:t>
            </w:r>
          </w:p>
        </w:tc>
        <w:tc>
          <w:tcPr>
            <w:tcW w:w="5679" w:type="dxa"/>
            <w:noWrap w:val="0"/>
            <w:vAlign w:val="center"/>
          </w:tcPr>
          <w:p w14:paraId="402A11A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依托“以港兴镇”战略，打造服务于海洋经济、特色农业产业链的港区生产生活服务中心。</w:t>
            </w:r>
          </w:p>
        </w:tc>
        <w:tc>
          <w:tcPr>
            <w:tcW w:w="9017" w:type="dxa"/>
            <w:noWrap w:val="0"/>
            <w:vAlign w:val="center"/>
          </w:tcPr>
          <w:p w14:paraId="3DA9179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加快推进大南海物流基地建设，依托揭阳疏港铁路和东海岸港区，布局物流仓储用地，服务石化产业基地。在港区周边发展船舶补给、海鲜批发、冷链物流等相关商贸服务业。在镇中心区提升餐饮、住宿、零售等生活性服务业态，服务产业工人、渔民及本地居民，建设活力圩镇。</w:t>
            </w:r>
          </w:p>
        </w:tc>
      </w:tr>
      <w:tr w14:paraId="200D6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5329FA6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7</w:t>
            </w:r>
          </w:p>
        </w:tc>
        <w:tc>
          <w:tcPr>
            <w:tcW w:w="2100" w:type="dxa"/>
            <w:noWrap w:val="0"/>
            <w:vAlign w:val="center"/>
          </w:tcPr>
          <w:p w14:paraId="6A2C1DA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博美镇生态农业商贸商圈</w:t>
            </w:r>
          </w:p>
        </w:tc>
        <w:tc>
          <w:tcPr>
            <w:tcW w:w="2528" w:type="dxa"/>
            <w:noWrap w:val="0"/>
            <w:vAlign w:val="center"/>
          </w:tcPr>
          <w:p w14:paraId="1CF0D72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博美镇镇区，G228国道沿线。</w:t>
            </w:r>
          </w:p>
        </w:tc>
        <w:tc>
          <w:tcPr>
            <w:tcW w:w="5679" w:type="dxa"/>
            <w:noWrap w:val="0"/>
            <w:vAlign w:val="center"/>
          </w:tcPr>
          <w:p w14:paraId="41A6F20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依托生态农业产业园，打造以农产品交易、生态休闲为特色的商贸节点。</w:t>
            </w:r>
          </w:p>
        </w:tc>
        <w:tc>
          <w:tcPr>
            <w:tcW w:w="9017" w:type="dxa"/>
            <w:noWrap w:val="0"/>
            <w:vAlign w:val="center"/>
          </w:tcPr>
          <w:p w14:paraId="0168490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重点发展“荷塘夜色”等农业生态休闲观光综合体的商业配套，建设特色农产品展销中心、电商直播基地。优化国道沿线商业布局，发展餐饮、物流等服务，打通农产品上行渠道。</w:t>
            </w:r>
          </w:p>
        </w:tc>
      </w:tr>
      <w:tr w14:paraId="70D32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0860A20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8</w:t>
            </w:r>
          </w:p>
        </w:tc>
        <w:tc>
          <w:tcPr>
            <w:tcW w:w="2100" w:type="dxa"/>
            <w:noWrap w:val="0"/>
            <w:vAlign w:val="center"/>
          </w:tcPr>
          <w:p w14:paraId="312CFFB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桥冲镇文旅融合农业商圈</w:t>
            </w:r>
          </w:p>
        </w:tc>
        <w:tc>
          <w:tcPr>
            <w:tcW w:w="2528" w:type="dxa"/>
            <w:noWrap w:val="0"/>
            <w:vAlign w:val="center"/>
          </w:tcPr>
          <w:p w14:paraId="7E629B2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桥冲镇镇区及乡村振兴示范带核心区。</w:t>
            </w:r>
          </w:p>
        </w:tc>
        <w:tc>
          <w:tcPr>
            <w:tcW w:w="5679" w:type="dxa"/>
            <w:noWrap w:val="0"/>
            <w:vAlign w:val="center"/>
          </w:tcPr>
          <w:p w14:paraId="01D2521E">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依托乡村振兴示范带，建设以文化为引领、农业为基础、旅游为载体的文旅农融合消费区。</w:t>
            </w:r>
          </w:p>
        </w:tc>
        <w:tc>
          <w:tcPr>
            <w:tcW w:w="9017" w:type="dxa"/>
            <w:noWrap w:val="0"/>
            <w:vAlign w:val="center"/>
          </w:tcPr>
          <w:p w14:paraId="5AFBB503">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结合“文化+旅游”、“农业+旅游”产业，在镇区及示范带沿线布局文旅驿站、特色农产品集市、非遗体验馆。发展乡村民宿、农家乐，打造集购物、体验、休闲于一体的乡村商业氛围。</w:t>
            </w:r>
          </w:p>
        </w:tc>
      </w:tr>
      <w:tr w14:paraId="2A0DD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7A50935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9</w:t>
            </w:r>
          </w:p>
        </w:tc>
        <w:tc>
          <w:tcPr>
            <w:tcW w:w="2100" w:type="dxa"/>
            <w:noWrap w:val="0"/>
            <w:vAlign w:val="center"/>
          </w:tcPr>
          <w:p w14:paraId="195F0DA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甲西镇教育农旅融合商圈</w:t>
            </w:r>
          </w:p>
        </w:tc>
        <w:tc>
          <w:tcPr>
            <w:tcW w:w="2528" w:type="dxa"/>
            <w:noWrap w:val="0"/>
            <w:vAlign w:val="center"/>
          </w:tcPr>
          <w:p w14:paraId="7C1FCFE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甲西镇镇区，邻近全省示范教育基地。</w:t>
            </w:r>
          </w:p>
        </w:tc>
        <w:tc>
          <w:tcPr>
            <w:tcW w:w="5679" w:type="dxa"/>
            <w:noWrap w:val="0"/>
            <w:vAlign w:val="center"/>
          </w:tcPr>
          <w:p w14:paraId="4DF7ED37">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服务三甲地区融合发展与教育示范基地建设，打造农旅融合生态特色镇的配套商业中心。</w:t>
            </w:r>
          </w:p>
        </w:tc>
        <w:tc>
          <w:tcPr>
            <w:tcW w:w="9017" w:type="dxa"/>
            <w:noWrap w:val="0"/>
            <w:vAlign w:val="center"/>
          </w:tcPr>
          <w:p w14:paraId="30D930E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围绕教育基地需求，发展技能培训、商务简餐、便捷零售等服务业态。结合农旅融合，建设生态农产品销售点、家庭农场体验区，服务师生、本地居民及研学游客。</w:t>
            </w:r>
          </w:p>
        </w:tc>
      </w:tr>
      <w:tr w14:paraId="0BEC4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00D6750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10</w:t>
            </w:r>
          </w:p>
        </w:tc>
        <w:tc>
          <w:tcPr>
            <w:tcW w:w="2100" w:type="dxa"/>
            <w:noWrap w:val="0"/>
            <w:vAlign w:val="center"/>
          </w:tcPr>
          <w:p w14:paraId="2089977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甲东镇新型工业配套商圈</w:t>
            </w:r>
          </w:p>
        </w:tc>
        <w:tc>
          <w:tcPr>
            <w:tcW w:w="2528" w:type="dxa"/>
            <w:noWrap w:val="0"/>
            <w:vAlign w:val="center"/>
          </w:tcPr>
          <w:p w14:paraId="7C32322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甲东镇镇区及工业集中区。</w:t>
            </w:r>
          </w:p>
        </w:tc>
        <w:tc>
          <w:tcPr>
            <w:tcW w:w="5679" w:type="dxa"/>
            <w:noWrap w:val="0"/>
            <w:vAlign w:val="center"/>
          </w:tcPr>
          <w:p w14:paraId="707F29A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服务于新型工业镇和农业特色镇建设，打造产业配套与生活服务并重的工贸型商圈。</w:t>
            </w:r>
          </w:p>
        </w:tc>
        <w:tc>
          <w:tcPr>
            <w:tcW w:w="9017" w:type="dxa"/>
            <w:noWrap w:val="0"/>
            <w:vAlign w:val="center"/>
          </w:tcPr>
          <w:p w14:paraId="2E49B853">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在工业区周边布局员工食堂、便利店、物流配送点等生产性服务业。在镇中心区提升农贸市场、餐饮、住宿等生活性服务业，促进产城融合。</w:t>
            </w:r>
          </w:p>
        </w:tc>
      </w:tr>
      <w:tr w14:paraId="60AA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5D4CA35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11</w:t>
            </w:r>
          </w:p>
        </w:tc>
        <w:tc>
          <w:tcPr>
            <w:tcW w:w="2100" w:type="dxa"/>
            <w:noWrap w:val="0"/>
            <w:vAlign w:val="center"/>
          </w:tcPr>
          <w:p w14:paraId="0C68338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西南镇生态农贸物流商圈</w:t>
            </w:r>
          </w:p>
        </w:tc>
        <w:tc>
          <w:tcPr>
            <w:tcW w:w="2528" w:type="dxa"/>
            <w:noWrap w:val="0"/>
            <w:vAlign w:val="center"/>
          </w:tcPr>
          <w:p w14:paraId="7EEB993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西南镇镇区及交通便利处。</w:t>
            </w:r>
          </w:p>
        </w:tc>
        <w:tc>
          <w:tcPr>
            <w:tcW w:w="5679" w:type="dxa"/>
            <w:noWrap w:val="0"/>
            <w:vAlign w:val="center"/>
          </w:tcPr>
          <w:p w14:paraId="429BB3D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服务于优质农产品生产与加工物流商贸镇定位，打造生态维育区的农副产品集散中心。</w:t>
            </w:r>
          </w:p>
        </w:tc>
        <w:tc>
          <w:tcPr>
            <w:tcW w:w="9017" w:type="dxa"/>
            <w:noWrap w:val="0"/>
            <w:vAlign w:val="center"/>
          </w:tcPr>
          <w:p w14:paraId="07B9A58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建设标准化农副产品批发市场，配套冷链仓储、分拣包装、物流配送服务。提升圩镇商业环境，发展绿色食品加工零售、生态旅游特产销售等业态。</w:t>
            </w:r>
          </w:p>
        </w:tc>
      </w:tr>
      <w:tr w14:paraId="60AAB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4FE5D75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12</w:t>
            </w:r>
          </w:p>
        </w:tc>
        <w:tc>
          <w:tcPr>
            <w:tcW w:w="2100" w:type="dxa"/>
            <w:noWrap w:val="0"/>
            <w:vAlign w:val="center"/>
          </w:tcPr>
          <w:p w14:paraId="2DF3C1C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陂洋镇生态果旅商圈</w:t>
            </w:r>
          </w:p>
        </w:tc>
        <w:tc>
          <w:tcPr>
            <w:tcW w:w="2528" w:type="dxa"/>
            <w:noWrap w:val="0"/>
            <w:vAlign w:val="center"/>
          </w:tcPr>
          <w:p w14:paraId="4017DCA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陂洋镇镇区及特色水果产区。</w:t>
            </w:r>
          </w:p>
        </w:tc>
        <w:tc>
          <w:tcPr>
            <w:tcW w:w="5679" w:type="dxa"/>
            <w:noWrap w:val="0"/>
            <w:vAlign w:val="center"/>
          </w:tcPr>
          <w:p w14:paraId="0B821AD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依托特色水果产业和红色生态旅游，打造“春夏摘果、四季旅游”的生态特色消费区。</w:t>
            </w:r>
          </w:p>
        </w:tc>
        <w:tc>
          <w:tcPr>
            <w:tcW w:w="9017" w:type="dxa"/>
            <w:noWrap w:val="0"/>
            <w:vAlign w:val="center"/>
          </w:tcPr>
          <w:p w14:paraId="698A232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建设水果交易市场、果汁加工体验工坊，发展果园观光、采摘休闲配套商业。结合红色生态旅游线路，布局特色餐饮、山货集市、民宿等业态。</w:t>
            </w:r>
          </w:p>
        </w:tc>
      </w:tr>
      <w:tr w14:paraId="20679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5EDB82E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13</w:t>
            </w:r>
          </w:p>
        </w:tc>
        <w:tc>
          <w:tcPr>
            <w:tcW w:w="2100" w:type="dxa"/>
            <w:noWrap w:val="0"/>
            <w:vAlign w:val="center"/>
          </w:tcPr>
          <w:p w14:paraId="07A8397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八万镇红色生态休闲商圈</w:t>
            </w:r>
          </w:p>
        </w:tc>
        <w:tc>
          <w:tcPr>
            <w:tcW w:w="2528" w:type="dxa"/>
            <w:noWrap w:val="0"/>
            <w:vAlign w:val="center"/>
          </w:tcPr>
          <w:p w14:paraId="7147C01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八万镇镇区及红色旅游资源点周边。</w:t>
            </w:r>
          </w:p>
        </w:tc>
        <w:tc>
          <w:tcPr>
            <w:tcW w:w="5679" w:type="dxa"/>
            <w:noWrap w:val="0"/>
            <w:vAlign w:val="center"/>
          </w:tcPr>
          <w:p w14:paraId="6D79B2D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以绿色生态为基底，红色休闲为特色，打造服务于特色农业与休闲旅游的山区绿色消费节点。</w:t>
            </w:r>
          </w:p>
        </w:tc>
        <w:tc>
          <w:tcPr>
            <w:tcW w:w="9017" w:type="dxa"/>
            <w:noWrap w:val="0"/>
            <w:vAlign w:val="center"/>
          </w:tcPr>
          <w:p w14:paraId="4B73190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利用生态资源优势，发展林下经济产品展销、农家乐、康养民宿。挖掘红色文化，设计短途徒步路线，在镇区配套旅游信息服务、特产销售点。</w:t>
            </w:r>
          </w:p>
        </w:tc>
      </w:tr>
      <w:tr w14:paraId="36605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32BCD38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14</w:t>
            </w:r>
          </w:p>
        </w:tc>
        <w:tc>
          <w:tcPr>
            <w:tcW w:w="2100" w:type="dxa"/>
            <w:noWrap w:val="0"/>
            <w:vAlign w:val="center"/>
          </w:tcPr>
          <w:p w14:paraId="179EF04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内湖镇现代农业服务商圈</w:t>
            </w:r>
          </w:p>
        </w:tc>
        <w:tc>
          <w:tcPr>
            <w:tcW w:w="2528" w:type="dxa"/>
            <w:noWrap w:val="0"/>
            <w:vAlign w:val="center"/>
          </w:tcPr>
          <w:p w14:paraId="5D89958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内湖镇镇中心区。</w:t>
            </w:r>
          </w:p>
        </w:tc>
        <w:tc>
          <w:tcPr>
            <w:tcW w:w="5679" w:type="dxa"/>
            <w:noWrap w:val="0"/>
            <w:vAlign w:val="center"/>
          </w:tcPr>
          <w:p w14:paraId="7AA3E03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服务于都市型现代化农业镇，打造农产品集散、农业生产资料供应及便民消费的核心商圈。</w:t>
            </w:r>
          </w:p>
        </w:tc>
        <w:tc>
          <w:tcPr>
            <w:tcW w:w="9017" w:type="dxa"/>
            <w:noWrap w:val="0"/>
            <w:vAlign w:val="center"/>
          </w:tcPr>
          <w:p w14:paraId="75907AC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提升改造镇区农贸市场，引入农业技术咨询服务、种子化肥农机销售等业态。发展农产品电商，建设物流快递集散点，服务现代农业产供销链条。</w:t>
            </w:r>
          </w:p>
        </w:tc>
      </w:tr>
      <w:tr w14:paraId="1FF2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032B494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15</w:t>
            </w:r>
          </w:p>
        </w:tc>
        <w:tc>
          <w:tcPr>
            <w:tcW w:w="2100" w:type="dxa"/>
            <w:noWrap w:val="0"/>
            <w:vAlign w:val="center"/>
          </w:tcPr>
          <w:p w14:paraId="6168728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华侨管理区归侨风情果旅商圈</w:t>
            </w:r>
          </w:p>
        </w:tc>
        <w:tc>
          <w:tcPr>
            <w:tcW w:w="2528" w:type="dxa"/>
            <w:noWrap w:val="0"/>
            <w:vAlign w:val="center"/>
          </w:tcPr>
          <w:p w14:paraId="485CFE5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华侨管理区核心区。</w:t>
            </w:r>
          </w:p>
        </w:tc>
        <w:tc>
          <w:tcPr>
            <w:tcW w:w="5679" w:type="dxa"/>
            <w:noWrap w:val="0"/>
            <w:vAlign w:val="center"/>
          </w:tcPr>
          <w:p w14:paraId="3DB7ED0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依托“水果之乡、归侨小镇”品牌，打造集特色水果交易、康养旅游、归侨文化体验于一体的特色消费区。</w:t>
            </w:r>
          </w:p>
        </w:tc>
        <w:tc>
          <w:tcPr>
            <w:tcW w:w="9017" w:type="dxa"/>
            <w:noWrap w:val="0"/>
            <w:vAlign w:val="center"/>
          </w:tcPr>
          <w:p w14:paraId="695EC00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建设水果主题广场、归侨文化展览馆、特色民宿街区。发展“农业+旅游”“旅游+文化”业态，举办水果采摘节，推出归侨特色美食、手工艺品销售，打造独特IP。</w:t>
            </w:r>
          </w:p>
        </w:tc>
      </w:tr>
      <w:tr w14:paraId="346EA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noWrap w:val="0"/>
            <w:vAlign w:val="center"/>
          </w:tcPr>
          <w:p w14:paraId="1BC3DE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16</w:t>
            </w:r>
          </w:p>
        </w:tc>
        <w:tc>
          <w:tcPr>
            <w:tcW w:w="2100" w:type="dxa"/>
            <w:noWrap w:val="0"/>
            <w:vAlign w:val="center"/>
          </w:tcPr>
          <w:p w14:paraId="3918EE6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铜锣湖农场现代农工贸商圈</w:t>
            </w:r>
          </w:p>
        </w:tc>
        <w:tc>
          <w:tcPr>
            <w:tcW w:w="2528" w:type="dxa"/>
            <w:noWrap w:val="0"/>
            <w:vAlign w:val="center"/>
          </w:tcPr>
          <w:p w14:paraId="4E87BD2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铜锣湖农场场部核心区。</w:t>
            </w:r>
          </w:p>
        </w:tc>
        <w:tc>
          <w:tcPr>
            <w:tcW w:w="5679" w:type="dxa"/>
            <w:noWrap w:val="0"/>
            <w:vAlign w:val="center"/>
          </w:tcPr>
          <w:p w14:paraId="1BD8953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服务于现代农场改革发展，打造以橡胶、特色水果、先进制造业为特色的产城融合服务圈。</w:t>
            </w:r>
          </w:p>
        </w:tc>
        <w:tc>
          <w:tcPr>
            <w:tcW w:w="9017" w:type="dxa"/>
            <w:noWrap w:val="0"/>
            <w:vAlign w:val="center"/>
          </w:tcPr>
          <w:p w14:paraId="38529C7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围绕农场产业，发展橡胶及副产品交易、水果批发、农机农资服务。配套职工生活所需的餐饮、购物、文体娱乐设施，建设宜居宜业的场部商业中心。</w:t>
            </w:r>
          </w:p>
        </w:tc>
      </w:tr>
    </w:tbl>
    <w:p w14:paraId="0114CA5E">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6687B236">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5" w:name="_Toc19264"/>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16</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海丰县县域商圈规划指引</w:t>
      </w:r>
      <w:bookmarkEnd w:id="115"/>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3"/>
        <w:gridCol w:w="4194"/>
        <w:gridCol w:w="4323"/>
        <w:gridCol w:w="8726"/>
      </w:tblGrid>
      <w:tr w14:paraId="79B33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top"/>
          </w:tcPr>
          <w:p w14:paraId="7BFCB3C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商圈名称</w:t>
            </w:r>
          </w:p>
        </w:tc>
        <w:tc>
          <w:tcPr>
            <w:tcW w:w="1045" w:type="pct"/>
            <w:noWrap w:val="0"/>
            <w:vAlign w:val="top"/>
          </w:tcPr>
          <w:p w14:paraId="3A56BB7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位置</w:t>
            </w:r>
          </w:p>
        </w:tc>
        <w:tc>
          <w:tcPr>
            <w:tcW w:w="1077" w:type="pct"/>
            <w:noWrap w:val="0"/>
            <w:vAlign w:val="top"/>
          </w:tcPr>
          <w:p w14:paraId="21CBE40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功能定位</w:t>
            </w:r>
          </w:p>
        </w:tc>
        <w:tc>
          <w:tcPr>
            <w:tcW w:w="2174" w:type="pct"/>
            <w:noWrap w:val="0"/>
            <w:vAlign w:val="top"/>
          </w:tcPr>
          <w:p w14:paraId="677E1DD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规划指引</w:t>
            </w:r>
          </w:p>
        </w:tc>
      </w:tr>
      <w:tr w14:paraId="125FE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center"/>
          </w:tcPr>
          <w:p w14:paraId="598A64C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海丰综合商圈</w:t>
            </w:r>
          </w:p>
        </w:tc>
        <w:tc>
          <w:tcPr>
            <w:tcW w:w="1045" w:type="pct"/>
            <w:noWrap w:val="0"/>
            <w:vAlign w:val="center"/>
          </w:tcPr>
          <w:p w14:paraId="44F39C9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以海城镇老城核心区（红城大道-龙津河传统商圈）与附城镇新城拓展区（二环南路-海丽大道新兴商圈）为双中心</w:t>
            </w:r>
            <w:r>
              <w:rPr>
                <w:rFonts w:hint="eastAsia" w:ascii="幼圆" w:hAnsi="Times New Roman" w:eastAsia="幼圆" w:cs="Times New Roman"/>
                <w:b w:val="0"/>
                <w:bCs w:val="0"/>
                <w:color w:val="000000"/>
                <w:sz w:val="24"/>
                <w:highlight w:val="none"/>
                <w:lang w:val="en-US" w:eastAsia="zh-CN"/>
              </w:rPr>
              <w:t>，组成海丰县综合商圈</w:t>
            </w:r>
          </w:p>
        </w:tc>
        <w:tc>
          <w:tcPr>
            <w:tcW w:w="1077" w:type="pct"/>
            <w:noWrap w:val="0"/>
            <w:vAlign w:val="center"/>
          </w:tcPr>
          <w:p w14:paraId="354A85C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作为海丰</w:t>
            </w:r>
            <w:r>
              <w:rPr>
                <w:rFonts w:hint="default" w:ascii="幼圆" w:hAnsi="Times New Roman" w:eastAsia="幼圆" w:cs="Times New Roman"/>
                <w:b w:val="0"/>
                <w:bCs w:val="0"/>
                <w:color w:val="000000"/>
                <w:sz w:val="24"/>
                <w:highlight w:val="none"/>
                <w:lang w:val="en-US" w:eastAsia="zh-CN"/>
              </w:rPr>
              <w:t>县域商业服务</w:t>
            </w:r>
            <w:r>
              <w:rPr>
                <w:rFonts w:hint="eastAsia" w:ascii="幼圆" w:hAnsi="Times New Roman" w:eastAsia="幼圆" w:cs="Times New Roman"/>
                <w:b w:val="0"/>
                <w:bCs w:val="0"/>
                <w:color w:val="000000"/>
                <w:sz w:val="24"/>
                <w:highlight w:val="none"/>
                <w:lang w:val="en-US" w:eastAsia="zh-CN"/>
              </w:rPr>
              <w:t>核心</w:t>
            </w:r>
            <w:r>
              <w:rPr>
                <w:rFonts w:hint="default" w:ascii="幼圆" w:hAnsi="Times New Roman" w:eastAsia="幼圆" w:cs="Times New Roman"/>
                <w:b w:val="0"/>
                <w:bCs w:val="0"/>
                <w:color w:val="000000"/>
                <w:sz w:val="24"/>
                <w:highlight w:val="none"/>
                <w:lang w:val="en-US" w:eastAsia="zh-CN"/>
              </w:rPr>
              <w:t>，以“综合</w:t>
            </w:r>
            <w:r>
              <w:rPr>
                <w:rFonts w:hint="eastAsia" w:ascii="幼圆" w:hAnsi="Times New Roman" w:eastAsia="幼圆" w:cs="Times New Roman"/>
                <w:b w:val="0"/>
                <w:bCs w:val="0"/>
                <w:color w:val="000000"/>
                <w:sz w:val="24"/>
                <w:highlight w:val="none"/>
                <w:lang w:val="en-US" w:eastAsia="zh-CN"/>
              </w:rPr>
              <w:t>商业</w:t>
            </w:r>
            <w:r>
              <w:rPr>
                <w:rFonts w:hint="default" w:ascii="幼圆" w:hAnsi="Times New Roman" w:eastAsia="幼圆" w:cs="Times New Roman"/>
                <w:b w:val="0"/>
                <w:bCs w:val="0"/>
                <w:color w:val="000000"/>
                <w:sz w:val="24"/>
                <w:highlight w:val="none"/>
                <w:lang w:val="en-US" w:eastAsia="zh-CN"/>
              </w:rPr>
              <w:t>服务、文旅融合窗口、商务活力引擎”为目标</w:t>
            </w:r>
            <w:r>
              <w:rPr>
                <w:rFonts w:hint="eastAsia" w:ascii="幼圆" w:hAnsi="Times New Roman" w:eastAsia="幼圆" w:cs="Times New Roman"/>
                <w:b w:val="0"/>
                <w:bCs w:val="0"/>
                <w:color w:val="000000"/>
                <w:sz w:val="24"/>
                <w:highlight w:val="none"/>
                <w:lang w:val="en-US" w:eastAsia="zh-CN"/>
              </w:rPr>
              <w:t>，</w:t>
            </w:r>
            <w:r>
              <w:rPr>
                <w:rFonts w:hint="default" w:ascii="幼圆" w:hAnsi="Times New Roman" w:eastAsia="幼圆" w:cs="Times New Roman"/>
                <w:b w:val="0"/>
                <w:bCs w:val="0"/>
                <w:color w:val="000000"/>
                <w:sz w:val="24"/>
                <w:highlight w:val="none"/>
                <w:lang w:val="en-US" w:eastAsia="zh-CN"/>
              </w:rPr>
              <w:t>集红色文旅体验、品质消费、商务服务于一体</w:t>
            </w:r>
            <w:r>
              <w:rPr>
                <w:rFonts w:hint="eastAsia" w:ascii="幼圆" w:hAnsi="Times New Roman" w:eastAsia="幼圆" w:cs="Times New Roman"/>
                <w:b w:val="0"/>
                <w:bCs w:val="0"/>
                <w:color w:val="000000"/>
                <w:sz w:val="24"/>
                <w:highlight w:val="none"/>
                <w:lang w:val="en-US" w:eastAsia="zh-CN"/>
              </w:rPr>
              <w:t>。</w:t>
            </w:r>
          </w:p>
          <w:p w14:paraId="3E48F26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p>
        </w:tc>
        <w:tc>
          <w:tcPr>
            <w:tcW w:w="2174" w:type="pct"/>
            <w:noWrap w:val="0"/>
            <w:vAlign w:val="center"/>
          </w:tcPr>
          <w:p w14:paraId="0C035A6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结合“老城更新+新城提质”的发展策略，推动海城镇老城区商业更新迭代。以“红色+”为主题，改造彭湃故居周边街区为“红色文创街区”；龙津河沿岸布局“夜间经济长廊”，串联“红宫红场—方饭亭—龙津河夜游”动线。</w:t>
            </w:r>
          </w:p>
          <w:p w14:paraId="262D23C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提升附城镇新城区商业品质业态。引入高端零售、亲子体验、健康消费等，采用立体复合开发、文化地标植入和城市界面管控等手段打造城市品质商业。</w:t>
            </w:r>
          </w:p>
        </w:tc>
      </w:tr>
      <w:tr w14:paraId="43A6A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center"/>
          </w:tcPr>
          <w:p w14:paraId="4DDAC96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生态科技城产城融合商圈</w:t>
            </w:r>
          </w:p>
        </w:tc>
        <w:tc>
          <w:tcPr>
            <w:tcW w:w="1045" w:type="pct"/>
            <w:noWrap w:val="0"/>
            <w:vAlign w:val="center"/>
          </w:tcPr>
          <w:p w14:paraId="72AF901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以生态科技城“科技城总部大厦”为中心</w:t>
            </w:r>
            <w:r>
              <w:rPr>
                <w:rFonts w:hint="eastAsia" w:ascii="幼圆" w:hAnsi="Times New Roman" w:eastAsia="幼圆" w:cs="Times New Roman"/>
                <w:b w:val="0"/>
                <w:bCs w:val="0"/>
                <w:color w:val="000000"/>
                <w:sz w:val="24"/>
                <w:highlight w:val="none"/>
                <w:lang w:val="en-US" w:eastAsia="zh-CN"/>
              </w:rPr>
              <w:t>周边商业群</w:t>
            </w:r>
          </w:p>
        </w:tc>
        <w:tc>
          <w:tcPr>
            <w:tcW w:w="1077" w:type="pct"/>
            <w:noWrap w:val="0"/>
            <w:vAlign w:val="center"/>
          </w:tcPr>
          <w:p w14:paraId="79B9CB68">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服务生态科技城的产城融合配套商圈，满足园区3万产业工人及周边5万居民的“工作+生活”需求，侧重商务简餐、快捷消费、技能培训。</w:t>
            </w:r>
          </w:p>
        </w:tc>
        <w:tc>
          <w:tcPr>
            <w:tcW w:w="2174" w:type="pct"/>
            <w:noWrap w:val="0"/>
            <w:vAlign w:val="center"/>
          </w:tcPr>
          <w:p w14:paraId="13D273D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构建</w:t>
            </w:r>
            <w:r>
              <w:rPr>
                <w:rFonts w:hint="default" w:ascii="幼圆" w:hAnsi="Times New Roman" w:eastAsia="幼圆" w:cs="Times New Roman"/>
                <w:b w:val="0"/>
                <w:bCs w:val="0"/>
                <w:color w:val="000000"/>
                <w:sz w:val="24"/>
                <w:highlight w:val="none"/>
                <w:lang w:val="en-US" w:eastAsia="zh-CN"/>
              </w:rPr>
              <w:t>生态科技城</w:t>
            </w:r>
            <w:r>
              <w:rPr>
                <w:rFonts w:hint="eastAsia" w:ascii="幼圆" w:hAnsi="Times New Roman" w:eastAsia="幼圆" w:cs="Times New Roman"/>
                <w:b w:val="0"/>
                <w:bCs w:val="0"/>
                <w:color w:val="000000"/>
                <w:sz w:val="24"/>
                <w:highlight w:val="none"/>
                <w:lang w:val="en-US" w:eastAsia="zh-CN"/>
              </w:rPr>
              <w:t>“15分钟产业生活圈”，满足产业人口基础、进阶和高端不同层次商业需求。发展各色餐饮服务，引进简餐、咖啡等休闲轻餐饮网点和连锁潮汕餐馆、粤菜餐厅等品质商务餐饮网点；24小时便利店全覆盖，布局惠民商超、健身房等产业社区商业服务网点；布局集娱乐、体验与购物于一体的新型综合商业体。</w:t>
            </w:r>
          </w:p>
        </w:tc>
      </w:tr>
    </w:tbl>
    <w:p w14:paraId="0978A4CB">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565B008B">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6" w:name="_Toc26130"/>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17</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海丰县重点镇域商圈规划指引</w:t>
      </w:r>
      <w:bookmarkEnd w:id="116"/>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995"/>
        <w:gridCol w:w="2842"/>
        <w:gridCol w:w="1441"/>
        <w:gridCol w:w="5105"/>
        <w:gridCol w:w="7939"/>
      </w:tblGrid>
      <w:tr w14:paraId="0B792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3" w:type="pct"/>
            <w:noWrap w:val="0"/>
            <w:vAlign w:val="center"/>
          </w:tcPr>
          <w:p w14:paraId="54F45D8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序号</w:t>
            </w:r>
          </w:p>
        </w:tc>
        <w:tc>
          <w:tcPr>
            <w:tcW w:w="497" w:type="pct"/>
            <w:noWrap w:val="0"/>
            <w:vAlign w:val="center"/>
          </w:tcPr>
          <w:p w14:paraId="284E763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商圈名称</w:t>
            </w:r>
          </w:p>
        </w:tc>
        <w:tc>
          <w:tcPr>
            <w:tcW w:w="708" w:type="pct"/>
            <w:noWrap w:val="0"/>
            <w:vAlign w:val="center"/>
          </w:tcPr>
          <w:p w14:paraId="773145E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位置</w:t>
            </w:r>
          </w:p>
        </w:tc>
        <w:tc>
          <w:tcPr>
            <w:tcW w:w="359" w:type="pct"/>
            <w:noWrap w:val="0"/>
            <w:vAlign w:val="center"/>
          </w:tcPr>
          <w:p w14:paraId="2FE0306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性质</w:t>
            </w:r>
          </w:p>
        </w:tc>
        <w:tc>
          <w:tcPr>
            <w:tcW w:w="1272" w:type="pct"/>
            <w:noWrap w:val="0"/>
            <w:vAlign w:val="center"/>
          </w:tcPr>
          <w:p w14:paraId="0EE9294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功能定位</w:t>
            </w:r>
          </w:p>
        </w:tc>
        <w:tc>
          <w:tcPr>
            <w:tcW w:w="1978" w:type="pct"/>
            <w:noWrap w:val="0"/>
            <w:vAlign w:val="center"/>
          </w:tcPr>
          <w:p w14:paraId="7733CEE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规划指引</w:t>
            </w:r>
          </w:p>
        </w:tc>
      </w:tr>
      <w:tr w14:paraId="6DFA4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83" w:type="pct"/>
            <w:noWrap w:val="0"/>
            <w:vAlign w:val="center"/>
          </w:tcPr>
          <w:p w14:paraId="7BDA94F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w:t>
            </w:r>
          </w:p>
        </w:tc>
        <w:tc>
          <w:tcPr>
            <w:tcW w:w="497" w:type="pct"/>
            <w:noWrap w:val="0"/>
            <w:vAlign w:val="center"/>
          </w:tcPr>
          <w:p w14:paraId="05BD897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梅陇镇</w:t>
            </w:r>
            <w:r>
              <w:rPr>
                <w:rFonts w:hint="eastAsia" w:ascii="幼圆" w:hAnsi="Times New Roman" w:eastAsia="幼圆" w:cs="Times New Roman"/>
                <w:b w:val="0"/>
                <w:bCs w:val="0"/>
                <w:color w:val="000000"/>
                <w:sz w:val="24"/>
                <w:highlight w:val="none"/>
                <w:lang w:val="en-US" w:eastAsia="zh-CN"/>
              </w:rPr>
              <w:t>综合</w:t>
            </w:r>
            <w:r>
              <w:rPr>
                <w:rFonts w:hint="default" w:ascii="幼圆" w:hAnsi="Times New Roman" w:eastAsia="幼圆" w:cs="Times New Roman"/>
                <w:b w:val="0"/>
                <w:bCs w:val="0"/>
                <w:color w:val="000000"/>
                <w:sz w:val="24"/>
                <w:highlight w:val="none"/>
                <w:lang w:val="en-US" w:eastAsia="zh-CN"/>
              </w:rPr>
              <w:t>商贸商圈</w:t>
            </w:r>
          </w:p>
        </w:tc>
        <w:tc>
          <w:tcPr>
            <w:tcW w:w="708" w:type="pct"/>
            <w:noWrap w:val="0"/>
            <w:vAlign w:val="center"/>
          </w:tcPr>
          <w:p w14:paraId="2733C61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镇中心区</w:t>
            </w:r>
            <w:r>
              <w:rPr>
                <w:rFonts w:hint="eastAsia" w:ascii="幼圆" w:hAnsi="Times New Roman" w:eastAsia="幼圆" w:cs="Times New Roman"/>
                <w:b w:val="0"/>
                <w:bCs w:val="0"/>
                <w:color w:val="000000"/>
                <w:sz w:val="24"/>
                <w:highlight w:val="none"/>
                <w:lang w:val="en-US" w:eastAsia="zh-CN"/>
              </w:rPr>
              <w:t>，以“梅陇首饰城”为核心。</w:t>
            </w:r>
          </w:p>
        </w:tc>
        <w:tc>
          <w:tcPr>
            <w:tcW w:w="359" w:type="pct"/>
            <w:noWrap w:val="0"/>
            <w:vAlign w:val="center"/>
          </w:tcPr>
          <w:p w14:paraId="4616A79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综合商圈</w:t>
            </w:r>
          </w:p>
        </w:tc>
        <w:tc>
          <w:tcPr>
            <w:tcW w:w="1272" w:type="pct"/>
            <w:noWrap w:val="0"/>
            <w:vAlign w:val="center"/>
          </w:tcPr>
          <w:p w14:paraId="2271B47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紧握临近深汕特别合作区优势，</w:t>
            </w:r>
            <w:r>
              <w:rPr>
                <w:rFonts w:hint="default" w:ascii="幼圆" w:hAnsi="Times New Roman" w:eastAsia="幼圆" w:cs="Times New Roman"/>
                <w:b w:val="0"/>
                <w:bCs w:val="0"/>
                <w:color w:val="000000"/>
                <w:sz w:val="24"/>
                <w:highlight w:val="none"/>
                <w:lang w:val="en-US" w:eastAsia="zh-CN"/>
              </w:rPr>
              <w:t>依托“中国首饰之都”产业基础</w:t>
            </w:r>
            <w:r>
              <w:rPr>
                <w:rFonts w:hint="eastAsia" w:ascii="幼圆" w:hAnsi="Times New Roman" w:eastAsia="幼圆" w:cs="Times New Roman"/>
                <w:b w:val="0"/>
                <w:bCs w:val="0"/>
                <w:color w:val="000000"/>
                <w:sz w:val="24"/>
                <w:highlight w:val="none"/>
                <w:lang w:val="en-US" w:eastAsia="zh-CN"/>
              </w:rPr>
              <w:t>，</w:t>
            </w:r>
            <w:r>
              <w:rPr>
                <w:rFonts w:hint="default" w:ascii="幼圆" w:hAnsi="Times New Roman" w:eastAsia="幼圆" w:cs="Times New Roman"/>
                <w:b w:val="0"/>
                <w:bCs w:val="0"/>
                <w:color w:val="000000"/>
                <w:sz w:val="24"/>
                <w:highlight w:val="none"/>
                <w:lang w:val="en-US" w:eastAsia="zh-CN"/>
              </w:rPr>
              <w:t>打造</w:t>
            </w:r>
            <w:r>
              <w:rPr>
                <w:rFonts w:hint="eastAsia" w:ascii="幼圆" w:hAnsi="Times New Roman" w:eastAsia="幼圆" w:cs="Times New Roman"/>
                <w:b w:val="0"/>
                <w:bCs w:val="0"/>
                <w:color w:val="000000"/>
                <w:sz w:val="24"/>
                <w:highlight w:val="none"/>
                <w:lang w:val="en-US" w:eastAsia="zh-CN"/>
              </w:rPr>
              <w:t>服务产业人群的综合商业中心、</w:t>
            </w:r>
            <w:r>
              <w:rPr>
                <w:rFonts w:hint="default" w:ascii="幼圆" w:hAnsi="Times New Roman" w:eastAsia="幼圆" w:cs="Times New Roman"/>
                <w:b w:val="0"/>
                <w:bCs w:val="0"/>
                <w:color w:val="000000"/>
                <w:sz w:val="24"/>
                <w:highlight w:val="none"/>
                <w:lang w:val="en-US" w:eastAsia="zh-CN"/>
              </w:rPr>
              <w:t>金银首饰贸易集散中心、直播电商示范基地。</w:t>
            </w:r>
          </w:p>
        </w:tc>
        <w:tc>
          <w:tcPr>
            <w:tcW w:w="1978" w:type="pct"/>
            <w:noWrap w:val="0"/>
            <w:vAlign w:val="center"/>
          </w:tcPr>
          <w:p w14:paraId="7CC602A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承接深汕特别合作区辐射和服务首饰加工销售，配套服务产业人口的餐饮、旅宿、批发零售业；发展首饰检测中心、设计研发中心商贸业；建设“梅陇首饰电商直播基地”，开设“线上批发+线下体验”门店；在商圈外围布局物流仓储中心，对接顺丰、京东云仓。</w:t>
            </w:r>
          </w:p>
        </w:tc>
      </w:tr>
      <w:tr w14:paraId="3CC0A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83" w:type="pct"/>
            <w:noWrap w:val="0"/>
            <w:vAlign w:val="center"/>
          </w:tcPr>
          <w:p w14:paraId="6B290E4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2</w:t>
            </w:r>
          </w:p>
        </w:tc>
        <w:tc>
          <w:tcPr>
            <w:tcW w:w="497" w:type="pct"/>
            <w:noWrap w:val="0"/>
            <w:vAlign w:val="center"/>
          </w:tcPr>
          <w:p w14:paraId="6A528E3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公平镇纺织服装</w:t>
            </w:r>
            <w:r>
              <w:rPr>
                <w:rFonts w:hint="default" w:ascii="幼圆" w:hAnsi="Times New Roman" w:eastAsia="幼圆" w:cs="Times New Roman"/>
                <w:b w:val="0"/>
                <w:bCs w:val="0"/>
                <w:color w:val="000000"/>
                <w:sz w:val="24"/>
                <w:highlight w:val="none"/>
                <w:lang w:val="en-US" w:eastAsia="zh-CN"/>
              </w:rPr>
              <w:t>商贸商圈</w:t>
            </w:r>
          </w:p>
        </w:tc>
        <w:tc>
          <w:tcPr>
            <w:tcW w:w="708" w:type="pct"/>
            <w:noWrap w:val="0"/>
            <w:vAlign w:val="center"/>
          </w:tcPr>
          <w:p w14:paraId="186E00FB">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公平镇新平路-新兴街</w:t>
            </w:r>
            <w:r>
              <w:rPr>
                <w:rFonts w:hint="eastAsia" w:ascii="幼圆" w:hAnsi="Times New Roman" w:eastAsia="幼圆" w:cs="Times New Roman"/>
                <w:b w:val="0"/>
                <w:bCs w:val="0"/>
                <w:color w:val="000000"/>
                <w:sz w:val="24"/>
                <w:highlight w:val="none"/>
                <w:lang w:val="en-US" w:eastAsia="zh-CN"/>
              </w:rPr>
              <w:t>，服装批发市场集群周边区域。</w:t>
            </w:r>
          </w:p>
        </w:tc>
        <w:tc>
          <w:tcPr>
            <w:tcW w:w="359" w:type="pct"/>
            <w:noWrap w:val="0"/>
            <w:vAlign w:val="center"/>
          </w:tcPr>
          <w:p w14:paraId="129C9C4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专业商圈</w:t>
            </w:r>
          </w:p>
        </w:tc>
        <w:tc>
          <w:tcPr>
            <w:tcW w:w="1272" w:type="pct"/>
            <w:noWrap w:val="0"/>
            <w:vAlign w:val="center"/>
          </w:tcPr>
          <w:p w14:paraId="270CEB4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打造粤东中低端服装批发集散地、快时尚定制服务中心，服务汕尾、惠州、揭阳等地零售商</w:t>
            </w:r>
            <w:r>
              <w:rPr>
                <w:rFonts w:hint="eastAsia" w:ascii="幼圆" w:hAnsi="Times New Roman" w:eastAsia="幼圆" w:cs="Times New Roman"/>
                <w:b w:val="0"/>
                <w:bCs w:val="0"/>
                <w:color w:val="000000"/>
                <w:sz w:val="24"/>
                <w:highlight w:val="none"/>
                <w:lang w:val="en-US" w:eastAsia="zh-CN"/>
              </w:rPr>
              <w:t>。</w:t>
            </w:r>
          </w:p>
        </w:tc>
        <w:tc>
          <w:tcPr>
            <w:tcW w:w="1978" w:type="pct"/>
            <w:noWrap w:val="0"/>
            <w:vAlign w:val="center"/>
          </w:tcPr>
          <w:p w14:paraId="714B6C3B">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配套纺织服装加工销售，发展原创设计工作室、面料超市等商贸商业；搭建服装智慧物流平台，实现物流数字化管理；优化服装批发零售商圈环境，提升商务洽谈、零售购物体验感，完善相关商业配套。</w:t>
            </w:r>
          </w:p>
        </w:tc>
      </w:tr>
      <w:tr w14:paraId="4AE42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83" w:type="pct"/>
            <w:noWrap w:val="0"/>
            <w:vAlign w:val="center"/>
          </w:tcPr>
          <w:p w14:paraId="0AB38F6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3</w:t>
            </w:r>
          </w:p>
        </w:tc>
        <w:tc>
          <w:tcPr>
            <w:tcW w:w="497" w:type="pct"/>
            <w:noWrap w:val="0"/>
            <w:vAlign w:val="center"/>
          </w:tcPr>
          <w:p w14:paraId="2DF175C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可塘镇</w:t>
            </w:r>
            <w:r>
              <w:rPr>
                <w:rFonts w:hint="default" w:ascii="幼圆" w:hAnsi="Times New Roman" w:eastAsia="幼圆" w:cs="Times New Roman"/>
                <w:b w:val="0"/>
                <w:bCs w:val="0"/>
                <w:color w:val="000000"/>
                <w:sz w:val="24"/>
                <w:highlight w:val="none"/>
                <w:lang w:val="en-US" w:eastAsia="zh-CN"/>
              </w:rPr>
              <w:t>首饰商贸商圈</w:t>
            </w:r>
          </w:p>
        </w:tc>
        <w:tc>
          <w:tcPr>
            <w:tcW w:w="708" w:type="pct"/>
            <w:noWrap w:val="0"/>
            <w:vAlign w:val="center"/>
          </w:tcPr>
          <w:p w14:paraId="0CF2D04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可塘镇G228国道沿线，以“可塘珠宝产业园”为核心</w:t>
            </w:r>
            <w:r>
              <w:rPr>
                <w:rFonts w:hint="eastAsia" w:ascii="幼圆" w:hAnsi="Times New Roman" w:eastAsia="幼圆" w:cs="Times New Roman"/>
                <w:b w:val="0"/>
                <w:bCs w:val="0"/>
                <w:color w:val="000000"/>
                <w:sz w:val="24"/>
                <w:highlight w:val="none"/>
                <w:lang w:val="en-US" w:eastAsia="zh-CN"/>
              </w:rPr>
              <w:t>。</w:t>
            </w:r>
          </w:p>
        </w:tc>
        <w:tc>
          <w:tcPr>
            <w:tcW w:w="359" w:type="pct"/>
            <w:noWrap w:val="0"/>
            <w:vAlign w:val="center"/>
          </w:tcPr>
          <w:p w14:paraId="7BC48FA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专业商圈</w:t>
            </w:r>
          </w:p>
        </w:tc>
        <w:tc>
          <w:tcPr>
            <w:tcW w:w="1272" w:type="pct"/>
            <w:noWrap w:val="0"/>
            <w:vAlign w:val="center"/>
          </w:tcPr>
          <w:p w14:paraId="560A2BF1">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打造珠宝贸易集散中心、珠宝电商直播中枢和跨境物流枢纽，将可塘镇建设成为国家级珠宝商贸地标。</w:t>
            </w:r>
          </w:p>
        </w:tc>
        <w:tc>
          <w:tcPr>
            <w:tcW w:w="1978" w:type="pct"/>
            <w:noWrap w:val="0"/>
            <w:vAlign w:val="center"/>
          </w:tcPr>
          <w:p w14:paraId="2534703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建设“可塘珠宝跨境电商试验区”</w:t>
            </w:r>
            <w:r>
              <w:rPr>
                <w:rFonts w:hint="eastAsia" w:ascii="幼圆" w:hAnsi="Times New Roman" w:eastAsia="幼圆" w:cs="Times New Roman"/>
                <w:b w:val="0"/>
                <w:bCs w:val="0"/>
                <w:color w:val="000000"/>
                <w:sz w:val="24"/>
                <w:highlight w:val="none"/>
                <w:lang w:val="en-US" w:eastAsia="zh-CN"/>
              </w:rPr>
              <w:t>，联动</w:t>
            </w:r>
            <w:r>
              <w:rPr>
                <w:rFonts w:hint="default" w:ascii="幼圆" w:hAnsi="Times New Roman" w:eastAsia="幼圆" w:cs="Times New Roman"/>
                <w:b w:val="0"/>
                <w:bCs w:val="0"/>
                <w:color w:val="000000"/>
                <w:sz w:val="24"/>
                <w:highlight w:val="none"/>
                <w:lang w:val="en-US" w:eastAsia="zh-CN"/>
              </w:rPr>
              <w:t>梅陇镇</w:t>
            </w:r>
            <w:r>
              <w:rPr>
                <w:rFonts w:hint="eastAsia" w:ascii="幼圆" w:hAnsi="Times New Roman" w:eastAsia="幼圆" w:cs="Times New Roman"/>
                <w:b w:val="0"/>
                <w:bCs w:val="0"/>
                <w:color w:val="000000"/>
                <w:sz w:val="24"/>
                <w:highlight w:val="none"/>
                <w:lang w:val="en-US" w:eastAsia="zh-CN"/>
              </w:rPr>
              <w:t>首饰加工销售产业；打造多元商业综合体，融合珠宝文化体验馆、跨境免税店、餐饮娱乐功能。</w:t>
            </w:r>
          </w:p>
        </w:tc>
      </w:tr>
      <w:tr w14:paraId="53EC9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8" w:hRule="atLeast"/>
        </w:trPr>
        <w:tc>
          <w:tcPr>
            <w:tcW w:w="183" w:type="pct"/>
            <w:noWrap w:val="0"/>
            <w:vAlign w:val="center"/>
          </w:tcPr>
          <w:p w14:paraId="1EC9E34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4</w:t>
            </w:r>
          </w:p>
        </w:tc>
        <w:tc>
          <w:tcPr>
            <w:tcW w:w="497" w:type="pct"/>
            <w:noWrap w:val="0"/>
            <w:vAlign w:val="center"/>
          </w:tcPr>
          <w:p w14:paraId="3EEE062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赤坑镇商贸物流商圈</w:t>
            </w:r>
          </w:p>
        </w:tc>
        <w:tc>
          <w:tcPr>
            <w:tcW w:w="708" w:type="pct"/>
            <w:noWrap w:val="0"/>
            <w:vAlign w:val="center"/>
          </w:tcPr>
          <w:p w14:paraId="7740EA9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镇中心区</w:t>
            </w:r>
          </w:p>
        </w:tc>
        <w:tc>
          <w:tcPr>
            <w:tcW w:w="359" w:type="pct"/>
            <w:noWrap w:val="0"/>
            <w:vAlign w:val="center"/>
          </w:tcPr>
          <w:p w14:paraId="01B1AE8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专业商圈</w:t>
            </w:r>
          </w:p>
        </w:tc>
        <w:tc>
          <w:tcPr>
            <w:tcW w:w="1272" w:type="pct"/>
            <w:noWrap w:val="0"/>
            <w:vAlign w:val="center"/>
          </w:tcPr>
          <w:p w14:paraId="1537252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打造汕尾商贸物流融合商圈、城乡融合农旅商圈。</w:t>
            </w:r>
          </w:p>
        </w:tc>
        <w:tc>
          <w:tcPr>
            <w:tcW w:w="1978" w:type="pct"/>
            <w:noWrap w:val="0"/>
            <w:vAlign w:val="center"/>
          </w:tcPr>
          <w:p w14:paraId="6D47804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提升镇区商业业态，发展商贸展销、商务咨询、零售、餐饮和旅宿等商业，服务镇区、创客城区及汕尾综合物流园；加快推进汕尾综合物流园建设，承接 粤东地区多式联运、冷链加工及物流配送、发展粮食仓储和加工以及 绿色食品的加工批发功能；推动赤坑荔枝农文旅融合发展。</w:t>
            </w:r>
          </w:p>
        </w:tc>
      </w:tr>
    </w:tbl>
    <w:p w14:paraId="753ABF54">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0BAB5744">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7" w:name="_Toc31148"/>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18</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海丰县一般镇域商圈规划指引</w:t>
      </w:r>
      <w:bookmarkEnd w:id="117"/>
    </w:p>
    <w:tbl>
      <w:tblPr>
        <w:tblStyle w:val="3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2157"/>
        <w:gridCol w:w="2907"/>
        <w:gridCol w:w="4936"/>
        <w:gridCol w:w="9274"/>
      </w:tblGrid>
      <w:tr w14:paraId="7D27F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92" w:type="pct"/>
            <w:noWrap w:val="0"/>
            <w:vAlign w:val="top"/>
          </w:tcPr>
          <w:p w14:paraId="7C9997A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序号</w:t>
            </w:r>
          </w:p>
        </w:tc>
        <w:tc>
          <w:tcPr>
            <w:tcW w:w="538" w:type="pct"/>
            <w:noWrap w:val="0"/>
            <w:vAlign w:val="top"/>
          </w:tcPr>
          <w:p w14:paraId="6403F29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商圈名称</w:t>
            </w:r>
          </w:p>
        </w:tc>
        <w:tc>
          <w:tcPr>
            <w:tcW w:w="725" w:type="pct"/>
            <w:noWrap w:val="0"/>
            <w:vAlign w:val="top"/>
          </w:tcPr>
          <w:p w14:paraId="5636B2C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位置</w:t>
            </w:r>
          </w:p>
        </w:tc>
        <w:tc>
          <w:tcPr>
            <w:tcW w:w="1231" w:type="pct"/>
            <w:noWrap w:val="0"/>
            <w:vAlign w:val="top"/>
          </w:tcPr>
          <w:p w14:paraId="4D669C4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功能定位</w:t>
            </w:r>
          </w:p>
        </w:tc>
        <w:tc>
          <w:tcPr>
            <w:tcW w:w="2313" w:type="pct"/>
            <w:noWrap w:val="0"/>
            <w:vAlign w:val="top"/>
          </w:tcPr>
          <w:p w14:paraId="6652CF5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规划指引</w:t>
            </w:r>
          </w:p>
        </w:tc>
      </w:tr>
      <w:tr w14:paraId="4AA9A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686760F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1</w:t>
            </w:r>
          </w:p>
        </w:tc>
        <w:tc>
          <w:tcPr>
            <w:tcW w:w="538" w:type="pct"/>
            <w:noWrap w:val="0"/>
            <w:vAlign w:val="center"/>
          </w:tcPr>
          <w:p w14:paraId="7AF7038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平东镇生态农贸商圈</w:t>
            </w:r>
          </w:p>
        </w:tc>
        <w:tc>
          <w:tcPr>
            <w:tcW w:w="725" w:type="pct"/>
            <w:noWrap w:val="0"/>
            <w:vAlign w:val="center"/>
          </w:tcPr>
          <w:p w14:paraId="41667F3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镇区农贸市场及周边区域</w:t>
            </w:r>
          </w:p>
        </w:tc>
        <w:tc>
          <w:tcPr>
            <w:tcW w:w="1231" w:type="pct"/>
            <w:noWrap w:val="0"/>
            <w:vAlign w:val="center"/>
          </w:tcPr>
          <w:p w14:paraId="6E114A7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服务平东镇及周边区域的农产品集散与交易中心。</w:t>
            </w:r>
          </w:p>
        </w:tc>
        <w:tc>
          <w:tcPr>
            <w:tcW w:w="2313" w:type="pct"/>
            <w:noWrap w:val="0"/>
            <w:vAlign w:val="center"/>
          </w:tcPr>
          <w:p w14:paraId="06E7BCC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重点升级改造镇区传统农贸市场，发展农产品及农副产品仓储物流等配套服务。结合生态资源优势，在商圈周边适度布局田园风光体验、生态游览相关的特色餐饮与农产品展销点，促进农旅融合。</w:t>
            </w:r>
          </w:p>
        </w:tc>
      </w:tr>
      <w:tr w14:paraId="228F2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36598D6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2</w:t>
            </w:r>
          </w:p>
        </w:tc>
        <w:tc>
          <w:tcPr>
            <w:tcW w:w="538" w:type="pct"/>
            <w:noWrap w:val="0"/>
            <w:vAlign w:val="center"/>
          </w:tcPr>
          <w:p w14:paraId="3D3AD9F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黄羌镇红色农旅商圈</w:t>
            </w:r>
          </w:p>
        </w:tc>
        <w:tc>
          <w:tcPr>
            <w:tcW w:w="725" w:type="pct"/>
            <w:noWrap w:val="0"/>
            <w:vAlign w:val="center"/>
          </w:tcPr>
          <w:p w14:paraId="5BA61C43">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镇区商业集聚点</w:t>
            </w:r>
          </w:p>
        </w:tc>
        <w:tc>
          <w:tcPr>
            <w:tcW w:w="1231" w:type="pct"/>
            <w:noWrap w:val="0"/>
            <w:vAlign w:val="center"/>
          </w:tcPr>
          <w:p w14:paraId="54A7F32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服务红色文化旅游与生态观光游客，打造集红色教育、生态体验、特产消费于一体的特色旅游服务商圈。</w:t>
            </w:r>
          </w:p>
        </w:tc>
        <w:tc>
          <w:tcPr>
            <w:tcW w:w="2313" w:type="pct"/>
            <w:noWrap w:val="0"/>
            <w:vAlign w:val="center"/>
          </w:tcPr>
          <w:p w14:paraId="0E76325E">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围绕红色遗址和生态景区入口区域，布局旅游集散服务、特色餐饮（如客家菜、农家乐）、民宿客栈、红色文创产品及特色农产品销售网点，完善游客“吃住行游购娱”服务链条。</w:t>
            </w:r>
          </w:p>
        </w:tc>
      </w:tr>
      <w:tr w14:paraId="5C68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623835A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3</w:t>
            </w:r>
          </w:p>
        </w:tc>
        <w:tc>
          <w:tcPr>
            <w:tcW w:w="538" w:type="pct"/>
            <w:noWrap w:val="0"/>
            <w:vAlign w:val="center"/>
          </w:tcPr>
          <w:p w14:paraId="109C960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黄羌林场运动康养商圈</w:t>
            </w:r>
          </w:p>
        </w:tc>
        <w:tc>
          <w:tcPr>
            <w:tcW w:w="725" w:type="pct"/>
            <w:noWrap w:val="0"/>
            <w:vAlign w:val="center"/>
          </w:tcPr>
          <w:p w14:paraId="32C059E3">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林场场部及规划的运动小镇启动区</w:t>
            </w:r>
          </w:p>
        </w:tc>
        <w:tc>
          <w:tcPr>
            <w:tcW w:w="1231" w:type="pct"/>
            <w:noWrap w:val="0"/>
            <w:vAlign w:val="center"/>
          </w:tcPr>
          <w:p w14:paraId="66F0175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服务运动小镇及生态康养客群，打造以森林运动、休闲康养为主题的特色消费节点。</w:t>
            </w:r>
          </w:p>
        </w:tc>
        <w:tc>
          <w:tcPr>
            <w:tcW w:w="2313" w:type="pct"/>
            <w:noWrap w:val="0"/>
            <w:vAlign w:val="center"/>
          </w:tcPr>
          <w:p w14:paraId="4E9E270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在林场核心区及运动小镇规划区内，配套建设满足运动人群需求的简餐、补给站、户外装备租赁与销售点。</w:t>
            </w:r>
          </w:p>
          <w:p w14:paraId="2E821E2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同步发展森林康养主题的精品民宿、茶社、养生馆等商业业态，营造绿色、静谧的消费环境。</w:t>
            </w:r>
          </w:p>
        </w:tc>
      </w:tr>
      <w:tr w14:paraId="61692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7A4D9BC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4</w:t>
            </w:r>
          </w:p>
        </w:tc>
        <w:tc>
          <w:tcPr>
            <w:tcW w:w="538" w:type="pct"/>
            <w:noWrap w:val="0"/>
            <w:vAlign w:val="center"/>
          </w:tcPr>
          <w:p w14:paraId="0C43D76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陶河镇田园综合体商圈</w:t>
            </w:r>
          </w:p>
        </w:tc>
        <w:tc>
          <w:tcPr>
            <w:tcW w:w="725" w:type="pct"/>
            <w:noWrap w:val="0"/>
            <w:vAlign w:val="center"/>
          </w:tcPr>
          <w:p w14:paraId="6247F179">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镇区靠近联系海丰县城的主要交通干线区域</w:t>
            </w:r>
          </w:p>
        </w:tc>
        <w:tc>
          <w:tcPr>
            <w:tcW w:w="1231" w:type="pct"/>
            <w:noWrap w:val="0"/>
            <w:vAlign w:val="center"/>
          </w:tcPr>
          <w:p w14:paraId="6BAA305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海丰县特色粮食生产保障基地的配套商业中心，服务田园综合体发展的农旅融合商圈。</w:t>
            </w:r>
          </w:p>
        </w:tc>
        <w:tc>
          <w:tcPr>
            <w:tcW w:w="2313" w:type="pct"/>
            <w:noWrap w:val="0"/>
            <w:vAlign w:val="center"/>
          </w:tcPr>
          <w:p w14:paraId="6DC61D83">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强化镇区商业服务功能，为粮食生产、加工与流通提供商贸展销、商务咨询等配套服务。</w:t>
            </w:r>
          </w:p>
          <w:p w14:paraId="525F0809">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结合岭南田园风光生态游览体验区规划，发展农耕体验、农家乐、农产品直销等业态，推动农业向旅游、体验消费延伸。</w:t>
            </w:r>
          </w:p>
        </w:tc>
      </w:tr>
      <w:tr w14:paraId="5DB3B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43C46E0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5</w:t>
            </w:r>
          </w:p>
        </w:tc>
        <w:tc>
          <w:tcPr>
            <w:tcW w:w="538" w:type="pct"/>
            <w:noWrap w:val="0"/>
            <w:vAlign w:val="center"/>
          </w:tcPr>
          <w:p w14:paraId="7DE8FB0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联安镇湿地康养休闲商圈</w:t>
            </w:r>
          </w:p>
        </w:tc>
        <w:tc>
          <w:tcPr>
            <w:tcW w:w="725" w:type="pct"/>
            <w:noWrap w:val="0"/>
            <w:vAlign w:val="center"/>
          </w:tcPr>
          <w:p w14:paraId="2CE1FCD0">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镇区靠近东关联安围湿地的边缘地带</w:t>
            </w:r>
          </w:p>
        </w:tc>
        <w:tc>
          <w:tcPr>
            <w:tcW w:w="1231" w:type="pct"/>
            <w:noWrap w:val="0"/>
            <w:vAlign w:val="center"/>
          </w:tcPr>
          <w:p w14:paraId="694100D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依托湿地生态资源，打造以绿色休闲观光和生态康养为特色的滨水休闲商业圈。</w:t>
            </w:r>
          </w:p>
        </w:tc>
        <w:tc>
          <w:tcPr>
            <w:tcW w:w="2313" w:type="pct"/>
            <w:noWrap w:val="0"/>
            <w:vAlign w:val="center"/>
          </w:tcPr>
          <w:p w14:paraId="00E2208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在湿地公园入口及周边区域，合理布局生态观景平台、科普教育中心、特色民宿、健康餐饮（突出水乡特色）等商业服务设施。重点发展以水乡特产、有机农产品、手工艺品为主的零售业。</w:t>
            </w:r>
          </w:p>
        </w:tc>
      </w:tr>
      <w:tr w14:paraId="22B16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1BDA81C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6</w:t>
            </w:r>
          </w:p>
        </w:tc>
        <w:tc>
          <w:tcPr>
            <w:tcW w:w="538" w:type="pct"/>
            <w:noWrap w:val="0"/>
            <w:vAlign w:val="center"/>
          </w:tcPr>
          <w:p w14:paraId="574F5F5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大湖镇滨海湿地旅游商圈</w:t>
            </w:r>
          </w:p>
        </w:tc>
        <w:tc>
          <w:tcPr>
            <w:tcW w:w="725" w:type="pct"/>
            <w:noWrap w:val="0"/>
            <w:vAlign w:val="center"/>
          </w:tcPr>
          <w:p w14:paraId="2AE0CD48">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滨海大道沿线已平整或已有少量建设的区域</w:t>
            </w:r>
          </w:p>
        </w:tc>
        <w:tc>
          <w:tcPr>
            <w:tcW w:w="1231" w:type="pct"/>
            <w:noWrap w:val="0"/>
            <w:vAlign w:val="center"/>
          </w:tcPr>
          <w:p w14:paraId="0E9988BB">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高端生态旅游小镇的配套服务核心，服务滨海湿地观光客群。</w:t>
            </w:r>
          </w:p>
        </w:tc>
        <w:tc>
          <w:tcPr>
            <w:tcW w:w="2313" w:type="pct"/>
            <w:noWrap w:val="0"/>
            <w:vAlign w:val="center"/>
          </w:tcPr>
          <w:p w14:paraId="5D6CE443">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严格遵循低碳、低强度开发原则，在滨海大道沿线及湿地公园入口区域，布局高品质民宿集群、特色海鲜餐厅、湿地主题文创空间、特产专卖店等业态。提供自行车租赁、生态导游等绿色旅游配套服务。</w:t>
            </w:r>
          </w:p>
        </w:tc>
      </w:tr>
      <w:tr w14:paraId="0D428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192" w:type="pct"/>
            <w:noWrap w:val="0"/>
            <w:vAlign w:val="center"/>
          </w:tcPr>
          <w:p w14:paraId="798B57A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7</w:t>
            </w:r>
          </w:p>
        </w:tc>
        <w:tc>
          <w:tcPr>
            <w:tcW w:w="538" w:type="pct"/>
            <w:noWrap w:val="0"/>
            <w:vAlign w:val="center"/>
          </w:tcPr>
          <w:p w14:paraId="26FDCE1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梅陇农场田园度假商圈</w:t>
            </w:r>
          </w:p>
        </w:tc>
        <w:tc>
          <w:tcPr>
            <w:tcW w:w="725" w:type="pct"/>
            <w:noWrap w:val="0"/>
            <w:vAlign w:val="center"/>
          </w:tcPr>
          <w:p w14:paraId="04D8F667">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b w:val="0"/>
                <w:bCs w:val="0"/>
                <w:color w:val="000000"/>
                <w:sz w:val="24"/>
                <w:highlight w:val="none"/>
                <w:lang w:val="en-US" w:eastAsia="zh-CN"/>
              </w:rPr>
            </w:pPr>
            <w:r>
              <w:rPr>
                <w:rFonts w:hint="default" w:ascii="幼圆" w:hAnsi="Times New Roman" w:eastAsia="幼圆" w:cs="Times New Roman"/>
                <w:b w:val="0"/>
                <w:bCs w:val="0"/>
                <w:color w:val="000000"/>
                <w:sz w:val="24"/>
                <w:highlight w:val="none"/>
                <w:lang w:val="en-US" w:eastAsia="zh-CN"/>
              </w:rPr>
              <w:t>场部核心区</w:t>
            </w:r>
          </w:p>
        </w:tc>
        <w:tc>
          <w:tcPr>
            <w:tcW w:w="1231" w:type="pct"/>
            <w:noWrap w:val="0"/>
            <w:vAlign w:val="center"/>
          </w:tcPr>
          <w:p w14:paraId="6AC7F15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服务田园养生度假客群，打造一二三产融合的现代农业体验与休闲消费商圈。</w:t>
            </w:r>
          </w:p>
        </w:tc>
        <w:tc>
          <w:tcPr>
            <w:tcW w:w="2313" w:type="pct"/>
            <w:noWrap w:val="0"/>
            <w:vAlign w:val="center"/>
          </w:tcPr>
          <w:p w14:paraId="24B8484C">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b w:val="0"/>
                <w:bCs w:val="0"/>
                <w:color w:val="000000"/>
                <w:sz w:val="24"/>
                <w:highlight w:val="none"/>
                <w:lang w:val="en-US" w:eastAsia="zh-CN"/>
              </w:rPr>
            </w:pPr>
            <w:r>
              <w:rPr>
                <w:rFonts w:hint="eastAsia" w:ascii="幼圆" w:hAnsi="Times New Roman" w:eastAsia="幼圆" w:cs="Times New Roman"/>
                <w:b w:val="0"/>
                <w:bCs w:val="0"/>
                <w:color w:val="000000"/>
                <w:sz w:val="24"/>
                <w:highlight w:val="none"/>
                <w:lang w:val="en-US" w:eastAsia="zh-CN"/>
              </w:rPr>
              <w:t>在场部核心区及度假项目区，发展农场直供餐厅、农产品加工体验工坊、度假酒店、养生会所等业态。通过举办农事节庆、科普研学等活动，带动农产品销售和休闲消费，实现产业链延伸。</w:t>
            </w:r>
          </w:p>
        </w:tc>
      </w:tr>
    </w:tbl>
    <w:p w14:paraId="0443A6F9">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7DFFA050">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8" w:name="_Toc11162"/>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19</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陆河县县域商圈规划指引</w:t>
      </w:r>
      <w:bookmarkEnd w:id="118"/>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3"/>
        <w:gridCol w:w="3274"/>
        <w:gridCol w:w="4695"/>
        <w:gridCol w:w="9274"/>
      </w:tblGrid>
      <w:tr w14:paraId="59B44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top"/>
          </w:tcPr>
          <w:p w14:paraId="5B7A293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商圈名称</w:t>
            </w:r>
          </w:p>
        </w:tc>
        <w:tc>
          <w:tcPr>
            <w:tcW w:w="816" w:type="pct"/>
            <w:noWrap w:val="0"/>
            <w:vAlign w:val="top"/>
          </w:tcPr>
          <w:p w14:paraId="068EFDA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位置</w:t>
            </w:r>
          </w:p>
        </w:tc>
        <w:tc>
          <w:tcPr>
            <w:tcW w:w="1170" w:type="pct"/>
            <w:noWrap w:val="0"/>
            <w:vAlign w:val="top"/>
          </w:tcPr>
          <w:p w14:paraId="23A88AC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功能定位</w:t>
            </w:r>
          </w:p>
        </w:tc>
        <w:tc>
          <w:tcPr>
            <w:tcW w:w="2311" w:type="pct"/>
            <w:noWrap w:val="0"/>
            <w:vAlign w:val="top"/>
          </w:tcPr>
          <w:p w14:paraId="5C9F978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sz w:val="24"/>
                <w:highlight w:val="none"/>
                <w:lang w:val="en-US" w:eastAsia="zh-CN"/>
              </w:rPr>
            </w:pPr>
            <w:r>
              <w:rPr>
                <w:rFonts w:hint="eastAsia" w:ascii="幼圆" w:hAnsi="Times New Roman" w:eastAsia="幼圆" w:cs="Times New Roman"/>
                <w:b/>
                <w:bCs/>
                <w:color w:val="000000"/>
                <w:sz w:val="24"/>
                <w:highlight w:val="none"/>
                <w:lang w:val="en-US" w:eastAsia="zh-CN"/>
              </w:rPr>
              <w:t>规划指引</w:t>
            </w:r>
          </w:p>
        </w:tc>
      </w:tr>
      <w:tr w14:paraId="61E66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noWrap w:val="0"/>
            <w:vAlign w:val="center"/>
          </w:tcPr>
          <w:p w14:paraId="3CA50D4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陆河综合商圈</w:t>
            </w:r>
          </w:p>
        </w:tc>
        <w:tc>
          <w:tcPr>
            <w:tcW w:w="816" w:type="pct"/>
            <w:noWrap w:val="0"/>
            <w:vAlign w:val="center"/>
          </w:tcPr>
          <w:p w14:paraId="705AD0C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县城商业综合体及周边区域形成的城市商业中心。</w:t>
            </w:r>
          </w:p>
        </w:tc>
        <w:tc>
          <w:tcPr>
            <w:tcW w:w="1170" w:type="pct"/>
            <w:noWrap w:val="0"/>
            <w:vAlign w:val="center"/>
          </w:tcPr>
          <w:p w14:paraId="0D90787B">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打造集客家文化旅游、生态康养消费、青年创新创业于一体的县域综合商圈，辐射全县及周边县部分区域。</w:t>
            </w:r>
          </w:p>
        </w:tc>
        <w:tc>
          <w:tcPr>
            <w:tcW w:w="2311" w:type="pct"/>
            <w:noWrap w:val="0"/>
            <w:vAlign w:val="center"/>
          </w:tcPr>
          <w:p w14:paraId="25E0C66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修缮德辉楼（九厅十八井）、曜德楼等传统民居，打造客家文俗展厅，提升客家文化体验，推出客家特色旅游路线；</w:t>
            </w:r>
            <w:r>
              <w:rPr>
                <w:rFonts w:hint="eastAsia" w:ascii="幼圆" w:hAnsi="Times New Roman" w:eastAsia="幼圆" w:cs="Times New Roman"/>
                <w:color w:val="000000"/>
                <w:sz w:val="24"/>
                <w:highlight w:val="none"/>
                <w:lang w:val="en-US" w:eastAsia="zh-CN"/>
              </w:rPr>
              <w:t>提升建设路步行街，引入连锁便利店、品牌餐饮；推动电商园建设，发展客家文创、农产品电商。</w:t>
            </w:r>
          </w:p>
        </w:tc>
      </w:tr>
    </w:tbl>
    <w:p w14:paraId="08B2D99B">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205987F9">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19" w:name="_Toc17615"/>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20</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陆河县重点镇域商圈规划指引</w:t>
      </w:r>
      <w:bookmarkEnd w:id="119"/>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2517"/>
        <w:gridCol w:w="3271"/>
        <w:gridCol w:w="1200"/>
        <w:gridCol w:w="4648"/>
        <w:gridCol w:w="7598"/>
      </w:tblGrid>
      <w:tr w14:paraId="7B091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 w:type="pct"/>
            <w:noWrap w:val="0"/>
            <w:vAlign w:val="center"/>
          </w:tcPr>
          <w:p w14:paraId="1829683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序号</w:t>
            </w:r>
          </w:p>
        </w:tc>
        <w:tc>
          <w:tcPr>
            <w:tcW w:w="627" w:type="pct"/>
            <w:noWrap w:val="0"/>
            <w:vAlign w:val="center"/>
          </w:tcPr>
          <w:p w14:paraId="7158C6A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商圈名称</w:t>
            </w:r>
          </w:p>
        </w:tc>
        <w:tc>
          <w:tcPr>
            <w:tcW w:w="815" w:type="pct"/>
            <w:noWrap w:val="0"/>
            <w:vAlign w:val="center"/>
          </w:tcPr>
          <w:p w14:paraId="3FADFF2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位置</w:t>
            </w:r>
          </w:p>
        </w:tc>
        <w:tc>
          <w:tcPr>
            <w:tcW w:w="299" w:type="pct"/>
            <w:noWrap w:val="0"/>
            <w:vAlign w:val="center"/>
          </w:tcPr>
          <w:p w14:paraId="42B68BA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性质</w:t>
            </w:r>
          </w:p>
        </w:tc>
        <w:tc>
          <w:tcPr>
            <w:tcW w:w="1158" w:type="pct"/>
            <w:noWrap w:val="0"/>
            <w:vAlign w:val="center"/>
          </w:tcPr>
          <w:p w14:paraId="6C3AAA7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功能定位</w:t>
            </w:r>
          </w:p>
        </w:tc>
        <w:tc>
          <w:tcPr>
            <w:tcW w:w="1893" w:type="pct"/>
            <w:noWrap w:val="0"/>
            <w:vAlign w:val="center"/>
          </w:tcPr>
          <w:p w14:paraId="65D53E9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规划指引</w:t>
            </w:r>
          </w:p>
        </w:tc>
      </w:tr>
      <w:tr w14:paraId="5C7FB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2" w:hRule="atLeast"/>
        </w:trPr>
        <w:tc>
          <w:tcPr>
            <w:tcW w:w="205" w:type="pct"/>
            <w:noWrap w:val="0"/>
            <w:vAlign w:val="center"/>
          </w:tcPr>
          <w:p w14:paraId="77313B2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1</w:t>
            </w:r>
          </w:p>
        </w:tc>
        <w:tc>
          <w:tcPr>
            <w:tcW w:w="627" w:type="pct"/>
            <w:noWrap w:val="0"/>
            <w:vAlign w:val="center"/>
          </w:tcPr>
          <w:p w14:paraId="535E0C3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河口镇综合物流商圈</w:t>
            </w:r>
          </w:p>
        </w:tc>
        <w:tc>
          <w:tcPr>
            <w:tcW w:w="815" w:type="pct"/>
            <w:noWrap w:val="0"/>
            <w:vAlign w:val="center"/>
          </w:tcPr>
          <w:p w14:paraId="75811F9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河口镇G235国道与S240省道交汇处</w:t>
            </w:r>
            <w:r>
              <w:rPr>
                <w:rFonts w:hint="eastAsia" w:ascii="幼圆" w:hAnsi="Times New Roman" w:eastAsia="幼圆" w:cs="Times New Roman"/>
                <w:color w:val="000000"/>
                <w:sz w:val="24"/>
                <w:highlight w:val="none"/>
                <w:lang w:val="en-US" w:eastAsia="zh-CN"/>
              </w:rPr>
              <w:t>，以“河口商贸城”为核心。</w:t>
            </w:r>
          </w:p>
        </w:tc>
        <w:tc>
          <w:tcPr>
            <w:tcW w:w="299" w:type="pct"/>
            <w:noWrap w:val="0"/>
            <w:vAlign w:val="center"/>
          </w:tcPr>
          <w:p w14:paraId="54BC6BF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综合商圈</w:t>
            </w:r>
          </w:p>
        </w:tc>
        <w:tc>
          <w:tcPr>
            <w:tcW w:w="1158" w:type="pct"/>
            <w:noWrap w:val="0"/>
            <w:vAlign w:val="center"/>
          </w:tcPr>
          <w:p w14:paraId="3AADD5D5">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打造成为服务河口镇和陆河高新区的综合商业中心、粤东山区物流中转枢纽、跨区域商品集散中心。</w:t>
            </w:r>
          </w:p>
        </w:tc>
        <w:tc>
          <w:tcPr>
            <w:tcW w:w="1893" w:type="pct"/>
            <w:noWrap w:val="0"/>
            <w:vAlign w:val="center"/>
          </w:tcPr>
          <w:p w14:paraId="37F1042A">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提升老镇区商业业种业态；协同陆河高新区发展，发展总部商务、文化创意、研发设计等现代生产性商贸服务业；服务河口镇和陆河高新区，发展文化娱乐、餐饮住宿、零售等生活性商业服务业；建设“河口智慧物流园”，发展物流仓储运输中心。</w:t>
            </w:r>
          </w:p>
        </w:tc>
      </w:tr>
      <w:tr w14:paraId="6A48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2" w:hRule="atLeast"/>
        </w:trPr>
        <w:tc>
          <w:tcPr>
            <w:tcW w:w="205" w:type="pct"/>
            <w:noWrap w:val="0"/>
            <w:vAlign w:val="center"/>
          </w:tcPr>
          <w:p w14:paraId="0E9AC2E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2</w:t>
            </w:r>
          </w:p>
        </w:tc>
        <w:tc>
          <w:tcPr>
            <w:tcW w:w="627" w:type="pct"/>
            <w:noWrap w:val="0"/>
            <w:vAlign w:val="center"/>
          </w:tcPr>
          <w:p w14:paraId="7A7A436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水唇镇生态旅游服务商圈</w:t>
            </w:r>
          </w:p>
        </w:tc>
        <w:tc>
          <w:tcPr>
            <w:tcW w:w="815" w:type="pct"/>
            <w:noWrap w:val="0"/>
            <w:vAlign w:val="center"/>
          </w:tcPr>
          <w:p w14:paraId="5977012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青梅茶肆水唇圩镇客厅及各村旅游景点。</w:t>
            </w:r>
          </w:p>
        </w:tc>
        <w:tc>
          <w:tcPr>
            <w:tcW w:w="299" w:type="pct"/>
            <w:noWrap w:val="0"/>
            <w:vAlign w:val="center"/>
          </w:tcPr>
          <w:p w14:paraId="5B94F23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专业商圈</w:t>
            </w:r>
          </w:p>
        </w:tc>
        <w:tc>
          <w:tcPr>
            <w:tcW w:w="1158" w:type="pct"/>
            <w:noWrap w:val="0"/>
            <w:vAlign w:val="center"/>
          </w:tcPr>
          <w:p w14:paraId="3CD5549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打造集美食、观光、康养的生态旅游体验商圈。</w:t>
            </w:r>
          </w:p>
        </w:tc>
        <w:tc>
          <w:tcPr>
            <w:tcW w:w="1893" w:type="pct"/>
            <w:noWrap w:val="0"/>
            <w:vAlign w:val="center"/>
          </w:tcPr>
          <w:p w14:paraId="7DACFACD">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以青梅茶肆水唇圩镇客厅（位于水唇镇圩镇）为中心，围绕“一中心”同步打造提升上护温泉、墩塘古村落、护硁客家特色美食、南跃茶园、高丰观康养项目、石船客家民俗馆、螺洞世外梅园等等旅游点。</w:t>
            </w:r>
          </w:p>
        </w:tc>
      </w:tr>
    </w:tbl>
    <w:p w14:paraId="15B1C284">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600ED14C">
      <w:pPr>
        <w:pStyle w:val="3"/>
        <w:spacing w:before="120" w:beforeLines="50" w:after="120" w:afterLines="50" w:line="360" w:lineRule="auto"/>
        <w:rPr>
          <w:rFonts w:hint="eastAsia" w:ascii="华文中宋" w:hAnsi="华文中宋" w:eastAsia="华文中宋" w:cs="Times New Roman"/>
          <w:b/>
          <w:bCs/>
          <w:color w:val="000000"/>
          <w:sz w:val="36"/>
          <w:szCs w:val="36"/>
          <w:lang w:val="en-US" w:eastAsia="zh-CN"/>
        </w:rPr>
      </w:pPr>
      <w:bookmarkStart w:id="120" w:name="_Toc19624"/>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21</w:t>
      </w:r>
      <w:r>
        <w:rPr>
          <w:rFonts w:hint="eastAsia" w:ascii="华文中宋" w:hAnsi="华文中宋" w:eastAsia="华文中宋" w:cs="Times New Roman"/>
          <w:b/>
          <w:bCs/>
          <w:color w:val="000000"/>
          <w:sz w:val="36"/>
          <w:szCs w:val="36"/>
        </w:rPr>
        <w:t>：</w:t>
      </w:r>
      <w:r>
        <w:rPr>
          <w:rFonts w:hint="eastAsia" w:ascii="华文中宋" w:hAnsi="华文中宋" w:eastAsia="华文中宋" w:cs="Times New Roman"/>
          <w:b/>
          <w:bCs/>
          <w:color w:val="000000"/>
          <w:sz w:val="36"/>
          <w:szCs w:val="36"/>
          <w:lang w:val="en-US" w:eastAsia="zh-CN"/>
        </w:rPr>
        <w:t>陆河县一般镇域商圈规划指引</w:t>
      </w:r>
      <w:bookmarkEnd w:id="120"/>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2175"/>
        <w:gridCol w:w="3282"/>
        <w:gridCol w:w="6260"/>
        <w:gridCol w:w="7300"/>
      </w:tblGrid>
      <w:tr w14:paraId="185B7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9" w:type="pct"/>
            <w:noWrap w:val="0"/>
            <w:vAlign w:val="top"/>
          </w:tcPr>
          <w:p w14:paraId="16E1605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序号</w:t>
            </w:r>
          </w:p>
        </w:tc>
        <w:tc>
          <w:tcPr>
            <w:tcW w:w="542" w:type="pct"/>
            <w:noWrap w:val="0"/>
            <w:vAlign w:val="top"/>
          </w:tcPr>
          <w:p w14:paraId="7FCA0F4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商圈名称</w:t>
            </w:r>
          </w:p>
        </w:tc>
        <w:tc>
          <w:tcPr>
            <w:tcW w:w="818" w:type="pct"/>
            <w:noWrap w:val="0"/>
            <w:vAlign w:val="top"/>
          </w:tcPr>
          <w:p w14:paraId="48F144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位置</w:t>
            </w:r>
          </w:p>
        </w:tc>
        <w:tc>
          <w:tcPr>
            <w:tcW w:w="1560" w:type="pct"/>
            <w:noWrap w:val="0"/>
            <w:vAlign w:val="top"/>
          </w:tcPr>
          <w:p w14:paraId="7746257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功能定位</w:t>
            </w:r>
          </w:p>
        </w:tc>
        <w:tc>
          <w:tcPr>
            <w:tcW w:w="1819" w:type="pct"/>
            <w:noWrap w:val="0"/>
            <w:vAlign w:val="top"/>
          </w:tcPr>
          <w:p w14:paraId="3E7BB63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b/>
                <w:bCs/>
                <w:color w:val="000000"/>
                <w:kern w:val="2"/>
                <w:sz w:val="24"/>
                <w:szCs w:val="24"/>
                <w:highlight w:val="none"/>
                <w:lang w:val="en-US" w:eastAsia="zh-CN" w:bidi="ar-SA"/>
              </w:rPr>
            </w:pPr>
            <w:r>
              <w:rPr>
                <w:rFonts w:hint="eastAsia" w:ascii="幼圆" w:hAnsi="Times New Roman" w:eastAsia="幼圆" w:cs="Times New Roman"/>
                <w:b/>
                <w:bCs/>
                <w:color w:val="000000"/>
                <w:sz w:val="24"/>
                <w:highlight w:val="none"/>
                <w:lang w:val="en-US" w:eastAsia="zh-CN"/>
              </w:rPr>
              <w:t>规划指引</w:t>
            </w:r>
          </w:p>
        </w:tc>
      </w:tr>
      <w:tr w14:paraId="332D0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8" w:hRule="atLeast"/>
        </w:trPr>
        <w:tc>
          <w:tcPr>
            <w:tcW w:w="259" w:type="pct"/>
            <w:noWrap w:val="0"/>
            <w:vAlign w:val="center"/>
          </w:tcPr>
          <w:p w14:paraId="4715EF9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1</w:t>
            </w:r>
          </w:p>
        </w:tc>
        <w:tc>
          <w:tcPr>
            <w:tcW w:w="542" w:type="pct"/>
            <w:noWrap w:val="0"/>
            <w:vAlign w:val="center"/>
          </w:tcPr>
          <w:p w14:paraId="13F0837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新田镇红色文旅商贸商圈</w:t>
            </w:r>
          </w:p>
        </w:tc>
        <w:tc>
          <w:tcPr>
            <w:tcW w:w="818" w:type="pct"/>
            <w:noWrap w:val="0"/>
            <w:vAlign w:val="center"/>
          </w:tcPr>
          <w:p w14:paraId="44D1AE7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镇区核心区域，尤其是潮莞高速出入口附近及连接陆河高新区的主要干道沿线。</w:t>
            </w:r>
          </w:p>
        </w:tc>
        <w:tc>
          <w:tcPr>
            <w:tcW w:w="1560" w:type="pct"/>
            <w:noWrap w:val="0"/>
            <w:vAlign w:val="center"/>
          </w:tcPr>
          <w:p w14:paraId="40465227">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服务新田镇“国家运动休闲特色小镇”和“红色旅游特色小镇”定位，打造集红色文化体验、运动休闲消费、区域商贸服务于一体的特色商圈。</w:t>
            </w:r>
          </w:p>
        </w:tc>
        <w:tc>
          <w:tcPr>
            <w:tcW w:w="1819" w:type="pct"/>
            <w:noWrap w:val="0"/>
            <w:vAlign w:val="center"/>
          </w:tcPr>
          <w:p w14:paraId="5AB97FD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布局特色餐饮民宿、体育用品零售，服务旅游人群；利用高速出入口优势，发展日用百货、农资销售等道口商贸，满足镇区居民与产业人口需求。</w:t>
            </w:r>
          </w:p>
        </w:tc>
      </w:tr>
      <w:tr w14:paraId="6E1C8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8" w:hRule="atLeast"/>
        </w:trPr>
        <w:tc>
          <w:tcPr>
            <w:tcW w:w="259" w:type="pct"/>
            <w:noWrap w:val="0"/>
            <w:vAlign w:val="center"/>
          </w:tcPr>
          <w:p w14:paraId="0A33AA7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2</w:t>
            </w:r>
          </w:p>
        </w:tc>
        <w:tc>
          <w:tcPr>
            <w:tcW w:w="542" w:type="pct"/>
            <w:noWrap w:val="0"/>
            <w:vAlign w:val="center"/>
          </w:tcPr>
          <w:p w14:paraId="7695FC2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螺溪镇生态康养休闲</w:t>
            </w:r>
            <w:r>
              <w:rPr>
                <w:rFonts w:hint="default" w:ascii="幼圆" w:hAnsi="Times New Roman" w:eastAsia="幼圆" w:cs="Times New Roman"/>
                <w:color w:val="000000"/>
                <w:sz w:val="24"/>
                <w:highlight w:val="none"/>
                <w:lang w:val="en-US" w:eastAsia="zh-CN"/>
              </w:rPr>
              <w:t>商圈</w:t>
            </w:r>
          </w:p>
        </w:tc>
        <w:tc>
          <w:tcPr>
            <w:tcW w:w="818" w:type="pct"/>
            <w:noWrap w:val="0"/>
            <w:vAlign w:val="center"/>
          </w:tcPr>
          <w:p w14:paraId="50CA9F7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镇区核心区域及景区周边</w:t>
            </w:r>
          </w:p>
        </w:tc>
        <w:tc>
          <w:tcPr>
            <w:tcW w:w="1560" w:type="pct"/>
            <w:noWrap w:val="0"/>
            <w:vAlign w:val="center"/>
          </w:tcPr>
          <w:p w14:paraId="3CF9824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立足螺河发源地、北回归线、客家文化区等生态、文化资源禀赋，通过生态价值转化与文化底蕴挖掘，将螺溪镇打造为近悦远来、主客共享、宜居宜游为主的休闲服务商圈。</w:t>
            </w:r>
          </w:p>
        </w:tc>
        <w:tc>
          <w:tcPr>
            <w:tcW w:w="1819" w:type="pct"/>
            <w:noWrap w:val="0"/>
            <w:vAlign w:val="center"/>
          </w:tcPr>
          <w:p w14:paraId="3A94C714">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依托“百千万工程”，提升镇域公共基础设施和公共服务水平，改善镇村整体风貌，完善特色餐饮、民宿等配套商业，拓展多元新业态，满足本地居民与游客需求。</w:t>
            </w:r>
          </w:p>
        </w:tc>
      </w:tr>
      <w:tr w14:paraId="624E5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8" w:hRule="atLeast"/>
        </w:trPr>
        <w:tc>
          <w:tcPr>
            <w:tcW w:w="259" w:type="pct"/>
            <w:noWrap w:val="0"/>
            <w:vAlign w:val="center"/>
          </w:tcPr>
          <w:p w14:paraId="7FA3593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3</w:t>
            </w:r>
          </w:p>
        </w:tc>
        <w:tc>
          <w:tcPr>
            <w:tcW w:w="542" w:type="pct"/>
            <w:noWrap w:val="0"/>
            <w:vAlign w:val="center"/>
          </w:tcPr>
          <w:p w14:paraId="6D09FB6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东坑镇青梅文化体验商圈</w:t>
            </w:r>
          </w:p>
        </w:tc>
        <w:tc>
          <w:tcPr>
            <w:tcW w:w="818" w:type="pct"/>
            <w:noWrap w:val="0"/>
            <w:vAlign w:val="center"/>
          </w:tcPr>
          <w:p w14:paraId="56A968F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镇区核心区域。</w:t>
            </w:r>
          </w:p>
        </w:tc>
        <w:tc>
          <w:tcPr>
            <w:tcW w:w="1560" w:type="pct"/>
            <w:noWrap w:val="0"/>
            <w:vAlign w:val="center"/>
          </w:tcPr>
          <w:p w14:paraId="2589BFE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紧扣“广东省‘梅’文化创意特色小镇”定位，打造以青梅文化体验、农产品展销、休闲度假服务为核心功能的主题式商圈。</w:t>
            </w:r>
          </w:p>
        </w:tc>
        <w:tc>
          <w:tcPr>
            <w:tcW w:w="1819" w:type="pct"/>
            <w:noWrap w:val="0"/>
            <w:vAlign w:val="center"/>
          </w:tcPr>
          <w:p w14:paraId="1BC24E6F">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建设青梅文化展示与展销中心，发展主题餐饮、民宿及文创零售；完善共光梅园景区入口的商业服务，形成特色旅游消费节点。</w:t>
            </w:r>
          </w:p>
        </w:tc>
      </w:tr>
      <w:tr w14:paraId="6678F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8" w:hRule="atLeast"/>
        </w:trPr>
        <w:tc>
          <w:tcPr>
            <w:tcW w:w="259" w:type="pct"/>
            <w:noWrap w:val="0"/>
            <w:vAlign w:val="center"/>
          </w:tcPr>
          <w:p w14:paraId="2F2B4C6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4</w:t>
            </w:r>
          </w:p>
        </w:tc>
        <w:tc>
          <w:tcPr>
            <w:tcW w:w="542" w:type="pct"/>
            <w:noWrap w:val="0"/>
            <w:vAlign w:val="center"/>
          </w:tcPr>
          <w:p w14:paraId="0AE0F5A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上护镇温泉农旅休闲商圈</w:t>
            </w:r>
          </w:p>
        </w:tc>
        <w:tc>
          <w:tcPr>
            <w:tcW w:w="818" w:type="pct"/>
            <w:noWrap w:val="0"/>
            <w:vAlign w:val="center"/>
          </w:tcPr>
          <w:p w14:paraId="4F9833E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镇区核心及主要温泉度假区（如汤排温泉）的入口区域。</w:t>
            </w:r>
          </w:p>
        </w:tc>
        <w:tc>
          <w:tcPr>
            <w:tcW w:w="1560" w:type="pct"/>
            <w:noWrap w:val="0"/>
            <w:vAlign w:val="center"/>
          </w:tcPr>
          <w:p w14:paraId="5A99E846">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围绕“汕尾特色农旅温泉城镇”定位，打造以温泉康养消费、特色农产品交易、乡村民宿体验为特色的农旅融合商圈。</w:t>
            </w:r>
          </w:p>
        </w:tc>
        <w:tc>
          <w:tcPr>
            <w:tcW w:w="1819" w:type="pct"/>
            <w:noWrap w:val="0"/>
            <w:vAlign w:val="center"/>
          </w:tcPr>
          <w:p w14:paraId="13558B7E">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配套温泉度假区的康养餐饮、理疗休闲及特产购物；培育特色民宿集群；设立农产品展销中心，推动农旅融合消费。</w:t>
            </w:r>
          </w:p>
        </w:tc>
      </w:tr>
      <w:tr w14:paraId="60A44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8" w:hRule="atLeast"/>
        </w:trPr>
        <w:tc>
          <w:tcPr>
            <w:tcW w:w="259" w:type="pct"/>
            <w:noWrap w:val="0"/>
            <w:vAlign w:val="center"/>
          </w:tcPr>
          <w:p w14:paraId="1BE599D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5</w:t>
            </w:r>
          </w:p>
        </w:tc>
        <w:tc>
          <w:tcPr>
            <w:tcW w:w="542" w:type="pct"/>
            <w:noWrap w:val="0"/>
            <w:vAlign w:val="center"/>
          </w:tcPr>
          <w:p w14:paraId="575487B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南万镇生态康养休闲商圈</w:t>
            </w:r>
          </w:p>
        </w:tc>
        <w:tc>
          <w:tcPr>
            <w:tcW w:w="818" w:type="pct"/>
            <w:noWrap w:val="0"/>
            <w:vAlign w:val="center"/>
          </w:tcPr>
          <w:p w14:paraId="03E4B5F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4"/>
                <w:highlight w:val="none"/>
                <w:lang w:val="en-US" w:eastAsia="zh-CN"/>
              </w:rPr>
            </w:pPr>
            <w:r>
              <w:rPr>
                <w:rFonts w:hint="default" w:ascii="幼圆" w:hAnsi="Times New Roman" w:eastAsia="幼圆" w:cs="Times New Roman"/>
                <w:color w:val="000000"/>
                <w:sz w:val="24"/>
                <w:highlight w:val="none"/>
                <w:lang w:val="en-US" w:eastAsia="zh-CN"/>
              </w:rPr>
              <w:t>镇区入口或核心区域，以及红椎林自然保护区、南告水库等主要景区的人口集散点。</w:t>
            </w:r>
          </w:p>
        </w:tc>
        <w:tc>
          <w:tcPr>
            <w:tcW w:w="1560" w:type="pct"/>
            <w:noWrap w:val="0"/>
            <w:vAlign w:val="center"/>
          </w:tcPr>
          <w:p w14:paraId="36450BA8">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服务于南万镇“全域旅游生态康养小镇”定位，打造以茶叶展销、森林康养产品、生态观光服务为特色的低密度、精品化生态商圈。</w:t>
            </w:r>
          </w:p>
        </w:tc>
        <w:tc>
          <w:tcPr>
            <w:tcW w:w="1819" w:type="pct"/>
            <w:noWrap w:val="0"/>
            <w:vAlign w:val="center"/>
          </w:tcPr>
          <w:p w14:paraId="4CB5C972">
            <w:pPr>
              <w:keepNext w:val="0"/>
              <w:keepLines w:val="0"/>
              <w:pageBreakBefore w:val="0"/>
              <w:widowControl w:val="0"/>
              <w:kinsoku/>
              <w:wordWrap/>
              <w:overflowPunct/>
              <w:topLinePunct w:val="0"/>
              <w:autoSpaceDE/>
              <w:autoSpaceDN/>
              <w:bidi w:val="0"/>
              <w:adjustRightInd/>
              <w:snapToGrid/>
              <w:spacing w:line="288" w:lineRule="auto"/>
              <w:jc w:val="left"/>
              <w:textAlignment w:val="auto"/>
              <w:rPr>
                <w:rFonts w:hint="eastAsia" w:ascii="幼圆" w:hAnsi="Times New Roman" w:eastAsia="幼圆" w:cs="Times New Roman"/>
                <w:color w:val="000000"/>
                <w:sz w:val="24"/>
                <w:highlight w:val="none"/>
                <w:lang w:val="en-US" w:eastAsia="zh-CN"/>
              </w:rPr>
            </w:pPr>
            <w:r>
              <w:rPr>
                <w:rFonts w:hint="eastAsia" w:ascii="幼圆" w:hAnsi="Times New Roman" w:eastAsia="幼圆" w:cs="Times New Roman"/>
                <w:color w:val="000000"/>
                <w:sz w:val="24"/>
                <w:highlight w:val="none"/>
                <w:lang w:val="en-US" w:eastAsia="zh-CN"/>
              </w:rPr>
              <w:t>主打“南万茶”品牌展销，融合品鉴与文化体验；配套山货特产、养生餐饮等康养业态，建设与自然环境协调的低密度精品商业。</w:t>
            </w:r>
          </w:p>
        </w:tc>
      </w:tr>
    </w:tbl>
    <w:p w14:paraId="2937693E">
      <w:pPr>
        <w:spacing w:after="120" w:afterLines="50" w:line="360" w:lineRule="auto"/>
        <w:rPr>
          <w:rFonts w:ascii="幼圆" w:eastAsia="幼圆"/>
          <w:color w:val="000000"/>
          <w:sz w:val="24"/>
        </w:rPr>
        <w:sectPr>
          <w:pgSz w:w="23814" w:h="16840" w:orient="landscape"/>
          <w:pgMar w:top="1985" w:right="1985" w:bottom="1418" w:left="1985" w:header="851" w:footer="992" w:gutter="0"/>
          <w:pgNumType w:fmt="decimal"/>
          <w:cols w:space="720" w:num="1"/>
          <w:docGrid w:linePitch="312" w:charSpace="0"/>
        </w:sectPr>
      </w:pPr>
    </w:p>
    <w:p w14:paraId="11796FCB">
      <w:pPr>
        <w:pStyle w:val="3"/>
        <w:spacing w:before="120" w:beforeLines="50" w:after="120" w:afterLines="50" w:line="360" w:lineRule="auto"/>
        <w:rPr>
          <w:rFonts w:hint="eastAsia" w:ascii="华文中宋" w:hAnsi="华文中宋" w:eastAsia="华文中宋"/>
          <w:color w:val="000000"/>
          <w:sz w:val="36"/>
          <w:szCs w:val="36"/>
        </w:rPr>
      </w:pPr>
      <w:bookmarkStart w:id="121" w:name="_Toc22884"/>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2</w:t>
      </w:r>
      <w:r>
        <w:rPr>
          <w:rFonts w:hint="eastAsia" w:ascii="华文中宋" w:hAnsi="华文中宋" w:eastAsia="华文中宋" w:cs="Times New Roman"/>
          <w:b/>
          <w:bCs/>
          <w:color w:val="000000"/>
          <w:sz w:val="36"/>
          <w:szCs w:val="36"/>
        </w:rPr>
        <w:t>2：物流中心规</w:t>
      </w:r>
      <w:r>
        <w:rPr>
          <w:rFonts w:hint="eastAsia" w:ascii="华文中宋" w:hAnsi="华文中宋" w:eastAsia="华文中宋"/>
          <w:color w:val="000000"/>
          <w:sz w:val="36"/>
          <w:szCs w:val="36"/>
        </w:rPr>
        <w:t>划指引</w:t>
      </w:r>
      <w:bookmarkEnd w:id="121"/>
    </w:p>
    <w:tbl>
      <w:tblPr>
        <w:tblStyle w:val="3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85" w:type="dxa"/>
          <w:bottom w:w="0" w:type="dxa"/>
          <w:right w:w="85" w:type="dxa"/>
        </w:tblCellMar>
      </w:tblPr>
      <w:tblGrid>
        <w:gridCol w:w="1501"/>
        <w:gridCol w:w="2943"/>
        <w:gridCol w:w="5253"/>
        <w:gridCol w:w="10313"/>
      </w:tblGrid>
      <w:tr w14:paraId="6950F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20" w:hRule="atLeast"/>
          <w:tblHeader/>
          <w:jc w:val="center"/>
        </w:trPr>
        <w:tc>
          <w:tcPr>
            <w:tcW w:w="375" w:type="pct"/>
            <w:shd w:val="clear" w:color="auto" w:fill="FFFFFF"/>
            <w:noWrap w:val="0"/>
            <w:vAlign w:val="center"/>
          </w:tcPr>
          <w:p w14:paraId="4A0A37B8">
            <w:pPr>
              <w:adjustRightInd w:val="0"/>
              <w:snapToGrid w:val="0"/>
              <w:spacing w:before="120" w:beforeLines="50" w:after="120" w:afterLines="50" w:line="288" w:lineRule="auto"/>
              <w:jc w:val="center"/>
              <w:rPr>
                <w:rFonts w:hint="eastAsia" w:ascii="幼圆" w:hAnsi="华文宋体" w:eastAsia="幼圆"/>
                <w:b/>
                <w:bCs/>
                <w:color w:val="000000"/>
                <w:sz w:val="24"/>
              </w:rPr>
            </w:pPr>
            <w:r>
              <w:rPr>
                <w:rFonts w:hint="eastAsia" w:ascii="幼圆" w:hAnsi="华文宋体" w:eastAsia="幼圆"/>
                <w:b/>
                <w:bCs/>
                <w:color w:val="000000"/>
                <w:sz w:val="24"/>
              </w:rPr>
              <w:t>物流中心</w:t>
            </w:r>
          </w:p>
        </w:tc>
        <w:tc>
          <w:tcPr>
            <w:tcW w:w="735" w:type="pct"/>
            <w:shd w:val="clear" w:color="auto" w:fill="FFFFFF"/>
            <w:noWrap w:val="0"/>
            <w:vAlign w:val="center"/>
          </w:tcPr>
          <w:p w14:paraId="2071BDED">
            <w:pPr>
              <w:adjustRightInd w:val="0"/>
              <w:snapToGrid w:val="0"/>
              <w:spacing w:before="120" w:beforeLines="50" w:after="120" w:afterLines="50" w:line="288" w:lineRule="auto"/>
              <w:jc w:val="center"/>
              <w:rPr>
                <w:rFonts w:hint="eastAsia" w:ascii="幼圆" w:hAnsi="华文宋体" w:eastAsia="幼圆"/>
                <w:b/>
                <w:bCs/>
                <w:color w:val="000000"/>
                <w:sz w:val="24"/>
              </w:rPr>
            </w:pPr>
            <w:r>
              <w:rPr>
                <w:rFonts w:hint="eastAsia" w:ascii="幼圆" w:hAnsi="华文宋体" w:eastAsia="幼圆"/>
                <w:b/>
                <w:bCs/>
                <w:color w:val="000000"/>
                <w:sz w:val="24"/>
              </w:rPr>
              <w:t>布局地点</w:t>
            </w:r>
          </w:p>
        </w:tc>
        <w:tc>
          <w:tcPr>
            <w:tcW w:w="1312" w:type="pct"/>
            <w:shd w:val="clear" w:color="auto" w:fill="FFFFFF"/>
            <w:noWrap w:val="0"/>
            <w:vAlign w:val="center"/>
          </w:tcPr>
          <w:p w14:paraId="22940244">
            <w:pPr>
              <w:adjustRightInd w:val="0"/>
              <w:snapToGrid w:val="0"/>
              <w:spacing w:before="120" w:beforeLines="50" w:after="120" w:afterLines="50" w:line="288" w:lineRule="auto"/>
              <w:jc w:val="center"/>
              <w:rPr>
                <w:rFonts w:hint="eastAsia" w:ascii="幼圆" w:hAnsi="华文宋体" w:eastAsia="幼圆"/>
                <w:b/>
                <w:bCs/>
                <w:color w:val="000000"/>
                <w:sz w:val="24"/>
              </w:rPr>
            </w:pPr>
            <w:r>
              <w:rPr>
                <w:rFonts w:hint="eastAsia" w:ascii="幼圆" w:hAnsi="华文宋体" w:eastAsia="幼圆"/>
                <w:b/>
                <w:bCs/>
                <w:color w:val="000000"/>
                <w:sz w:val="24"/>
              </w:rPr>
              <w:t>用地规模</w:t>
            </w:r>
          </w:p>
        </w:tc>
        <w:tc>
          <w:tcPr>
            <w:tcW w:w="2576" w:type="pct"/>
            <w:shd w:val="clear" w:color="auto" w:fill="FFFFFF"/>
            <w:noWrap w:val="0"/>
            <w:vAlign w:val="center"/>
          </w:tcPr>
          <w:p w14:paraId="277EDBE8">
            <w:pPr>
              <w:adjustRightInd w:val="0"/>
              <w:snapToGrid w:val="0"/>
              <w:spacing w:before="120" w:beforeLines="50" w:after="120" w:afterLines="50" w:line="288" w:lineRule="auto"/>
              <w:jc w:val="center"/>
              <w:rPr>
                <w:rFonts w:hint="eastAsia" w:ascii="幼圆" w:hAnsi="华文宋体" w:eastAsia="幼圆"/>
                <w:b/>
                <w:bCs/>
                <w:color w:val="000000"/>
                <w:sz w:val="24"/>
              </w:rPr>
            </w:pPr>
            <w:r>
              <w:rPr>
                <w:rFonts w:hint="eastAsia" w:ascii="幼圆" w:hAnsi="华文宋体" w:eastAsia="幼圆"/>
                <w:b/>
                <w:bCs/>
                <w:color w:val="000000"/>
                <w:sz w:val="24"/>
              </w:rPr>
              <w:t>主要功能</w:t>
            </w:r>
          </w:p>
        </w:tc>
      </w:tr>
      <w:tr w14:paraId="1C5D9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20" w:hRule="atLeast"/>
          <w:jc w:val="center"/>
        </w:trPr>
        <w:tc>
          <w:tcPr>
            <w:tcW w:w="375" w:type="pct"/>
            <w:shd w:val="clear" w:color="auto" w:fill="FFFFFF"/>
            <w:noWrap w:val="0"/>
            <w:vAlign w:val="center"/>
          </w:tcPr>
          <w:p w14:paraId="42082ADA">
            <w:pPr>
              <w:adjustRightInd w:val="0"/>
              <w:snapToGrid w:val="0"/>
              <w:spacing w:line="288" w:lineRule="auto"/>
              <w:jc w:val="center"/>
              <w:rPr>
                <w:rFonts w:hint="eastAsia" w:ascii="幼圆" w:hAnsi="华文宋体" w:eastAsia="幼圆"/>
                <w:color w:val="000000"/>
                <w:sz w:val="24"/>
              </w:rPr>
            </w:pPr>
            <w:r>
              <w:rPr>
                <w:rFonts w:hint="eastAsia" w:ascii="幼圆" w:hAnsi="华文宋体" w:eastAsia="幼圆"/>
                <w:color w:val="000000"/>
                <w:sz w:val="24"/>
              </w:rPr>
              <w:t>主城区物流中心</w:t>
            </w:r>
          </w:p>
        </w:tc>
        <w:tc>
          <w:tcPr>
            <w:tcW w:w="735" w:type="pct"/>
            <w:shd w:val="clear" w:color="auto" w:fill="FFFFFF"/>
            <w:noWrap w:val="0"/>
            <w:vAlign w:val="center"/>
          </w:tcPr>
          <w:p w14:paraId="69FD204D">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选址于汕尾火车站北侧，结合汕尾火车站进行布局。</w:t>
            </w:r>
          </w:p>
        </w:tc>
        <w:tc>
          <w:tcPr>
            <w:tcW w:w="1312" w:type="pct"/>
            <w:shd w:val="clear" w:color="auto" w:fill="FFFFFF"/>
            <w:noWrap w:val="0"/>
            <w:vAlign w:val="center"/>
          </w:tcPr>
          <w:p w14:paraId="2FFFB636">
            <w:pPr>
              <w:adjustRightInd w:val="0"/>
              <w:snapToGrid w:val="0"/>
              <w:spacing w:line="288" w:lineRule="auto"/>
              <w:jc w:val="center"/>
              <w:rPr>
                <w:rFonts w:hint="eastAsia" w:ascii="幼圆" w:hAnsi="华文宋体" w:eastAsia="幼圆"/>
                <w:color w:val="000000"/>
                <w:sz w:val="24"/>
                <w:lang w:val="en-US" w:eastAsia="zh-CN"/>
              </w:rPr>
            </w:pPr>
            <w:r>
              <w:rPr>
                <w:rFonts w:hint="eastAsia" w:ascii="幼圆" w:hAnsi="华文宋体" w:eastAsia="幼圆"/>
                <w:color w:val="000000"/>
                <w:sz w:val="24"/>
              </w:rPr>
              <w:t>15</w:t>
            </w:r>
            <w:r>
              <w:rPr>
                <w:rFonts w:hint="eastAsia" w:ascii="幼圆" w:hAnsi="华文宋体" w:eastAsia="幼圆"/>
                <w:color w:val="000000"/>
                <w:sz w:val="24"/>
                <w:lang w:val="en-US" w:eastAsia="zh-CN"/>
              </w:rPr>
              <w:t>公顷</w:t>
            </w:r>
          </w:p>
        </w:tc>
        <w:tc>
          <w:tcPr>
            <w:tcW w:w="2576" w:type="pct"/>
            <w:shd w:val="clear" w:color="auto" w:fill="FFFFFF"/>
            <w:noWrap w:val="0"/>
            <w:vAlign w:val="center"/>
          </w:tcPr>
          <w:p w14:paraId="4B1CD5D3">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以承担日用商品、生产原材料、农资农具、建材等生产生活必需品以及汕尾与其周边地区的地方农林产品和产业制成品等的物流仓储、转运、分拨为主要职能；</w:t>
            </w:r>
          </w:p>
          <w:p w14:paraId="5B39939D">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建设配套中心城区电子商务发展核心的物流设施，服务信息技术、文化创意等电子商务产业；</w:t>
            </w:r>
          </w:p>
          <w:p w14:paraId="3695D905">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作为汕尾市级应急物流中心，平时维护应急物流网络、制定工作方案，急时组织联络、调配各县（市、区）应急物流中心，统筹总体工作。</w:t>
            </w:r>
          </w:p>
          <w:p w14:paraId="179F764F">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“十四五”期间，结合该物流中心，建设汕尾市邮件处理集散中心，用地面积约3.45公顷。</w:t>
            </w:r>
          </w:p>
        </w:tc>
      </w:tr>
      <w:tr w14:paraId="2CF49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20" w:hRule="atLeast"/>
          <w:jc w:val="center"/>
        </w:trPr>
        <w:tc>
          <w:tcPr>
            <w:tcW w:w="375" w:type="pct"/>
            <w:shd w:val="clear" w:color="auto" w:fill="FFFFFF"/>
            <w:noWrap w:val="0"/>
            <w:vAlign w:val="center"/>
          </w:tcPr>
          <w:p w14:paraId="4940092E">
            <w:pPr>
              <w:adjustRightInd w:val="0"/>
              <w:snapToGrid w:val="0"/>
              <w:spacing w:line="288" w:lineRule="auto"/>
              <w:jc w:val="center"/>
              <w:rPr>
                <w:rFonts w:hint="eastAsia" w:ascii="幼圆" w:hAnsi="华文宋体" w:eastAsia="幼圆"/>
                <w:color w:val="000000"/>
                <w:sz w:val="24"/>
              </w:rPr>
            </w:pPr>
            <w:r>
              <w:rPr>
                <w:rFonts w:hint="eastAsia" w:ascii="幼圆" w:hAnsi="华文宋体" w:eastAsia="幼圆"/>
                <w:color w:val="000000"/>
                <w:sz w:val="24"/>
              </w:rPr>
              <w:t>海丰县物流中心</w:t>
            </w:r>
          </w:p>
        </w:tc>
        <w:tc>
          <w:tcPr>
            <w:tcW w:w="735" w:type="pct"/>
            <w:shd w:val="clear" w:color="auto" w:fill="FFFFFF"/>
            <w:noWrap w:val="0"/>
            <w:vAlign w:val="center"/>
          </w:tcPr>
          <w:p w14:paraId="3E2C43D8">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位于甬莞高速与G236交叉口附近，邻近甬莞高速海丰出入口，结合海丰生态科技城进行布局。</w:t>
            </w:r>
          </w:p>
        </w:tc>
        <w:tc>
          <w:tcPr>
            <w:tcW w:w="1312" w:type="pct"/>
            <w:shd w:val="clear" w:color="auto" w:fill="FFFFFF"/>
            <w:noWrap w:val="0"/>
            <w:vAlign w:val="center"/>
          </w:tcPr>
          <w:p w14:paraId="4ED62AE7">
            <w:pPr>
              <w:adjustRightInd w:val="0"/>
              <w:snapToGrid w:val="0"/>
              <w:spacing w:line="288" w:lineRule="auto"/>
              <w:jc w:val="center"/>
              <w:rPr>
                <w:rFonts w:ascii="幼圆" w:hAnsi="华文宋体" w:eastAsia="幼圆"/>
                <w:color w:val="000000"/>
                <w:sz w:val="24"/>
              </w:rPr>
            </w:pPr>
            <w:r>
              <w:rPr>
                <w:rFonts w:hint="eastAsia" w:ascii="幼圆" w:hAnsi="华文宋体" w:eastAsia="幼圆"/>
                <w:color w:val="000000"/>
                <w:sz w:val="24"/>
              </w:rPr>
              <w:t>30</w:t>
            </w:r>
            <w:r>
              <w:rPr>
                <w:rFonts w:hint="eastAsia" w:ascii="幼圆" w:hAnsi="华文宋体" w:eastAsia="幼圆"/>
                <w:color w:val="000000"/>
                <w:sz w:val="24"/>
                <w:lang w:val="en-US" w:eastAsia="zh-CN"/>
              </w:rPr>
              <w:t>公顷</w:t>
            </w:r>
          </w:p>
        </w:tc>
        <w:tc>
          <w:tcPr>
            <w:tcW w:w="2576" w:type="pct"/>
            <w:shd w:val="clear" w:color="auto" w:fill="FFFFFF"/>
            <w:noWrap w:val="0"/>
            <w:vAlign w:val="center"/>
          </w:tcPr>
          <w:p w14:paraId="63AC803C">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以服务海丰县县城及其周边的可塘、公平、梅陇等专业化产业城镇的产业园区服务为核心功能，在发展仓储、运输的基本职能基础上，突出发展物流加工、包装、配送和维修等服务职能，着力强化物流中心与中小生产业价值链的密切衔接，为产业园区的中小生产企业提供服务支撑；</w:t>
            </w:r>
          </w:p>
          <w:p w14:paraId="291B2C13">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建设配套海丰县电子商务发展核心的物流设施，服务金银首饰、珠宝、服装等专业镇电子商务产业；</w:t>
            </w:r>
          </w:p>
          <w:p w14:paraId="6F3D3395">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将服务县域城乡物流配送作为物流中心的重要职能，推进县域地区农资、农产配送以及快递等物流服务职能的发展，畅通县域物资流通，促进城乡统筹发展；</w:t>
            </w:r>
          </w:p>
          <w:p w14:paraId="0FCAC9B1">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适应新型城镇化发展要求，结合规划快递物流园，积极培育冷链物流、电子商务物流配送、废弃物物流等新型物流产业业态职能，逐步推动县域物流产业的升级，改善和提升城镇居民的生活环境；</w:t>
            </w:r>
          </w:p>
          <w:p w14:paraId="6AA05B23">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作为海丰县应急物流中心，在市级应急物流中心指挥下，配合落实海丰县应急物流工作；</w:t>
            </w:r>
          </w:p>
          <w:p w14:paraId="43FB233D">
            <w:pPr>
              <w:adjustRightInd w:val="0"/>
              <w:snapToGrid w:val="0"/>
              <w:spacing w:line="288" w:lineRule="auto"/>
              <w:rPr>
                <w:rFonts w:hint="eastAsia" w:ascii="幼圆" w:hAnsi="华文宋体" w:eastAsia="幼圆"/>
                <w:color w:val="000000"/>
                <w:sz w:val="24"/>
              </w:rPr>
            </w:pPr>
            <w:r>
              <w:rPr>
                <w:rFonts w:hint="eastAsia" w:ascii="幼圆" w:hAnsi="华文宋体" w:eastAsia="幼圆"/>
                <w:color w:val="000000"/>
                <w:sz w:val="24"/>
              </w:rPr>
              <w:t>近期建设海丰县快递物流园区、海丰县粮食物资储备建设项目、海丰县农产品加工物流园建设项目、海丰县高速口物流综合服务站场等物流相关项目。</w:t>
            </w:r>
          </w:p>
        </w:tc>
      </w:tr>
      <w:tr w14:paraId="61A66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20" w:hRule="atLeast"/>
          <w:jc w:val="center"/>
        </w:trPr>
        <w:tc>
          <w:tcPr>
            <w:tcW w:w="375" w:type="pct"/>
            <w:shd w:val="clear" w:color="auto" w:fill="FFFFFF"/>
            <w:noWrap w:val="0"/>
            <w:vAlign w:val="center"/>
          </w:tcPr>
          <w:p w14:paraId="4617E85D">
            <w:pPr>
              <w:adjustRightInd w:val="0"/>
              <w:snapToGrid w:val="0"/>
              <w:spacing w:before="120" w:beforeLines="50" w:after="120" w:afterLines="50" w:line="288" w:lineRule="auto"/>
              <w:jc w:val="center"/>
              <w:rPr>
                <w:rFonts w:hint="eastAsia" w:ascii="幼圆" w:hAnsi="华文宋体" w:eastAsia="幼圆"/>
                <w:color w:val="000000"/>
                <w:sz w:val="24"/>
              </w:rPr>
            </w:pPr>
            <w:r>
              <w:rPr>
                <w:rFonts w:hint="eastAsia" w:ascii="幼圆" w:hAnsi="华文宋体" w:eastAsia="幼圆"/>
                <w:color w:val="000000"/>
                <w:sz w:val="24"/>
              </w:rPr>
              <w:t>陆河产业转移园物流中心</w:t>
            </w:r>
          </w:p>
        </w:tc>
        <w:tc>
          <w:tcPr>
            <w:tcW w:w="735" w:type="pct"/>
            <w:shd w:val="clear" w:color="auto" w:fill="FFFFFF"/>
            <w:noWrap w:val="0"/>
            <w:vAlign w:val="center"/>
          </w:tcPr>
          <w:p w14:paraId="5C0E2D32">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甬莞高速公路新田出入口东侧。</w:t>
            </w:r>
          </w:p>
        </w:tc>
        <w:tc>
          <w:tcPr>
            <w:tcW w:w="1312" w:type="pct"/>
            <w:shd w:val="clear" w:color="auto" w:fill="FFFFFF"/>
            <w:noWrap w:val="0"/>
            <w:vAlign w:val="center"/>
          </w:tcPr>
          <w:p w14:paraId="3D794686">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陆河产业转移园物流园区12公顷左右；其中，快递物流园5公顷。</w:t>
            </w:r>
          </w:p>
        </w:tc>
        <w:tc>
          <w:tcPr>
            <w:tcW w:w="2576" w:type="pct"/>
            <w:shd w:val="clear" w:color="auto" w:fill="FFFFFF"/>
            <w:noWrap w:val="0"/>
            <w:vAlign w:val="center"/>
          </w:tcPr>
          <w:p w14:paraId="4092DD92">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以服务产业转移园的工业原材料与产品的仓储、包装、运输为主要职能，兼顾周边城乡地区的农资农产与消费品配送服务，成为汕尾中北部地区的重要物流中心；</w:t>
            </w:r>
          </w:p>
          <w:p w14:paraId="477DB2D8">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建设配套陆河县电子商务发展节点的物流设施，主要服务陆河县农、旅电子商务产业；</w:t>
            </w:r>
          </w:p>
          <w:p w14:paraId="080217DD">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作为陆河县应急物流中心，在市级应急物流中心指挥下，配合落实陆河县应急物流工作。</w:t>
            </w:r>
          </w:p>
          <w:p w14:paraId="3D372436">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建设陆河县产业转移工业园区快递物流园建设项目、陆河县畜禽屠宰及冷链物流基地建设项目等物流相关项目。</w:t>
            </w:r>
          </w:p>
        </w:tc>
      </w:tr>
      <w:tr w14:paraId="3F34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20" w:hRule="atLeast"/>
          <w:jc w:val="center"/>
        </w:trPr>
        <w:tc>
          <w:tcPr>
            <w:tcW w:w="375" w:type="pct"/>
            <w:shd w:val="clear" w:color="auto" w:fill="FFFFFF"/>
            <w:noWrap w:val="0"/>
            <w:vAlign w:val="center"/>
          </w:tcPr>
          <w:p w14:paraId="331DC74A">
            <w:pPr>
              <w:adjustRightInd w:val="0"/>
              <w:snapToGrid w:val="0"/>
              <w:spacing w:before="120" w:beforeLines="50" w:after="120" w:afterLines="50" w:line="288" w:lineRule="auto"/>
              <w:jc w:val="center"/>
              <w:rPr>
                <w:rFonts w:hint="eastAsia" w:ascii="幼圆" w:hAnsi="华文宋体" w:eastAsia="幼圆"/>
                <w:color w:val="000000"/>
                <w:sz w:val="24"/>
              </w:rPr>
            </w:pPr>
            <w:r>
              <w:rPr>
                <w:rFonts w:hint="eastAsia" w:ascii="幼圆" w:hAnsi="华文宋体" w:eastAsia="幼圆"/>
                <w:color w:val="000000"/>
                <w:sz w:val="24"/>
              </w:rPr>
              <w:t>碣石-湖东港物流中心</w:t>
            </w:r>
          </w:p>
        </w:tc>
        <w:tc>
          <w:tcPr>
            <w:tcW w:w="735" w:type="pct"/>
            <w:shd w:val="clear" w:color="auto" w:fill="FFFFFF"/>
            <w:noWrap w:val="0"/>
            <w:vAlign w:val="center"/>
          </w:tcPr>
          <w:p w14:paraId="574184FE">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碣石-湖东港物流中心结合陆丰港区碣石智慧渔港、湖东智慧渔港及田尾山渔港作业区进行布局。</w:t>
            </w:r>
          </w:p>
        </w:tc>
        <w:tc>
          <w:tcPr>
            <w:tcW w:w="1312" w:type="pct"/>
            <w:shd w:val="clear" w:color="auto" w:fill="FFFFFF"/>
            <w:noWrap w:val="0"/>
            <w:vAlign w:val="center"/>
          </w:tcPr>
          <w:p w14:paraId="50818B88">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规划物流中心用地规模控制在35公顷左右。</w:t>
            </w:r>
          </w:p>
          <w:p w14:paraId="5C98CBE9">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碣石作业区规划保持现状1个5000吨级碣石液化气成品油码头，用地规模约10公顷；</w:t>
            </w:r>
          </w:p>
          <w:p w14:paraId="411220B1">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田尾山作业区规划保留现状3000吨级重件码头，新增4个</w:t>
            </w:r>
            <w:r>
              <w:rPr>
                <w:rFonts w:hint="eastAsia" w:ascii="幼圆" w:hAnsi="华文宋体" w:eastAsia="幼圆"/>
                <w:color w:val="000000"/>
                <w:sz w:val="24"/>
                <w:lang w:eastAsia="zh-CN"/>
              </w:rPr>
              <w:t>5千—5万</w:t>
            </w:r>
            <w:r>
              <w:rPr>
                <w:rFonts w:hint="eastAsia" w:ascii="幼圆" w:hAnsi="华文宋体" w:eastAsia="幼圆"/>
                <w:color w:val="000000"/>
                <w:sz w:val="24"/>
              </w:rPr>
              <w:t>吨级风电专用泊位，9个</w:t>
            </w:r>
            <w:r>
              <w:rPr>
                <w:rFonts w:hint="eastAsia" w:ascii="幼圆" w:hAnsi="华文宋体" w:eastAsia="幼圆"/>
                <w:color w:val="000000"/>
                <w:sz w:val="24"/>
                <w:lang w:eastAsia="zh-CN"/>
              </w:rPr>
              <w:t>1万—5万</w:t>
            </w:r>
            <w:r>
              <w:rPr>
                <w:rFonts w:hint="eastAsia" w:ascii="幼圆" w:hAnsi="华文宋体" w:eastAsia="幼圆"/>
                <w:color w:val="000000"/>
                <w:sz w:val="24"/>
              </w:rPr>
              <w:t>吨级多用途、通用泊位，用地规模约25公顷；</w:t>
            </w:r>
          </w:p>
          <w:p w14:paraId="0EB9F12F">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湖东甲西作业区规划两个港池，12个</w:t>
            </w:r>
            <w:r>
              <w:rPr>
                <w:rFonts w:hint="eastAsia" w:ascii="幼圆" w:hAnsi="华文宋体" w:eastAsia="幼圆"/>
                <w:color w:val="000000"/>
                <w:sz w:val="24"/>
                <w:lang w:eastAsia="zh-CN"/>
              </w:rPr>
              <w:t>3千—15万</w:t>
            </w:r>
            <w:r>
              <w:rPr>
                <w:rFonts w:hint="eastAsia" w:ascii="幼圆" w:hAnsi="华文宋体" w:eastAsia="幼圆"/>
                <w:color w:val="000000"/>
                <w:sz w:val="24"/>
              </w:rPr>
              <w:t>吨级泊位，通行能力可达3295万吨、集装箱10万TEU，用地由湖东港临港工业内部提供；</w:t>
            </w:r>
          </w:p>
          <w:p w14:paraId="6D9CE3B5">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湖东渔港规划一处一级渔港，建设供冰泊位、卸鱼泊位、物资泊位等。</w:t>
            </w:r>
          </w:p>
        </w:tc>
        <w:tc>
          <w:tcPr>
            <w:tcW w:w="2576" w:type="pct"/>
            <w:shd w:val="clear" w:color="auto" w:fill="FFFFFF"/>
            <w:noWrap w:val="0"/>
            <w:vAlign w:val="center"/>
          </w:tcPr>
          <w:p w14:paraId="2BF8934A">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规划充分利用碣石及湖东甲西深水岸线的有利条件，建设碣石智慧渔港、湖东智慧渔港及田尾山作业区，打造以服务陆丰市及周边地区的临港物流中心；</w:t>
            </w:r>
          </w:p>
          <w:p w14:paraId="2D743670">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碣石智慧渔港主要以运输液化气成品油为主；</w:t>
            </w:r>
          </w:p>
          <w:p w14:paraId="116D1D1E">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田尾山作业区规划以海上风电设施运输及临港工业服务为主，兼顾腹地散杂货运输；</w:t>
            </w:r>
          </w:p>
          <w:p w14:paraId="0B7ED362">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湖东智慧渔港以服务新能源产业为特色，兼顾现代物流产业需求，承担电厂的原材料运输、汕尾港公共散杂货的运输及液化天然气接卸功能。规划有电厂散货泊位区、多用途通用泊位区及LNG泊位区，分别对应一港池、二港池及三港池。</w:t>
            </w:r>
          </w:p>
          <w:p w14:paraId="76EEA7A2">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湖东一级渔港主要建设综合管理区、卸鱼及水产品交易区、制冰与贮冰区、冷冻与冷藏区、综合物资供应区、海产品粗加工产业区、冷链物流区等，发展渔业、水产品冷链及相关配套产业。</w:t>
            </w:r>
          </w:p>
          <w:p w14:paraId="7FACABA3">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近期建设湖东镇农产品交易市场及冷链物流基地、碣石海洋工程基地二期项目、陆丰市渔港经济区湖东一级渔港等物流相关项目。</w:t>
            </w:r>
          </w:p>
        </w:tc>
      </w:tr>
      <w:tr w14:paraId="436AF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20" w:hRule="atLeast"/>
          <w:jc w:val="center"/>
        </w:trPr>
        <w:tc>
          <w:tcPr>
            <w:tcW w:w="375" w:type="pct"/>
            <w:shd w:val="clear" w:color="auto" w:fill="FFFFFF"/>
            <w:noWrap w:val="0"/>
            <w:vAlign w:val="center"/>
          </w:tcPr>
          <w:p w14:paraId="1814BC85">
            <w:pPr>
              <w:adjustRightInd w:val="0"/>
              <w:snapToGrid w:val="0"/>
              <w:spacing w:before="120" w:beforeLines="50" w:after="120" w:afterLines="50" w:line="288" w:lineRule="auto"/>
              <w:jc w:val="center"/>
              <w:rPr>
                <w:rFonts w:hint="eastAsia" w:ascii="幼圆" w:hAnsi="华文宋体" w:eastAsia="幼圆"/>
                <w:color w:val="000000"/>
                <w:sz w:val="24"/>
              </w:rPr>
            </w:pPr>
            <w:r>
              <w:rPr>
                <w:rFonts w:hint="eastAsia" w:ascii="幼圆" w:hAnsi="华文宋体" w:eastAsia="幼圆"/>
                <w:color w:val="000000"/>
                <w:sz w:val="24"/>
              </w:rPr>
              <w:t>陆丰市物流中心</w:t>
            </w:r>
          </w:p>
        </w:tc>
        <w:tc>
          <w:tcPr>
            <w:tcW w:w="735" w:type="pct"/>
            <w:shd w:val="clear" w:color="auto" w:fill="FFFFFF"/>
            <w:noWrap w:val="0"/>
            <w:vAlign w:val="center"/>
          </w:tcPr>
          <w:p w14:paraId="1A22AD3B">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于G228与G324交叉口以及沈海高速霞湖出入口，分别布局两处物流用地。</w:t>
            </w:r>
          </w:p>
        </w:tc>
        <w:tc>
          <w:tcPr>
            <w:tcW w:w="1312" w:type="pct"/>
            <w:shd w:val="clear" w:color="auto" w:fill="FFFFFF"/>
            <w:noWrap w:val="0"/>
            <w:vAlign w:val="center"/>
          </w:tcPr>
          <w:p w14:paraId="7D677B8C">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规划物流园区面积控制在15公顷左右。</w:t>
            </w:r>
          </w:p>
        </w:tc>
        <w:tc>
          <w:tcPr>
            <w:tcW w:w="2576" w:type="pct"/>
            <w:shd w:val="clear" w:color="auto" w:fill="FFFFFF"/>
            <w:noWrap w:val="0"/>
            <w:vAlign w:val="center"/>
          </w:tcPr>
          <w:p w14:paraId="7E675F55">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以发展城乡农资农产、生活消费品和电子商务商品的配送服务为主要职能，并以物流带动电子商务业态向城乡地区延伸；</w:t>
            </w:r>
          </w:p>
          <w:p w14:paraId="721CDB94">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建设配套陆丰市电子商务发展节点的物流设施，主要服务陆丰市农产品及圣诞工艺品等电子商务产业；</w:t>
            </w:r>
          </w:p>
          <w:p w14:paraId="75C18F08">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作为陆丰市应急物流中心，在市级应急物流中心指挥下，配合落实陆丰市应急物流工作；</w:t>
            </w:r>
          </w:p>
          <w:p w14:paraId="7BB60364">
            <w:pPr>
              <w:adjustRightInd w:val="0"/>
              <w:snapToGrid w:val="0"/>
              <w:spacing w:before="120" w:beforeLines="50" w:after="120" w:afterLines="50" w:line="288" w:lineRule="auto"/>
              <w:rPr>
                <w:rFonts w:hint="eastAsia" w:ascii="幼圆" w:hAnsi="华文宋体" w:eastAsia="幼圆"/>
                <w:color w:val="000000"/>
                <w:sz w:val="24"/>
              </w:rPr>
            </w:pPr>
            <w:r>
              <w:rPr>
                <w:rFonts w:hint="eastAsia" w:ascii="幼圆" w:hAnsi="华文宋体" w:eastAsia="幼圆"/>
                <w:color w:val="000000"/>
                <w:sz w:val="24"/>
              </w:rPr>
              <w:t>建设陆丰市货运和快递物流园区等物流相关项目；同时，“十四五”期间，结合该物流中心，建设陆丰市邮政邮件处理中心，用地面积约2公顷。</w:t>
            </w:r>
          </w:p>
        </w:tc>
      </w:tr>
    </w:tbl>
    <w:p w14:paraId="3B458A6D">
      <w:pPr>
        <w:rPr>
          <w:rFonts w:hint="eastAsia"/>
          <w:color w:val="000000"/>
        </w:rPr>
        <w:sectPr>
          <w:pgSz w:w="23814" w:h="16840" w:orient="landscape"/>
          <w:pgMar w:top="1985" w:right="1985" w:bottom="1701" w:left="1985" w:header="851" w:footer="992" w:gutter="0"/>
          <w:pgNumType w:fmt="decimal"/>
          <w:cols w:space="720" w:num="1"/>
          <w:docGrid w:linePitch="312" w:charSpace="0"/>
        </w:sectPr>
      </w:pPr>
    </w:p>
    <w:p w14:paraId="570F9CBB">
      <w:pPr>
        <w:pStyle w:val="3"/>
        <w:spacing w:before="120" w:beforeLines="50" w:after="120" w:afterLines="50" w:line="360" w:lineRule="auto"/>
        <w:rPr>
          <w:rFonts w:hint="eastAsia" w:ascii="华文中宋" w:hAnsi="华文中宋" w:eastAsia="华文中宋"/>
          <w:color w:val="000000"/>
          <w:sz w:val="36"/>
          <w:szCs w:val="36"/>
        </w:rPr>
      </w:pPr>
      <w:bookmarkStart w:id="122" w:name="_Toc10825"/>
      <w:r>
        <w:rPr>
          <w:rFonts w:hint="eastAsia" w:ascii="华文中宋" w:hAnsi="华文中宋" w:eastAsia="华文中宋"/>
          <w:color w:val="000000"/>
          <w:sz w:val="36"/>
          <w:szCs w:val="36"/>
        </w:rPr>
        <w:t>附</w:t>
      </w:r>
      <w:r>
        <w:rPr>
          <w:rFonts w:hint="eastAsia" w:ascii="华文中宋" w:hAnsi="华文中宋" w:eastAsia="华文中宋" w:cs="Times New Roman"/>
          <w:b/>
          <w:bCs/>
          <w:color w:val="000000"/>
          <w:sz w:val="36"/>
          <w:szCs w:val="36"/>
        </w:rPr>
        <w:t>表</w:t>
      </w:r>
      <w:r>
        <w:rPr>
          <w:rFonts w:hint="eastAsia" w:ascii="华文中宋" w:hAnsi="华文中宋" w:eastAsia="华文中宋" w:cs="Times New Roman"/>
          <w:b/>
          <w:bCs/>
          <w:color w:val="000000"/>
          <w:sz w:val="36"/>
          <w:szCs w:val="36"/>
          <w:lang w:val="en-US" w:eastAsia="zh-CN"/>
        </w:rPr>
        <w:t>23</w:t>
      </w:r>
      <w:r>
        <w:rPr>
          <w:rFonts w:hint="eastAsia" w:ascii="华文中宋" w:hAnsi="华文中宋" w:eastAsia="华文中宋" w:cs="Times New Roman"/>
          <w:b/>
          <w:bCs/>
          <w:color w:val="000000"/>
          <w:sz w:val="36"/>
          <w:szCs w:val="36"/>
        </w:rPr>
        <w:t>：配送中心规</w:t>
      </w:r>
      <w:r>
        <w:rPr>
          <w:rFonts w:hint="eastAsia" w:ascii="华文中宋" w:hAnsi="华文中宋" w:eastAsia="华文中宋"/>
          <w:color w:val="000000"/>
          <w:sz w:val="36"/>
          <w:szCs w:val="36"/>
        </w:rPr>
        <w:t>划指引</w:t>
      </w:r>
      <w:bookmarkEnd w:id="122"/>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85" w:type="dxa"/>
          <w:bottom w:w="0" w:type="dxa"/>
          <w:right w:w="85" w:type="dxa"/>
        </w:tblCellMar>
      </w:tblPr>
      <w:tblGrid>
        <w:gridCol w:w="3115"/>
        <w:gridCol w:w="4404"/>
        <w:gridCol w:w="6750"/>
        <w:gridCol w:w="5741"/>
      </w:tblGrid>
      <w:tr w14:paraId="25E34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85" w:type="dxa"/>
            <w:bottom w:w="0" w:type="dxa"/>
            <w:right w:w="85" w:type="dxa"/>
          </w:tblCellMar>
        </w:tblPrEx>
        <w:trPr>
          <w:trHeight w:val="794" w:hRule="atLeast"/>
        </w:trPr>
        <w:tc>
          <w:tcPr>
            <w:tcW w:w="778" w:type="pct"/>
            <w:shd w:val="clear" w:color="auto" w:fill="FFFFFF"/>
            <w:noWrap w:val="0"/>
            <w:vAlign w:val="center"/>
          </w:tcPr>
          <w:p w14:paraId="17130730">
            <w:pPr>
              <w:adjustRightInd w:val="0"/>
              <w:snapToGrid w:val="0"/>
              <w:jc w:val="center"/>
              <w:rPr>
                <w:rFonts w:hint="eastAsia" w:ascii="幼圆" w:hAnsi="华文宋体" w:eastAsia="幼圆"/>
                <w:b/>
                <w:color w:val="000000"/>
                <w:sz w:val="28"/>
                <w:szCs w:val="28"/>
              </w:rPr>
            </w:pPr>
            <w:r>
              <w:rPr>
                <w:rFonts w:hint="eastAsia" w:ascii="幼圆" w:hAnsi="华文宋体" w:eastAsia="幼圆"/>
                <w:b/>
                <w:color w:val="000000"/>
                <w:sz w:val="28"/>
                <w:szCs w:val="28"/>
              </w:rPr>
              <w:t>配送中心</w:t>
            </w:r>
          </w:p>
        </w:tc>
        <w:tc>
          <w:tcPr>
            <w:tcW w:w="1100" w:type="pct"/>
            <w:shd w:val="clear" w:color="auto" w:fill="FFFFFF"/>
            <w:noWrap w:val="0"/>
            <w:vAlign w:val="center"/>
          </w:tcPr>
          <w:p w14:paraId="02B5AC49">
            <w:pPr>
              <w:adjustRightInd w:val="0"/>
              <w:snapToGrid w:val="0"/>
              <w:jc w:val="center"/>
              <w:rPr>
                <w:rFonts w:hint="eastAsia" w:ascii="幼圆" w:hAnsi="华文宋体" w:eastAsia="幼圆"/>
                <w:b/>
                <w:color w:val="000000"/>
                <w:sz w:val="28"/>
                <w:szCs w:val="28"/>
              </w:rPr>
            </w:pPr>
            <w:r>
              <w:rPr>
                <w:rFonts w:hint="eastAsia" w:ascii="幼圆" w:hAnsi="华文宋体" w:eastAsia="幼圆"/>
                <w:b/>
                <w:color w:val="000000"/>
                <w:sz w:val="28"/>
                <w:szCs w:val="28"/>
              </w:rPr>
              <w:t>布局地点</w:t>
            </w:r>
          </w:p>
        </w:tc>
        <w:tc>
          <w:tcPr>
            <w:tcW w:w="1686" w:type="pct"/>
            <w:shd w:val="clear" w:color="auto" w:fill="FFFFFF"/>
            <w:noWrap w:val="0"/>
            <w:vAlign w:val="center"/>
          </w:tcPr>
          <w:p w14:paraId="03887B79">
            <w:pPr>
              <w:adjustRightInd w:val="0"/>
              <w:snapToGrid w:val="0"/>
              <w:jc w:val="center"/>
              <w:rPr>
                <w:rFonts w:hint="eastAsia" w:ascii="幼圆" w:hAnsi="华文宋体" w:eastAsia="幼圆"/>
                <w:b/>
                <w:color w:val="000000"/>
                <w:sz w:val="28"/>
                <w:szCs w:val="28"/>
              </w:rPr>
            </w:pPr>
            <w:r>
              <w:rPr>
                <w:rFonts w:hint="eastAsia" w:ascii="幼圆" w:hAnsi="华文宋体" w:eastAsia="幼圆"/>
                <w:b/>
                <w:color w:val="000000"/>
                <w:sz w:val="28"/>
                <w:szCs w:val="28"/>
              </w:rPr>
              <w:t>发展规模</w:t>
            </w:r>
          </w:p>
        </w:tc>
        <w:tc>
          <w:tcPr>
            <w:tcW w:w="1434" w:type="pct"/>
            <w:shd w:val="clear" w:color="auto" w:fill="FFFFFF"/>
            <w:noWrap w:val="0"/>
            <w:vAlign w:val="center"/>
          </w:tcPr>
          <w:p w14:paraId="3CFC056C">
            <w:pPr>
              <w:adjustRightInd w:val="0"/>
              <w:snapToGrid w:val="0"/>
              <w:jc w:val="center"/>
              <w:rPr>
                <w:rFonts w:hint="eastAsia" w:ascii="幼圆" w:hAnsi="华文宋体" w:eastAsia="幼圆"/>
                <w:b/>
                <w:color w:val="000000"/>
                <w:sz w:val="28"/>
                <w:szCs w:val="28"/>
              </w:rPr>
            </w:pPr>
            <w:r>
              <w:rPr>
                <w:rFonts w:hint="eastAsia" w:ascii="华文宋体" w:hAnsi="华文宋体" w:eastAsia="华文宋体"/>
                <w:b/>
                <w:bCs/>
                <w:sz w:val="22"/>
                <w:szCs w:val="22"/>
              </w:rPr>
              <w:t>定位</w:t>
            </w:r>
          </w:p>
        </w:tc>
      </w:tr>
      <w:tr w14:paraId="4F589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458F3242">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红草产业园配送中心</w:t>
            </w:r>
          </w:p>
        </w:tc>
        <w:tc>
          <w:tcPr>
            <w:tcW w:w="1100" w:type="pct"/>
            <w:shd w:val="clear" w:color="auto" w:fill="FFFFFF"/>
            <w:noWrap w:val="0"/>
            <w:vAlign w:val="center"/>
          </w:tcPr>
          <w:p w14:paraId="0203C447">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位于红草产业园北侧，紧挨G236。</w:t>
            </w:r>
          </w:p>
        </w:tc>
        <w:tc>
          <w:tcPr>
            <w:tcW w:w="1686" w:type="pct"/>
            <w:shd w:val="clear" w:color="auto" w:fill="FFFFFF"/>
            <w:noWrap w:val="0"/>
            <w:vAlign w:val="center"/>
          </w:tcPr>
          <w:p w14:paraId="359032A4">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规划产业园区配套物流园区面积控制在25公顷左右。</w:t>
            </w:r>
          </w:p>
        </w:tc>
        <w:tc>
          <w:tcPr>
            <w:tcW w:w="1434" w:type="pct"/>
            <w:shd w:val="clear" w:color="auto" w:fill="FFFFFF"/>
            <w:noWrap w:val="0"/>
            <w:vAlign w:val="center"/>
          </w:tcPr>
          <w:p w14:paraId="4C7A6E2E">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以生产性配套物流为主，兼顾城市生活性物流服务为辅的综合服务型配送中心</w:t>
            </w:r>
          </w:p>
        </w:tc>
      </w:tr>
      <w:tr w14:paraId="26324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340664ED">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马宫港配送中心</w:t>
            </w:r>
          </w:p>
        </w:tc>
        <w:tc>
          <w:tcPr>
            <w:tcW w:w="1100" w:type="pct"/>
            <w:shd w:val="clear" w:color="auto" w:fill="FFFFFF"/>
            <w:noWrap w:val="0"/>
            <w:vAlign w:val="center"/>
          </w:tcPr>
          <w:p w14:paraId="76AB6A2F">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位于马宫片区东北部，紧挨城镇主干道。</w:t>
            </w:r>
          </w:p>
        </w:tc>
        <w:tc>
          <w:tcPr>
            <w:tcW w:w="1686" w:type="pct"/>
            <w:shd w:val="clear" w:color="auto" w:fill="FFFFFF"/>
            <w:noWrap w:val="0"/>
            <w:vAlign w:val="center"/>
          </w:tcPr>
          <w:p w14:paraId="488BE733">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园区面积控制在17公顷，其中：海产品冷链物流面积控制在15公顷左右；城市配送物流面积控制在2公顷左右。</w:t>
            </w:r>
          </w:p>
        </w:tc>
        <w:tc>
          <w:tcPr>
            <w:tcW w:w="1434" w:type="pct"/>
            <w:shd w:val="clear" w:color="auto" w:fill="FFFFFF"/>
            <w:noWrap w:val="0"/>
            <w:vAlign w:val="center"/>
          </w:tcPr>
          <w:p w14:paraId="625577BE">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以渔业生产与贸易配套物流为主，兼顾城市生活性物流服务的综合性配送中心</w:t>
            </w:r>
          </w:p>
        </w:tc>
      </w:tr>
      <w:tr w14:paraId="656E6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2A76347D">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红海湾配送中心</w:t>
            </w:r>
          </w:p>
        </w:tc>
        <w:tc>
          <w:tcPr>
            <w:tcW w:w="1100" w:type="pct"/>
            <w:shd w:val="clear" w:color="auto" w:fill="FFFFFF"/>
            <w:noWrap w:val="0"/>
            <w:vAlign w:val="center"/>
          </w:tcPr>
          <w:p w14:paraId="680B622C">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位于红海湾大道与兴汕</w:t>
            </w:r>
            <w:r>
              <w:rPr>
                <w:rFonts w:hint="eastAsia" w:ascii="幼圆" w:hAnsi="华文宋体" w:eastAsia="幼圆"/>
                <w:color w:val="000000"/>
                <w:sz w:val="28"/>
                <w:szCs w:val="28"/>
                <w:lang w:eastAsia="zh-CN"/>
              </w:rPr>
              <w:t>高速</w:t>
            </w:r>
            <w:r>
              <w:rPr>
                <w:rFonts w:hint="eastAsia" w:ascii="幼圆" w:hAnsi="华文宋体" w:eastAsia="幼圆"/>
                <w:color w:val="000000"/>
                <w:sz w:val="28"/>
                <w:szCs w:val="28"/>
              </w:rPr>
              <w:t>出入口附近。</w:t>
            </w:r>
          </w:p>
        </w:tc>
        <w:tc>
          <w:tcPr>
            <w:tcW w:w="1686" w:type="pct"/>
            <w:shd w:val="clear" w:color="auto" w:fill="FFFFFF"/>
            <w:noWrap w:val="0"/>
            <w:vAlign w:val="center"/>
          </w:tcPr>
          <w:p w14:paraId="6B5A8445">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配送中心面积控制在5公顷左右。</w:t>
            </w:r>
          </w:p>
        </w:tc>
        <w:tc>
          <w:tcPr>
            <w:tcW w:w="1434" w:type="pct"/>
            <w:shd w:val="clear" w:color="auto" w:fill="FFFFFF"/>
            <w:noWrap w:val="0"/>
            <w:vAlign w:val="center"/>
          </w:tcPr>
          <w:p w14:paraId="7853FABA">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以城乡生活配送为主，兼顾红海湾经济开发区临港产业配套物流，为综合服务型配送中心</w:t>
            </w:r>
          </w:p>
        </w:tc>
      </w:tr>
      <w:tr w14:paraId="03876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47B59201">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lang w:eastAsia="zh-CN"/>
              </w:rPr>
              <w:t>深汕特别合作区</w:t>
            </w:r>
            <w:r>
              <w:rPr>
                <w:rFonts w:hint="eastAsia" w:ascii="幼圆" w:hAnsi="华文宋体" w:eastAsia="幼圆"/>
                <w:color w:val="000000"/>
                <w:sz w:val="28"/>
                <w:szCs w:val="28"/>
              </w:rPr>
              <w:t>拓展区配送中心</w:t>
            </w:r>
          </w:p>
        </w:tc>
        <w:tc>
          <w:tcPr>
            <w:tcW w:w="1100" w:type="pct"/>
            <w:shd w:val="clear" w:color="auto" w:fill="FFFFFF"/>
            <w:noWrap w:val="0"/>
            <w:vAlign w:val="center"/>
          </w:tcPr>
          <w:p w14:paraId="4D42CDC5">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位于临近产业园区的城镇边缘地区，临近城镇主干道。</w:t>
            </w:r>
          </w:p>
        </w:tc>
        <w:tc>
          <w:tcPr>
            <w:tcW w:w="1686" w:type="pct"/>
            <w:shd w:val="clear" w:color="auto" w:fill="FFFFFF"/>
            <w:noWrap w:val="0"/>
            <w:vAlign w:val="center"/>
          </w:tcPr>
          <w:p w14:paraId="118F295D">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规划物流园区面积控制在5公顷左右。</w:t>
            </w:r>
          </w:p>
        </w:tc>
        <w:tc>
          <w:tcPr>
            <w:tcW w:w="1434" w:type="pct"/>
            <w:shd w:val="clear" w:color="auto" w:fill="FFFFFF"/>
            <w:noWrap w:val="0"/>
            <w:vAlign w:val="center"/>
          </w:tcPr>
          <w:p w14:paraId="47668EB6">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综合服务型物流配送中心</w:t>
            </w:r>
          </w:p>
        </w:tc>
      </w:tr>
      <w:tr w14:paraId="101AF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0CD01247">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公平镇配送中心</w:t>
            </w:r>
          </w:p>
        </w:tc>
        <w:tc>
          <w:tcPr>
            <w:tcW w:w="1100" w:type="pct"/>
            <w:shd w:val="clear" w:color="auto" w:fill="FFFFFF"/>
            <w:noWrap w:val="0"/>
            <w:vAlign w:val="center"/>
          </w:tcPr>
          <w:p w14:paraId="35CFB52C">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位于公平镇镇区南部边缘地区。</w:t>
            </w:r>
          </w:p>
        </w:tc>
        <w:tc>
          <w:tcPr>
            <w:tcW w:w="1686" w:type="pct"/>
            <w:shd w:val="clear" w:color="auto" w:fill="FFFFFF"/>
            <w:noWrap w:val="0"/>
            <w:vAlign w:val="center"/>
          </w:tcPr>
          <w:p w14:paraId="3FFD967F">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规划物流园区面积控制在5公顷左右，其中广东大菜园农产品物流中心2公顷。</w:t>
            </w:r>
          </w:p>
        </w:tc>
        <w:tc>
          <w:tcPr>
            <w:tcW w:w="1434" w:type="pct"/>
            <w:shd w:val="clear" w:color="auto" w:fill="FFFFFF"/>
            <w:noWrap w:val="0"/>
            <w:vAlign w:val="center"/>
          </w:tcPr>
          <w:p w14:paraId="2CB44906">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综合服务型配送中心</w:t>
            </w:r>
          </w:p>
        </w:tc>
      </w:tr>
      <w:tr w14:paraId="6E903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0987D502">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陆河县配送中心</w:t>
            </w:r>
          </w:p>
        </w:tc>
        <w:tc>
          <w:tcPr>
            <w:tcW w:w="1100" w:type="pct"/>
            <w:shd w:val="clear" w:color="auto" w:fill="FFFFFF"/>
            <w:noWrap w:val="0"/>
            <w:vAlign w:val="center"/>
          </w:tcPr>
          <w:p w14:paraId="593D1D1E">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位于甬莞高速公路陆河东出入口附近。</w:t>
            </w:r>
          </w:p>
        </w:tc>
        <w:tc>
          <w:tcPr>
            <w:tcW w:w="1686" w:type="pct"/>
            <w:shd w:val="clear" w:color="auto" w:fill="FFFFFF"/>
            <w:noWrap w:val="0"/>
            <w:vAlign w:val="center"/>
          </w:tcPr>
          <w:p w14:paraId="2BE953BD">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规划物流园区面积控制在6公顷左右。</w:t>
            </w:r>
          </w:p>
        </w:tc>
        <w:tc>
          <w:tcPr>
            <w:tcW w:w="1434" w:type="pct"/>
            <w:shd w:val="clear" w:color="auto" w:fill="FFFFFF"/>
            <w:noWrap w:val="0"/>
            <w:vAlign w:val="center"/>
          </w:tcPr>
          <w:p w14:paraId="79D1DDD5">
            <w:pPr>
              <w:adjustRightInd w:val="0"/>
              <w:snapToGrid w:val="0"/>
              <w:rPr>
                <w:rFonts w:hint="eastAsia" w:ascii="幼圆" w:hAnsi="华文宋体" w:eastAsia="幼圆"/>
                <w:color w:val="000000"/>
                <w:sz w:val="28"/>
                <w:szCs w:val="28"/>
              </w:rPr>
            </w:pPr>
            <w:bookmarkStart w:id="123" w:name="_Hlk119079414"/>
            <w:r>
              <w:rPr>
                <w:rFonts w:hint="eastAsia" w:ascii="幼圆" w:hAnsi="华文宋体" w:eastAsia="幼圆"/>
                <w:color w:val="000000"/>
                <w:sz w:val="28"/>
                <w:szCs w:val="28"/>
              </w:rPr>
              <w:t>综合性物流配送中心</w:t>
            </w:r>
            <w:bookmarkEnd w:id="123"/>
          </w:p>
        </w:tc>
      </w:tr>
      <w:tr w14:paraId="4108C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5C5949B0">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星都配送中心</w:t>
            </w:r>
          </w:p>
        </w:tc>
        <w:tc>
          <w:tcPr>
            <w:tcW w:w="1100" w:type="pct"/>
            <w:shd w:val="clear" w:color="auto" w:fill="FFFFFF"/>
            <w:noWrap w:val="0"/>
            <w:vAlign w:val="center"/>
          </w:tcPr>
          <w:p w14:paraId="399295A8">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布局于星都经济技术开发区西部的规划龙汕高速出入口附近</w:t>
            </w:r>
          </w:p>
        </w:tc>
        <w:tc>
          <w:tcPr>
            <w:tcW w:w="1686" w:type="pct"/>
            <w:shd w:val="clear" w:color="auto" w:fill="FFFFFF"/>
            <w:noWrap w:val="0"/>
            <w:vAlign w:val="center"/>
          </w:tcPr>
          <w:p w14:paraId="0763AB9D">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规划物流园区面积控制在30公顷左右。</w:t>
            </w:r>
          </w:p>
        </w:tc>
        <w:tc>
          <w:tcPr>
            <w:tcW w:w="1434" w:type="pct"/>
            <w:shd w:val="clear" w:color="auto" w:fill="FFFFFF"/>
            <w:noWrap w:val="0"/>
            <w:vAlign w:val="center"/>
          </w:tcPr>
          <w:p w14:paraId="7E47C028">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生产服务型物流配送中心</w:t>
            </w:r>
          </w:p>
        </w:tc>
      </w:tr>
      <w:tr w14:paraId="76054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471B9A1B">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甲子镇配送中心</w:t>
            </w:r>
          </w:p>
        </w:tc>
        <w:tc>
          <w:tcPr>
            <w:tcW w:w="1100" w:type="pct"/>
            <w:shd w:val="clear" w:color="auto" w:fill="FFFFFF"/>
            <w:noWrap w:val="0"/>
            <w:vAlign w:val="center"/>
          </w:tcPr>
          <w:p w14:paraId="4ECA95A0">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结合揭普惠高速甲子镇出入口布局</w:t>
            </w:r>
          </w:p>
        </w:tc>
        <w:tc>
          <w:tcPr>
            <w:tcW w:w="1686" w:type="pct"/>
            <w:shd w:val="clear" w:color="auto" w:fill="FFFFFF"/>
            <w:noWrap w:val="0"/>
            <w:vAlign w:val="center"/>
          </w:tcPr>
          <w:p w14:paraId="08C2DD2C">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物流园区面积控制在5公顷左右。</w:t>
            </w:r>
          </w:p>
        </w:tc>
        <w:tc>
          <w:tcPr>
            <w:tcW w:w="1434" w:type="pct"/>
            <w:shd w:val="clear" w:color="auto" w:fill="FFFFFF"/>
            <w:noWrap w:val="0"/>
            <w:vAlign w:val="center"/>
          </w:tcPr>
          <w:p w14:paraId="1AC503CF">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散杂货陆运综合物流配送中心</w:t>
            </w:r>
          </w:p>
        </w:tc>
      </w:tr>
      <w:tr w14:paraId="0788A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486E273F">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乌坎配送中心</w:t>
            </w:r>
          </w:p>
        </w:tc>
        <w:tc>
          <w:tcPr>
            <w:tcW w:w="1100" w:type="pct"/>
            <w:shd w:val="clear" w:color="auto" w:fill="FFFFFF"/>
            <w:noWrap w:val="0"/>
            <w:vAlign w:val="center"/>
          </w:tcPr>
          <w:p w14:paraId="164B9682">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乌坎港港域后方</w:t>
            </w:r>
          </w:p>
        </w:tc>
        <w:tc>
          <w:tcPr>
            <w:tcW w:w="1686" w:type="pct"/>
            <w:shd w:val="clear" w:color="auto" w:fill="FFFFFF"/>
            <w:noWrap w:val="0"/>
            <w:vAlign w:val="center"/>
          </w:tcPr>
          <w:p w14:paraId="18C5A965">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配套建设2个500-1000吨级杂货泊位；物流园区面积控制在2.5公顷左右。</w:t>
            </w:r>
          </w:p>
        </w:tc>
        <w:tc>
          <w:tcPr>
            <w:tcW w:w="1434" w:type="pct"/>
            <w:shd w:val="clear" w:color="auto" w:fill="FFFFFF"/>
            <w:noWrap w:val="0"/>
            <w:vAlign w:val="center"/>
          </w:tcPr>
          <w:p w14:paraId="7226CC04">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临港配送中心</w:t>
            </w:r>
          </w:p>
        </w:tc>
      </w:tr>
      <w:tr w14:paraId="0C21D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2AB0E6FA">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华侨管理区配送中心</w:t>
            </w:r>
          </w:p>
        </w:tc>
        <w:tc>
          <w:tcPr>
            <w:tcW w:w="1100" w:type="pct"/>
            <w:shd w:val="clear" w:color="auto" w:fill="FFFFFF"/>
            <w:noWrap w:val="0"/>
            <w:vAlign w:val="center"/>
          </w:tcPr>
          <w:p w14:paraId="3A4AD7F0">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华侨管理区北侧，邻近国道324</w:t>
            </w:r>
          </w:p>
        </w:tc>
        <w:tc>
          <w:tcPr>
            <w:tcW w:w="1686" w:type="pct"/>
            <w:shd w:val="clear" w:color="auto" w:fill="FFFFFF"/>
            <w:noWrap w:val="0"/>
            <w:vAlign w:val="center"/>
          </w:tcPr>
          <w:p w14:paraId="7B5E6AA3">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规划物流园区面积控制在6公顷左右。</w:t>
            </w:r>
          </w:p>
        </w:tc>
        <w:tc>
          <w:tcPr>
            <w:tcW w:w="1434" w:type="pct"/>
            <w:shd w:val="clear" w:color="auto" w:fill="FFFFFF"/>
            <w:noWrap w:val="0"/>
            <w:vAlign w:val="center"/>
          </w:tcPr>
          <w:p w14:paraId="1A7DB218">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综合配送中心</w:t>
            </w:r>
          </w:p>
        </w:tc>
      </w:tr>
      <w:tr w14:paraId="159D1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794" w:hRule="atLeast"/>
        </w:trPr>
        <w:tc>
          <w:tcPr>
            <w:tcW w:w="778" w:type="pct"/>
            <w:shd w:val="clear" w:color="auto" w:fill="FFFFFF"/>
            <w:noWrap w:val="0"/>
            <w:vAlign w:val="center"/>
          </w:tcPr>
          <w:p w14:paraId="4F2FDA6D">
            <w:pPr>
              <w:adjustRightInd w:val="0"/>
              <w:snapToGrid w:val="0"/>
              <w:jc w:val="center"/>
              <w:rPr>
                <w:rFonts w:hint="eastAsia" w:ascii="幼圆" w:hAnsi="华文宋体" w:eastAsia="幼圆"/>
                <w:color w:val="000000"/>
                <w:sz w:val="28"/>
                <w:szCs w:val="28"/>
              </w:rPr>
            </w:pPr>
            <w:r>
              <w:rPr>
                <w:rFonts w:hint="eastAsia" w:ascii="幼圆" w:hAnsi="华文宋体" w:eastAsia="幼圆"/>
                <w:color w:val="000000"/>
                <w:sz w:val="28"/>
                <w:szCs w:val="28"/>
              </w:rPr>
              <w:t>南塘镇配送中心</w:t>
            </w:r>
          </w:p>
        </w:tc>
        <w:tc>
          <w:tcPr>
            <w:tcW w:w="1100" w:type="pct"/>
            <w:shd w:val="clear" w:color="auto" w:fill="FFFFFF"/>
            <w:noWrap w:val="0"/>
            <w:vAlign w:val="center"/>
          </w:tcPr>
          <w:p w14:paraId="47C828E7">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位于南塘镇西部，紧挨城镇主干道。</w:t>
            </w:r>
          </w:p>
        </w:tc>
        <w:tc>
          <w:tcPr>
            <w:tcW w:w="1686" w:type="pct"/>
            <w:shd w:val="clear" w:color="auto" w:fill="FFFFFF"/>
            <w:noWrap w:val="0"/>
            <w:vAlign w:val="center"/>
          </w:tcPr>
          <w:p w14:paraId="603EE09D">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规划物流中心用地规模控制在12公顷左右。</w:t>
            </w:r>
          </w:p>
        </w:tc>
        <w:tc>
          <w:tcPr>
            <w:tcW w:w="1434" w:type="pct"/>
            <w:shd w:val="clear" w:color="auto" w:fill="FFFFFF"/>
            <w:noWrap w:val="0"/>
            <w:vAlign w:val="center"/>
          </w:tcPr>
          <w:p w14:paraId="7E5FA00C">
            <w:pPr>
              <w:adjustRightInd w:val="0"/>
              <w:snapToGrid w:val="0"/>
              <w:rPr>
                <w:rFonts w:hint="eastAsia" w:ascii="幼圆" w:hAnsi="华文宋体" w:eastAsia="幼圆"/>
                <w:color w:val="000000"/>
                <w:sz w:val="28"/>
                <w:szCs w:val="28"/>
              </w:rPr>
            </w:pPr>
            <w:r>
              <w:rPr>
                <w:rFonts w:hint="eastAsia" w:ascii="幼圆" w:hAnsi="华文宋体" w:eastAsia="幼圆"/>
                <w:color w:val="000000"/>
                <w:sz w:val="28"/>
                <w:szCs w:val="28"/>
              </w:rPr>
              <w:t>综合服务型物流配送中心</w:t>
            </w:r>
          </w:p>
        </w:tc>
      </w:tr>
    </w:tbl>
    <w:p w14:paraId="51F83AAF">
      <w:pPr>
        <w:rPr>
          <w:rFonts w:hint="eastAsia"/>
          <w:color w:val="000000"/>
        </w:rPr>
        <w:sectPr>
          <w:pgSz w:w="23814" w:h="16840" w:orient="landscape"/>
          <w:pgMar w:top="1985" w:right="1985" w:bottom="1701" w:left="1985" w:header="851" w:footer="992" w:gutter="0"/>
          <w:pgNumType w:fmt="decimal"/>
          <w:cols w:space="720" w:num="1"/>
          <w:docGrid w:linePitch="312" w:charSpace="0"/>
        </w:sectPr>
      </w:pPr>
    </w:p>
    <w:p w14:paraId="32D7D198">
      <w:pPr>
        <w:pStyle w:val="3"/>
        <w:spacing w:before="120" w:beforeLines="50" w:after="120" w:afterLines="50" w:line="360" w:lineRule="auto"/>
        <w:rPr>
          <w:rFonts w:hint="eastAsia" w:ascii="华文中宋" w:hAnsi="华文中宋" w:eastAsia="华文中宋"/>
          <w:color w:val="000000"/>
          <w:sz w:val="36"/>
          <w:szCs w:val="36"/>
        </w:rPr>
      </w:pPr>
      <w:bookmarkStart w:id="124" w:name="_Toc26243"/>
      <w:r>
        <w:rPr>
          <w:rFonts w:hint="eastAsia" w:ascii="华文中宋" w:hAnsi="华文中宋" w:eastAsia="华文中宋"/>
          <w:color w:val="000000"/>
          <w:sz w:val="36"/>
          <w:szCs w:val="36"/>
        </w:rPr>
        <w:t>附表2</w:t>
      </w:r>
      <w:r>
        <w:rPr>
          <w:rFonts w:hint="eastAsia" w:ascii="华文中宋" w:hAnsi="华文中宋" w:eastAsia="华文中宋"/>
          <w:color w:val="000000"/>
          <w:sz w:val="36"/>
          <w:szCs w:val="36"/>
          <w:lang w:val="en-US" w:eastAsia="zh-CN"/>
        </w:rPr>
        <w:t>4</w:t>
      </w:r>
      <w:r>
        <w:rPr>
          <w:rFonts w:hint="eastAsia" w:ascii="华文中宋" w:hAnsi="华文中宋" w:eastAsia="华文中宋"/>
          <w:color w:val="000000"/>
          <w:sz w:val="36"/>
          <w:szCs w:val="36"/>
        </w:rPr>
        <w:t>：近期重点建设工程一览表</w:t>
      </w:r>
      <w:bookmarkEnd w:id="124"/>
    </w:p>
    <w:tbl>
      <w:tblPr>
        <w:tblStyle w:val="3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1854"/>
        <w:gridCol w:w="1862"/>
        <w:gridCol w:w="3908"/>
        <w:gridCol w:w="11631"/>
      </w:tblGrid>
      <w:tr w14:paraId="0004B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00" w:type="pct"/>
            <w:noWrap w:val="0"/>
            <w:vAlign w:val="center"/>
          </w:tcPr>
          <w:p w14:paraId="66664C7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eastAsia="幼圆"/>
                <w:b/>
                <w:bCs/>
                <w:color w:val="000000"/>
                <w:kern w:val="2"/>
                <w:sz w:val="28"/>
                <w:szCs w:val="28"/>
                <w:highlight w:val="none"/>
                <w:vertAlign w:val="baseline"/>
                <w:lang w:val="en-US" w:eastAsia="zh-CN" w:bidi="ar-SA"/>
              </w:rPr>
            </w:pPr>
            <w:r>
              <w:rPr>
                <w:rFonts w:hint="eastAsia" w:ascii="幼圆" w:eastAsia="幼圆"/>
                <w:b/>
                <w:bCs/>
                <w:color w:val="000000"/>
                <w:sz w:val="28"/>
                <w:szCs w:val="28"/>
                <w:highlight w:val="none"/>
                <w:vertAlign w:val="baseline"/>
                <w:lang w:val="en-US" w:eastAsia="zh-CN"/>
              </w:rPr>
              <w:t>序号</w:t>
            </w:r>
          </w:p>
        </w:tc>
        <w:tc>
          <w:tcPr>
            <w:tcW w:w="926" w:type="pct"/>
            <w:gridSpan w:val="2"/>
            <w:noWrap w:val="0"/>
            <w:vAlign w:val="center"/>
          </w:tcPr>
          <w:p w14:paraId="4629E96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eastAsia="幼圆"/>
                <w:b/>
                <w:bCs/>
                <w:color w:val="000000"/>
                <w:kern w:val="2"/>
                <w:sz w:val="28"/>
                <w:szCs w:val="28"/>
                <w:highlight w:val="none"/>
                <w:vertAlign w:val="baseline"/>
                <w:lang w:val="en-US" w:eastAsia="zh-CN" w:bidi="ar-SA"/>
              </w:rPr>
            </w:pPr>
            <w:r>
              <w:rPr>
                <w:rFonts w:hint="eastAsia" w:ascii="幼圆" w:eastAsia="幼圆"/>
                <w:b/>
                <w:bCs/>
                <w:color w:val="000000"/>
                <w:sz w:val="28"/>
                <w:szCs w:val="28"/>
                <w:highlight w:val="none"/>
                <w:vertAlign w:val="baseline"/>
                <w:lang w:val="en-US" w:eastAsia="zh-CN"/>
              </w:rPr>
              <w:t>重点建设工程</w:t>
            </w:r>
          </w:p>
        </w:tc>
        <w:tc>
          <w:tcPr>
            <w:tcW w:w="974" w:type="pct"/>
            <w:noWrap w:val="0"/>
            <w:vAlign w:val="center"/>
          </w:tcPr>
          <w:p w14:paraId="4C969CF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eastAsia="幼圆"/>
                <w:b/>
                <w:bCs/>
                <w:color w:val="000000"/>
                <w:sz w:val="28"/>
                <w:szCs w:val="28"/>
                <w:highlight w:val="none"/>
                <w:vertAlign w:val="baseline"/>
                <w:lang w:val="en-US" w:eastAsia="zh-CN"/>
              </w:rPr>
            </w:pPr>
            <w:r>
              <w:rPr>
                <w:rFonts w:hint="eastAsia" w:ascii="幼圆" w:eastAsia="幼圆"/>
                <w:b/>
                <w:bCs/>
                <w:color w:val="000000"/>
                <w:sz w:val="28"/>
                <w:szCs w:val="28"/>
                <w:highlight w:val="none"/>
                <w:vertAlign w:val="baseline"/>
                <w:lang w:val="en-US" w:eastAsia="zh-CN"/>
              </w:rPr>
              <w:t>近期建设项目</w:t>
            </w:r>
          </w:p>
        </w:tc>
        <w:tc>
          <w:tcPr>
            <w:tcW w:w="2899" w:type="pct"/>
            <w:noWrap w:val="0"/>
            <w:vAlign w:val="top"/>
          </w:tcPr>
          <w:p w14:paraId="289F9AC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b/>
                <w:bCs/>
                <w:color w:val="000000"/>
                <w:sz w:val="28"/>
                <w:szCs w:val="28"/>
                <w:highlight w:val="none"/>
                <w:vertAlign w:val="baseline"/>
                <w:lang w:val="en-US" w:eastAsia="zh-CN"/>
              </w:rPr>
            </w:pPr>
            <w:r>
              <w:rPr>
                <w:rFonts w:hint="eastAsia" w:ascii="幼圆" w:hAnsi="Times New Roman" w:eastAsia="幼圆" w:cs="Times New Roman"/>
                <w:b/>
                <w:bCs/>
                <w:color w:val="000000"/>
                <w:sz w:val="28"/>
                <w:szCs w:val="28"/>
                <w:highlight w:val="none"/>
                <w:vertAlign w:val="baseline"/>
                <w:lang w:val="en-US" w:eastAsia="zh-CN"/>
              </w:rPr>
              <w:t>主要内容</w:t>
            </w:r>
          </w:p>
        </w:tc>
      </w:tr>
      <w:tr w14:paraId="47C79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06715BA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w:t>
            </w:r>
          </w:p>
        </w:tc>
        <w:tc>
          <w:tcPr>
            <w:tcW w:w="462" w:type="pct"/>
            <w:vMerge w:val="restart"/>
            <w:noWrap w:val="0"/>
            <w:vAlign w:val="center"/>
          </w:tcPr>
          <w:p w14:paraId="1F36D8C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消费能级提升重点工程</w:t>
            </w:r>
          </w:p>
        </w:tc>
        <w:tc>
          <w:tcPr>
            <w:tcW w:w="464" w:type="pct"/>
            <w:vMerge w:val="restart"/>
            <w:noWrap w:val="0"/>
            <w:vAlign w:val="center"/>
          </w:tcPr>
          <w:p w14:paraId="0D26731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特色消费载体建设工程</w:t>
            </w:r>
          </w:p>
        </w:tc>
        <w:tc>
          <w:tcPr>
            <w:tcW w:w="974" w:type="pct"/>
            <w:noWrap w:val="0"/>
            <w:vAlign w:val="center"/>
          </w:tcPr>
          <w:p w14:paraId="25CA258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红海湾零碳消费示范区建设项目</w:t>
            </w:r>
          </w:p>
        </w:tc>
        <w:tc>
          <w:tcPr>
            <w:tcW w:w="2899" w:type="pct"/>
            <w:noWrap w:val="0"/>
            <w:vAlign w:val="center"/>
          </w:tcPr>
          <w:p w14:paraId="57B572AF">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打造“海洋牧场+海上风电+滨海旅游”蓝色滨海消费带，依托海洋碳汇交易创新，发展亲海经济、生态旅游</w:t>
            </w:r>
          </w:p>
        </w:tc>
      </w:tr>
      <w:tr w14:paraId="30B05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E769C1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w:t>
            </w:r>
          </w:p>
        </w:tc>
        <w:tc>
          <w:tcPr>
            <w:tcW w:w="462" w:type="pct"/>
            <w:vMerge w:val="continue"/>
            <w:noWrap w:val="0"/>
            <w:vAlign w:val="top"/>
          </w:tcPr>
          <w:p w14:paraId="0574D71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2C24F0D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1CCEB6D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大型商业综合体建设项目</w:t>
            </w:r>
          </w:p>
        </w:tc>
        <w:tc>
          <w:tcPr>
            <w:tcW w:w="2899" w:type="pct"/>
            <w:noWrap w:val="0"/>
            <w:vAlign w:val="center"/>
          </w:tcPr>
          <w:p w14:paraId="6AD0F58F">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重点推进市区两个大型商业综合体落地建设</w:t>
            </w:r>
          </w:p>
        </w:tc>
      </w:tr>
      <w:tr w14:paraId="7FDDA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8272B8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w:t>
            </w:r>
          </w:p>
        </w:tc>
        <w:tc>
          <w:tcPr>
            <w:tcW w:w="462" w:type="pct"/>
            <w:vMerge w:val="continue"/>
            <w:noWrap w:val="0"/>
            <w:vAlign w:val="top"/>
          </w:tcPr>
          <w:p w14:paraId="2D15E81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308A200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469359B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地方特色消费品牌培育项目</w:t>
            </w:r>
          </w:p>
        </w:tc>
        <w:tc>
          <w:tcPr>
            <w:tcW w:w="2899" w:type="pct"/>
            <w:noWrap w:val="0"/>
            <w:vAlign w:val="center"/>
          </w:tcPr>
          <w:p w14:paraId="75E478DD">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改造提升市城区三马路步行街、海丰红宫红场红色文化街；实施“粤菜师傅”工程，开展“汕尾老字号”申报推广，绘制汕尾美食地图，打造多项地方特色消费项目</w:t>
            </w:r>
          </w:p>
        </w:tc>
      </w:tr>
      <w:tr w14:paraId="2D526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6BD6C16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4</w:t>
            </w:r>
          </w:p>
        </w:tc>
        <w:tc>
          <w:tcPr>
            <w:tcW w:w="462" w:type="pct"/>
            <w:vMerge w:val="continue"/>
            <w:noWrap w:val="0"/>
            <w:vAlign w:val="top"/>
          </w:tcPr>
          <w:p w14:paraId="414E096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0589D76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智慧新消费场景打造工程</w:t>
            </w:r>
          </w:p>
        </w:tc>
        <w:tc>
          <w:tcPr>
            <w:tcW w:w="974" w:type="pct"/>
            <w:noWrap w:val="0"/>
            <w:vAlign w:val="center"/>
          </w:tcPr>
          <w:p w14:paraId="022C867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智慧商贸数字化改造项目</w:t>
            </w:r>
          </w:p>
        </w:tc>
        <w:tc>
          <w:tcPr>
            <w:tcW w:w="2899" w:type="pct"/>
            <w:noWrap w:val="0"/>
            <w:vAlign w:val="center"/>
          </w:tcPr>
          <w:p w14:paraId="617CDF76">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对大型商业综合体、连锁超市、核心商圈、重点步行街进行数字化改造，建设智慧商圈、智慧超市、智慧餐厅，推进“5G+商贸”融合</w:t>
            </w:r>
          </w:p>
        </w:tc>
      </w:tr>
      <w:tr w14:paraId="41EF7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25C3C5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5</w:t>
            </w:r>
          </w:p>
        </w:tc>
        <w:tc>
          <w:tcPr>
            <w:tcW w:w="462" w:type="pct"/>
            <w:vMerge w:val="continue"/>
            <w:noWrap w:val="0"/>
            <w:vAlign w:val="top"/>
          </w:tcPr>
          <w:p w14:paraId="58E6965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2FF3E61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121B94B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非遗+文旅消费IP培育项目</w:t>
            </w:r>
          </w:p>
        </w:tc>
        <w:tc>
          <w:tcPr>
            <w:tcW w:w="2899" w:type="pct"/>
            <w:noWrap w:val="0"/>
            <w:vAlign w:val="center"/>
          </w:tcPr>
          <w:p w14:paraId="767C4BF0">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依托香云纱非遗培育新业态，打造“金町湾之夜”、汕尾海胆美食节、陆河“世外梅园”梅花节等标志性文旅IP</w:t>
            </w:r>
          </w:p>
        </w:tc>
      </w:tr>
      <w:tr w14:paraId="7FCA5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234B162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6</w:t>
            </w:r>
          </w:p>
        </w:tc>
        <w:tc>
          <w:tcPr>
            <w:tcW w:w="462" w:type="pct"/>
            <w:vMerge w:val="continue"/>
            <w:noWrap w:val="0"/>
            <w:vAlign w:val="top"/>
          </w:tcPr>
          <w:p w14:paraId="56862E8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263ECC4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1E44BC4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养老托育及滨海体育消费场景建设项目</w:t>
            </w:r>
          </w:p>
        </w:tc>
        <w:tc>
          <w:tcPr>
            <w:tcW w:w="2899" w:type="pct"/>
            <w:noWrap w:val="0"/>
            <w:vAlign w:val="center"/>
          </w:tcPr>
          <w:p w14:paraId="326A957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建设“长者饭堂”，构建15分钟社区养老服务圈；培育托育服务市场；打造沙滩排球、海钓、帆船等滨海特色体育消费场景</w:t>
            </w:r>
          </w:p>
        </w:tc>
      </w:tr>
      <w:tr w14:paraId="60EC2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4CA2F7A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7</w:t>
            </w:r>
          </w:p>
        </w:tc>
        <w:tc>
          <w:tcPr>
            <w:tcW w:w="462" w:type="pct"/>
            <w:vMerge w:val="continue"/>
            <w:noWrap w:val="0"/>
            <w:vAlign w:val="top"/>
          </w:tcPr>
          <w:p w14:paraId="4E82C9A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6760E6C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县域商业流通体系完善工程</w:t>
            </w:r>
          </w:p>
        </w:tc>
        <w:tc>
          <w:tcPr>
            <w:tcW w:w="974" w:type="pct"/>
            <w:noWrap w:val="0"/>
            <w:vAlign w:val="center"/>
          </w:tcPr>
          <w:p w14:paraId="1911420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县乡村三级商业网络建设项目</w:t>
            </w:r>
          </w:p>
        </w:tc>
        <w:tc>
          <w:tcPr>
            <w:tcW w:w="2899" w:type="pct"/>
            <w:noWrap w:val="0"/>
            <w:vAlign w:val="center"/>
          </w:tcPr>
          <w:p w14:paraId="7A34B7A3">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建设乡镇商贸中心、新型乡村便利店，健全以县城为中心、乡镇为重点、村为基础的商业网络</w:t>
            </w:r>
          </w:p>
        </w:tc>
      </w:tr>
      <w:tr w14:paraId="6D044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7D9FD4E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8</w:t>
            </w:r>
          </w:p>
        </w:tc>
        <w:tc>
          <w:tcPr>
            <w:tcW w:w="462" w:type="pct"/>
            <w:vMerge w:val="continue"/>
            <w:noWrap w:val="0"/>
            <w:vAlign w:val="top"/>
          </w:tcPr>
          <w:p w14:paraId="6BB9F69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top"/>
          </w:tcPr>
          <w:p w14:paraId="658CC40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ascii="Arial" w:hAnsi="Arial" w:eastAsia="等线" w:cs="Arial"/>
                <w:sz w:val="28"/>
                <w:szCs w:val="28"/>
              </w:rPr>
            </w:pPr>
          </w:p>
        </w:tc>
        <w:tc>
          <w:tcPr>
            <w:tcW w:w="974" w:type="pct"/>
            <w:noWrap w:val="0"/>
            <w:vAlign w:val="center"/>
          </w:tcPr>
          <w:p w14:paraId="3177EB2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农产品流通体系升级项目</w:t>
            </w:r>
          </w:p>
        </w:tc>
        <w:tc>
          <w:tcPr>
            <w:tcW w:w="2899" w:type="pct"/>
            <w:noWrap w:val="0"/>
            <w:vAlign w:val="center"/>
          </w:tcPr>
          <w:p w14:paraId="04774470">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深化农产品“12221”市场体系建设，整合邮政、快递、交通、供销资源，发展县域共同配送</w:t>
            </w:r>
          </w:p>
        </w:tc>
      </w:tr>
      <w:tr w14:paraId="7B745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7400601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9</w:t>
            </w:r>
          </w:p>
        </w:tc>
        <w:tc>
          <w:tcPr>
            <w:tcW w:w="462" w:type="pct"/>
            <w:vMerge w:val="continue"/>
            <w:noWrap w:val="0"/>
            <w:vAlign w:val="top"/>
          </w:tcPr>
          <w:p w14:paraId="50AC733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top"/>
          </w:tcPr>
          <w:p w14:paraId="101FA01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ascii="Arial" w:hAnsi="Arial" w:eastAsia="等线" w:cs="Arial"/>
                <w:sz w:val="28"/>
                <w:szCs w:val="28"/>
              </w:rPr>
            </w:pPr>
          </w:p>
        </w:tc>
        <w:tc>
          <w:tcPr>
            <w:tcW w:w="974" w:type="pct"/>
            <w:noWrap w:val="0"/>
            <w:vAlign w:val="center"/>
          </w:tcPr>
          <w:p w14:paraId="220A596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乡村休闲旅游精品工程</w:t>
            </w:r>
          </w:p>
        </w:tc>
        <w:tc>
          <w:tcPr>
            <w:tcW w:w="2899" w:type="pct"/>
            <w:noWrap w:val="0"/>
            <w:vAlign w:val="center"/>
          </w:tcPr>
          <w:p w14:paraId="40856CC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打造“4321”乡村休闲产业区（带），培育国家级乡村旅游重点村、精品乡村民宿，打造乡村旅游精品线路</w:t>
            </w:r>
          </w:p>
        </w:tc>
      </w:tr>
      <w:tr w14:paraId="27645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27741EB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10</w:t>
            </w:r>
          </w:p>
        </w:tc>
        <w:tc>
          <w:tcPr>
            <w:tcW w:w="926" w:type="pct"/>
            <w:gridSpan w:val="2"/>
            <w:vMerge w:val="restart"/>
            <w:noWrap w:val="0"/>
            <w:vAlign w:val="center"/>
          </w:tcPr>
          <w:p w14:paraId="6F105B9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对外贸易跃升重点工程</w:t>
            </w:r>
          </w:p>
        </w:tc>
        <w:tc>
          <w:tcPr>
            <w:tcW w:w="974" w:type="pct"/>
            <w:noWrap w:val="0"/>
            <w:vAlign w:val="center"/>
          </w:tcPr>
          <w:p w14:paraId="460E17D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内外贸展贸平台建设项目</w:t>
            </w:r>
          </w:p>
        </w:tc>
        <w:tc>
          <w:tcPr>
            <w:tcW w:w="2899" w:type="pct"/>
            <w:noWrap w:val="0"/>
            <w:vAlign w:val="center"/>
          </w:tcPr>
          <w:p w14:paraId="5BF9D80B">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依托本土产业集群，培育一批内外贸一体化经营企业，打造内外贸融合发展的商品集散中心和供应链平台</w:t>
            </w:r>
          </w:p>
        </w:tc>
      </w:tr>
      <w:tr w14:paraId="139AF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382A3C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11</w:t>
            </w:r>
          </w:p>
        </w:tc>
        <w:tc>
          <w:tcPr>
            <w:tcW w:w="926" w:type="pct"/>
            <w:gridSpan w:val="2"/>
            <w:vMerge w:val="continue"/>
            <w:noWrap w:val="0"/>
            <w:vAlign w:val="top"/>
          </w:tcPr>
          <w:p w14:paraId="1E2F526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4EA1087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进出口物流集散中心项目</w:t>
            </w:r>
          </w:p>
        </w:tc>
        <w:tc>
          <w:tcPr>
            <w:tcW w:w="2899" w:type="pct"/>
            <w:noWrap w:val="0"/>
            <w:vAlign w:val="center"/>
          </w:tcPr>
          <w:p w14:paraId="70168916">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依托红海湾保税物流中心（B型），重点打造能源资源、珠宝原材料等特色进口基地</w:t>
            </w:r>
            <w:r>
              <w:rPr>
                <w:rFonts w:hint="eastAsia" w:ascii="幼圆" w:hAnsi="Times New Roman" w:eastAsia="幼圆" w:cs="Times New Roman"/>
                <w:color w:val="000000"/>
                <w:sz w:val="28"/>
                <w:szCs w:val="28"/>
                <w:highlight w:val="none"/>
                <w:vertAlign w:val="baseline"/>
                <w:lang w:val="en-US" w:eastAsia="zh-CN"/>
              </w:rPr>
              <w:t>，提升进口商品集散能力</w:t>
            </w:r>
          </w:p>
        </w:tc>
      </w:tr>
      <w:tr w14:paraId="74382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151D29D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12</w:t>
            </w:r>
          </w:p>
        </w:tc>
        <w:tc>
          <w:tcPr>
            <w:tcW w:w="462" w:type="pct"/>
            <w:vMerge w:val="restart"/>
            <w:noWrap w:val="0"/>
            <w:vAlign w:val="center"/>
          </w:tcPr>
          <w:p w14:paraId="310139B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服务贸易高质量发展重点工程</w:t>
            </w:r>
          </w:p>
        </w:tc>
        <w:tc>
          <w:tcPr>
            <w:tcW w:w="464" w:type="pct"/>
            <w:vMerge w:val="restart"/>
            <w:noWrap w:val="0"/>
            <w:vAlign w:val="center"/>
          </w:tcPr>
          <w:p w14:paraId="2B5457D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传统服务贸易升级工程</w:t>
            </w:r>
          </w:p>
        </w:tc>
        <w:tc>
          <w:tcPr>
            <w:tcW w:w="974" w:type="pct"/>
            <w:noWrap w:val="0"/>
            <w:vAlign w:val="center"/>
          </w:tcPr>
          <w:p w14:paraId="35DF45B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临港国际物流服务体系建设项目</w:t>
            </w:r>
          </w:p>
        </w:tc>
        <w:tc>
          <w:tcPr>
            <w:tcW w:w="2899" w:type="pct"/>
            <w:noWrap w:val="0"/>
            <w:vAlign w:val="center"/>
          </w:tcPr>
          <w:p w14:paraId="592E6AD3">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深化汕尾港与深圳港联动，优化国际近洋航线、驳船运输网络，发展国际冷链、跨境电商保税物流</w:t>
            </w:r>
          </w:p>
        </w:tc>
      </w:tr>
      <w:tr w14:paraId="756D0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093278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13</w:t>
            </w:r>
          </w:p>
        </w:tc>
        <w:tc>
          <w:tcPr>
            <w:tcW w:w="462" w:type="pct"/>
            <w:vMerge w:val="continue"/>
            <w:noWrap w:val="0"/>
            <w:vAlign w:val="center"/>
          </w:tcPr>
          <w:p w14:paraId="2191758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7FC1B3E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433C16E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入境游精品线路打造项目</w:t>
            </w:r>
          </w:p>
        </w:tc>
        <w:tc>
          <w:tcPr>
            <w:tcW w:w="2899" w:type="pct"/>
            <w:noWrap w:val="0"/>
            <w:vAlign w:val="center"/>
          </w:tcPr>
          <w:p w14:paraId="2A03C1FF">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开发红色研学、滨海度假、康养疗愈入境游精品线路，打造特色旅游商品</w:t>
            </w:r>
          </w:p>
        </w:tc>
      </w:tr>
      <w:tr w14:paraId="6EDA0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7E4D9DA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14</w:t>
            </w:r>
          </w:p>
        </w:tc>
        <w:tc>
          <w:tcPr>
            <w:tcW w:w="462" w:type="pct"/>
            <w:vMerge w:val="continue"/>
            <w:noWrap w:val="0"/>
            <w:vAlign w:val="center"/>
          </w:tcPr>
          <w:p w14:paraId="262971B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0577577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4C73F04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对外建筑服务拓展项目</w:t>
            </w:r>
          </w:p>
        </w:tc>
        <w:tc>
          <w:tcPr>
            <w:tcW w:w="2899" w:type="pct"/>
            <w:noWrap w:val="0"/>
            <w:vAlign w:val="center"/>
          </w:tcPr>
          <w:p w14:paraId="115C8D99">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支持建筑企业获取对外承包工程资格，推动智能建造、绿色建筑服务与标准出海</w:t>
            </w:r>
          </w:p>
        </w:tc>
      </w:tr>
      <w:tr w14:paraId="1383D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78BF583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15</w:t>
            </w:r>
          </w:p>
        </w:tc>
        <w:tc>
          <w:tcPr>
            <w:tcW w:w="462" w:type="pct"/>
            <w:vMerge w:val="continue"/>
            <w:noWrap w:val="0"/>
            <w:vAlign w:val="center"/>
          </w:tcPr>
          <w:p w14:paraId="465A6BA0">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0E7CBED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高附加值服务贸易培育工程</w:t>
            </w:r>
          </w:p>
        </w:tc>
        <w:tc>
          <w:tcPr>
            <w:tcW w:w="974" w:type="pct"/>
            <w:noWrap w:val="0"/>
            <w:vAlign w:val="center"/>
          </w:tcPr>
          <w:p w14:paraId="3115F85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高端专业服务对接项目</w:t>
            </w:r>
          </w:p>
        </w:tc>
        <w:tc>
          <w:tcPr>
            <w:tcW w:w="2899" w:type="pct"/>
            <w:noWrap w:val="0"/>
            <w:vAlign w:val="center"/>
          </w:tcPr>
          <w:p w14:paraId="50314318">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在CEPA框架下，对接港澳会计、法律、管理咨询等服务，引进大湾区优质专业服务机构</w:t>
            </w:r>
          </w:p>
        </w:tc>
      </w:tr>
      <w:tr w14:paraId="4D1B5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274A46B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16</w:t>
            </w:r>
          </w:p>
        </w:tc>
        <w:tc>
          <w:tcPr>
            <w:tcW w:w="462" w:type="pct"/>
            <w:vMerge w:val="continue"/>
            <w:noWrap w:val="0"/>
            <w:vAlign w:val="center"/>
          </w:tcPr>
          <w:p w14:paraId="3DF4C36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4BC37AA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3B6C71D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数字与技术服务培育项目</w:t>
            </w:r>
          </w:p>
        </w:tc>
        <w:tc>
          <w:tcPr>
            <w:tcW w:w="2899" w:type="pct"/>
            <w:noWrap w:val="0"/>
            <w:vAlign w:val="center"/>
          </w:tcPr>
          <w:p w14:paraId="37E44F0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发展软件研发、云计算、工业设计等服务，承接大湾区数字服务产业转移，推动数字内容跨境贸易</w:t>
            </w:r>
          </w:p>
        </w:tc>
      </w:tr>
      <w:tr w14:paraId="6F501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2519926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17</w:t>
            </w:r>
          </w:p>
        </w:tc>
        <w:tc>
          <w:tcPr>
            <w:tcW w:w="462" w:type="pct"/>
            <w:vMerge w:val="continue"/>
            <w:noWrap w:val="0"/>
            <w:vAlign w:val="center"/>
          </w:tcPr>
          <w:p w14:paraId="04D8EF9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493EB9C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345F64B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中医药及知识产权服务贸易项目</w:t>
            </w:r>
          </w:p>
        </w:tc>
        <w:tc>
          <w:tcPr>
            <w:tcW w:w="2899" w:type="pct"/>
            <w:noWrap w:val="0"/>
            <w:vAlign w:val="center"/>
          </w:tcPr>
          <w:p w14:paraId="1475F7A9">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建设陆河中药材基地，推动中医药产品与服务出口；发展知识产权代理、评估、交易等跨境服务</w:t>
            </w:r>
          </w:p>
        </w:tc>
      </w:tr>
      <w:tr w14:paraId="747CE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0754C73E">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18</w:t>
            </w:r>
          </w:p>
        </w:tc>
        <w:tc>
          <w:tcPr>
            <w:tcW w:w="462" w:type="pct"/>
            <w:vMerge w:val="continue"/>
            <w:noWrap w:val="0"/>
            <w:vAlign w:val="center"/>
          </w:tcPr>
          <w:p w14:paraId="1C455ED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03F8CDB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服务贸易载体平台搭建工程</w:t>
            </w:r>
          </w:p>
        </w:tc>
        <w:tc>
          <w:tcPr>
            <w:tcW w:w="974" w:type="pct"/>
            <w:noWrap w:val="0"/>
            <w:vAlign w:val="center"/>
          </w:tcPr>
          <w:p w14:paraId="4D5722A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服务贸易协作平台建设项目</w:t>
            </w:r>
          </w:p>
        </w:tc>
        <w:tc>
          <w:tcPr>
            <w:tcW w:w="2899" w:type="pct"/>
            <w:noWrap w:val="0"/>
            <w:vAlign w:val="center"/>
          </w:tcPr>
          <w:p w14:paraId="16C3A53E">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共建“深汕数字服务协作平台”，组建汕尾服务贸易出海联盟</w:t>
            </w:r>
          </w:p>
        </w:tc>
      </w:tr>
      <w:tr w14:paraId="2054C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18B83CA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19</w:t>
            </w:r>
          </w:p>
        </w:tc>
        <w:tc>
          <w:tcPr>
            <w:tcW w:w="462" w:type="pct"/>
            <w:vMerge w:val="continue"/>
            <w:noWrap w:val="0"/>
            <w:vAlign w:val="center"/>
          </w:tcPr>
          <w:p w14:paraId="555C166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347FBA4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1A07347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服务贸易出海促进项目</w:t>
            </w:r>
          </w:p>
        </w:tc>
        <w:tc>
          <w:tcPr>
            <w:tcW w:w="2899" w:type="pct"/>
            <w:noWrap w:val="0"/>
            <w:vAlign w:val="center"/>
          </w:tcPr>
          <w:p w14:paraId="6DBDFEB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组织企业参加境内外高端服务贸易展会，拓展东盟、中东等市场合作</w:t>
            </w:r>
          </w:p>
        </w:tc>
      </w:tr>
      <w:tr w14:paraId="40C1B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72B8D23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20</w:t>
            </w:r>
          </w:p>
        </w:tc>
        <w:tc>
          <w:tcPr>
            <w:tcW w:w="462" w:type="pct"/>
            <w:vMerge w:val="restart"/>
            <w:noWrap w:val="0"/>
            <w:vAlign w:val="center"/>
          </w:tcPr>
          <w:p w14:paraId="0D778E6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会展经济提振重点工程</w:t>
            </w:r>
          </w:p>
        </w:tc>
        <w:tc>
          <w:tcPr>
            <w:tcW w:w="464" w:type="pct"/>
            <w:vMerge w:val="restart"/>
            <w:noWrap w:val="0"/>
            <w:vAlign w:val="center"/>
          </w:tcPr>
          <w:p w14:paraId="767592C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会展场馆与主体培育工程</w:t>
            </w:r>
          </w:p>
        </w:tc>
        <w:tc>
          <w:tcPr>
            <w:tcW w:w="974" w:type="pct"/>
            <w:noWrap w:val="0"/>
            <w:vAlign w:val="center"/>
          </w:tcPr>
          <w:p w14:paraId="2F8998D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汕尾市会展中心建设项目</w:t>
            </w:r>
          </w:p>
        </w:tc>
        <w:tc>
          <w:tcPr>
            <w:tcW w:w="2899" w:type="pct"/>
            <w:noWrap w:val="0"/>
            <w:vAlign w:val="center"/>
          </w:tcPr>
          <w:p w14:paraId="02DA2C5E">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规划建设汕尾市会展中心，配套高端酒店、商务商业设施，打造会展核心区</w:t>
            </w:r>
          </w:p>
        </w:tc>
      </w:tr>
      <w:tr w14:paraId="52D7C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02BC1CE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21</w:t>
            </w:r>
          </w:p>
        </w:tc>
        <w:tc>
          <w:tcPr>
            <w:tcW w:w="462" w:type="pct"/>
            <w:vMerge w:val="continue"/>
            <w:noWrap w:val="0"/>
            <w:vAlign w:val="center"/>
          </w:tcPr>
          <w:p w14:paraId="4015EE0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46D8789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0E5341F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现有会展场馆改造项目</w:t>
            </w:r>
          </w:p>
        </w:tc>
        <w:tc>
          <w:tcPr>
            <w:tcW w:w="2899" w:type="pct"/>
            <w:noWrap w:val="0"/>
            <w:vAlign w:val="center"/>
          </w:tcPr>
          <w:p w14:paraId="57AFBA64">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改造各县（市、区）体育中心、文化场馆，提升专业展会承办能力</w:t>
            </w:r>
          </w:p>
        </w:tc>
      </w:tr>
      <w:tr w14:paraId="225F0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63E54B9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22</w:t>
            </w:r>
          </w:p>
        </w:tc>
        <w:tc>
          <w:tcPr>
            <w:tcW w:w="462" w:type="pct"/>
            <w:vMerge w:val="continue"/>
            <w:noWrap w:val="0"/>
            <w:vAlign w:val="center"/>
          </w:tcPr>
          <w:p w14:paraId="366BC65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29D237F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4365913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会展市场主体培育项目</w:t>
            </w:r>
          </w:p>
        </w:tc>
        <w:tc>
          <w:tcPr>
            <w:tcW w:w="2899" w:type="pct"/>
            <w:noWrap w:val="0"/>
            <w:vAlign w:val="center"/>
          </w:tcPr>
          <w:p w14:paraId="57243FA9">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引进2-3家全国影响力会展主办企业，培育本地“专精特新”会展服务企业；开展校企合作，培育会展专业人才</w:t>
            </w:r>
          </w:p>
        </w:tc>
      </w:tr>
      <w:tr w14:paraId="449A4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6E1309F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23</w:t>
            </w:r>
          </w:p>
        </w:tc>
        <w:tc>
          <w:tcPr>
            <w:tcW w:w="462" w:type="pct"/>
            <w:vMerge w:val="continue"/>
            <w:noWrap w:val="0"/>
            <w:vAlign w:val="center"/>
          </w:tcPr>
          <w:p w14:paraId="2B35FAA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16EE207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品牌展会打造工程</w:t>
            </w:r>
          </w:p>
        </w:tc>
        <w:tc>
          <w:tcPr>
            <w:tcW w:w="974" w:type="pct"/>
            <w:noWrap w:val="0"/>
            <w:vAlign w:val="center"/>
          </w:tcPr>
          <w:p w14:paraId="70AE403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四大品牌展会培育项目</w:t>
            </w:r>
          </w:p>
        </w:tc>
        <w:tc>
          <w:tcPr>
            <w:tcW w:w="2899" w:type="pct"/>
            <w:noWrap w:val="0"/>
            <w:vAlign w:val="center"/>
          </w:tcPr>
          <w:p w14:paraId="05F5387D">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打造国际珠宝首饰展、海洋经济与食品博览会、粤东新能源汽车及零部件展、汕尾旅游文化节</w:t>
            </w:r>
          </w:p>
        </w:tc>
      </w:tr>
      <w:tr w14:paraId="61609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6CE92CE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24</w:t>
            </w:r>
          </w:p>
        </w:tc>
        <w:tc>
          <w:tcPr>
            <w:tcW w:w="462" w:type="pct"/>
            <w:vMerge w:val="continue"/>
            <w:noWrap w:val="0"/>
            <w:vAlign w:val="center"/>
          </w:tcPr>
          <w:p w14:paraId="6B9889D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5C97A67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552F1F7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深汕会展协作项目</w:t>
            </w:r>
          </w:p>
        </w:tc>
        <w:tc>
          <w:tcPr>
            <w:tcW w:w="2899" w:type="pct"/>
            <w:noWrap w:val="0"/>
            <w:vAlign w:val="center"/>
          </w:tcPr>
          <w:p w14:paraId="2B4BF659">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对接大湾区品牌展会，探索“深圳主办+汕尾承办”模式，出台市级会展扶持政策</w:t>
            </w:r>
          </w:p>
        </w:tc>
      </w:tr>
      <w:tr w14:paraId="56160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6CB576E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25</w:t>
            </w:r>
          </w:p>
        </w:tc>
        <w:tc>
          <w:tcPr>
            <w:tcW w:w="462" w:type="pct"/>
            <w:vMerge w:val="restart"/>
            <w:noWrap w:val="0"/>
            <w:vAlign w:val="center"/>
          </w:tcPr>
          <w:p w14:paraId="047AA9C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双向投资促进重点工程</w:t>
            </w:r>
          </w:p>
        </w:tc>
        <w:tc>
          <w:tcPr>
            <w:tcW w:w="464" w:type="pct"/>
            <w:vMerge w:val="restart"/>
            <w:noWrap w:val="0"/>
            <w:vAlign w:val="center"/>
          </w:tcPr>
          <w:p w14:paraId="20CDAAE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高质量外资引进工程</w:t>
            </w:r>
          </w:p>
        </w:tc>
        <w:tc>
          <w:tcPr>
            <w:tcW w:w="974" w:type="pct"/>
            <w:noWrap w:val="0"/>
            <w:vAlign w:val="center"/>
          </w:tcPr>
          <w:p w14:paraId="47DF253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精准招商及外资服务优化项目</w:t>
            </w:r>
          </w:p>
        </w:tc>
        <w:tc>
          <w:tcPr>
            <w:tcW w:w="2899" w:type="pct"/>
            <w:noWrap w:val="0"/>
            <w:vAlign w:val="center"/>
          </w:tcPr>
          <w:p w14:paraId="4E7A41E9">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建立外资企业库，开展敲门招商、场景招商、基金招商、展会招商</w:t>
            </w:r>
            <w:r>
              <w:rPr>
                <w:rFonts w:hint="eastAsia" w:ascii="幼圆" w:hAnsi="Times New Roman" w:eastAsia="幼圆" w:cs="Times New Roman"/>
                <w:color w:val="000000"/>
                <w:sz w:val="28"/>
                <w:szCs w:val="28"/>
                <w:highlight w:val="none"/>
                <w:vertAlign w:val="baseline"/>
                <w:lang w:val="en-US" w:eastAsia="zh-CN"/>
              </w:rPr>
              <w:t>；</w:t>
            </w:r>
            <w:r>
              <w:rPr>
                <w:rFonts w:hint="default" w:ascii="幼圆" w:hAnsi="Times New Roman" w:eastAsia="幼圆" w:cs="Times New Roman"/>
                <w:color w:val="000000"/>
                <w:sz w:val="28"/>
                <w:szCs w:val="28"/>
                <w:highlight w:val="none"/>
                <w:vertAlign w:val="baseline"/>
                <w:lang w:val="en-US" w:eastAsia="zh-CN"/>
              </w:rPr>
              <w:t>建立外资企业圆桌会议、统一服务平台</w:t>
            </w:r>
          </w:p>
        </w:tc>
      </w:tr>
      <w:tr w14:paraId="6F122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6010FEA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26</w:t>
            </w:r>
          </w:p>
        </w:tc>
        <w:tc>
          <w:tcPr>
            <w:tcW w:w="462" w:type="pct"/>
            <w:vMerge w:val="continue"/>
            <w:noWrap w:val="0"/>
            <w:vAlign w:val="center"/>
          </w:tcPr>
          <w:p w14:paraId="5601C54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05159A1C">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4819ABB1">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园区载体提质项目</w:t>
            </w:r>
          </w:p>
        </w:tc>
        <w:tc>
          <w:tcPr>
            <w:tcW w:w="2899" w:type="pct"/>
            <w:noWrap w:val="0"/>
            <w:vAlign w:val="center"/>
          </w:tcPr>
          <w:p w14:paraId="18BCF725">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推动省级经开区扩容提质，完善配套设施；落实外资准入负面清单制造业条目清零，实行重大外资项目“一项目一专班”</w:t>
            </w:r>
          </w:p>
        </w:tc>
      </w:tr>
      <w:tr w14:paraId="5A6A4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5E0813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27</w:t>
            </w:r>
          </w:p>
        </w:tc>
        <w:tc>
          <w:tcPr>
            <w:tcW w:w="462" w:type="pct"/>
            <w:vMerge w:val="continue"/>
            <w:noWrap w:val="0"/>
            <w:vAlign w:val="center"/>
          </w:tcPr>
          <w:p w14:paraId="27E6A34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6F027B0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高水平企业“走出去”工程</w:t>
            </w:r>
          </w:p>
        </w:tc>
        <w:tc>
          <w:tcPr>
            <w:tcW w:w="974" w:type="pct"/>
            <w:noWrap w:val="0"/>
            <w:vAlign w:val="center"/>
          </w:tcPr>
          <w:p w14:paraId="2B4BC61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境外产能布局项目</w:t>
            </w:r>
          </w:p>
        </w:tc>
        <w:tc>
          <w:tcPr>
            <w:tcW w:w="2899" w:type="pct"/>
            <w:noWrap w:val="0"/>
            <w:vAlign w:val="center"/>
          </w:tcPr>
          <w:p w14:paraId="491A0C4C">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引导优势产业拓展“一带一路”市场，支持企业布局境外经贸合作区、海外仓</w:t>
            </w:r>
          </w:p>
        </w:tc>
      </w:tr>
      <w:tr w14:paraId="6BFB9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5E8BA8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28</w:t>
            </w:r>
          </w:p>
        </w:tc>
        <w:tc>
          <w:tcPr>
            <w:tcW w:w="462" w:type="pct"/>
            <w:vMerge w:val="continue"/>
            <w:noWrap w:val="0"/>
            <w:vAlign w:val="top"/>
          </w:tcPr>
          <w:p w14:paraId="581D443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top"/>
          </w:tcPr>
          <w:p w14:paraId="70B82A3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76F091D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企业跨境升级项目</w:t>
            </w:r>
          </w:p>
        </w:tc>
        <w:tc>
          <w:tcPr>
            <w:tcW w:w="2899" w:type="pct"/>
            <w:noWrap w:val="0"/>
            <w:vAlign w:val="center"/>
          </w:tcPr>
          <w:p w14:paraId="2DA9F536">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default" w:ascii="幼圆" w:hAnsi="Times New Roman" w:eastAsia="幼圆" w:cs="Times New Roman"/>
                <w:color w:val="000000"/>
                <w:sz w:val="28"/>
                <w:szCs w:val="28"/>
                <w:highlight w:val="none"/>
                <w:vertAlign w:val="baseline"/>
                <w:lang w:val="en-US" w:eastAsia="zh-CN"/>
              </w:rPr>
            </w:pPr>
            <w:r>
              <w:rPr>
                <w:rFonts w:hint="default" w:ascii="幼圆" w:hAnsi="Times New Roman" w:eastAsia="幼圆" w:cs="Times New Roman"/>
                <w:color w:val="000000"/>
                <w:sz w:val="28"/>
                <w:szCs w:val="28"/>
                <w:highlight w:val="none"/>
                <w:vertAlign w:val="baseline"/>
                <w:lang w:val="en-US" w:eastAsia="zh-CN"/>
              </w:rPr>
              <w:t>支持企业跨境并购，获取品牌、技术、营销网络，推动企业向全球价值链高端攀升</w:t>
            </w:r>
          </w:p>
        </w:tc>
      </w:tr>
      <w:tr w14:paraId="69E46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41EA64E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29</w:t>
            </w:r>
          </w:p>
        </w:tc>
        <w:tc>
          <w:tcPr>
            <w:tcW w:w="926" w:type="pct"/>
            <w:gridSpan w:val="2"/>
            <w:vMerge w:val="restart"/>
            <w:noWrap w:val="0"/>
            <w:vAlign w:val="center"/>
          </w:tcPr>
          <w:p w14:paraId="35D3B98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数字商务赋能重点工程</w:t>
            </w:r>
          </w:p>
        </w:tc>
        <w:tc>
          <w:tcPr>
            <w:tcW w:w="974" w:type="pct"/>
            <w:noWrap w:val="0"/>
            <w:vAlign w:val="center"/>
          </w:tcPr>
          <w:p w14:paraId="4D74BC5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特色产业带电商赋能项目</w:t>
            </w:r>
          </w:p>
        </w:tc>
        <w:tc>
          <w:tcPr>
            <w:tcW w:w="2899" w:type="pct"/>
            <w:noWrap w:val="0"/>
            <w:vAlign w:val="center"/>
          </w:tcPr>
          <w:p w14:paraId="29B5132E">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对接主流电商平台，推动金银珠宝、服装、农产品等产业带开展数字化营销、柔性生产；建设跨境直播基地、选品中心；培育年销售额超亿元电商龙头企业。</w:t>
            </w:r>
          </w:p>
        </w:tc>
      </w:tr>
      <w:tr w14:paraId="01C5B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548744C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30</w:t>
            </w:r>
          </w:p>
        </w:tc>
        <w:tc>
          <w:tcPr>
            <w:tcW w:w="926" w:type="pct"/>
            <w:gridSpan w:val="2"/>
            <w:vMerge w:val="continue"/>
            <w:noWrap w:val="0"/>
            <w:vAlign w:val="center"/>
          </w:tcPr>
          <w:p w14:paraId="14DA655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6745E04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数商兴农建设项目</w:t>
            </w:r>
          </w:p>
        </w:tc>
        <w:tc>
          <w:tcPr>
            <w:tcW w:w="2899" w:type="pct"/>
            <w:noWrap w:val="0"/>
            <w:vAlign w:val="center"/>
          </w:tcPr>
          <w:p w14:paraId="6A2A1754">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做强“耘海丰登”区域公用品牌，完善县乡村电商服务网络，实现行政村电商服务全覆盖；培育3000名农村电商专业人才，畅通农产品上行、工业品下乡通道。</w:t>
            </w:r>
          </w:p>
        </w:tc>
      </w:tr>
      <w:tr w14:paraId="6C218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4033543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31</w:t>
            </w:r>
          </w:p>
        </w:tc>
        <w:tc>
          <w:tcPr>
            <w:tcW w:w="926" w:type="pct"/>
            <w:gridSpan w:val="2"/>
            <w:vMerge w:val="continue"/>
            <w:noWrap w:val="0"/>
            <w:vAlign w:val="center"/>
          </w:tcPr>
          <w:p w14:paraId="5B80A8B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7103561B">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跨境电商综合生态建设项目</w:t>
            </w:r>
          </w:p>
        </w:tc>
        <w:tc>
          <w:tcPr>
            <w:tcW w:w="2899" w:type="pct"/>
            <w:noWrap w:val="0"/>
            <w:vAlign w:val="center"/>
          </w:tcPr>
          <w:p w14:paraId="57896FB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完善跨境电商“两平台六体系”；在“一带一路”沿线布局不少于20个公共海外仓；优化通关、退税、结汇便利化政策；培养5000名跨境电商专业人才。</w:t>
            </w:r>
          </w:p>
        </w:tc>
      </w:tr>
      <w:tr w14:paraId="73F99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0BBCE65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32</w:t>
            </w:r>
          </w:p>
        </w:tc>
        <w:tc>
          <w:tcPr>
            <w:tcW w:w="462" w:type="pct"/>
            <w:vMerge w:val="restart"/>
            <w:noWrap w:val="0"/>
            <w:vAlign w:val="center"/>
          </w:tcPr>
          <w:p w14:paraId="49EEC96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口岸经济与智慧港航重点工程</w:t>
            </w:r>
          </w:p>
        </w:tc>
        <w:tc>
          <w:tcPr>
            <w:tcW w:w="464" w:type="pct"/>
            <w:vMerge w:val="restart"/>
            <w:noWrap w:val="0"/>
            <w:vAlign w:val="center"/>
          </w:tcPr>
          <w:p w14:paraId="259572C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港口基础设施扩容工程</w:t>
            </w:r>
          </w:p>
        </w:tc>
        <w:tc>
          <w:tcPr>
            <w:tcW w:w="974" w:type="pct"/>
            <w:noWrap w:val="0"/>
            <w:vAlign w:val="center"/>
          </w:tcPr>
          <w:p w14:paraId="62B94D0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港口码头新建及扩建项目</w:t>
            </w:r>
          </w:p>
        </w:tc>
        <w:tc>
          <w:tcPr>
            <w:tcW w:w="2899" w:type="pct"/>
            <w:noWrap w:val="0"/>
            <w:vAlign w:val="center"/>
          </w:tcPr>
          <w:p w14:paraId="585F967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推进汕尾新港区白沙湖作业区公用码头二期、小漠国际物流港二期建设，推动陆丰港区田尾山作业区码头开放验收，提升港口通过能力</w:t>
            </w:r>
          </w:p>
        </w:tc>
      </w:tr>
      <w:tr w14:paraId="68425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422201E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33</w:t>
            </w:r>
          </w:p>
        </w:tc>
        <w:tc>
          <w:tcPr>
            <w:tcW w:w="462" w:type="pct"/>
            <w:vMerge w:val="continue"/>
            <w:noWrap w:val="0"/>
            <w:vAlign w:val="center"/>
          </w:tcPr>
          <w:p w14:paraId="7C6EF77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650A6DD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339B4FC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港口集疏运体系完善项目</w:t>
            </w:r>
          </w:p>
        </w:tc>
        <w:tc>
          <w:tcPr>
            <w:tcW w:w="2899" w:type="pct"/>
            <w:noWrap w:val="0"/>
            <w:vAlign w:val="center"/>
          </w:tcPr>
          <w:p w14:paraId="52374B2B">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完善深水航道、疏港铁路、公路网络，深化区域港口合作</w:t>
            </w:r>
          </w:p>
        </w:tc>
      </w:tr>
      <w:tr w14:paraId="1E78C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909AE0D">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34</w:t>
            </w:r>
          </w:p>
        </w:tc>
        <w:tc>
          <w:tcPr>
            <w:tcW w:w="462" w:type="pct"/>
            <w:vMerge w:val="continue"/>
            <w:noWrap w:val="0"/>
            <w:vAlign w:val="center"/>
          </w:tcPr>
          <w:p w14:paraId="20F762D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7380390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口岸经济与区域联动工程</w:t>
            </w:r>
          </w:p>
        </w:tc>
        <w:tc>
          <w:tcPr>
            <w:tcW w:w="974" w:type="pct"/>
            <w:noWrap w:val="0"/>
            <w:vAlign w:val="center"/>
          </w:tcPr>
          <w:p w14:paraId="3F20D1D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临港高端业态培育项目</w:t>
            </w:r>
          </w:p>
        </w:tc>
        <w:tc>
          <w:tcPr>
            <w:tcW w:w="2899" w:type="pct"/>
            <w:noWrap w:val="0"/>
            <w:vAlign w:val="center"/>
          </w:tcPr>
          <w:p w14:paraId="55BACFEC">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推动口岸向国际供应链管理、贸易金融、跨境电商、高端港航服务延伸，创新“组合港”“一港通”模式</w:t>
            </w:r>
          </w:p>
        </w:tc>
      </w:tr>
      <w:tr w14:paraId="05C5B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7C130F5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35</w:t>
            </w:r>
          </w:p>
        </w:tc>
        <w:tc>
          <w:tcPr>
            <w:tcW w:w="462" w:type="pct"/>
            <w:vMerge w:val="continue"/>
            <w:noWrap w:val="0"/>
            <w:vAlign w:val="center"/>
          </w:tcPr>
          <w:p w14:paraId="7B3D1FDA">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33B4EB7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794ED9E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港口区域协作项目</w:t>
            </w:r>
          </w:p>
        </w:tc>
        <w:tc>
          <w:tcPr>
            <w:tcW w:w="2899" w:type="pct"/>
            <w:noWrap w:val="0"/>
            <w:vAlign w:val="center"/>
          </w:tcPr>
          <w:p w14:paraId="582DBB5C">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加密大湾区核心港口航线，推动小漠港与盐田港“组合港”落地；开展与“</w:t>
            </w:r>
            <w:bookmarkStart w:id="125" w:name="_GoBack"/>
            <w:r>
              <w:rPr>
                <w:rFonts w:hint="eastAsia" w:ascii="幼圆" w:hAnsi="Times New Roman" w:eastAsia="幼圆" w:cs="Times New Roman"/>
                <w:color w:val="000000"/>
                <w:sz w:val="28"/>
                <w:szCs w:val="28"/>
                <w:highlight w:val="none"/>
                <w:vertAlign w:val="baseline"/>
                <w:lang w:val="en-US" w:eastAsia="zh-CN"/>
              </w:rPr>
              <w:t>一带一路</w:t>
            </w:r>
            <w:bookmarkEnd w:id="125"/>
            <w:r>
              <w:rPr>
                <w:rFonts w:hint="eastAsia" w:ascii="幼圆" w:hAnsi="Times New Roman" w:eastAsia="幼圆" w:cs="Times New Roman"/>
                <w:color w:val="000000"/>
                <w:sz w:val="28"/>
                <w:szCs w:val="28"/>
                <w:highlight w:val="none"/>
                <w:vertAlign w:val="baseline"/>
                <w:lang w:val="en-US" w:eastAsia="zh-CN"/>
              </w:rPr>
              <w:t>”共建国家口岸合作</w:t>
            </w:r>
          </w:p>
        </w:tc>
      </w:tr>
      <w:tr w14:paraId="5AF76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4ED55ED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36</w:t>
            </w:r>
          </w:p>
        </w:tc>
        <w:tc>
          <w:tcPr>
            <w:tcW w:w="462" w:type="pct"/>
            <w:vMerge w:val="restart"/>
            <w:noWrap w:val="0"/>
            <w:vAlign w:val="center"/>
          </w:tcPr>
          <w:p w14:paraId="16EA9866">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重点平台建设工程</w:t>
            </w:r>
          </w:p>
          <w:p w14:paraId="7012C192">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restart"/>
            <w:noWrap w:val="0"/>
            <w:vAlign w:val="center"/>
          </w:tcPr>
          <w:p w14:paraId="5D925CF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自贸区联动发展区拓展工程</w:t>
            </w:r>
          </w:p>
        </w:tc>
        <w:tc>
          <w:tcPr>
            <w:tcW w:w="974" w:type="pct"/>
            <w:noWrap w:val="0"/>
            <w:vAlign w:val="center"/>
          </w:tcPr>
          <w:p w14:paraId="5FB9A86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自贸区联动创新项目</w:t>
            </w:r>
          </w:p>
        </w:tc>
        <w:tc>
          <w:tcPr>
            <w:tcW w:w="2899" w:type="pct"/>
            <w:noWrap w:val="0"/>
            <w:vAlign w:val="center"/>
          </w:tcPr>
          <w:p w14:paraId="0511CDCF">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争取承接自贸区下放权力，探索“港澳药械通”试点；深化与前海、横琴、南沙联动，探索“总部+基地”“研发+生产”协作模式</w:t>
            </w:r>
          </w:p>
        </w:tc>
      </w:tr>
      <w:tr w14:paraId="5B88C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19183F15">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37</w:t>
            </w:r>
          </w:p>
        </w:tc>
        <w:tc>
          <w:tcPr>
            <w:tcW w:w="462" w:type="pct"/>
            <w:vMerge w:val="continue"/>
            <w:noWrap w:val="0"/>
            <w:vAlign w:val="center"/>
          </w:tcPr>
          <w:p w14:paraId="58332594">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7DD0856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5FB194FF">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跨境电商综试区提质项目</w:t>
            </w:r>
          </w:p>
        </w:tc>
        <w:tc>
          <w:tcPr>
            <w:tcW w:w="2899" w:type="pct"/>
            <w:noWrap w:val="0"/>
            <w:vAlign w:val="center"/>
          </w:tcPr>
          <w:p w14:paraId="57FAB297">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完善“两平台六体系”，建设汕尾跨境选品中心、产业重镇跨境直播基地；在重点海外市场建设不少于10个公共海外仓；深化与主流电商平台合作</w:t>
            </w:r>
          </w:p>
        </w:tc>
      </w:tr>
      <w:tr w14:paraId="6969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 w:type="pct"/>
            <w:noWrap w:val="0"/>
            <w:vAlign w:val="center"/>
          </w:tcPr>
          <w:p w14:paraId="3D39D569">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default"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38</w:t>
            </w:r>
          </w:p>
        </w:tc>
        <w:tc>
          <w:tcPr>
            <w:tcW w:w="462" w:type="pct"/>
            <w:vMerge w:val="continue"/>
            <w:noWrap w:val="0"/>
            <w:vAlign w:val="center"/>
          </w:tcPr>
          <w:p w14:paraId="3F603378">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464" w:type="pct"/>
            <w:vMerge w:val="continue"/>
            <w:noWrap w:val="0"/>
            <w:vAlign w:val="center"/>
          </w:tcPr>
          <w:p w14:paraId="07A37657">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p>
        </w:tc>
        <w:tc>
          <w:tcPr>
            <w:tcW w:w="974" w:type="pct"/>
            <w:noWrap w:val="0"/>
            <w:vAlign w:val="center"/>
          </w:tcPr>
          <w:p w14:paraId="2862A443">
            <w:pPr>
              <w:keepNext w:val="0"/>
              <w:keepLines w:val="0"/>
              <w:pageBreakBefore w:val="0"/>
              <w:widowControl w:val="0"/>
              <w:kinsoku/>
              <w:wordWrap/>
              <w:overflowPunct/>
              <w:topLinePunct w:val="0"/>
              <w:autoSpaceDE/>
              <w:autoSpaceDN/>
              <w:bidi w:val="0"/>
              <w:adjustRightInd/>
              <w:snapToGrid/>
              <w:spacing w:line="288" w:lineRule="auto"/>
              <w:jc w:val="center"/>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红海湾保税物流中心（B型）建设运营项目</w:t>
            </w:r>
          </w:p>
        </w:tc>
        <w:tc>
          <w:tcPr>
            <w:tcW w:w="2899" w:type="pct"/>
            <w:noWrap w:val="0"/>
            <w:vAlign w:val="center"/>
          </w:tcPr>
          <w:p w14:paraId="540FB965">
            <w:pPr>
              <w:keepNext w:val="0"/>
              <w:keepLines w:val="0"/>
              <w:pageBreakBefore w:val="0"/>
              <w:widowControl w:val="0"/>
              <w:kinsoku/>
              <w:wordWrap/>
              <w:overflowPunct/>
              <w:topLinePunct w:val="0"/>
              <w:autoSpaceDE/>
              <w:autoSpaceDN/>
              <w:bidi w:val="0"/>
              <w:adjustRightInd/>
              <w:snapToGrid/>
              <w:spacing w:line="288" w:lineRule="auto"/>
              <w:jc w:val="both"/>
              <w:textAlignment w:val="auto"/>
              <w:rPr>
                <w:rFonts w:hint="eastAsia" w:ascii="幼圆" w:hAnsi="Times New Roman" w:eastAsia="幼圆" w:cs="Times New Roman"/>
                <w:color w:val="000000"/>
                <w:sz w:val="28"/>
                <w:szCs w:val="28"/>
                <w:highlight w:val="none"/>
                <w:vertAlign w:val="baseline"/>
                <w:lang w:val="en-US" w:eastAsia="zh-CN"/>
              </w:rPr>
            </w:pPr>
            <w:r>
              <w:rPr>
                <w:rFonts w:hint="eastAsia" w:ascii="幼圆" w:hAnsi="Times New Roman" w:eastAsia="幼圆" w:cs="Times New Roman"/>
                <w:color w:val="000000"/>
                <w:sz w:val="28"/>
                <w:szCs w:val="28"/>
                <w:highlight w:val="none"/>
                <w:vertAlign w:val="baseline"/>
                <w:lang w:val="en-US" w:eastAsia="zh-CN"/>
              </w:rPr>
              <w:t>推进中心规划建设，确保“十五五”期间投运；开展保税仓储、国际分拨业务，探索保税维修、研发、再制造等高附加值业务；联动深圳前海、盐田保税区域，创新“组合港”通关模式。</w:t>
            </w:r>
          </w:p>
        </w:tc>
      </w:tr>
    </w:tbl>
    <w:p w14:paraId="2ACADFE5">
      <w:pPr>
        <w:rPr>
          <w:rFonts w:hint="eastAsia"/>
          <w:color w:val="000000"/>
        </w:rPr>
        <w:sectPr>
          <w:pgSz w:w="23814" w:h="16840" w:orient="landscape"/>
          <w:pgMar w:top="1985" w:right="1985" w:bottom="1701" w:left="1985" w:header="851" w:footer="992" w:gutter="0"/>
          <w:pgNumType w:fmt="decimal"/>
          <w:cols w:space="720" w:num="1"/>
          <w:docGrid w:linePitch="312" w:charSpace="0"/>
        </w:sectPr>
      </w:pPr>
    </w:p>
    <w:p w14:paraId="1B222036">
      <w:pPr>
        <w:spacing w:line="256" w:lineRule="auto"/>
        <w:rPr>
          <w:rFonts w:ascii="Arial"/>
          <w:sz w:val="21"/>
        </w:rPr>
      </w:pPr>
    </w:p>
    <w:p w14:paraId="56888354">
      <w:pPr>
        <w:spacing w:line="256" w:lineRule="auto"/>
        <w:rPr>
          <w:rFonts w:ascii="Arial"/>
          <w:sz w:val="21"/>
        </w:rPr>
      </w:pPr>
    </w:p>
    <w:p w14:paraId="30AE627E">
      <w:pPr>
        <w:spacing w:line="257" w:lineRule="auto"/>
        <w:rPr>
          <w:rFonts w:ascii="Arial"/>
          <w:sz w:val="21"/>
        </w:rPr>
      </w:pPr>
    </w:p>
    <w:p w14:paraId="1769D1ED">
      <w:pPr>
        <w:spacing w:line="257" w:lineRule="auto"/>
        <w:rPr>
          <w:rFonts w:ascii="Arial"/>
          <w:sz w:val="21"/>
        </w:rPr>
      </w:pPr>
    </w:p>
    <w:p w14:paraId="3327B1DC">
      <w:pPr>
        <w:spacing w:line="257" w:lineRule="auto"/>
        <w:rPr>
          <w:rFonts w:ascii="Arial"/>
          <w:sz w:val="21"/>
        </w:rPr>
      </w:pPr>
    </w:p>
    <w:p w14:paraId="0CDFE22C">
      <w:pPr>
        <w:spacing w:line="257" w:lineRule="auto"/>
        <w:rPr>
          <w:rFonts w:ascii="Arial"/>
          <w:sz w:val="21"/>
        </w:rPr>
      </w:pPr>
    </w:p>
    <w:p w14:paraId="43B0D057">
      <w:pPr>
        <w:spacing w:before="270" w:line="223" w:lineRule="auto"/>
        <w:ind w:left="6762"/>
        <w:outlineLvl w:val="0"/>
        <w:rPr>
          <w:rFonts w:ascii="宋体" w:hAnsi="宋体" w:eastAsia="宋体" w:cs="宋体"/>
          <w:sz w:val="83"/>
          <w:szCs w:val="83"/>
        </w:rPr>
      </w:pPr>
      <w:r>
        <w:rPr>
          <w:rFonts w:ascii="宋体" w:hAnsi="宋体" w:eastAsia="宋体" w:cs="宋体"/>
          <w:b/>
          <w:bCs/>
          <w:spacing w:val="-26"/>
          <w:sz w:val="83"/>
          <w:szCs w:val="83"/>
        </w:rPr>
        <w:t>图纸目录</w:t>
      </w:r>
    </w:p>
    <w:p w14:paraId="6ABDAFEF">
      <w:pPr>
        <w:spacing w:before="25"/>
      </w:pPr>
    </w:p>
    <w:p w14:paraId="1CDF856E">
      <w:pPr>
        <w:spacing w:before="24"/>
      </w:pPr>
    </w:p>
    <w:p w14:paraId="0D21DDE0">
      <w:pPr>
        <w:spacing w:before="24"/>
      </w:pPr>
    </w:p>
    <w:p w14:paraId="6872B0D0">
      <w:pPr>
        <w:spacing w:before="24"/>
      </w:pPr>
    </w:p>
    <w:p w14:paraId="1D0C68D4">
      <w:pPr>
        <w:spacing w:before="24"/>
      </w:pPr>
    </w:p>
    <w:p w14:paraId="748F0D6D">
      <w:pPr>
        <w:spacing w:before="24"/>
      </w:pPr>
    </w:p>
    <w:p w14:paraId="43E14C13">
      <w:pPr>
        <w:spacing w:before="24"/>
      </w:pPr>
    </w:p>
    <w:p w14:paraId="0D5822CE">
      <w:pPr>
        <w:spacing w:before="24"/>
      </w:pPr>
    </w:p>
    <w:tbl>
      <w:tblPr>
        <w:tblStyle w:val="261"/>
        <w:tblW w:w="12605" w:type="dxa"/>
        <w:tblInd w:w="1563"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417"/>
        <w:gridCol w:w="5393"/>
        <w:gridCol w:w="1476"/>
        <w:gridCol w:w="5319"/>
      </w:tblGrid>
      <w:tr w14:paraId="3EDBA0F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476" w:hRule="atLeast"/>
        </w:trPr>
        <w:tc>
          <w:tcPr>
            <w:tcW w:w="417" w:type="dxa"/>
            <w:noWrap w:val="0"/>
            <w:vAlign w:val="top"/>
          </w:tcPr>
          <w:p w14:paraId="1EFB0611">
            <w:pPr>
              <w:spacing w:before="58" w:line="180" w:lineRule="auto"/>
              <w:ind w:left="18"/>
              <w:rPr>
                <w:rFonts w:ascii="Calibri" w:hAnsi="Calibri" w:eastAsia="Calibri" w:cs="Calibri"/>
                <w:sz w:val="30"/>
                <w:szCs w:val="30"/>
              </w:rPr>
            </w:pPr>
            <w:r>
              <w:rPr>
                <w:rFonts w:ascii="Calibri" w:hAnsi="Calibri" w:eastAsia="Calibri" w:cs="Calibri"/>
                <w:sz w:val="30"/>
                <w:szCs w:val="30"/>
              </w:rPr>
              <w:t>1</w:t>
            </w:r>
          </w:p>
        </w:tc>
        <w:tc>
          <w:tcPr>
            <w:tcW w:w="5393" w:type="dxa"/>
            <w:noWrap w:val="0"/>
            <w:vAlign w:val="top"/>
          </w:tcPr>
          <w:p w14:paraId="0B1C69B1">
            <w:pPr>
              <w:spacing w:line="218" w:lineRule="auto"/>
              <w:ind w:left="272"/>
              <w:rPr>
                <w:rFonts w:ascii="宋体" w:hAnsi="宋体" w:eastAsia="宋体" w:cs="宋体"/>
                <w:sz w:val="30"/>
                <w:szCs w:val="30"/>
              </w:rPr>
            </w:pPr>
            <w:r>
              <w:rPr>
                <w:rFonts w:ascii="宋体" w:hAnsi="宋体" w:eastAsia="宋体" w:cs="宋体"/>
                <w:spacing w:val="-2"/>
                <w:sz w:val="30"/>
                <w:szCs w:val="30"/>
              </w:rPr>
              <w:t>市域商业网点布局体系图</w:t>
            </w:r>
          </w:p>
        </w:tc>
        <w:tc>
          <w:tcPr>
            <w:tcW w:w="1476" w:type="dxa"/>
            <w:noWrap w:val="0"/>
            <w:vAlign w:val="top"/>
          </w:tcPr>
          <w:p w14:paraId="7B4AD8CA">
            <w:pPr>
              <w:spacing w:before="60" w:line="179" w:lineRule="auto"/>
              <w:ind w:left="1006"/>
              <w:rPr>
                <w:rFonts w:ascii="Calibri" w:hAnsi="Calibri" w:eastAsia="Calibri" w:cs="Calibri"/>
                <w:sz w:val="30"/>
                <w:szCs w:val="30"/>
              </w:rPr>
            </w:pPr>
            <w:r>
              <w:rPr>
                <w:rFonts w:ascii="Calibri" w:hAnsi="Calibri" w:eastAsia="Calibri" w:cs="Calibri"/>
                <w:sz w:val="30"/>
                <w:szCs w:val="30"/>
              </w:rPr>
              <w:t>7</w:t>
            </w:r>
          </w:p>
        </w:tc>
        <w:tc>
          <w:tcPr>
            <w:tcW w:w="5319" w:type="dxa"/>
            <w:noWrap w:val="0"/>
            <w:vAlign w:val="top"/>
          </w:tcPr>
          <w:p w14:paraId="479039B5">
            <w:pPr>
              <w:spacing w:line="218" w:lineRule="auto"/>
              <w:ind w:left="258"/>
              <w:rPr>
                <w:rFonts w:ascii="宋体" w:hAnsi="宋体" w:eastAsia="宋体" w:cs="宋体"/>
                <w:sz w:val="30"/>
                <w:szCs w:val="30"/>
              </w:rPr>
            </w:pPr>
            <w:r>
              <w:rPr>
                <w:rFonts w:ascii="宋体" w:hAnsi="宋体" w:eastAsia="宋体" w:cs="宋体"/>
                <w:spacing w:val="-3"/>
                <w:sz w:val="30"/>
                <w:szCs w:val="30"/>
              </w:rPr>
              <w:t>中心城区大中型商超网点规划布局图</w:t>
            </w:r>
          </w:p>
        </w:tc>
      </w:tr>
      <w:tr w14:paraId="183AFD9A">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676" w:hRule="atLeast"/>
        </w:trPr>
        <w:tc>
          <w:tcPr>
            <w:tcW w:w="417" w:type="dxa"/>
            <w:noWrap w:val="0"/>
            <w:vAlign w:val="top"/>
          </w:tcPr>
          <w:p w14:paraId="79A3F158">
            <w:pPr>
              <w:spacing w:before="231" w:line="181" w:lineRule="auto"/>
              <w:ind w:left="9"/>
              <w:rPr>
                <w:rFonts w:ascii="Calibri" w:hAnsi="Calibri" w:eastAsia="Calibri" w:cs="Calibri"/>
                <w:sz w:val="30"/>
                <w:szCs w:val="30"/>
              </w:rPr>
            </w:pPr>
            <w:r>
              <w:rPr>
                <w:rFonts w:ascii="Calibri" w:hAnsi="Calibri" w:eastAsia="Calibri" w:cs="Calibri"/>
                <w:sz w:val="30"/>
                <w:szCs w:val="30"/>
              </w:rPr>
              <w:t>2</w:t>
            </w:r>
          </w:p>
        </w:tc>
        <w:tc>
          <w:tcPr>
            <w:tcW w:w="5393" w:type="dxa"/>
            <w:noWrap w:val="0"/>
            <w:vAlign w:val="top"/>
          </w:tcPr>
          <w:p w14:paraId="12CE4099">
            <w:pPr>
              <w:spacing w:before="176" w:line="219" w:lineRule="auto"/>
              <w:ind w:left="292"/>
              <w:rPr>
                <w:rFonts w:ascii="宋体" w:hAnsi="宋体" w:eastAsia="宋体" w:cs="宋体"/>
                <w:sz w:val="30"/>
                <w:szCs w:val="30"/>
              </w:rPr>
            </w:pPr>
            <w:r>
              <w:rPr>
                <w:rFonts w:ascii="宋体" w:hAnsi="宋体" w:eastAsia="宋体" w:cs="宋体"/>
                <w:spacing w:val="-4"/>
                <w:sz w:val="30"/>
                <w:szCs w:val="30"/>
              </w:rPr>
              <w:t>中心城区商业网点布局体系图</w:t>
            </w:r>
          </w:p>
        </w:tc>
        <w:tc>
          <w:tcPr>
            <w:tcW w:w="1476" w:type="dxa"/>
            <w:noWrap w:val="0"/>
            <w:vAlign w:val="top"/>
          </w:tcPr>
          <w:p w14:paraId="5FC90213">
            <w:pPr>
              <w:spacing w:before="231" w:line="181" w:lineRule="auto"/>
              <w:ind w:left="1003"/>
              <w:rPr>
                <w:rFonts w:ascii="Calibri" w:hAnsi="Calibri" w:eastAsia="Calibri" w:cs="Calibri"/>
                <w:sz w:val="30"/>
                <w:szCs w:val="30"/>
              </w:rPr>
            </w:pPr>
            <w:r>
              <w:rPr>
                <w:rFonts w:ascii="Calibri" w:hAnsi="Calibri" w:eastAsia="Calibri" w:cs="Calibri"/>
                <w:sz w:val="30"/>
                <w:szCs w:val="30"/>
              </w:rPr>
              <w:t>8</w:t>
            </w:r>
          </w:p>
        </w:tc>
        <w:tc>
          <w:tcPr>
            <w:tcW w:w="5319" w:type="dxa"/>
            <w:noWrap w:val="0"/>
            <w:vAlign w:val="top"/>
          </w:tcPr>
          <w:p w14:paraId="026B3137">
            <w:pPr>
              <w:spacing w:before="176" w:line="219" w:lineRule="auto"/>
              <w:ind w:left="258"/>
              <w:rPr>
                <w:rFonts w:ascii="宋体" w:hAnsi="宋体" w:eastAsia="宋体" w:cs="宋体"/>
                <w:sz w:val="30"/>
                <w:szCs w:val="30"/>
              </w:rPr>
            </w:pPr>
            <w:r>
              <w:rPr>
                <w:rFonts w:ascii="宋体" w:hAnsi="宋体" w:eastAsia="宋体" w:cs="宋体"/>
                <w:spacing w:val="-4"/>
                <w:sz w:val="30"/>
                <w:szCs w:val="30"/>
              </w:rPr>
              <w:t>中心城区农贸市场规划布局图</w:t>
            </w:r>
          </w:p>
        </w:tc>
      </w:tr>
      <w:tr w14:paraId="62DA8CEF">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698" w:hRule="atLeast"/>
        </w:trPr>
        <w:tc>
          <w:tcPr>
            <w:tcW w:w="417" w:type="dxa"/>
            <w:noWrap w:val="0"/>
            <w:vAlign w:val="top"/>
          </w:tcPr>
          <w:p w14:paraId="3CFD8A41">
            <w:pPr>
              <w:spacing w:before="253" w:line="181" w:lineRule="auto"/>
              <w:ind w:left="8"/>
              <w:rPr>
                <w:rFonts w:ascii="Calibri" w:hAnsi="Calibri" w:eastAsia="Calibri" w:cs="Calibri"/>
                <w:sz w:val="30"/>
                <w:szCs w:val="30"/>
              </w:rPr>
            </w:pPr>
            <w:r>
              <w:rPr>
                <w:rFonts w:ascii="Calibri" w:hAnsi="Calibri" w:eastAsia="Calibri" w:cs="Calibri"/>
                <w:sz w:val="30"/>
                <w:szCs w:val="30"/>
              </w:rPr>
              <w:t>3</w:t>
            </w:r>
          </w:p>
        </w:tc>
        <w:tc>
          <w:tcPr>
            <w:tcW w:w="5393" w:type="dxa"/>
            <w:noWrap w:val="0"/>
            <w:vAlign w:val="top"/>
          </w:tcPr>
          <w:p w14:paraId="2FF3341C">
            <w:pPr>
              <w:spacing w:before="199" w:line="219" w:lineRule="auto"/>
              <w:ind w:left="292"/>
              <w:rPr>
                <w:rFonts w:ascii="宋体" w:hAnsi="宋体" w:eastAsia="宋体" w:cs="宋体"/>
                <w:sz w:val="30"/>
                <w:szCs w:val="30"/>
              </w:rPr>
            </w:pPr>
            <w:r>
              <w:rPr>
                <w:rFonts w:ascii="宋体" w:hAnsi="宋体" w:eastAsia="宋体" w:cs="宋体"/>
                <w:spacing w:val="-4"/>
                <w:sz w:val="30"/>
                <w:szCs w:val="30"/>
              </w:rPr>
              <w:t>中心城区社区划分及编码图</w:t>
            </w:r>
          </w:p>
        </w:tc>
        <w:tc>
          <w:tcPr>
            <w:tcW w:w="1476" w:type="dxa"/>
            <w:noWrap w:val="0"/>
            <w:vAlign w:val="top"/>
          </w:tcPr>
          <w:p w14:paraId="0565B6DA">
            <w:pPr>
              <w:spacing w:before="253" w:line="181" w:lineRule="auto"/>
              <w:ind w:left="1003"/>
              <w:rPr>
                <w:rFonts w:ascii="Calibri" w:hAnsi="Calibri" w:eastAsia="Calibri" w:cs="Calibri"/>
                <w:sz w:val="30"/>
                <w:szCs w:val="30"/>
              </w:rPr>
            </w:pPr>
            <w:r>
              <w:rPr>
                <w:rFonts w:ascii="Calibri" w:hAnsi="Calibri" w:eastAsia="Calibri" w:cs="Calibri"/>
                <w:sz w:val="30"/>
                <w:szCs w:val="30"/>
              </w:rPr>
              <w:t>9</w:t>
            </w:r>
          </w:p>
        </w:tc>
        <w:tc>
          <w:tcPr>
            <w:tcW w:w="5319" w:type="dxa"/>
            <w:noWrap w:val="0"/>
            <w:vAlign w:val="top"/>
          </w:tcPr>
          <w:p w14:paraId="6DF11301">
            <w:pPr>
              <w:spacing w:before="198" w:line="219" w:lineRule="auto"/>
              <w:ind w:left="258"/>
              <w:rPr>
                <w:rFonts w:ascii="宋体" w:hAnsi="宋体" w:eastAsia="宋体" w:cs="宋体"/>
                <w:sz w:val="30"/>
                <w:szCs w:val="30"/>
              </w:rPr>
            </w:pPr>
            <w:r>
              <w:rPr>
                <w:rFonts w:ascii="宋体" w:hAnsi="宋体" w:eastAsia="宋体" w:cs="宋体"/>
                <w:spacing w:val="-3"/>
                <w:sz w:val="30"/>
                <w:szCs w:val="30"/>
              </w:rPr>
              <w:t>中心城区旅宿宾馆集聚区规划布局图</w:t>
            </w:r>
          </w:p>
        </w:tc>
      </w:tr>
      <w:tr w14:paraId="4AF3566D">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698" w:hRule="atLeast"/>
        </w:trPr>
        <w:tc>
          <w:tcPr>
            <w:tcW w:w="417" w:type="dxa"/>
            <w:noWrap w:val="0"/>
            <w:vAlign w:val="top"/>
          </w:tcPr>
          <w:p w14:paraId="3FD5E796">
            <w:pPr>
              <w:spacing w:before="259" w:line="179" w:lineRule="auto"/>
              <w:rPr>
                <w:rFonts w:ascii="Calibri" w:hAnsi="Calibri" w:eastAsia="Calibri" w:cs="Calibri"/>
                <w:sz w:val="30"/>
                <w:szCs w:val="30"/>
              </w:rPr>
            </w:pPr>
            <w:r>
              <w:rPr>
                <w:rFonts w:ascii="Calibri" w:hAnsi="Calibri" w:eastAsia="Calibri" w:cs="Calibri"/>
                <w:sz w:val="30"/>
                <w:szCs w:val="30"/>
              </w:rPr>
              <w:t>4</w:t>
            </w:r>
          </w:p>
        </w:tc>
        <w:tc>
          <w:tcPr>
            <w:tcW w:w="5393" w:type="dxa"/>
            <w:noWrap w:val="0"/>
            <w:vAlign w:val="top"/>
          </w:tcPr>
          <w:p w14:paraId="7C4BDBF0">
            <w:pPr>
              <w:spacing w:before="198" w:line="219" w:lineRule="auto"/>
              <w:ind w:left="292"/>
              <w:rPr>
                <w:rFonts w:ascii="宋体" w:hAnsi="宋体" w:eastAsia="宋体" w:cs="宋体"/>
                <w:sz w:val="30"/>
                <w:szCs w:val="30"/>
              </w:rPr>
            </w:pPr>
            <w:r>
              <w:rPr>
                <w:rFonts w:ascii="宋体" w:hAnsi="宋体" w:eastAsia="宋体" w:cs="宋体"/>
                <w:spacing w:val="-4"/>
                <w:sz w:val="30"/>
                <w:szCs w:val="30"/>
              </w:rPr>
              <w:t>中心城区商业中心规划布局图</w:t>
            </w:r>
          </w:p>
        </w:tc>
        <w:tc>
          <w:tcPr>
            <w:tcW w:w="1476" w:type="dxa"/>
            <w:noWrap w:val="0"/>
            <w:vAlign w:val="top"/>
          </w:tcPr>
          <w:p w14:paraId="4CA1CE53">
            <w:pPr>
              <w:spacing w:before="256" w:line="181" w:lineRule="auto"/>
              <w:ind w:left="940"/>
              <w:rPr>
                <w:rFonts w:ascii="Calibri" w:hAnsi="Calibri" w:eastAsia="Calibri" w:cs="Calibri"/>
                <w:sz w:val="30"/>
                <w:szCs w:val="30"/>
              </w:rPr>
            </w:pPr>
            <w:r>
              <w:rPr>
                <w:rFonts w:ascii="Calibri" w:hAnsi="Calibri" w:eastAsia="Calibri" w:cs="Calibri"/>
                <w:spacing w:val="-13"/>
                <w:sz w:val="30"/>
                <w:szCs w:val="30"/>
              </w:rPr>
              <w:t>10</w:t>
            </w:r>
          </w:p>
        </w:tc>
        <w:tc>
          <w:tcPr>
            <w:tcW w:w="5319" w:type="dxa"/>
            <w:noWrap w:val="0"/>
            <w:vAlign w:val="top"/>
          </w:tcPr>
          <w:p w14:paraId="3A1633D9">
            <w:pPr>
              <w:spacing w:before="198" w:line="219" w:lineRule="auto"/>
              <w:ind w:left="258"/>
              <w:rPr>
                <w:rFonts w:ascii="宋体" w:hAnsi="宋体" w:eastAsia="宋体" w:cs="宋体"/>
                <w:sz w:val="30"/>
                <w:szCs w:val="30"/>
              </w:rPr>
            </w:pPr>
            <w:r>
              <w:rPr>
                <w:rFonts w:ascii="宋体" w:hAnsi="宋体" w:eastAsia="宋体" w:cs="宋体"/>
                <w:spacing w:val="-3"/>
                <w:sz w:val="30"/>
                <w:szCs w:val="30"/>
              </w:rPr>
              <w:t>中心城区餐饮集聚区规划布局图</w:t>
            </w:r>
          </w:p>
        </w:tc>
      </w:tr>
      <w:tr w14:paraId="31CA512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700" w:hRule="atLeast"/>
        </w:trPr>
        <w:tc>
          <w:tcPr>
            <w:tcW w:w="417" w:type="dxa"/>
            <w:noWrap w:val="0"/>
            <w:vAlign w:val="top"/>
          </w:tcPr>
          <w:p w14:paraId="2B06551E">
            <w:pPr>
              <w:spacing w:before="259" w:line="179" w:lineRule="auto"/>
              <w:ind w:left="7"/>
              <w:rPr>
                <w:rFonts w:ascii="Calibri" w:hAnsi="Calibri" w:eastAsia="Calibri" w:cs="Calibri"/>
                <w:sz w:val="30"/>
                <w:szCs w:val="30"/>
              </w:rPr>
            </w:pPr>
            <w:r>
              <w:rPr>
                <w:rFonts w:ascii="Calibri" w:hAnsi="Calibri" w:eastAsia="Calibri" w:cs="Calibri"/>
                <w:sz w:val="30"/>
                <w:szCs w:val="30"/>
              </w:rPr>
              <w:t>5</w:t>
            </w:r>
          </w:p>
        </w:tc>
        <w:tc>
          <w:tcPr>
            <w:tcW w:w="5393" w:type="dxa"/>
            <w:noWrap w:val="0"/>
            <w:vAlign w:val="top"/>
          </w:tcPr>
          <w:p w14:paraId="786CD7EB">
            <w:pPr>
              <w:spacing w:before="199" w:line="219" w:lineRule="auto"/>
              <w:ind w:left="292"/>
              <w:rPr>
                <w:rFonts w:ascii="宋体" w:hAnsi="宋体" w:eastAsia="宋体" w:cs="宋体"/>
                <w:sz w:val="30"/>
                <w:szCs w:val="30"/>
              </w:rPr>
            </w:pPr>
            <w:r>
              <w:rPr>
                <w:rFonts w:ascii="宋体" w:hAnsi="宋体" w:eastAsia="宋体" w:cs="宋体"/>
                <w:spacing w:val="-4"/>
                <w:sz w:val="30"/>
                <w:szCs w:val="30"/>
              </w:rPr>
              <w:t>中心城区商业街规划布局图</w:t>
            </w:r>
          </w:p>
        </w:tc>
        <w:tc>
          <w:tcPr>
            <w:tcW w:w="1476" w:type="dxa"/>
            <w:noWrap w:val="0"/>
            <w:vAlign w:val="top"/>
          </w:tcPr>
          <w:p w14:paraId="542DCE1E">
            <w:pPr>
              <w:spacing w:before="258" w:line="180" w:lineRule="auto"/>
              <w:ind w:left="940"/>
              <w:rPr>
                <w:rFonts w:ascii="Calibri" w:hAnsi="Calibri" w:eastAsia="Calibri" w:cs="Calibri"/>
                <w:sz w:val="30"/>
                <w:szCs w:val="30"/>
              </w:rPr>
            </w:pPr>
            <w:r>
              <w:rPr>
                <w:rFonts w:ascii="Calibri" w:hAnsi="Calibri" w:eastAsia="Calibri" w:cs="Calibri"/>
                <w:spacing w:val="-13"/>
                <w:sz w:val="30"/>
                <w:szCs w:val="30"/>
              </w:rPr>
              <w:t>11</w:t>
            </w:r>
          </w:p>
        </w:tc>
        <w:tc>
          <w:tcPr>
            <w:tcW w:w="5319" w:type="dxa"/>
            <w:noWrap w:val="0"/>
            <w:vAlign w:val="top"/>
          </w:tcPr>
          <w:p w14:paraId="307CE0BB">
            <w:pPr>
              <w:spacing w:before="200" w:line="219" w:lineRule="auto"/>
              <w:ind w:left="258"/>
              <w:rPr>
                <w:rFonts w:ascii="宋体" w:hAnsi="宋体" w:eastAsia="宋体" w:cs="宋体"/>
                <w:sz w:val="30"/>
                <w:szCs w:val="30"/>
              </w:rPr>
            </w:pPr>
            <w:r>
              <w:rPr>
                <w:rFonts w:ascii="宋体" w:hAnsi="宋体" w:eastAsia="宋体" w:cs="宋体"/>
                <w:spacing w:val="-4"/>
                <w:sz w:val="30"/>
                <w:szCs w:val="30"/>
              </w:rPr>
              <w:t>中心城区特色商业网点规划图</w:t>
            </w:r>
          </w:p>
        </w:tc>
      </w:tr>
      <w:tr w14:paraId="19DDA46E">
        <w:tblPrEx>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CellMar>
            <w:top w:w="0" w:type="dxa"/>
            <w:left w:w="0" w:type="dxa"/>
            <w:bottom w:w="0" w:type="dxa"/>
            <w:right w:w="0" w:type="dxa"/>
          </w:tblCellMar>
        </w:tblPrEx>
        <w:trPr>
          <w:trHeight w:val="500" w:hRule="atLeast"/>
        </w:trPr>
        <w:tc>
          <w:tcPr>
            <w:tcW w:w="417" w:type="dxa"/>
            <w:noWrap w:val="0"/>
            <w:vAlign w:val="top"/>
          </w:tcPr>
          <w:p w14:paraId="5AC8DEBA">
            <w:pPr>
              <w:spacing w:before="256" w:line="233" w:lineRule="exact"/>
              <w:ind w:left="8"/>
              <w:rPr>
                <w:rFonts w:ascii="Calibri" w:hAnsi="Calibri" w:eastAsia="Calibri" w:cs="Calibri"/>
                <w:sz w:val="30"/>
                <w:szCs w:val="30"/>
              </w:rPr>
            </w:pPr>
            <w:r>
              <w:rPr>
                <w:rFonts w:ascii="Calibri" w:hAnsi="Calibri" w:eastAsia="Calibri" w:cs="Calibri"/>
                <w:position w:val="-2"/>
                <w:sz w:val="30"/>
                <w:szCs w:val="30"/>
              </w:rPr>
              <w:t>6</w:t>
            </w:r>
          </w:p>
        </w:tc>
        <w:tc>
          <w:tcPr>
            <w:tcW w:w="5393" w:type="dxa"/>
            <w:noWrap w:val="0"/>
            <w:vAlign w:val="top"/>
          </w:tcPr>
          <w:p w14:paraId="3CDA058D">
            <w:pPr>
              <w:spacing w:before="200" w:line="178" w:lineRule="auto"/>
              <w:ind w:left="292"/>
              <w:rPr>
                <w:rFonts w:ascii="宋体" w:hAnsi="宋体" w:eastAsia="宋体" w:cs="宋体"/>
                <w:sz w:val="30"/>
                <w:szCs w:val="30"/>
              </w:rPr>
            </w:pPr>
            <w:r>
              <w:rPr>
                <w:rFonts w:ascii="宋体" w:hAnsi="宋体" w:eastAsia="宋体" w:cs="宋体"/>
                <w:spacing w:val="-3"/>
                <w:sz w:val="30"/>
                <w:szCs w:val="30"/>
              </w:rPr>
              <w:t>中心城区商业综合体规划布局图</w:t>
            </w:r>
          </w:p>
        </w:tc>
        <w:tc>
          <w:tcPr>
            <w:tcW w:w="1476" w:type="dxa"/>
            <w:noWrap w:val="0"/>
            <w:vAlign w:val="top"/>
          </w:tcPr>
          <w:p w14:paraId="76035C99">
            <w:pPr>
              <w:spacing w:before="256" w:line="233" w:lineRule="exact"/>
              <w:ind w:left="940"/>
              <w:rPr>
                <w:rFonts w:ascii="Calibri" w:hAnsi="Calibri" w:eastAsia="Calibri" w:cs="Calibri"/>
                <w:sz w:val="30"/>
                <w:szCs w:val="30"/>
              </w:rPr>
            </w:pPr>
            <w:r>
              <w:rPr>
                <w:rFonts w:ascii="Calibri" w:hAnsi="Calibri" w:eastAsia="Calibri" w:cs="Calibri"/>
                <w:spacing w:val="-13"/>
                <w:position w:val="-3"/>
                <w:sz w:val="30"/>
                <w:szCs w:val="30"/>
              </w:rPr>
              <w:t>12</w:t>
            </w:r>
          </w:p>
        </w:tc>
        <w:tc>
          <w:tcPr>
            <w:tcW w:w="5319" w:type="dxa"/>
            <w:noWrap w:val="0"/>
            <w:vAlign w:val="top"/>
          </w:tcPr>
          <w:p w14:paraId="60359663">
            <w:pPr>
              <w:spacing w:before="200" w:line="178" w:lineRule="auto"/>
              <w:jc w:val="right"/>
              <w:rPr>
                <w:rFonts w:ascii="宋体" w:hAnsi="宋体" w:eastAsia="宋体" w:cs="宋体"/>
                <w:sz w:val="30"/>
                <w:szCs w:val="30"/>
              </w:rPr>
            </w:pPr>
            <w:r>
              <w:rPr>
                <w:rFonts w:ascii="宋体" w:hAnsi="宋体" w:eastAsia="宋体" w:cs="宋体"/>
                <w:spacing w:val="-3"/>
                <w:sz w:val="30"/>
                <w:szCs w:val="30"/>
              </w:rPr>
              <w:t>中心城区专业（交易）市场规划布局图</w:t>
            </w:r>
          </w:p>
        </w:tc>
      </w:tr>
    </w:tbl>
    <w:p w14:paraId="1A61D066">
      <w:pPr>
        <w:rPr>
          <w:rFonts w:ascii="Arial"/>
          <w:sz w:val="21"/>
        </w:rPr>
      </w:pPr>
    </w:p>
    <w:p w14:paraId="5EBF6496">
      <w:pPr>
        <w:rPr>
          <w:rFonts w:ascii="Arial" w:hAnsi="Arial" w:eastAsia="Arial" w:cs="Arial"/>
          <w:sz w:val="21"/>
          <w:szCs w:val="21"/>
        </w:rPr>
        <w:sectPr>
          <w:pgSz w:w="23814" w:h="16840"/>
          <w:pgMar w:top="1431" w:right="3572" w:bottom="0" w:left="3572" w:header="0" w:footer="0" w:gutter="0"/>
          <w:cols w:space="720" w:num="1"/>
        </w:sectPr>
      </w:pPr>
    </w:p>
    <w:p w14:paraId="683EF563">
      <w:pPr>
        <w:spacing w:line="22369" w:lineRule="exact"/>
      </w:pPr>
      <w:r>
        <w:rPr>
          <w:position w:val="-447"/>
        </w:rPr>
        <w:drawing>
          <wp:inline distT="0" distB="0" distL="114300" distR="114300">
            <wp:extent cx="20116800" cy="14204315"/>
            <wp:effectExtent l="0" t="0" r="0" b="6985"/>
            <wp:docPr id="1" name="IM 2"/>
            <wp:cNvGraphicFramePr/>
            <a:graphic xmlns:a="http://schemas.openxmlformats.org/drawingml/2006/main">
              <a:graphicData uri="http://schemas.openxmlformats.org/drawingml/2006/picture">
                <pic:pic xmlns:pic="http://schemas.openxmlformats.org/drawingml/2006/picture">
                  <pic:nvPicPr>
                    <pic:cNvPr id="1" name="IM 2"/>
                    <pic:cNvPicPr/>
                  </pic:nvPicPr>
                  <pic:blipFill>
                    <a:blip r:embed="rId18"/>
                    <a:stretch>
                      <a:fillRect/>
                    </a:stretch>
                  </pic:blipFill>
                  <pic:spPr>
                    <a:xfrm>
                      <a:off x="0" y="0"/>
                      <a:ext cx="20116800" cy="14204315"/>
                    </a:xfrm>
                    <a:prstGeom prst="rect">
                      <a:avLst/>
                    </a:prstGeom>
                    <a:noFill/>
                    <a:ln>
                      <a:noFill/>
                    </a:ln>
                  </pic:spPr>
                </pic:pic>
              </a:graphicData>
            </a:graphic>
          </wp:inline>
        </w:drawing>
      </w:r>
    </w:p>
    <w:p w14:paraId="3D6ACC0F">
      <w:pPr>
        <w:spacing w:line="22369" w:lineRule="exact"/>
        <w:sectPr>
          <w:headerReference r:id="rId15" w:type="default"/>
          <w:footerReference r:id="rId16" w:type="default"/>
          <w:pgSz w:w="31680" w:h="22382"/>
          <w:pgMar w:top="1" w:right="0" w:bottom="1" w:left="0" w:header="0" w:footer="0" w:gutter="0"/>
          <w:cols w:space="720" w:num="1"/>
        </w:sectPr>
      </w:pPr>
    </w:p>
    <w:p w14:paraId="3C38B060">
      <w:pPr>
        <w:spacing w:line="22369" w:lineRule="exact"/>
      </w:pPr>
      <w:r>
        <w:rPr>
          <w:position w:val="-447"/>
        </w:rPr>
        <w:drawing>
          <wp:inline distT="0" distB="0" distL="114300" distR="114300">
            <wp:extent cx="20116800" cy="14204315"/>
            <wp:effectExtent l="0" t="0" r="0" b="6985"/>
            <wp:docPr id="2" name="IM 4"/>
            <wp:cNvGraphicFramePr/>
            <a:graphic xmlns:a="http://schemas.openxmlformats.org/drawingml/2006/main">
              <a:graphicData uri="http://schemas.openxmlformats.org/drawingml/2006/picture">
                <pic:pic xmlns:pic="http://schemas.openxmlformats.org/drawingml/2006/picture">
                  <pic:nvPicPr>
                    <pic:cNvPr id="2" name="IM 4"/>
                    <pic:cNvPicPr/>
                  </pic:nvPicPr>
                  <pic:blipFill>
                    <a:blip r:embed="rId19"/>
                    <a:stretch>
                      <a:fillRect/>
                    </a:stretch>
                  </pic:blipFill>
                  <pic:spPr>
                    <a:xfrm>
                      <a:off x="0" y="0"/>
                      <a:ext cx="20116800" cy="14204315"/>
                    </a:xfrm>
                    <a:prstGeom prst="rect">
                      <a:avLst/>
                    </a:prstGeom>
                    <a:noFill/>
                    <a:ln>
                      <a:noFill/>
                    </a:ln>
                  </pic:spPr>
                </pic:pic>
              </a:graphicData>
            </a:graphic>
          </wp:inline>
        </w:drawing>
      </w:r>
    </w:p>
    <w:p w14:paraId="7B3B19A3">
      <w:pPr>
        <w:spacing w:line="22369" w:lineRule="exact"/>
        <w:sectPr>
          <w:pgSz w:w="31680" w:h="22382"/>
          <w:pgMar w:top="1" w:right="0" w:bottom="1" w:left="0" w:header="0" w:footer="0" w:gutter="0"/>
          <w:cols w:space="720" w:num="1"/>
        </w:sectPr>
      </w:pPr>
    </w:p>
    <w:p w14:paraId="4F9AC42D">
      <w:pPr>
        <w:spacing w:line="22369" w:lineRule="exact"/>
      </w:pPr>
      <w:r>
        <w:rPr>
          <w:position w:val="-447"/>
        </w:rPr>
        <w:drawing>
          <wp:inline distT="0" distB="0" distL="114300" distR="114300">
            <wp:extent cx="20116800" cy="14204315"/>
            <wp:effectExtent l="0" t="0" r="0" b="6985"/>
            <wp:docPr id="3" name="IM 6"/>
            <wp:cNvGraphicFramePr/>
            <a:graphic xmlns:a="http://schemas.openxmlformats.org/drawingml/2006/main">
              <a:graphicData uri="http://schemas.openxmlformats.org/drawingml/2006/picture">
                <pic:pic xmlns:pic="http://schemas.openxmlformats.org/drawingml/2006/picture">
                  <pic:nvPicPr>
                    <pic:cNvPr id="3" name="IM 6"/>
                    <pic:cNvPicPr/>
                  </pic:nvPicPr>
                  <pic:blipFill>
                    <a:blip r:embed="rId20"/>
                    <a:stretch>
                      <a:fillRect/>
                    </a:stretch>
                  </pic:blipFill>
                  <pic:spPr>
                    <a:xfrm>
                      <a:off x="0" y="0"/>
                      <a:ext cx="20116800" cy="14204315"/>
                    </a:xfrm>
                    <a:prstGeom prst="rect">
                      <a:avLst/>
                    </a:prstGeom>
                    <a:noFill/>
                    <a:ln>
                      <a:noFill/>
                    </a:ln>
                  </pic:spPr>
                </pic:pic>
              </a:graphicData>
            </a:graphic>
          </wp:inline>
        </w:drawing>
      </w:r>
    </w:p>
    <w:p w14:paraId="034B56F9">
      <w:pPr>
        <w:spacing w:line="22369" w:lineRule="exact"/>
        <w:sectPr>
          <w:pgSz w:w="31680" w:h="22382"/>
          <w:pgMar w:top="1" w:right="0" w:bottom="1" w:left="0" w:header="0" w:footer="0" w:gutter="0"/>
          <w:cols w:space="720" w:num="1"/>
        </w:sectPr>
      </w:pPr>
    </w:p>
    <w:p w14:paraId="365E2EFA">
      <w:pPr>
        <w:spacing w:line="22369" w:lineRule="exact"/>
      </w:pPr>
      <w:r>
        <w:rPr>
          <w:position w:val="-447"/>
        </w:rPr>
        <w:drawing>
          <wp:inline distT="0" distB="0" distL="114300" distR="114300">
            <wp:extent cx="20116800" cy="14204315"/>
            <wp:effectExtent l="0" t="0" r="0" b="6985"/>
            <wp:docPr id="4" name="IM 8"/>
            <wp:cNvGraphicFramePr/>
            <a:graphic xmlns:a="http://schemas.openxmlformats.org/drawingml/2006/main">
              <a:graphicData uri="http://schemas.openxmlformats.org/drawingml/2006/picture">
                <pic:pic xmlns:pic="http://schemas.openxmlformats.org/drawingml/2006/picture">
                  <pic:nvPicPr>
                    <pic:cNvPr id="4" name="IM 8"/>
                    <pic:cNvPicPr/>
                  </pic:nvPicPr>
                  <pic:blipFill>
                    <a:blip r:embed="rId21"/>
                    <a:stretch>
                      <a:fillRect/>
                    </a:stretch>
                  </pic:blipFill>
                  <pic:spPr>
                    <a:xfrm>
                      <a:off x="0" y="0"/>
                      <a:ext cx="20116800" cy="14204315"/>
                    </a:xfrm>
                    <a:prstGeom prst="rect">
                      <a:avLst/>
                    </a:prstGeom>
                    <a:noFill/>
                    <a:ln>
                      <a:noFill/>
                    </a:ln>
                  </pic:spPr>
                </pic:pic>
              </a:graphicData>
            </a:graphic>
          </wp:inline>
        </w:drawing>
      </w:r>
    </w:p>
    <w:p w14:paraId="62D45255">
      <w:pPr>
        <w:spacing w:line="22369" w:lineRule="exact"/>
        <w:sectPr>
          <w:pgSz w:w="31680" w:h="22382"/>
          <w:pgMar w:top="1" w:right="0" w:bottom="1" w:left="0" w:header="0" w:footer="0" w:gutter="0"/>
          <w:cols w:space="720" w:num="1"/>
        </w:sectPr>
      </w:pPr>
    </w:p>
    <w:p w14:paraId="71A17F8D">
      <w:pPr>
        <w:spacing w:line="22369" w:lineRule="exact"/>
      </w:pPr>
      <w:r>
        <w:rPr>
          <w:position w:val="-447"/>
        </w:rPr>
        <w:drawing>
          <wp:inline distT="0" distB="0" distL="114300" distR="114300">
            <wp:extent cx="20116800" cy="14204315"/>
            <wp:effectExtent l="0" t="0" r="0" b="6985"/>
            <wp:docPr id="5" name="IM 10"/>
            <wp:cNvGraphicFramePr/>
            <a:graphic xmlns:a="http://schemas.openxmlformats.org/drawingml/2006/main">
              <a:graphicData uri="http://schemas.openxmlformats.org/drawingml/2006/picture">
                <pic:pic xmlns:pic="http://schemas.openxmlformats.org/drawingml/2006/picture">
                  <pic:nvPicPr>
                    <pic:cNvPr id="5" name="IM 10"/>
                    <pic:cNvPicPr/>
                  </pic:nvPicPr>
                  <pic:blipFill>
                    <a:blip r:embed="rId22"/>
                    <a:stretch>
                      <a:fillRect/>
                    </a:stretch>
                  </pic:blipFill>
                  <pic:spPr>
                    <a:xfrm>
                      <a:off x="0" y="0"/>
                      <a:ext cx="20116800" cy="14204315"/>
                    </a:xfrm>
                    <a:prstGeom prst="rect">
                      <a:avLst/>
                    </a:prstGeom>
                    <a:noFill/>
                    <a:ln>
                      <a:noFill/>
                    </a:ln>
                  </pic:spPr>
                </pic:pic>
              </a:graphicData>
            </a:graphic>
          </wp:inline>
        </w:drawing>
      </w:r>
    </w:p>
    <w:p w14:paraId="2BC2D7AA">
      <w:pPr>
        <w:spacing w:line="22369" w:lineRule="exact"/>
        <w:sectPr>
          <w:pgSz w:w="31680" w:h="22382"/>
          <w:pgMar w:top="1" w:right="0" w:bottom="1" w:left="0" w:header="0" w:footer="0" w:gutter="0"/>
          <w:cols w:space="720" w:num="1"/>
        </w:sectPr>
      </w:pPr>
    </w:p>
    <w:p w14:paraId="1065F5A7">
      <w:pPr>
        <w:spacing w:line="22369" w:lineRule="exact"/>
      </w:pPr>
      <w:r>
        <w:rPr>
          <w:position w:val="-447"/>
        </w:rPr>
        <w:drawing>
          <wp:inline distT="0" distB="0" distL="114300" distR="114300">
            <wp:extent cx="20116800" cy="14204315"/>
            <wp:effectExtent l="0" t="0" r="0" b="6985"/>
            <wp:docPr id="6" name="IM 12"/>
            <wp:cNvGraphicFramePr/>
            <a:graphic xmlns:a="http://schemas.openxmlformats.org/drawingml/2006/main">
              <a:graphicData uri="http://schemas.openxmlformats.org/drawingml/2006/picture">
                <pic:pic xmlns:pic="http://schemas.openxmlformats.org/drawingml/2006/picture">
                  <pic:nvPicPr>
                    <pic:cNvPr id="6" name="IM 12"/>
                    <pic:cNvPicPr/>
                  </pic:nvPicPr>
                  <pic:blipFill>
                    <a:blip r:embed="rId23"/>
                    <a:stretch>
                      <a:fillRect/>
                    </a:stretch>
                  </pic:blipFill>
                  <pic:spPr>
                    <a:xfrm>
                      <a:off x="0" y="0"/>
                      <a:ext cx="20116800" cy="14204315"/>
                    </a:xfrm>
                    <a:prstGeom prst="rect">
                      <a:avLst/>
                    </a:prstGeom>
                    <a:noFill/>
                    <a:ln>
                      <a:noFill/>
                    </a:ln>
                  </pic:spPr>
                </pic:pic>
              </a:graphicData>
            </a:graphic>
          </wp:inline>
        </w:drawing>
      </w:r>
    </w:p>
    <w:p w14:paraId="095E4320">
      <w:pPr>
        <w:spacing w:line="22369" w:lineRule="exact"/>
        <w:sectPr>
          <w:pgSz w:w="31680" w:h="22382"/>
          <w:pgMar w:top="1" w:right="0" w:bottom="1" w:left="0" w:header="0" w:footer="0" w:gutter="0"/>
          <w:cols w:space="720" w:num="1"/>
        </w:sectPr>
      </w:pPr>
    </w:p>
    <w:p w14:paraId="5731BD33">
      <w:pPr>
        <w:spacing w:line="22369" w:lineRule="exact"/>
      </w:pPr>
      <w:r>
        <w:rPr>
          <w:position w:val="-447"/>
        </w:rPr>
        <w:drawing>
          <wp:inline distT="0" distB="0" distL="114300" distR="114300">
            <wp:extent cx="20116800" cy="14204315"/>
            <wp:effectExtent l="0" t="0" r="0" b="6985"/>
            <wp:docPr id="7" name="IM 14"/>
            <wp:cNvGraphicFramePr/>
            <a:graphic xmlns:a="http://schemas.openxmlformats.org/drawingml/2006/main">
              <a:graphicData uri="http://schemas.openxmlformats.org/drawingml/2006/picture">
                <pic:pic xmlns:pic="http://schemas.openxmlformats.org/drawingml/2006/picture">
                  <pic:nvPicPr>
                    <pic:cNvPr id="7" name="IM 14"/>
                    <pic:cNvPicPr/>
                  </pic:nvPicPr>
                  <pic:blipFill>
                    <a:blip r:embed="rId24"/>
                    <a:stretch>
                      <a:fillRect/>
                    </a:stretch>
                  </pic:blipFill>
                  <pic:spPr>
                    <a:xfrm>
                      <a:off x="0" y="0"/>
                      <a:ext cx="20116800" cy="14204315"/>
                    </a:xfrm>
                    <a:prstGeom prst="rect">
                      <a:avLst/>
                    </a:prstGeom>
                    <a:noFill/>
                    <a:ln>
                      <a:noFill/>
                    </a:ln>
                  </pic:spPr>
                </pic:pic>
              </a:graphicData>
            </a:graphic>
          </wp:inline>
        </w:drawing>
      </w:r>
    </w:p>
    <w:p w14:paraId="0A4AEB11">
      <w:pPr>
        <w:spacing w:line="22369" w:lineRule="exact"/>
        <w:sectPr>
          <w:pgSz w:w="31680" w:h="22382"/>
          <w:pgMar w:top="1" w:right="0" w:bottom="1" w:left="0" w:header="0" w:footer="0" w:gutter="0"/>
          <w:cols w:space="720" w:num="1"/>
        </w:sectPr>
      </w:pPr>
    </w:p>
    <w:p w14:paraId="3E9370C5">
      <w:pPr>
        <w:spacing w:line="22369" w:lineRule="exact"/>
      </w:pPr>
      <w:r>
        <w:rPr>
          <w:position w:val="-447"/>
        </w:rPr>
        <w:drawing>
          <wp:inline distT="0" distB="0" distL="114300" distR="114300">
            <wp:extent cx="20116800" cy="14204315"/>
            <wp:effectExtent l="0" t="0" r="0" b="6985"/>
            <wp:docPr id="8" name="IM 16"/>
            <wp:cNvGraphicFramePr/>
            <a:graphic xmlns:a="http://schemas.openxmlformats.org/drawingml/2006/main">
              <a:graphicData uri="http://schemas.openxmlformats.org/drawingml/2006/picture">
                <pic:pic xmlns:pic="http://schemas.openxmlformats.org/drawingml/2006/picture">
                  <pic:nvPicPr>
                    <pic:cNvPr id="8" name="IM 16"/>
                    <pic:cNvPicPr/>
                  </pic:nvPicPr>
                  <pic:blipFill>
                    <a:blip r:embed="rId25"/>
                    <a:stretch>
                      <a:fillRect/>
                    </a:stretch>
                  </pic:blipFill>
                  <pic:spPr>
                    <a:xfrm>
                      <a:off x="0" y="0"/>
                      <a:ext cx="20116800" cy="14204315"/>
                    </a:xfrm>
                    <a:prstGeom prst="rect">
                      <a:avLst/>
                    </a:prstGeom>
                    <a:noFill/>
                    <a:ln>
                      <a:noFill/>
                    </a:ln>
                  </pic:spPr>
                </pic:pic>
              </a:graphicData>
            </a:graphic>
          </wp:inline>
        </w:drawing>
      </w:r>
    </w:p>
    <w:p w14:paraId="4465D34C">
      <w:pPr>
        <w:spacing w:line="22369" w:lineRule="exact"/>
        <w:sectPr>
          <w:pgSz w:w="31680" w:h="22382"/>
          <w:pgMar w:top="1" w:right="0" w:bottom="1" w:left="0" w:header="0" w:footer="0" w:gutter="0"/>
          <w:cols w:space="720" w:num="1"/>
        </w:sectPr>
      </w:pPr>
    </w:p>
    <w:p w14:paraId="0F8E1E94">
      <w:pPr>
        <w:spacing w:line="22369" w:lineRule="exact"/>
      </w:pPr>
      <w:r>
        <w:rPr>
          <w:position w:val="-447"/>
        </w:rPr>
        <w:drawing>
          <wp:inline distT="0" distB="0" distL="114300" distR="114300">
            <wp:extent cx="20116800" cy="14204315"/>
            <wp:effectExtent l="0" t="0" r="0" b="6985"/>
            <wp:docPr id="9" name="IM 18"/>
            <wp:cNvGraphicFramePr/>
            <a:graphic xmlns:a="http://schemas.openxmlformats.org/drawingml/2006/main">
              <a:graphicData uri="http://schemas.openxmlformats.org/drawingml/2006/picture">
                <pic:pic xmlns:pic="http://schemas.openxmlformats.org/drawingml/2006/picture">
                  <pic:nvPicPr>
                    <pic:cNvPr id="9" name="IM 18"/>
                    <pic:cNvPicPr/>
                  </pic:nvPicPr>
                  <pic:blipFill>
                    <a:blip r:embed="rId26"/>
                    <a:stretch>
                      <a:fillRect/>
                    </a:stretch>
                  </pic:blipFill>
                  <pic:spPr>
                    <a:xfrm>
                      <a:off x="0" y="0"/>
                      <a:ext cx="20116800" cy="14204315"/>
                    </a:xfrm>
                    <a:prstGeom prst="rect">
                      <a:avLst/>
                    </a:prstGeom>
                    <a:noFill/>
                    <a:ln>
                      <a:noFill/>
                    </a:ln>
                  </pic:spPr>
                </pic:pic>
              </a:graphicData>
            </a:graphic>
          </wp:inline>
        </w:drawing>
      </w:r>
    </w:p>
    <w:p w14:paraId="3D79E6CF">
      <w:pPr>
        <w:spacing w:line="22369" w:lineRule="exact"/>
        <w:sectPr>
          <w:pgSz w:w="31680" w:h="22382"/>
          <w:pgMar w:top="1" w:right="0" w:bottom="1" w:left="0" w:header="0" w:footer="0" w:gutter="0"/>
          <w:cols w:space="720" w:num="1"/>
        </w:sectPr>
      </w:pPr>
    </w:p>
    <w:p w14:paraId="2D23110A">
      <w:pPr>
        <w:spacing w:line="22369" w:lineRule="exact"/>
      </w:pPr>
      <w:r>
        <w:rPr>
          <w:position w:val="-447"/>
        </w:rPr>
        <w:drawing>
          <wp:inline distT="0" distB="0" distL="114300" distR="114300">
            <wp:extent cx="20116800" cy="14204315"/>
            <wp:effectExtent l="0" t="0" r="0" b="6985"/>
            <wp:docPr id="10" name="IM 20"/>
            <wp:cNvGraphicFramePr/>
            <a:graphic xmlns:a="http://schemas.openxmlformats.org/drawingml/2006/main">
              <a:graphicData uri="http://schemas.openxmlformats.org/drawingml/2006/picture">
                <pic:pic xmlns:pic="http://schemas.openxmlformats.org/drawingml/2006/picture">
                  <pic:nvPicPr>
                    <pic:cNvPr id="10" name="IM 20"/>
                    <pic:cNvPicPr/>
                  </pic:nvPicPr>
                  <pic:blipFill>
                    <a:blip r:embed="rId27"/>
                    <a:stretch>
                      <a:fillRect/>
                    </a:stretch>
                  </pic:blipFill>
                  <pic:spPr>
                    <a:xfrm>
                      <a:off x="0" y="0"/>
                      <a:ext cx="20116800" cy="14204315"/>
                    </a:xfrm>
                    <a:prstGeom prst="rect">
                      <a:avLst/>
                    </a:prstGeom>
                    <a:noFill/>
                    <a:ln>
                      <a:noFill/>
                    </a:ln>
                  </pic:spPr>
                </pic:pic>
              </a:graphicData>
            </a:graphic>
          </wp:inline>
        </w:drawing>
      </w:r>
    </w:p>
    <w:p w14:paraId="218B4FEA">
      <w:pPr>
        <w:spacing w:line="22369" w:lineRule="exact"/>
        <w:sectPr>
          <w:pgSz w:w="31680" w:h="22382"/>
          <w:pgMar w:top="1" w:right="0" w:bottom="1" w:left="0" w:header="0" w:footer="0" w:gutter="0"/>
          <w:cols w:space="720" w:num="1"/>
        </w:sectPr>
      </w:pPr>
    </w:p>
    <w:p w14:paraId="5875159E">
      <w:pPr>
        <w:spacing w:line="22369" w:lineRule="exact"/>
      </w:pPr>
      <w:r>
        <w:rPr>
          <w:position w:val="-447"/>
        </w:rPr>
        <w:drawing>
          <wp:inline distT="0" distB="0" distL="114300" distR="114300">
            <wp:extent cx="20116800" cy="14204315"/>
            <wp:effectExtent l="0" t="0" r="0" b="6985"/>
            <wp:docPr id="11" name="IM 22"/>
            <wp:cNvGraphicFramePr/>
            <a:graphic xmlns:a="http://schemas.openxmlformats.org/drawingml/2006/main">
              <a:graphicData uri="http://schemas.openxmlformats.org/drawingml/2006/picture">
                <pic:pic xmlns:pic="http://schemas.openxmlformats.org/drawingml/2006/picture">
                  <pic:nvPicPr>
                    <pic:cNvPr id="11" name="IM 22"/>
                    <pic:cNvPicPr/>
                  </pic:nvPicPr>
                  <pic:blipFill>
                    <a:blip r:embed="rId28"/>
                    <a:stretch>
                      <a:fillRect/>
                    </a:stretch>
                  </pic:blipFill>
                  <pic:spPr>
                    <a:xfrm>
                      <a:off x="0" y="0"/>
                      <a:ext cx="20116800" cy="14204315"/>
                    </a:xfrm>
                    <a:prstGeom prst="rect">
                      <a:avLst/>
                    </a:prstGeom>
                    <a:noFill/>
                    <a:ln>
                      <a:noFill/>
                    </a:ln>
                  </pic:spPr>
                </pic:pic>
              </a:graphicData>
            </a:graphic>
          </wp:inline>
        </w:drawing>
      </w:r>
    </w:p>
    <w:p w14:paraId="3070AEC0">
      <w:pPr>
        <w:spacing w:line="22369" w:lineRule="exact"/>
        <w:sectPr>
          <w:pgSz w:w="31680" w:h="22382"/>
          <w:pgMar w:top="1" w:right="0" w:bottom="1" w:left="0" w:header="0" w:footer="0" w:gutter="0"/>
          <w:cols w:space="720" w:num="1"/>
        </w:sectPr>
      </w:pPr>
    </w:p>
    <w:p w14:paraId="216F5386">
      <w:pPr>
        <w:spacing w:line="22369" w:lineRule="exact"/>
      </w:pPr>
      <w:r>
        <w:rPr>
          <w:position w:val="-447"/>
        </w:rPr>
        <w:drawing>
          <wp:inline distT="0" distB="0" distL="114300" distR="114300">
            <wp:extent cx="20116800" cy="14204315"/>
            <wp:effectExtent l="0" t="0" r="0" b="6985"/>
            <wp:docPr id="12" name="IM 24"/>
            <wp:cNvGraphicFramePr/>
            <a:graphic xmlns:a="http://schemas.openxmlformats.org/drawingml/2006/main">
              <a:graphicData uri="http://schemas.openxmlformats.org/drawingml/2006/picture">
                <pic:pic xmlns:pic="http://schemas.openxmlformats.org/drawingml/2006/picture">
                  <pic:nvPicPr>
                    <pic:cNvPr id="12" name="IM 24"/>
                    <pic:cNvPicPr/>
                  </pic:nvPicPr>
                  <pic:blipFill>
                    <a:blip r:embed="rId29"/>
                    <a:stretch>
                      <a:fillRect/>
                    </a:stretch>
                  </pic:blipFill>
                  <pic:spPr>
                    <a:xfrm>
                      <a:off x="0" y="0"/>
                      <a:ext cx="20116800" cy="14204315"/>
                    </a:xfrm>
                    <a:prstGeom prst="rect">
                      <a:avLst/>
                    </a:prstGeom>
                    <a:noFill/>
                    <a:ln>
                      <a:noFill/>
                    </a:ln>
                  </pic:spPr>
                </pic:pic>
              </a:graphicData>
            </a:graphic>
          </wp:inline>
        </w:drawing>
      </w:r>
    </w:p>
    <w:p w14:paraId="27D16886">
      <w:pPr>
        <w:rPr>
          <w:rFonts w:hint="eastAsia"/>
          <w:color w:val="000000"/>
        </w:rPr>
      </w:pPr>
    </w:p>
    <w:sectPr>
      <w:pgSz w:w="31680" w:h="22382"/>
      <w:pgMar w:top="1" w:right="0" w:bottom="1" w:left="0"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EEE88A2-7A59-4700-89E9-1A0B8B107C42}"/>
  </w:font>
  <w:font w:name="Arial">
    <w:panose1 w:val="020B0604020202020204"/>
    <w:charset w:val="01"/>
    <w:family w:val="swiss"/>
    <w:pitch w:val="default"/>
    <w:sig w:usb0="E0002AFF" w:usb1="C0007843" w:usb2="00000009" w:usb3="00000000" w:csb0="400001FF" w:csb1="FFFF0000"/>
    <w:embedRegular r:id="rId2" w:fontKey="{C6197361-4B46-4CF4-ADB8-C34B843E3F4D}"/>
  </w:font>
  <w:font w:name="黑体">
    <w:panose1 w:val="02010609060101010101"/>
    <w:charset w:val="86"/>
    <w:family w:val="auto"/>
    <w:pitch w:val="default"/>
    <w:sig w:usb0="800002BF" w:usb1="38CF7CFA" w:usb2="00000016" w:usb3="00000000" w:csb0="00040001" w:csb1="00000000"/>
    <w:embedRegular r:id="rId3" w:fontKey="{C2BE93FF-00BC-4C08-AA28-60457BC23993}"/>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4" w:fontKey="{57509727-D99D-4384-8CC2-0EE8B98292AF}"/>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幼圆">
    <w:altName w:val="宋体"/>
    <w:panose1 w:val="02010509060101010101"/>
    <w:charset w:val="86"/>
    <w:family w:val="modern"/>
    <w:pitch w:val="default"/>
    <w:sig w:usb0="00000001" w:usb1="080E0000" w:usb2="00000000" w:usb3="00000000" w:csb0="00040000" w:csb1="00000000"/>
    <w:embedRegular r:id="rId5" w:fontKey="{78AE1247-FD63-44CA-B056-26DE24CB71B1}"/>
  </w:font>
  <w:font w:name="楷体">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仿宋体">
    <w:altName w:val="宋体"/>
    <w:panose1 w:val="00000000000000000000"/>
    <w:charset w:val="86"/>
    <w:family w:val="roman"/>
    <w:pitch w:val="default"/>
    <w:sig w:usb0="00000003" w:usb1="080E0000" w:usb2="00000010" w:usb3="00000000" w:csb0="00040001" w:csb1="00000000"/>
  </w:font>
  <w:font w:name="华文中宋">
    <w:panose1 w:val="02010600040101010101"/>
    <w:charset w:val="86"/>
    <w:family w:val="auto"/>
    <w:pitch w:val="default"/>
    <w:sig w:usb0="00000287" w:usb1="080F0000" w:usb2="00000000" w:usb3="00000000" w:csb0="0004009F" w:csb1="DFD70000"/>
    <w:embedRegular r:id="rId6" w:fontKey="{5C7D996F-66F0-47E6-8264-8CF050770BBE}"/>
  </w:font>
  <w:font w:name="Lucida Sans Unicode">
    <w:panose1 w:val="020B0602030504020204"/>
    <w:charset w:val="00"/>
    <w:family w:val="swiss"/>
    <w:pitch w:val="default"/>
    <w:sig w:usb0="80001AFF" w:usb1="0000396B" w:usb2="00000000" w:usb3="00000000" w:csb0="200000BF" w:csb1="D7F70000"/>
  </w:font>
  <w:font w:name="楷体_GB2312">
    <w:panose1 w:val="0201060903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华文细黑">
    <w:panose1 w:val="02010600040101010101"/>
    <w:charset w:val="86"/>
    <w:family w:val="auto"/>
    <w:pitch w:val="default"/>
    <w:sig w:usb0="00000287" w:usb1="080F0000" w:usb2="00000000" w:usb3="00000000" w:csb0="0004009F" w:csb1="DFD70000"/>
    <w:embedRegular r:id="rId7" w:fontKey="{124A6CEF-1EF0-4C6C-A1E9-72DFE2A5B7D4}"/>
  </w:font>
  <w:font w:name="Arial Narrow">
    <w:altName w:val="Arial"/>
    <w:panose1 w:val="020B0606020202030204"/>
    <w:charset w:val="00"/>
    <w:family w:val="swiss"/>
    <w:pitch w:val="default"/>
    <w:sig w:usb0="00000287" w:usb1="00000800" w:usb2="00000000" w:usb3="00000000" w:csb0="2000009F" w:csb1="DFD70000"/>
  </w:font>
  <w:font w:name="华文隶书">
    <w:panose1 w:val="02010800040101010101"/>
    <w:charset w:val="86"/>
    <w:family w:val="auto"/>
    <w:pitch w:val="default"/>
    <w:sig w:usb0="00000001" w:usb1="080F0000" w:usb2="00000000" w:usb3="00000000" w:csb0="00040000" w:csb1="00000000"/>
    <w:embedRegular r:id="rId8" w:fontKey="{4253C8D4-CBC3-463B-803E-7F375DCD2AFA}"/>
  </w:font>
  <w:font w:name="微软雅黑">
    <w:panose1 w:val="020B0503020204020204"/>
    <w:charset w:val="86"/>
    <w:family w:val="swiss"/>
    <w:pitch w:val="default"/>
    <w:sig w:usb0="80000287" w:usb1="280F3C52" w:usb2="00000016" w:usb3="00000000" w:csb0="0004001F" w:csb1="00000000"/>
    <w:embedRegular r:id="rId9" w:fontKey="{141ACD28-7CDB-40D3-9413-EC2EE6C9A91D}"/>
  </w:font>
  <w:font w:name="Arial Black">
    <w:panose1 w:val="020B0A04020102020204"/>
    <w:charset w:val="00"/>
    <w:family w:val="swiss"/>
    <w:pitch w:val="default"/>
    <w:sig w:usb0="00000287" w:usb1="00000000" w:usb2="00000000" w:usb3="00000000" w:csb0="2000009F" w:csb1="DFD70000"/>
    <w:embedRegular r:id="rId10" w:fontKey="{B231956F-CD4A-4DEE-AA08-4EB12EA96BD8}"/>
  </w:font>
  <w:font w:name="华文宋体">
    <w:panose1 w:val="02010600040101010101"/>
    <w:charset w:val="86"/>
    <w:family w:val="auto"/>
    <w:pitch w:val="default"/>
    <w:sig w:usb0="00000287" w:usb1="080F0000" w:usb2="00000000" w:usb3="00000000" w:csb0="0004009F" w:csb1="DFD70000"/>
    <w:embedRegular r:id="rId11" w:fontKey="{47AAE5CD-E3D9-4A0C-842A-0D2FD4CF752A}"/>
  </w:font>
  <w:font w:name="MS Gothic">
    <w:altName w:val="Meiryo UI"/>
    <w:panose1 w:val="020B0609070205080204"/>
    <w:charset w:val="80"/>
    <w:family w:val="modern"/>
    <w:pitch w:val="default"/>
    <w:sig w:usb0="E00002FF" w:usb1="6AC7FDFB" w:usb2="08000012" w:usb3="00000000" w:csb0="4002009F" w:csb1="DFD70000"/>
    <w:embedRegular r:id="rId12" w:fontKey="{D5E81658-5376-4509-A3E7-8CB8D2EEFAEB}"/>
  </w:font>
  <w:font w:name="华文楷体">
    <w:panose1 w:val="02010600040101010101"/>
    <w:charset w:val="86"/>
    <w:family w:val="auto"/>
    <w:pitch w:val="default"/>
    <w:sig w:usb0="A00002BF" w:usb1="78CF7CFB" w:usb2="00000016" w:usb3="00000000" w:csb0="6006009F" w:csb1="DFD70000"/>
    <w:embedRegular r:id="rId13" w:fontKey="{E6214C26-2590-46BD-B8A8-F739313D637D}"/>
  </w:font>
  <w:font w:name="ˎ̥">
    <w:altName w:val="Times New Roman"/>
    <w:panose1 w:val="00000000000000000000"/>
    <w:charset w:val="00"/>
    <w:family w:val="roman"/>
    <w:pitch w:val="default"/>
    <w:sig w:usb0="00000000" w:usb1="00000000" w:usb2="00000000" w:usb3="00000000" w:csb0="00040001" w:csb1="00000000"/>
    <w:embedRegular r:id="rId14" w:fontKey="{7C6D7057-B3F4-4AED-A67C-23EEE73E76E9}"/>
  </w:font>
  <w:font w:name="等线">
    <w:altName w:val="微软雅黑"/>
    <w:panose1 w:val="02010600030101010101"/>
    <w:charset w:val="86"/>
    <w:family w:val="auto"/>
    <w:pitch w:val="default"/>
    <w:sig w:usb0="A00002BF" w:usb1="38CF7CFA" w:usb2="00000016" w:usb3="00000000" w:csb0="0004000F" w:csb1="00000000"/>
    <w:embedRegular r:id="rId15" w:fontKey="{39883E01-CE3B-4B0A-816A-EA90F2E8F8C4}"/>
  </w:font>
  <w:font w:name="Meiryo UI">
    <w:panose1 w:val="020B0604030504040204"/>
    <w:charset w:val="80"/>
    <w:family w:val="auto"/>
    <w:pitch w:val="default"/>
    <w:sig w:usb0="E10102FF" w:usb1="EAC7FFFF" w:usb2="00010012" w:usb3="00000000" w:csb0="6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CBC7B4">
    <w:pPr>
      <w:pStyle w:val="20"/>
      <w:jc w:val="right"/>
      <w:rPr>
        <w:b/>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727983">
    <w:pPr>
      <w:pStyle w:val="20"/>
      <w:rPr>
        <w:szCs w:val="24"/>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20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D4CFDE">
                          <w:pPr>
                            <w:pStyle w:val="20"/>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rPr>
                            <w:t>1</w:t>
                          </w:r>
                          <w:r>
                            <w:rPr>
                              <w:sz w:val="20"/>
                              <w:szCs w:val="20"/>
                            </w:rPr>
                            <w:fldChar w:fldCharType="end"/>
                          </w:r>
                        </w:p>
                      </w:txbxContent>
                    </wps:txbx>
                    <wps:bodyPr vert="horz" wrap="none" lIns="0" tIns="0" rIns="0" bIns="0" anchor="t" anchorCtr="0" upright="0">
                      <a:spAutoFit/>
                    </wps:bodyPr>
                  </wps:wsp>
                </a:graphicData>
              </a:graphic>
            </wp:anchor>
          </w:drawing>
        </mc:Choice>
        <mc:Fallback>
          <w:pict>
            <v:shape id="文本框 2067"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PGqlybgAQAAwgMAAA4AAAAA&#10;AAAAAQAgAAAAHgEAAGRycy9lMm9Eb2MueG1sUEsFBgAAAAAGAAYAWQEAAHAFAAAAAA==&#10;">
              <v:fill on="f" focussize="0,0"/>
              <v:stroke on="f"/>
              <v:imagedata o:title=""/>
              <o:lock v:ext="edit" aspectratio="f"/>
              <v:textbox inset="0mm,0mm,0mm,0mm" style="mso-fit-shape-to-text:t;">
                <w:txbxContent>
                  <w:p w14:paraId="3BD4CFDE">
                    <w:pPr>
                      <w:pStyle w:val="20"/>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rPr>
                      <w:t>1</w:t>
                    </w:r>
                    <w:r>
                      <w:rPr>
                        <w:sz w:val="20"/>
                        <w:szCs w:val="20"/>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864CD">
    <w:pPr>
      <w:pStyle w:val="20"/>
      <w:rPr>
        <w:rStyle w:val="39"/>
        <w:szCs w:val="24"/>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20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A08609">
                          <w:pPr>
                            <w:pStyle w:val="20"/>
                          </w:pPr>
                          <w:r>
                            <w:fldChar w:fldCharType="begin"/>
                          </w:r>
                          <w:r>
                            <w:instrText xml:space="preserve"> PAGE  \* MERGEFORMAT </w:instrText>
                          </w:r>
                          <w:r>
                            <w:fldChar w:fldCharType="separate"/>
                          </w:r>
                          <w:r>
                            <w:t>2</w:t>
                          </w:r>
                          <w:r>
                            <w:fldChar w:fldCharType="end"/>
                          </w:r>
                        </w:p>
                      </w:txbxContent>
                    </wps:txbx>
                    <wps:bodyPr vert="horz" wrap="none" lIns="0" tIns="0" rIns="0" bIns="0" anchor="t" anchorCtr="0" upright="0">
                      <a:spAutoFit/>
                    </wps:bodyPr>
                  </wps:wsp>
                </a:graphicData>
              </a:graphic>
            </wp:anchor>
          </w:drawing>
        </mc:Choice>
        <mc:Fallback>
          <w:pict>
            <v:shape id="文本框 2068"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AAeRJvgAQAAwgMAAA4AAAAA&#10;AAAAAQAgAAAAHgEAAGRycy9lMm9Eb2MueG1sUEsFBgAAAAAGAAYAWQEAAHAFAAAAAA==&#10;">
              <v:fill on="f" focussize="0,0"/>
              <v:stroke on="f"/>
              <v:imagedata o:title=""/>
              <o:lock v:ext="edit" aspectratio="f"/>
              <v:textbox inset="0mm,0mm,0mm,0mm" style="mso-fit-shape-to-text:t;">
                <w:txbxContent>
                  <w:p w14:paraId="4FA08609">
                    <w:pPr>
                      <w:pStyle w:val="2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02AEF">
    <w:pPr>
      <w:pStyle w:val="20"/>
      <w:jc w:val="center"/>
      <w:rPr>
        <w:rFonts w:hint="eastAsia" w:ascii="黑体" w:eastAsia="黑体"/>
        <w:b/>
        <w:sz w:val="24"/>
        <w:szCs w:val="24"/>
      </w:rPr>
    </w:pPr>
    <w:r>
      <w:rPr>
        <w:rFonts w:hint="eastAsia" w:ascii="黑体" w:eastAsia="黑体"/>
        <w:b/>
        <w:sz w:val="24"/>
        <w:szCs w:val="24"/>
        <w:lang/>
      </w:rPr>
      <w:drawing>
        <wp:anchor distT="0" distB="0" distL="114300" distR="114300" simplePos="0" relativeHeight="251660288" behindDoc="0" locked="0" layoutInCell="1" allowOverlap="1">
          <wp:simplePos x="0" y="0"/>
          <wp:positionH relativeFrom="column">
            <wp:posOffset>5591175</wp:posOffset>
          </wp:positionH>
          <wp:positionV relativeFrom="paragraph">
            <wp:posOffset>186690</wp:posOffset>
          </wp:positionV>
          <wp:extent cx="1628140" cy="172720"/>
          <wp:effectExtent l="0" t="0" r="10160" b="17780"/>
          <wp:wrapNone/>
          <wp:docPr id="14" name="图片 1155" descr="页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55" descr="页眉-1"/>
                  <pic:cNvPicPr>
                    <a:picLocks noChangeAspect="1"/>
                  </pic:cNvPicPr>
                </pic:nvPicPr>
                <pic:blipFill>
                  <a:blip r:embed="rId1">
                    <a:grayscl/>
                  </a:blip>
                  <a:stretch>
                    <a:fillRect/>
                  </a:stretch>
                </pic:blipFill>
                <pic:spPr>
                  <a:xfrm>
                    <a:off x="0" y="0"/>
                    <a:ext cx="1628140" cy="172720"/>
                  </a:xfrm>
                  <a:prstGeom prst="rect">
                    <a:avLst/>
                  </a:prstGeom>
                  <a:noFill/>
                  <a:ln>
                    <a:noFill/>
                  </a:ln>
                </pic:spPr>
              </pic:pic>
            </a:graphicData>
          </a:graphic>
        </wp:anchor>
      </w:drawing>
    </w:r>
    <w:r>
      <w:rPr>
        <w:rFonts w:hint="eastAsia" w:ascii="黑体" w:eastAsia="黑体"/>
        <w:b/>
        <w:sz w:val="24"/>
        <w:szCs w:val="24"/>
        <w:lang/>
      </w:rPr>
      <mc:AlternateContent>
        <mc:Choice Requires="wps">
          <w:drawing>
            <wp:anchor distT="0" distB="0" distL="180340" distR="180340" simplePos="0" relativeHeight="251661312" behindDoc="0" locked="0" layoutInCell="1" allowOverlap="1">
              <wp:simplePos x="0" y="0"/>
              <wp:positionH relativeFrom="column">
                <wp:posOffset>5380355</wp:posOffset>
              </wp:positionH>
              <wp:positionV relativeFrom="paragraph">
                <wp:posOffset>187325</wp:posOffset>
              </wp:positionV>
              <wp:extent cx="2012950" cy="0"/>
              <wp:effectExtent l="0" t="6350" r="0" b="6350"/>
              <wp:wrapNone/>
              <wp:docPr id="15" name="自选图形 1156"/>
              <wp:cNvGraphicFramePr/>
              <a:graphic xmlns:a="http://schemas.openxmlformats.org/drawingml/2006/main">
                <a:graphicData uri="http://schemas.microsoft.com/office/word/2010/wordprocessingShape">
                  <wps:wsp>
                    <wps:cNvCnPr/>
                    <wps:spPr>
                      <a:xfrm>
                        <a:off x="0" y="0"/>
                        <a:ext cx="2012950" cy="0"/>
                      </a:xfrm>
                      <a:prstGeom prst="straightConnector1">
                        <a:avLst/>
                      </a:prstGeom>
                      <a:ln w="12700" cap="flat" cmpd="sng">
                        <a:solidFill>
                          <a:srgbClr val="000000"/>
                        </a:solidFill>
                        <a:prstDash val="solid"/>
                        <a:headEnd type="none" w="med" len="med"/>
                        <a:tailEnd type="none" w="med" len="med"/>
                      </a:ln>
                    </wps:spPr>
                    <wps:bodyPr/>
                  </wps:wsp>
                </a:graphicData>
              </a:graphic>
            </wp:anchor>
          </w:drawing>
        </mc:Choice>
        <mc:Fallback>
          <w:pict>
            <v:shape id="自选图形 1156" o:spid="_x0000_s1026" o:spt="32" type="#_x0000_t32" style="position:absolute;left:0pt;margin-left:423.65pt;margin-top:14.75pt;height:0pt;width:158.5pt;z-index:251661312;mso-width-relative:page;mso-height-relative:page;" filled="f" stroked="t" coordsize="21600,21600" o:gfxdata="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7vmivNQAAAAKAQAADwAAAAAAAAABACAAAAAiAAAAZHJzL2Rvd25yZXYueG1sUEsBAhQA&#10;FAAAAAgAh07iQKvo5/L2AQAA6AMAAA4AAAAAAAAAAQAgAAAAIwEAAGRycy9lMm9Eb2MueG1sUEsF&#10;BgAAAAAGAAYAWQEAAIsFAAAAAA==&#10;">
              <v:fill on="f" focussize="0,0"/>
              <v:stroke weight="1pt" color="#000000" joinstyle="round"/>
              <v:imagedata o:title=""/>
              <o:lock v:ext="edit" aspectratio="f"/>
            </v:shape>
          </w:pict>
        </mc:Fallback>
      </mc:AlternateContent>
    </w:r>
    <w:r>
      <w:rPr>
        <w:rStyle w:val="39"/>
        <w:rFonts w:hint="eastAsia" w:ascii="黑体" w:eastAsia="黑体"/>
        <w:b/>
        <w:sz w:val="24"/>
        <w:szCs w:val="24"/>
      </w:rPr>
      <w:fldChar w:fldCharType="begin"/>
    </w:r>
    <w:r>
      <w:rPr>
        <w:rStyle w:val="39"/>
        <w:rFonts w:hint="eastAsia" w:ascii="黑体" w:eastAsia="黑体"/>
        <w:b/>
        <w:sz w:val="24"/>
        <w:szCs w:val="24"/>
      </w:rPr>
      <w:instrText xml:space="preserve"> PAGE </w:instrText>
    </w:r>
    <w:r>
      <w:rPr>
        <w:rStyle w:val="39"/>
        <w:rFonts w:hint="eastAsia" w:ascii="黑体" w:eastAsia="黑体"/>
        <w:b/>
        <w:sz w:val="24"/>
        <w:szCs w:val="24"/>
      </w:rPr>
      <w:fldChar w:fldCharType="separate"/>
    </w:r>
    <w:r>
      <w:rPr>
        <w:rStyle w:val="39"/>
        <w:rFonts w:ascii="黑体" w:eastAsia="黑体"/>
        <w:b/>
        <w:sz w:val="24"/>
        <w:szCs w:val="24"/>
        <w:lang/>
      </w:rPr>
      <w:t>64</w:t>
    </w:r>
    <w:r>
      <w:rPr>
        <w:rStyle w:val="39"/>
        <w:rFonts w:hint="eastAsia" w:ascii="黑体" w:eastAsia="黑体"/>
        <w:b/>
        <w:sz w:val="24"/>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9C631">
    <w:pPr>
      <w:pStyle w:val="20"/>
      <w:rPr>
        <w:szCs w:val="24"/>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20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5FF86B4">
                          <w:pPr>
                            <w:pStyle w:val="20"/>
                          </w:pPr>
                          <w:r>
                            <w:fldChar w:fldCharType="begin"/>
                          </w:r>
                          <w:r>
                            <w:instrText xml:space="preserve"> PAGE  \* MERGEFORMAT </w:instrText>
                          </w:r>
                          <w:r>
                            <w:fldChar w:fldCharType="separate"/>
                          </w:r>
                          <w:r>
                            <w:t>3</w:t>
                          </w:r>
                          <w:r>
                            <w:fldChar w:fldCharType="end"/>
                          </w:r>
                        </w:p>
                      </w:txbxContent>
                    </wps:txbx>
                    <wps:bodyPr vert="horz" wrap="none" lIns="0" tIns="0" rIns="0" bIns="0" anchor="t" anchorCtr="0" upright="0">
                      <a:spAutoFit/>
                    </wps:bodyPr>
                  </wps:wsp>
                </a:graphicData>
              </a:graphic>
            </wp:anchor>
          </w:drawing>
        </mc:Choice>
        <mc:Fallback>
          <w:pict>
            <v:shape id="文本框 2069"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DbPSOvgAQAAwgMAAA4AAAAA&#10;AAAAAQAgAAAAHgEAAGRycy9lMm9Eb2MueG1sUEsFBgAAAAAGAAYAWQEAAHAFAAAAAA==&#10;">
              <v:fill on="f" focussize="0,0"/>
              <v:stroke on="f"/>
              <v:imagedata o:title=""/>
              <o:lock v:ext="edit" aspectratio="f"/>
              <v:textbox inset="0mm,0mm,0mm,0mm" style="mso-fit-shape-to-text:t;">
                <w:txbxContent>
                  <w:p w14:paraId="55FF86B4">
                    <w:pPr>
                      <w:pStyle w:val="2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6B3CE">
    <w:pPr>
      <w:pStyle w:val="20"/>
      <w:rPr>
        <w:rStyle w:val="39"/>
        <w:szCs w:val="24"/>
      </w:rPr>
    </w:pPr>
    <w:r>
      <w:rPr>
        <w:szCs w:val="24"/>
      </w:rPr>
      <mc:AlternateContent>
        <mc:Choice Requires="wps">
          <w:drawing>
            <wp:anchor distT="0" distB="0" distL="114300" distR="114300" simplePos="0" relativeHeight="251662336" behindDoc="0" locked="0" layoutInCell="0" allowOverlap="0">
              <wp:simplePos x="0" y="0"/>
              <wp:positionH relativeFrom="margin">
                <wp:align>center</wp:align>
              </wp:positionH>
              <wp:positionV relativeFrom="paragraph">
                <wp:posOffset>0</wp:posOffset>
              </wp:positionV>
              <wp:extent cx="413385" cy="391160"/>
              <wp:effectExtent l="0" t="0" r="0" b="0"/>
              <wp:wrapNone/>
              <wp:docPr id="16" name="文本框 1161"/>
              <wp:cNvGraphicFramePr/>
              <a:graphic xmlns:a="http://schemas.openxmlformats.org/drawingml/2006/main">
                <a:graphicData uri="http://schemas.microsoft.com/office/word/2010/wordprocessingShape">
                  <wps:wsp>
                    <wps:cNvSpPr txBox="1"/>
                    <wps:spPr>
                      <a:xfrm>
                        <a:off x="0" y="0"/>
                        <a:ext cx="413385" cy="391160"/>
                      </a:xfrm>
                      <a:prstGeom prst="rect">
                        <a:avLst/>
                      </a:prstGeom>
                      <a:noFill/>
                      <a:ln>
                        <a:noFill/>
                      </a:ln>
                    </wps:spPr>
                    <wps:txbx>
                      <w:txbxContent>
                        <w:p w14:paraId="0F5F71C4">
                          <w:pPr>
                            <w:jc w:val="center"/>
                            <w:rPr>
                              <w:rFonts w:ascii="Arial Black" w:hAnsi="Arial Black" w:eastAsia="黑体"/>
                              <w:color w:val="C00000"/>
                              <w:sz w:val="30"/>
                              <w:szCs w:val="30"/>
                            </w:rPr>
                          </w:pPr>
                          <w:r>
                            <w:rPr>
                              <w:rFonts w:ascii="Arial Black" w:hAnsi="Arial Black" w:eastAsia="黑体"/>
                              <w:color w:val="C00000"/>
                              <w:sz w:val="30"/>
                              <w:szCs w:val="30"/>
                            </w:rPr>
                            <w:fldChar w:fldCharType="begin"/>
                          </w:r>
                          <w:r>
                            <w:rPr>
                              <w:rFonts w:ascii="Arial Black" w:hAnsi="Arial Black" w:eastAsia="黑体"/>
                              <w:color w:val="C00000"/>
                              <w:sz w:val="30"/>
                              <w:szCs w:val="30"/>
                            </w:rPr>
                            <w:instrText xml:space="preserve"> PAGE   \* MERGEFORMAT </w:instrText>
                          </w:r>
                          <w:r>
                            <w:rPr>
                              <w:rFonts w:ascii="Arial Black" w:hAnsi="Arial Black" w:eastAsia="黑体"/>
                              <w:color w:val="C00000"/>
                              <w:sz w:val="30"/>
                              <w:szCs w:val="30"/>
                            </w:rPr>
                            <w:fldChar w:fldCharType="separate"/>
                          </w:r>
                          <w:r>
                            <w:rPr>
                              <w:rFonts w:ascii="Arial Black" w:hAnsi="Arial Black" w:eastAsia="黑体"/>
                              <w:color w:val="C00000"/>
                              <w:sz w:val="30"/>
                              <w:szCs w:val="30"/>
                              <w:lang w:val="zh-CN"/>
                            </w:rPr>
                            <w:t>II</w:t>
                          </w:r>
                          <w:r>
                            <w:rPr>
                              <w:rFonts w:ascii="Arial Black" w:hAnsi="Arial Black" w:eastAsia="黑体"/>
                              <w:color w:val="C00000"/>
                              <w:sz w:val="30"/>
                              <w:szCs w:val="30"/>
                            </w:rPr>
                            <w:fldChar w:fldCharType="end"/>
                          </w:r>
                        </w:p>
                      </w:txbxContent>
                    </wps:txbx>
                    <wps:bodyPr vert="horz" wrap="square" lIns="0" tIns="0" rIns="0" bIns="0" anchor="t" anchorCtr="0" upright="1"/>
                  </wps:wsp>
                </a:graphicData>
              </a:graphic>
            </wp:anchor>
          </w:drawing>
        </mc:Choice>
        <mc:Fallback>
          <w:pict>
            <v:shape id="文本框 1161" o:spid="_x0000_s1026" o:spt="202" type="#_x0000_t202" style="position:absolute;left:0pt;margin-top:0pt;height:30.8pt;width:32.55pt;mso-position-horizontal:center;mso-position-horizontal-relative:margin;z-index:251662336;mso-width-relative:margin;mso-height-relative:margin;" filled="f" stroked="f" coordsize="21600,21600" o:allowincell="f" o:allowoverlap="f" o:gfxdata="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cNgbwNMAAAADAQAADwAAAAAAAAAB&#10;ACAAAAAiAAAAZHJzL2Rvd25yZXYueG1sUEsBAhQAFAAAAAgAh07iQM9O8FTcAQAAqAMAAA4AAAAA&#10;AAAAAQAgAAAAIgEAAGRycy9lMm9Eb2MueG1sUEsFBgAAAAAGAAYAWQEAAHAFAAAAAA==&#10;">
              <v:fill on="f" focussize="0,0"/>
              <v:stroke on="f"/>
              <v:imagedata o:title=""/>
              <o:lock v:ext="edit" aspectratio="f"/>
              <v:textbox inset="0mm,0mm,0mm,0mm">
                <w:txbxContent>
                  <w:p w14:paraId="0F5F71C4">
                    <w:pPr>
                      <w:jc w:val="center"/>
                      <w:rPr>
                        <w:rFonts w:ascii="Arial Black" w:hAnsi="Arial Black" w:eastAsia="黑体"/>
                        <w:color w:val="C00000"/>
                        <w:sz w:val="30"/>
                        <w:szCs w:val="30"/>
                      </w:rPr>
                    </w:pPr>
                    <w:r>
                      <w:rPr>
                        <w:rFonts w:ascii="Arial Black" w:hAnsi="Arial Black" w:eastAsia="黑体"/>
                        <w:color w:val="C00000"/>
                        <w:sz w:val="30"/>
                        <w:szCs w:val="30"/>
                      </w:rPr>
                      <w:fldChar w:fldCharType="begin"/>
                    </w:r>
                    <w:r>
                      <w:rPr>
                        <w:rFonts w:ascii="Arial Black" w:hAnsi="Arial Black" w:eastAsia="黑体"/>
                        <w:color w:val="C00000"/>
                        <w:sz w:val="30"/>
                        <w:szCs w:val="30"/>
                      </w:rPr>
                      <w:instrText xml:space="preserve"> PAGE   \* MERGEFORMAT </w:instrText>
                    </w:r>
                    <w:r>
                      <w:rPr>
                        <w:rFonts w:ascii="Arial Black" w:hAnsi="Arial Black" w:eastAsia="黑体"/>
                        <w:color w:val="C00000"/>
                        <w:sz w:val="30"/>
                        <w:szCs w:val="30"/>
                      </w:rPr>
                      <w:fldChar w:fldCharType="separate"/>
                    </w:r>
                    <w:r>
                      <w:rPr>
                        <w:rFonts w:ascii="Arial Black" w:hAnsi="Arial Black" w:eastAsia="黑体"/>
                        <w:color w:val="C00000"/>
                        <w:sz w:val="30"/>
                        <w:szCs w:val="30"/>
                        <w:lang w:val="zh-CN"/>
                      </w:rPr>
                      <w:t>II</w:t>
                    </w:r>
                    <w:r>
                      <w:rPr>
                        <w:rFonts w:ascii="Arial Black" w:hAnsi="Arial Black" w:eastAsia="黑体"/>
                        <w:color w:val="C00000"/>
                        <w:sz w:val="30"/>
                        <w:szCs w:val="30"/>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B6EE4A">
    <w:pPr>
      <w:pStyle w:val="20"/>
      <w:rPr>
        <w:szCs w:val="24"/>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081850">
                          <w:pPr>
                            <w:pStyle w:val="20"/>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2070"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Ci+c7N8BAADCAwAADgAAAAAA&#10;AAABACAAAAAeAQAAZHJzL2Uyb0RvYy54bWxQSwUGAAAAAAYABgBZAQAAbwUAAAAA&#10;">
              <v:fill on="f" focussize="0,0"/>
              <v:stroke on="f"/>
              <v:imagedata o:title=""/>
              <o:lock v:ext="edit" aspectratio="f"/>
              <v:textbox inset="0mm,0mm,0mm,0mm" style="mso-fit-shape-to-text:t;">
                <w:txbxContent>
                  <w:p w14:paraId="24081850">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0CF18C">
    <w:pPr>
      <w:pStyle w:val="20"/>
      <w:rPr>
        <w:rStyle w:val="39"/>
        <w:szCs w:val="24"/>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0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869C589">
                          <w:pPr>
                            <w:pStyle w:val="20"/>
                          </w:pPr>
                          <w:r>
                            <w:fldChar w:fldCharType="begin"/>
                          </w:r>
                          <w:r>
                            <w:instrText xml:space="preserve"> PAGE  \* MERGEFORMAT </w:instrText>
                          </w:r>
                          <w:r>
                            <w:fldChar w:fldCharType="separate"/>
                          </w:r>
                          <w:r>
                            <w:t>4</w:t>
                          </w:r>
                          <w:r>
                            <w:fldChar w:fldCharType="end"/>
                          </w:r>
                        </w:p>
                      </w:txbxContent>
                    </wps:txbx>
                    <wps:bodyPr vert="horz" wrap="none" lIns="0" tIns="0" rIns="0" bIns="0" anchor="t" anchorCtr="0" upright="0">
                      <a:spAutoFit/>
                    </wps:bodyPr>
                  </wps:wsp>
                </a:graphicData>
              </a:graphic>
            </wp:anchor>
          </w:drawing>
        </mc:Choice>
        <mc:Fallback>
          <w:pict>
            <v:shape id="文本框 2071"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Dz+kJzgAQAAwgMAAA4AAAAA&#10;AAAAAQAgAAAAHgEAAGRycy9lMm9Eb2MueG1sUEsFBgAAAAAGAAYAWQEAAHAFAAAAAA==&#10;">
              <v:fill on="f" focussize="0,0"/>
              <v:stroke on="f"/>
              <v:imagedata o:title=""/>
              <o:lock v:ext="edit" aspectratio="f"/>
              <v:textbox inset="0mm,0mm,0mm,0mm" style="mso-fit-shape-to-text:t;">
                <w:txbxContent>
                  <w:p w14:paraId="3869C589">
                    <w:pPr>
                      <w:pStyle w:val="20"/>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E24C7A">
    <w:pPr>
      <w:spacing w:line="14" w:lineRule="auto"/>
      <w:rPr>
        <w:rFonts w:ascii="Arial"/>
        <w:sz w:val="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8BDA59">
    <w:pPr>
      <w:pStyle w:val="21"/>
      <w:pBdr>
        <w:bottom w:val="none" w:color="auto" w:sz="0" w:space="1"/>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D4CF6F">
    <w:pPr>
      <w:rPr>
        <w:rFonts w:hint="eastAsia"/>
      </w:rPr>
    </w:pPr>
    <w:r>
      <w:rPr>
        <w:rFonts w:hint="eastAsia"/>
        <w:lang/>
      </w:rPr>
      <w:drawing>
        <wp:anchor distT="0" distB="0" distL="114300" distR="114300" simplePos="0" relativeHeight="251659264" behindDoc="1" locked="0" layoutInCell="1" allowOverlap="1">
          <wp:simplePos x="0" y="0"/>
          <wp:positionH relativeFrom="column">
            <wp:posOffset>-1272540</wp:posOffset>
          </wp:positionH>
          <wp:positionV relativeFrom="paragraph">
            <wp:posOffset>-557530</wp:posOffset>
          </wp:positionV>
          <wp:extent cx="15119985" cy="10695940"/>
          <wp:effectExtent l="0" t="0" r="5715" b="10160"/>
          <wp:wrapNone/>
          <wp:docPr id="13" name="图片 1209" descr="封底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09" descr="封底02"/>
                  <pic:cNvPicPr>
                    <a:picLocks noChangeAspect="1"/>
                  </pic:cNvPicPr>
                </pic:nvPicPr>
                <pic:blipFill>
                  <a:blip r:embed="rId1"/>
                  <a:stretch>
                    <a:fillRect/>
                  </a:stretch>
                </pic:blipFill>
                <pic:spPr>
                  <a:xfrm>
                    <a:off x="0" y="0"/>
                    <a:ext cx="15119985" cy="1069594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47043E">
    <w:pPr>
      <w:pStyle w:val="21"/>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765004"/>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902A16">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052A28"/>
    <w:multiLevelType w:val="multilevel"/>
    <w:tmpl w:val="A2052A28"/>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
    <w:nsid w:val="A9C87779"/>
    <w:multiLevelType w:val="multilevel"/>
    <w:tmpl w:val="A9C87779"/>
    <w:lvl w:ilvl="0" w:tentative="0">
      <w:start w:val="1"/>
      <w:numFmt w:val="decimal"/>
      <w:lvlText w:val="%1)"/>
      <w:lvlJc w:val="left"/>
      <w:pPr>
        <w:ind w:left="1322" w:hanging="420"/>
      </w:pPr>
    </w:lvl>
    <w:lvl w:ilvl="1" w:tentative="0">
      <w:start w:val="1"/>
      <w:numFmt w:val="lowerLetter"/>
      <w:lvlText w:val="%2)"/>
      <w:lvlJc w:val="left"/>
      <w:pPr>
        <w:ind w:left="1742" w:hanging="420"/>
      </w:pPr>
    </w:lvl>
    <w:lvl w:ilvl="2" w:tentative="0">
      <w:start w:val="1"/>
      <w:numFmt w:val="lowerRoman"/>
      <w:lvlText w:val="%3."/>
      <w:lvlJc w:val="right"/>
      <w:pPr>
        <w:ind w:left="2162" w:hanging="420"/>
      </w:pPr>
    </w:lvl>
    <w:lvl w:ilvl="3" w:tentative="0">
      <w:start w:val="1"/>
      <w:numFmt w:val="decimal"/>
      <w:lvlText w:val="%4."/>
      <w:lvlJc w:val="left"/>
      <w:pPr>
        <w:ind w:left="2582" w:hanging="420"/>
      </w:pPr>
    </w:lvl>
    <w:lvl w:ilvl="4" w:tentative="0">
      <w:start w:val="1"/>
      <w:numFmt w:val="lowerLetter"/>
      <w:lvlText w:val="%5)"/>
      <w:lvlJc w:val="left"/>
      <w:pPr>
        <w:ind w:left="3002" w:hanging="420"/>
      </w:pPr>
    </w:lvl>
    <w:lvl w:ilvl="5" w:tentative="0">
      <w:start w:val="1"/>
      <w:numFmt w:val="lowerRoman"/>
      <w:lvlText w:val="%6."/>
      <w:lvlJc w:val="right"/>
      <w:pPr>
        <w:ind w:left="3422" w:hanging="420"/>
      </w:pPr>
    </w:lvl>
    <w:lvl w:ilvl="6" w:tentative="0">
      <w:start w:val="1"/>
      <w:numFmt w:val="decimal"/>
      <w:lvlText w:val="%7."/>
      <w:lvlJc w:val="left"/>
      <w:pPr>
        <w:ind w:left="3842" w:hanging="420"/>
      </w:pPr>
    </w:lvl>
    <w:lvl w:ilvl="7" w:tentative="0">
      <w:start w:val="1"/>
      <w:numFmt w:val="lowerLetter"/>
      <w:lvlText w:val="%8)"/>
      <w:lvlJc w:val="left"/>
      <w:pPr>
        <w:ind w:left="4262" w:hanging="420"/>
      </w:pPr>
    </w:lvl>
    <w:lvl w:ilvl="8" w:tentative="0">
      <w:start w:val="1"/>
      <w:numFmt w:val="lowerRoman"/>
      <w:lvlText w:val="%9."/>
      <w:lvlJc w:val="right"/>
      <w:pPr>
        <w:ind w:left="4682" w:hanging="420"/>
      </w:pPr>
    </w:lvl>
  </w:abstractNum>
  <w:abstractNum w:abstractNumId="2">
    <w:nsid w:val="ACC2A80E"/>
    <w:multiLevelType w:val="multilevel"/>
    <w:tmpl w:val="ACC2A80E"/>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
    <w:nsid w:val="ACD7CE22"/>
    <w:multiLevelType w:val="multilevel"/>
    <w:tmpl w:val="ACD7CE22"/>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
    <w:nsid w:val="B2B98874"/>
    <w:multiLevelType w:val="multilevel"/>
    <w:tmpl w:val="B2B98874"/>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5">
    <w:nsid w:val="B2C193D5"/>
    <w:multiLevelType w:val="multilevel"/>
    <w:tmpl w:val="B2C193D5"/>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6">
    <w:nsid w:val="D424EC55"/>
    <w:multiLevelType w:val="multilevel"/>
    <w:tmpl w:val="D424EC55"/>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DA7F0833"/>
    <w:multiLevelType w:val="multilevel"/>
    <w:tmpl w:val="DA7F0833"/>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DF8270D2"/>
    <w:multiLevelType w:val="multilevel"/>
    <w:tmpl w:val="DF8270D2"/>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
    <w:nsid w:val="E42B400A"/>
    <w:multiLevelType w:val="multilevel"/>
    <w:tmpl w:val="E42B400A"/>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0">
    <w:nsid w:val="E6E121EF"/>
    <w:multiLevelType w:val="singleLevel"/>
    <w:tmpl w:val="E6E121EF"/>
    <w:lvl w:ilvl="0" w:tentative="0">
      <w:start w:val="8"/>
      <w:numFmt w:val="chineseCounting"/>
      <w:suff w:val="space"/>
      <w:lvlText w:val="第%1章"/>
      <w:lvlJc w:val="left"/>
      <w:rPr>
        <w:rFonts w:hint="eastAsia"/>
      </w:rPr>
    </w:lvl>
  </w:abstractNum>
  <w:abstractNum w:abstractNumId="11">
    <w:nsid w:val="0237007F"/>
    <w:multiLevelType w:val="singleLevel"/>
    <w:tmpl w:val="0237007F"/>
    <w:lvl w:ilvl="0" w:tentative="0">
      <w:start w:val="1"/>
      <w:numFmt w:val="decimalEnclosedCircleChinese"/>
      <w:suff w:val="nothing"/>
      <w:lvlText w:val="%1　"/>
      <w:lvlJc w:val="left"/>
      <w:pPr>
        <w:ind w:left="0" w:firstLine="400"/>
      </w:pPr>
      <w:rPr>
        <w:rFonts w:hint="eastAsia"/>
      </w:rPr>
    </w:lvl>
  </w:abstractNum>
  <w:abstractNum w:abstractNumId="12">
    <w:nsid w:val="0ED23250"/>
    <w:multiLevelType w:val="singleLevel"/>
    <w:tmpl w:val="0ED23250"/>
    <w:lvl w:ilvl="0" w:tentative="0">
      <w:start w:val="1"/>
      <w:numFmt w:val="decimalEnclosedCircleChinese"/>
      <w:suff w:val="nothing"/>
      <w:lvlText w:val="%1　"/>
      <w:lvlJc w:val="left"/>
      <w:pPr>
        <w:ind w:left="0" w:firstLine="400"/>
      </w:pPr>
      <w:rPr>
        <w:rFonts w:hint="eastAsia"/>
      </w:rPr>
    </w:lvl>
  </w:abstractNum>
  <w:abstractNum w:abstractNumId="13">
    <w:nsid w:val="1363685D"/>
    <w:multiLevelType w:val="multilevel"/>
    <w:tmpl w:val="1363685D"/>
    <w:lvl w:ilvl="0" w:tentative="0">
      <w:start w:val="1"/>
      <w:numFmt w:val="decimal"/>
      <w:lvlText w:val="%1."/>
      <w:lvlJc w:val="left"/>
      <w:pPr>
        <w:ind w:left="900" w:hanging="420"/>
      </w:pPr>
      <w:rPr>
        <w:rFonts w:hint="eastAsia"/>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4">
    <w:nsid w:val="151E4E5B"/>
    <w:multiLevelType w:val="multilevel"/>
    <w:tmpl w:val="151E4E5B"/>
    <w:lvl w:ilvl="0" w:tentative="0">
      <w:start w:val="1"/>
      <w:numFmt w:val="decimal"/>
      <w:lvlText w:val="%1)"/>
      <w:lvlJc w:val="left"/>
      <w:pPr>
        <w:ind w:left="1322" w:hanging="420"/>
      </w:pPr>
    </w:lvl>
    <w:lvl w:ilvl="1" w:tentative="0">
      <w:start w:val="1"/>
      <w:numFmt w:val="lowerLetter"/>
      <w:lvlText w:val="%2)"/>
      <w:lvlJc w:val="left"/>
      <w:pPr>
        <w:ind w:left="1742" w:hanging="420"/>
      </w:pPr>
    </w:lvl>
    <w:lvl w:ilvl="2" w:tentative="0">
      <w:start w:val="1"/>
      <w:numFmt w:val="lowerRoman"/>
      <w:lvlText w:val="%3."/>
      <w:lvlJc w:val="right"/>
      <w:pPr>
        <w:ind w:left="2162" w:hanging="420"/>
      </w:pPr>
    </w:lvl>
    <w:lvl w:ilvl="3" w:tentative="0">
      <w:start w:val="1"/>
      <w:numFmt w:val="decimal"/>
      <w:lvlText w:val="%4."/>
      <w:lvlJc w:val="left"/>
      <w:pPr>
        <w:ind w:left="2582" w:hanging="420"/>
      </w:pPr>
    </w:lvl>
    <w:lvl w:ilvl="4" w:tentative="0">
      <w:start w:val="1"/>
      <w:numFmt w:val="lowerLetter"/>
      <w:lvlText w:val="%5)"/>
      <w:lvlJc w:val="left"/>
      <w:pPr>
        <w:ind w:left="3002" w:hanging="420"/>
      </w:pPr>
    </w:lvl>
    <w:lvl w:ilvl="5" w:tentative="0">
      <w:start w:val="1"/>
      <w:numFmt w:val="lowerRoman"/>
      <w:lvlText w:val="%6."/>
      <w:lvlJc w:val="right"/>
      <w:pPr>
        <w:ind w:left="3422" w:hanging="420"/>
      </w:pPr>
    </w:lvl>
    <w:lvl w:ilvl="6" w:tentative="0">
      <w:start w:val="1"/>
      <w:numFmt w:val="decimal"/>
      <w:lvlText w:val="%7."/>
      <w:lvlJc w:val="left"/>
      <w:pPr>
        <w:ind w:left="3842" w:hanging="420"/>
      </w:pPr>
    </w:lvl>
    <w:lvl w:ilvl="7" w:tentative="0">
      <w:start w:val="1"/>
      <w:numFmt w:val="lowerLetter"/>
      <w:lvlText w:val="%8)"/>
      <w:lvlJc w:val="left"/>
      <w:pPr>
        <w:ind w:left="4262" w:hanging="420"/>
      </w:pPr>
    </w:lvl>
    <w:lvl w:ilvl="8" w:tentative="0">
      <w:start w:val="1"/>
      <w:numFmt w:val="lowerRoman"/>
      <w:lvlText w:val="%9."/>
      <w:lvlJc w:val="right"/>
      <w:pPr>
        <w:ind w:left="4682" w:hanging="420"/>
      </w:pPr>
    </w:lvl>
  </w:abstractNum>
  <w:abstractNum w:abstractNumId="15">
    <w:nsid w:val="1B891CC7"/>
    <w:multiLevelType w:val="multilevel"/>
    <w:tmpl w:val="1B891CC7"/>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6">
    <w:nsid w:val="1E950131"/>
    <w:multiLevelType w:val="multilevel"/>
    <w:tmpl w:val="1E950131"/>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7">
    <w:nsid w:val="1EA43FC6"/>
    <w:multiLevelType w:val="multilevel"/>
    <w:tmpl w:val="1EA43FC6"/>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8">
    <w:nsid w:val="1FD86535"/>
    <w:multiLevelType w:val="multilevel"/>
    <w:tmpl w:val="1FD86535"/>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9">
    <w:nsid w:val="21AA3328"/>
    <w:multiLevelType w:val="multilevel"/>
    <w:tmpl w:val="21AA332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0">
    <w:nsid w:val="234D6D78"/>
    <w:multiLevelType w:val="multilevel"/>
    <w:tmpl w:val="234D6D78"/>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1">
    <w:nsid w:val="23C56DEB"/>
    <w:multiLevelType w:val="multilevel"/>
    <w:tmpl w:val="23C56DEB"/>
    <w:lvl w:ilvl="0" w:tentative="0">
      <w:start w:val="1"/>
      <w:numFmt w:val="decimal"/>
      <w:lvlText w:val="%1."/>
      <w:lvlJc w:val="left"/>
      <w:pPr>
        <w:ind w:left="902" w:hanging="420"/>
      </w:p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2">
    <w:nsid w:val="23CA29BE"/>
    <w:multiLevelType w:val="multilevel"/>
    <w:tmpl w:val="23CA29BE"/>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3">
    <w:nsid w:val="24DB1110"/>
    <w:multiLevelType w:val="multilevel"/>
    <w:tmpl w:val="24DB1110"/>
    <w:lvl w:ilvl="0" w:tentative="0">
      <w:start w:val="1"/>
      <w:numFmt w:val="decimal"/>
      <w:lvlText w:val="%1."/>
      <w:lvlJc w:val="left"/>
      <w:pPr>
        <w:ind w:left="902" w:hanging="420"/>
      </w:p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4">
    <w:nsid w:val="24E404C8"/>
    <w:multiLevelType w:val="multilevel"/>
    <w:tmpl w:val="24E404C8"/>
    <w:lvl w:ilvl="0" w:tentative="0">
      <w:start w:val="1"/>
      <w:numFmt w:val="decimal"/>
      <w:lvlText w:val="%1)"/>
      <w:lvlJc w:val="left"/>
      <w:pPr>
        <w:ind w:left="1322" w:hanging="420"/>
      </w:pPr>
    </w:lvl>
    <w:lvl w:ilvl="1" w:tentative="0">
      <w:start w:val="1"/>
      <w:numFmt w:val="lowerLetter"/>
      <w:lvlText w:val="%2)"/>
      <w:lvlJc w:val="left"/>
      <w:pPr>
        <w:ind w:left="1742" w:hanging="420"/>
      </w:pPr>
    </w:lvl>
    <w:lvl w:ilvl="2" w:tentative="0">
      <w:start w:val="1"/>
      <w:numFmt w:val="lowerRoman"/>
      <w:lvlText w:val="%3."/>
      <w:lvlJc w:val="right"/>
      <w:pPr>
        <w:ind w:left="2162" w:hanging="420"/>
      </w:pPr>
    </w:lvl>
    <w:lvl w:ilvl="3" w:tentative="0">
      <w:start w:val="1"/>
      <w:numFmt w:val="decimal"/>
      <w:lvlText w:val="%4."/>
      <w:lvlJc w:val="left"/>
      <w:pPr>
        <w:ind w:left="2582" w:hanging="420"/>
      </w:pPr>
    </w:lvl>
    <w:lvl w:ilvl="4" w:tentative="0">
      <w:start w:val="1"/>
      <w:numFmt w:val="lowerLetter"/>
      <w:lvlText w:val="%5)"/>
      <w:lvlJc w:val="left"/>
      <w:pPr>
        <w:ind w:left="3002" w:hanging="420"/>
      </w:pPr>
    </w:lvl>
    <w:lvl w:ilvl="5" w:tentative="0">
      <w:start w:val="1"/>
      <w:numFmt w:val="lowerRoman"/>
      <w:lvlText w:val="%6."/>
      <w:lvlJc w:val="right"/>
      <w:pPr>
        <w:ind w:left="3422" w:hanging="420"/>
      </w:pPr>
    </w:lvl>
    <w:lvl w:ilvl="6" w:tentative="0">
      <w:start w:val="1"/>
      <w:numFmt w:val="decimal"/>
      <w:lvlText w:val="%7."/>
      <w:lvlJc w:val="left"/>
      <w:pPr>
        <w:ind w:left="3842" w:hanging="420"/>
      </w:pPr>
    </w:lvl>
    <w:lvl w:ilvl="7" w:tentative="0">
      <w:start w:val="1"/>
      <w:numFmt w:val="lowerLetter"/>
      <w:lvlText w:val="%8)"/>
      <w:lvlJc w:val="left"/>
      <w:pPr>
        <w:ind w:left="4262" w:hanging="420"/>
      </w:pPr>
    </w:lvl>
    <w:lvl w:ilvl="8" w:tentative="0">
      <w:start w:val="1"/>
      <w:numFmt w:val="lowerRoman"/>
      <w:lvlText w:val="%9."/>
      <w:lvlJc w:val="right"/>
      <w:pPr>
        <w:ind w:left="4682" w:hanging="420"/>
      </w:pPr>
    </w:lvl>
  </w:abstractNum>
  <w:abstractNum w:abstractNumId="25">
    <w:nsid w:val="26820433"/>
    <w:multiLevelType w:val="multilevel"/>
    <w:tmpl w:val="26820433"/>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6">
    <w:nsid w:val="377A6F76"/>
    <w:multiLevelType w:val="multilevel"/>
    <w:tmpl w:val="377A6F76"/>
    <w:lvl w:ilvl="0" w:tentative="0">
      <w:start w:val="1"/>
      <w:numFmt w:val="decimal"/>
      <w:lvlText w:val="%1)"/>
      <w:lvlJc w:val="left"/>
      <w:pPr>
        <w:ind w:left="1322" w:hanging="420"/>
      </w:pPr>
    </w:lvl>
    <w:lvl w:ilvl="1" w:tentative="0">
      <w:start w:val="1"/>
      <w:numFmt w:val="lowerLetter"/>
      <w:lvlText w:val="%2)"/>
      <w:lvlJc w:val="left"/>
      <w:pPr>
        <w:ind w:left="1742" w:hanging="420"/>
      </w:pPr>
    </w:lvl>
    <w:lvl w:ilvl="2" w:tentative="0">
      <w:start w:val="1"/>
      <w:numFmt w:val="lowerRoman"/>
      <w:lvlText w:val="%3."/>
      <w:lvlJc w:val="right"/>
      <w:pPr>
        <w:ind w:left="2162" w:hanging="420"/>
      </w:pPr>
    </w:lvl>
    <w:lvl w:ilvl="3" w:tentative="0">
      <w:start w:val="1"/>
      <w:numFmt w:val="decimal"/>
      <w:lvlText w:val="%4."/>
      <w:lvlJc w:val="left"/>
      <w:pPr>
        <w:ind w:left="2582" w:hanging="420"/>
      </w:pPr>
    </w:lvl>
    <w:lvl w:ilvl="4" w:tentative="0">
      <w:start w:val="1"/>
      <w:numFmt w:val="lowerLetter"/>
      <w:lvlText w:val="%5)"/>
      <w:lvlJc w:val="left"/>
      <w:pPr>
        <w:ind w:left="3002" w:hanging="420"/>
      </w:pPr>
    </w:lvl>
    <w:lvl w:ilvl="5" w:tentative="0">
      <w:start w:val="1"/>
      <w:numFmt w:val="lowerRoman"/>
      <w:lvlText w:val="%6."/>
      <w:lvlJc w:val="right"/>
      <w:pPr>
        <w:ind w:left="3422" w:hanging="420"/>
      </w:pPr>
    </w:lvl>
    <w:lvl w:ilvl="6" w:tentative="0">
      <w:start w:val="1"/>
      <w:numFmt w:val="decimal"/>
      <w:lvlText w:val="%7."/>
      <w:lvlJc w:val="left"/>
      <w:pPr>
        <w:ind w:left="3842" w:hanging="420"/>
      </w:pPr>
    </w:lvl>
    <w:lvl w:ilvl="7" w:tentative="0">
      <w:start w:val="1"/>
      <w:numFmt w:val="lowerLetter"/>
      <w:lvlText w:val="%8)"/>
      <w:lvlJc w:val="left"/>
      <w:pPr>
        <w:ind w:left="4262" w:hanging="420"/>
      </w:pPr>
    </w:lvl>
    <w:lvl w:ilvl="8" w:tentative="0">
      <w:start w:val="1"/>
      <w:numFmt w:val="lowerRoman"/>
      <w:lvlText w:val="%9."/>
      <w:lvlJc w:val="right"/>
      <w:pPr>
        <w:ind w:left="4682" w:hanging="420"/>
      </w:pPr>
    </w:lvl>
  </w:abstractNum>
  <w:abstractNum w:abstractNumId="27">
    <w:nsid w:val="3EBB42BE"/>
    <w:multiLevelType w:val="multilevel"/>
    <w:tmpl w:val="3EBB42BE"/>
    <w:lvl w:ilvl="0" w:tentative="0">
      <w:start w:val="1"/>
      <w:numFmt w:val="chineseCountingThousand"/>
      <w:lvlText w:val="第%1条"/>
      <w:lvlJc w:val="left"/>
      <w:pPr>
        <w:ind w:left="420" w:hanging="420"/>
      </w:pPr>
      <w:rPr>
        <w:rFonts w:hint="eastAsia" w:eastAsia="微软雅黑"/>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452D0592"/>
    <w:multiLevelType w:val="multilevel"/>
    <w:tmpl w:val="452D059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9">
    <w:nsid w:val="4A6126CB"/>
    <w:multiLevelType w:val="multilevel"/>
    <w:tmpl w:val="4A6126CB"/>
    <w:lvl w:ilvl="0" w:tentative="0">
      <w:start w:val="1"/>
      <w:numFmt w:val="decimal"/>
      <w:lvlText w:val="%1."/>
      <w:lvlJc w:val="left"/>
      <w:pPr>
        <w:ind w:left="900" w:hanging="420"/>
      </w:pPr>
      <w:rPr>
        <w:rFonts w:hint="eastAsia"/>
      </w:rPr>
    </w:lvl>
    <w:lvl w:ilvl="1" w:tentative="0">
      <w:start w:val="1"/>
      <w:numFmt w:val="decimal"/>
      <w:lvlText w:val="%2)"/>
      <w:lvlJc w:val="left"/>
      <w:pPr>
        <w:ind w:left="1320" w:hanging="420"/>
      </w:pPr>
      <w:rPr>
        <w:rFonts w:hint="default"/>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0">
    <w:nsid w:val="4B5408C2"/>
    <w:multiLevelType w:val="multilevel"/>
    <w:tmpl w:val="4B5408C2"/>
    <w:lvl w:ilvl="0" w:tentative="0">
      <w:start w:val="1"/>
      <w:numFmt w:val="decimal"/>
      <w:lvlText w:val="%1)"/>
      <w:lvlJc w:val="left"/>
      <w:pPr>
        <w:ind w:left="1322" w:hanging="420"/>
      </w:pPr>
    </w:lvl>
    <w:lvl w:ilvl="1" w:tentative="0">
      <w:start w:val="1"/>
      <w:numFmt w:val="lowerLetter"/>
      <w:lvlText w:val="%2)"/>
      <w:lvlJc w:val="left"/>
      <w:pPr>
        <w:ind w:left="1742" w:hanging="420"/>
      </w:pPr>
    </w:lvl>
    <w:lvl w:ilvl="2" w:tentative="0">
      <w:start w:val="1"/>
      <w:numFmt w:val="lowerRoman"/>
      <w:lvlText w:val="%3."/>
      <w:lvlJc w:val="right"/>
      <w:pPr>
        <w:ind w:left="2162" w:hanging="420"/>
      </w:pPr>
    </w:lvl>
    <w:lvl w:ilvl="3" w:tentative="0">
      <w:start w:val="1"/>
      <w:numFmt w:val="decimal"/>
      <w:lvlText w:val="%4."/>
      <w:lvlJc w:val="left"/>
      <w:pPr>
        <w:ind w:left="2582" w:hanging="420"/>
      </w:pPr>
    </w:lvl>
    <w:lvl w:ilvl="4" w:tentative="0">
      <w:start w:val="1"/>
      <w:numFmt w:val="lowerLetter"/>
      <w:lvlText w:val="%5)"/>
      <w:lvlJc w:val="left"/>
      <w:pPr>
        <w:ind w:left="3002" w:hanging="420"/>
      </w:pPr>
    </w:lvl>
    <w:lvl w:ilvl="5" w:tentative="0">
      <w:start w:val="1"/>
      <w:numFmt w:val="lowerRoman"/>
      <w:lvlText w:val="%6."/>
      <w:lvlJc w:val="right"/>
      <w:pPr>
        <w:ind w:left="3422" w:hanging="420"/>
      </w:pPr>
    </w:lvl>
    <w:lvl w:ilvl="6" w:tentative="0">
      <w:start w:val="1"/>
      <w:numFmt w:val="decimal"/>
      <w:lvlText w:val="%7."/>
      <w:lvlJc w:val="left"/>
      <w:pPr>
        <w:ind w:left="3842" w:hanging="420"/>
      </w:pPr>
    </w:lvl>
    <w:lvl w:ilvl="7" w:tentative="0">
      <w:start w:val="1"/>
      <w:numFmt w:val="lowerLetter"/>
      <w:lvlText w:val="%8)"/>
      <w:lvlJc w:val="left"/>
      <w:pPr>
        <w:ind w:left="4262" w:hanging="420"/>
      </w:pPr>
    </w:lvl>
    <w:lvl w:ilvl="8" w:tentative="0">
      <w:start w:val="1"/>
      <w:numFmt w:val="lowerRoman"/>
      <w:lvlText w:val="%9."/>
      <w:lvlJc w:val="right"/>
      <w:pPr>
        <w:ind w:left="4682" w:hanging="420"/>
      </w:pPr>
    </w:lvl>
  </w:abstractNum>
  <w:abstractNum w:abstractNumId="31">
    <w:nsid w:val="508C4F9C"/>
    <w:multiLevelType w:val="multilevel"/>
    <w:tmpl w:val="508C4F9C"/>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2">
    <w:nsid w:val="52181CD4"/>
    <w:multiLevelType w:val="multilevel"/>
    <w:tmpl w:val="52181CD4"/>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3">
    <w:nsid w:val="57732A18"/>
    <w:multiLevelType w:val="multilevel"/>
    <w:tmpl w:val="57732A18"/>
    <w:lvl w:ilvl="0" w:tentative="0">
      <w:start w:val="1"/>
      <w:numFmt w:val="decimal"/>
      <w:lvlText w:val="%1."/>
      <w:lvlJc w:val="left"/>
      <w:pPr>
        <w:ind w:left="900" w:hanging="420"/>
      </w:pPr>
      <w:rPr>
        <w:rFonts w:hint="eastAsia"/>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4">
    <w:nsid w:val="59F0267C"/>
    <w:multiLevelType w:val="multilevel"/>
    <w:tmpl w:val="59F0267C"/>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5">
    <w:nsid w:val="68640EEB"/>
    <w:multiLevelType w:val="multilevel"/>
    <w:tmpl w:val="68640EE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6">
    <w:nsid w:val="71261764"/>
    <w:multiLevelType w:val="multilevel"/>
    <w:tmpl w:val="71261764"/>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37">
    <w:nsid w:val="753E28B7"/>
    <w:multiLevelType w:val="multilevel"/>
    <w:tmpl w:val="753E28B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8">
    <w:nsid w:val="76AA2763"/>
    <w:multiLevelType w:val="multilevel"/>
    <w:tmpl w:val="76AA2763"/>
    <w:lvl w:ilvl="0" w:tentative="0">
      <w:start w:val="1"/>
      <w:numFmt w:val="decimal"/>
      <w:lvlText w:val="%1)"/>
      <w:lvlJc w:val="left"/>
      <w:pPr>
        <w:ind w:left="13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785360E1"/>
    <w:multiLevelType w:val="multilevel"/>
    <w:tmpl w:val="785360E1"/>
    <w:lvl w:ilvl="0" w:tentative="0">
      <w:start w:val="1"/>
      <w:numFmt w:val="decimal"/>
      <w:lvlText w:val="%1."/>
      <w:lvlJc w:val="left"/>
      <w:pPr>
        <w:ind w:left="900" w:hanging="420"/>
      </w:pPr>
      <w:rPr>
        <w:rFonts w:hint="eastAsia"/>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0">
    <w:nsid w:val="7DD51E30"/>
    <w:multiLevelType w:val="multilevel"/>
    <w:tmpl w:val="7DD51E30"/>
    <w:lvl w:ilvl="0" w:tentative="0">
      <w:start w:val="1"/>
      <w:numFmt w:val="decimal"/>
      <w:lvlText w:val="%1."/>
      <w:lvlJc w:val="left"/>
      <w:pPr>
        <w:ind w:left="902" w:hanging="420"/>
      </w:pPr>
    </w:lvl>
    <w:lvl w:ilvl="1" w:tentative="0">
      <w:start w:val="1"/>
      <w:numFmt w:val="decimal"/>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num w:numId="1">
    <w:abstractNumId w:val="27"/>
  </w:num>
  <w:num w:numId="2">
    <w:abstractNumId w:val="33"/>
  </w:num>
  <w:num w:numId="3">
    <w:abstractNumId w:val="39"/>
  </w:num>
  <w:num w:numId="4">
    <w:abstractNumId w:val="13"/>
  </w:num>
  <w:num w:numId="5">
    <w:abstractNumId w:val="20"/>
  </w:num>
  <w:num w:numId="6">
    <w:abstractNumId w:val="29"/>
  </w:num>
  <w:num w:numId="7">
    <w:abstractNumId w:val="8"/>
  </w:num>
  <w:num w:numId="8">
    <w:abstractNumId w:val="16"/>
  </w:num>
  <w:num w:numId="9">
    <w:abstractNumId w:val="7"/>
  </w:num>
  <w:num w:numId="10">
    <w:abstractNumId w:val="2"/>
  </w:num>
  <w:num w:numId="11">
    <w:abstractNumId w:val="3"/>
  </w:num>
  <w:num w:numId="12">
    <w:abstractNumId w:val="22"/>
  </w:num>
  <w:num w:numId="13">
    <w:abstractNumId w:val="23"/>
  </w:num>
  <w:num w:numId="14">
    <w:abstractNumId w:val="38"/>
  </w:num>
  <w:num w:numId="15">
    <w:abstractNumId w:val="21"/>
  </w:num>
  <w:num w:numId="16">
    <w:abstractNumId w:val="24"/>
  </w:num>
  <w:num w:numId="17">
    <w:abstractNumId w:val="25"/>
  </w:num>
  <w:num w:numId="18">
    <w:abstractNumId w:val="32"/>
  </w:num>
  <w:num w:numId="19">
    <w:abstractNumId w:val="36"/>
  </w:num>
  <w:num w:numId="20">
    <w:abstractNumId w:val="15"/>
  </w:num>
  <w:num w:numId="21">
    <w:abstractNumId w:val="40"/>
  </w:num>
  <w:num w:numId="22">
    <w:abstractNumId w:val="14"/>
  </w:num>
  <w:num w:numId="23">
    <w:abstractNumId w:val="0"/>
  </w:num>
  <w:num w:numId="24">
    <w:abstractNumId w:val="31"/>
  </w:num>
  <w:num w:numId="25">
    <w:abstractNumId w:val="26"/>
  </w:num>
  <w:num w:numId="26">
    <w:abstractNumId w:val="34"/>
  </w:num>
  <w:num w:numId="27">
    <w:abstractNumId w:val="17"/>
  </w:num>
  <w:num w:numId="28">
    <w:abstractNumId w:val="5"/>
  </w:num>
  <w:num w:numId="29">
    <w:abstractNumId w:val="1"/>
  </w:num>
  <w:num w:numId="30">
    <w:abstractNumId w:val="10"/>
  </w:num>
  <w:num w:numId="31">
    <w:abstractNumId w:val="4"/>
  </w:num>
  <w:num w:numId="32">
    <w:abstractNumId w:val="30"/>
  </w:num>
  <w:num w:numId="33">
    <w:abstractNumId w:val="9"/>
  </w:num>
  <w:num w:numId="34">
    <w:abstractNumId w:val="6"/>
  </w:num>
  <w:num w:numId="35">
    <w:abstractNumId w:val="18"/>
  </w:num>
  <w:num w:numId="36">
    <w:abstractNumId w:val="37"/>
  </w:num>
  <w:num w:numId="37">
    <w:abstractNumId w:val="11"/>
  </w:num>
  <w:num w:numId="38">
    <w:abstractNumId w:val="12"/>
  </w:num>
  <w:num w:numId="39">
    <w:abstractNumId w:val="19"/>
  </w:num>
  <w:num w:numId="40">
    <w:abstractNumId w:val="35"/>
  </w:num>
  <w:num w:numId="4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evenAndOddHeaders w:val="1"/>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BmZWQxZjg5MTkwZGEwZjlkNGQ1ODQ2MDY1YjM1OWQifQ=="/>
  </w:docVars>
  <w:rsids>
    <w:rsidRoot w:val="00A40395"/>
    <w:rsid w:val="000001DD"/>
    <w:rsid w:val="00000202"/>
    <w:rsid w:val="000006DF"/>
    <w:rsid w:val="000007AB"/>
    <w:rsid w:val="00000E55"/>
    <w:rsid w:val="00001242"/>
    <w:rsid w:val="000016DD"/>
    <w:rsid w:val="000016F5"/>
    <w:rsid w:val="00001F24"/>
    <w:rsid w:val="000020C2"/>
    <w:rsid w:val="00002398"/>
    <w:rsid w:val="0000264C"/>
    <w:rsid w:val="00002674"/>
    <w:rsid w:val="00002BB6"/>
    <w:rsid w:val="0000334C"/>
    <w:rsid w:val="000033A0"/>
    <w:rsid w:val="00003852"/>
    <w:rsid w:val="000039F4"/>
    <w:rsid w:val="00003EF8"/>
    <w:rsid w:val="00004011"/>
    <w:rsid w:val="00004047"/>
    <w:rsid w:val="00004118"/>
    <w:rsid w:val="00004522"/>
    <w:rsid w:val="00004887"/>
    <w:rsid w:val="00004EEC"/>
    <w:rsid w:val="00004FDA"/>
    <w:rsid w:val="000053BC"/>
    <w:rsid w:val="000053FA"/>
    <w:rsid w:val="00006562"/>
    <w:rsid w:val="00006F3A"/>
    <w:rsid w:val="00007080"/>
    <w:rsid w:val="000075C3"/>
    <w:rsid w:val="00007A52"/>
    <w:rsid w:val="00007DF3"/>
    <w:rsid w:val="00007E11"/>
    <w:rsid w:val="00007FAC"/>
    <w:rsid w:val="00010190"/>
    <w:rsid w:val="00010361"/>
    <w:rsid w:val="00010433"/>
    <w:rsid w:val="00010452"/>
    <w:rsid w:val="00010608"/>
    <w:rsid w:val="00010A0C"/>
    <w:rsid w:val="00010E64"/>
    <w:rsid w:val="0001116F"/>
    <w:rsid w:val="0001133E"/>
    <w:rsid w:val="0001169C"/>
    <w:rsid w:val="000116BC"/>
    <w:rsid w:val="00011991"/>
    <w:rsid w:val="00011A19"/>
    <w:rsid w:val="00011A76"/>
    <w:rsid w:val="00011E9C"/>
    <w:rsid w:val="00012184"/>
    <w:rsid w:val="00012632"/>
    <w:rsid w:val="00012E57"/>
    <w:rsid w:val="000132EE"/>
    <w:rsid w:val="00013826"/>
    <w:rsid w:val="000139F0"/>
    <w:rsid w:val="00013BD9"/>
    <w:rsid w:val="00013C97"/>
    <w:rsid w:val="00013E43"/>
    <w:rsid w:val="00013EDB"/>
    <w:rsid w:val="00013FA6"/>
    <w:rsid w:val="000140DC"/>
    <w:rsid w:val="00014417"/>
    <w:rsid w:val="0001470E"/>
    <w:rsid w:val="00014C7B"/>
    <w:rsid w:val="00014CA9"/>
    <w:rsid w:val="00015156"/>
    <w:rsid w:val="000154DC"/>
    <w:rsid w:val="00015CDF"/>
    <w:rsid w:val="000161F7"/>
    <w:rsid w:val="00016560"/>
    <w:rsid w:val="000166EE"/>
    <w:rsid w:val="00016C11"/>
    <w:rsid w:val="00016CFA"/>
    <w:rsid w:val="00016DAB"/>
    <w:rsid w:val="00016E51"/>
    <w:rsid w:val="00017249"/>
    <w:rsid w:val="0001735C"/>
    <w:rsid w:val="0001752D"/>
    <w:rsid w:val="00017600"/>
    <w:rsid w:val="000176EA"/>
    <w:rsid w:val="000178FA"/>
    <w:rsid w:val="00017A3F"/>
    <w:rsid w:val="0002065C"/>
    <w:rsid w:val="00020979"/>
    <w:rsid w:val="00020C17"/>
    <w:rsid w:val="0002183D"/>
    <w:rsid w:val="00021E10"/>
    <w:rsid w:val="00022040"/>
    <w:rsid w:val="00022088"/>
    <w:rsid w:val="0002259D"/>
    <w:rsid w:val="00022883"/>
    <w:rsid w:val="000231A3"/>
    <w:rsid w:val="000233E3"/>
    <w:rsid w:val="0002365A"/>
    <w:rsid w:val="000236BC"/>
    <w:rsid w:val="0002377A"/>
    <w:rsid w:val="00023875"/>
    <w:rsid w:val="00023A87"/>
    <w:rsid w:val="00023F7B"/>
    <w:rsid w:val="000240C7"/>
    <w:rsid w:val="000241BB"/>
    <w:rsid w:val="00024228"/>
    <w:rsid w:val="00024373"/>
    <w:rsid w:val="0002479F"/>
    <w:rsid w:val="00024CF7"/>
    <w:rsid w:val="000251D0"/>
    <w:rsid w:val="000251F6"/>
    <w:rsid w:val="00025303"/>
    <w:rsid w:val="00025DF7"/>
    <w:rsid w:val="0002601A"/>
    <w:rsid w:val="00026244"/>
    <w:rsid w:val="0002626A"/>
    <w:rsid w:val="000262EA"/>
    <w:rsid w:val="00026449"/>
    <w:rsid w:val="0002647A"/>
    <w:rsid w:val="000265EE"/>
    <w:rsid w:val="00026CFD"/>
    <w:rsid w:val="00026E5A"/>
    <w:rsid w:val="00027908"/>
    <w:rsid w:val="00027F47"/>
    <w:rsid w:val="00030453"/>
    <w:rsid w:val="00030A09"/>
    <w:rsid w:val="00030C72"/>
    <w:rsid w:val="00030E9A"/>
    <w:rsid w:val="00030EBB"/>
    <w:rsid w:val="00031248"/>
    <w:rsid w:val="000314A7"/>
    <w:rsid w:val="0003159A"/>
    <w:rsid w:val="00031ADA"/>
    <w:rsid w:val="0003213B"/>
    <w:rsid w:val="000322FB"/>
    <w:rsid w:val="000323D4"/>
    <w:rsid w:val="000324C1"/>
    <w:rsid w:val="00032AE0"/>
    <w:rsid w:val="000331FD"/>
    <w:rsid w:val="0003353F"/>
    <w:rsid w:val="00033907"/>
    <w:rsid w:val="00033AD5"/>
    <w:rsid w:val="000340E4"/>
    <w:rsid w:val="0003411B"/>
    <w:rsid w:val="00034CFA"/>
    <w:rsid w:val="00034DD4"/>
    <w:rsid w:val="00035274"/>
    <w:rsid w:val="000359A7"/>
    <w:rsid w:val="00035CF2"/>
    <w:rsid w:val="0003689F"/>
    <w:rsid w:val="00036D59"/>
    <w:rsid w:val="00036E38"/>
    <w:rsid w:val="000371D8"/>
    <w:rsid w:val="0003736B"/>
    <w:rsid w:val="000374EF"/>
    <w:rsid w:val="0003775A"/>
    <w:rsid w:val="0003785D"/>
    <w:rsid w:val="00037B09"/>
    <w:rsid w:val="00037C78"/>
    <w:rsid w:val="00040034"/>
    <w:rsid w:val="00040044"/>
    <w:rsid w:val="0004071B"/>
    <w:rsid w:val="0004091A"/>
    <w:rsid w:val="00040B68"/>
    <w:rsid w:val="00041422"/>
    <w:rsid w:val="000418E2"/>
    <w:rsid w:val="00041969"/>
    <w:rsid w:val="00041BBA"/>
    <w:rsid w:val="00042292"/>
    <w:rsid w:val="00042293"/>
    <w:rsid w:val="000426D3"/>
    <w:rsid w:val="00042A92"/>
    <w:rsid w:val="00042AD8"/>
    <w:rsid w:val="00042DDC"/>
    <w:rsid w:val="00042E3E"/>
    <w:rsid w:val="00042E50"/>
    <w:rsid w:val="00043704"/>
    <w:rsid w:val="00043D19"/>
    <w:rsid w:val="00043F18"/>
    <w:rsid w:val="00043FE0"/>
    <w:rsid w:val="000442A6"/>
    <w:rsid w:val="000443F2"/>
    <w:rsid w:val="000444A3"/>
    <w:rsid w:val="000445E5"/>
    <w:rsid w:val="00044CDF"/>
    <w:rsid w:val="00044E02"/>
    <w:rsid w:val="00044F52"/>
    <w:rsid w:val="00044F82"/>
    <w:rsid w:val="00045351"/>
    <w:rsid w:val="0004604E"/>
    <w:rsid w:val="00046130"/>
    <w:rsid w:val="000463B2"/>
    <w:rsid w:val="00046468"/>
    <w:rsid w:val="00046A74"/>
    <w:rsid w:val="00046E27"/>
    <w:rsid w:val="000471A1"/>
    <w:rsid w:val="00047211"/>
    <w:rsid w:val="000475C3"/>
    <w:rsid w:val="00050994"/>
    <w:rsid w:val="00050D2D"/>
    <w:rsid w:val="00051057"/>
    <w:rsid w:val="0005135B"/>
    <w:rsid w:val="00051442"/>
    <w:rsid w:val="0005185E"/>
    <w:rsid w:val="00051AB3"/>
    <w:rsid w:val="0005248F"/>
    <w:rsid w:val="00052606"/>
    <w:rsid w:val="00052BB5"/>
    <w:rsid w:val="00053275"/>
    <w:rsid w:val="000532F8"/>
    <w:rsid w:val="00053405"/>
    <w:rsid w:val="000537DB"/>
    <w:rsid w:val="00053904"/>
    <w:rsid w:val="0005408E"/>
    <w:rsid w:val="00054196"/>
    <w:rsid w:val="0005420A"/>
    <w:rsid w:val="00054441"/>
    <w:rsid w:val="00055702"/>
    <w:rsid w:val="000557DA"/>
    <w:rsid w:val="00056271"/>
    <w:rsid w:val="0005628A"/>
    <w:rsid w:val="000563BE"/>
    <w:rsid w:val="000563E1"/>
    <w:rsid w:val="000568DF"/>
    <w:rsid w:val="00056A66"/>
    <w:rsid w:val="00056F94"/>
    <w:rsid w:val="0005702A"/>
    <w:rsid w:val="0005720F"/>
    <w:rsid w:val="00057479"/>
    <w:rsid w:val="00057A77"/>
    <w:rsid w:val="00057B47"/>
    <w:rsid w:val="00057D6D"/>
    <w:rsid w:val="00060041"/>
    <w:rsid w:val="000600AD"/>
    <w:rsid w:val="0006051F"/>
    <w:rsid w:val="000607E9"/>
    <w:rsid w:val="00060A48"/>
    <w:rsid w:val="00060D2F"/>
    <w:rsid w:val="0006118A"/>
    <w:rsid w:val="0006139E"/>
    <w:rsid w:val="0006143F"/>
    <w:rsid w:val="0006153F"/>
    <w:rsid w:val="00061613"/>
    <w:rsid w:val="000617A2"/>
    <w:rsid w:val="00061DCC"/>
    <w:rsid w:val="00061E75"/>
    <w:rsid w:val="00061FDA"/>
    <w:rsid w:val="00062453"/>
    <w:rsid w:val="0006282B"/>
    <w:rsid w:val="00063001"/>
    <w:rsid w:val="000631EF"/>
    <w:rsid w:val="00063395"/>
    <w:rsid w:val="0006342E"/>
    <w:rsid w:val="0006363C"/>
    <w:rsid w:val="0006375D"/>
    <w:rsid w:val="000637E3"/>
    <w:rsid w:val="00063AAE"/>
    <w:rsid w:val="00063AB9"/>
    <w:rsid w:val="00063C9C"/>
    <w:rsid w:val="00063EFF"/>
    <w:rsid w:val="00064648"/>
    <w:rsid w:val="00064684"/>
    <w:rsid w:val="00064D5F"/>
    <w:rsid w:val="00064F0C"/>
    <w:rsid w:val="00064F1A"/>
    <w:rsid w:val="00064FA6"/>
    <w:rsid w:val="00065077"/>
    <w:rsid w:val="0006507D"/>
    <w:rsid w:val="00065389"/>
    <w:rsid w:val="000654B2"/>
    <w:rsid w:val="000654D8"/>
    <w:rsid w:val="0006581A"/>
    <w:rsid w:val="00065AD9"/>
    <w:rsid w:val="00065C3A"/>
    <w:rsid w:val="000660A8"/>
    <w:rsid w:val="000668AD"/>
    <w:rsid w:val="00066CD6"/>
    <w:rsid w:val="00066F15"/>
    <w:rsid w:val="0006711D"/>
    <w:rsid w:val="00067248"/>
    <w:rsid w:val="0006739B"/>
    <w:rsid w:val="0007007F"/>
    <w:rsid w:val="00070257"/>
    <w:rsid w:val="00070655"/>
    <w:rsid w:val="00070937"/>
    <w:rsid w:val="00070A01"/>
    <w:rsid w:val="00070C7F"/>
    <w:rsid w:val="0007103B"/>
    <w:rsid w:val="00071A8C"/>
    <w:rsid w:val="00071C95"/>
    <w:rsid w:val="00071CCC"/>
    <w:rsid w:val="00071D58"/>
    <w:rsid w:val="00071F76"/>
    <w:rsid w:val="000721CF"/>
    <w:rsid w:val="00072278"/>
    <w:rsid w:val="00072A2E"/>
    <w:rsid w:val="00072B9D"/>
    <w:rsid w:val="00072E60"/>
    <w:rsid w:val="0007308D"/>
    <w:rsid w:val="0007317C"/>
    <w:rsid w:val="000733CE"/>
    <w:rsid w:val="00073648"/>
    <w:rsid w:val="00074025"/>
    <w:rsid w:val="000741CB"/>
    <w:rsid w:val="000745C4"/>
    <w:rsid w:val="00074792"/>
    <w:rsid w:val="00074B3F"/>
    <w:rsid w:val="00074BB4"/>
    <w:rsid w:val="00074FAE"/>
    <w:rsid w:val="0007540E"/>
    <w:rsid w:val="00075809"/>
    <w:rsid w:val="00075888"/>
    <w:rsid w:val="000760EC"/>
    <w:rsid w:val="000779CB"/>
    <w:rsid w:val="0008057D"/>
    <w:rsid w:val="0008060C"/>
    <w:rsid w:val="00080808"/>
    <w:rsid w:val="00080EAF"/>
    <w:rsid w:val="0008119B"/>
    <w:rsid w:val="000811BC"/>
    <w:rsid w:val="00081334"/>
    <w:rsid w:val="000813E7"/>
    <w:rsid w:val="00081A1D"/>
    <w:rsid w:val="00082249"/>
    <w:rsid w:val="000825A6"/>
    <w:rsid w:val="00082BFA"/>
    <w:rsid w:val="00083601"/>
    <w:rsid w:val="0008389C"/>
    <w:rsid w:val="000839F0"/>
    <w:rsid w:val="00083A08"/>
    <w:rsid w:val="00083F28"/>
    <w:rsid w:val="00084072"/>
    <w:rsid w:val="000841F3"/>
    <w:rsid w:val="0008477B"/>
    <w:rsid w:val="000848E8"/>
    <w:rsid w:val="000852DD"/>
    <w:rsid w:val="000855BC"/>
    <w:rsid w:val="000860DB"/>
    <w:rsid w:val="00086459"/>
    <w:rsid w:val="000868FC"/>
    <w:rsid w:val="00086A9D"/>
    <w:rsid w:val="00086B88"/>
    <w:rsid w:val="00086DE7"/>
    <w:rsid w:val="00086FB0"/>
    <w:rsid w:val="00087034"/>
    <w:rsid w:val="00087163"/>
    <w:rsid w:val="0008731E"/>
    <w:rsid w:val="00087434"/>
    <w:rsid w:val="00087B26"/>
    <w:rsid w:val="00087BCC"/>
    <w:rsid w:val="00087FD1"/>
    <w:rsid w:val="000902D3"/>
    <w:rsid w:val="00090475"/>
    <w:rsid w:val="00090719"/>
    <w:rsid w:val="00090A7F"/>
    <w:rsid w:val="00090AE0"/>
    <w:rsid w:val="00091AFF"/>
    <w:rsid w:val="000920F1"/>
    <w:rsid w:val="00093024"/>
    <w:rsid w:val="000931DD"/>
    <w:rsid w:val="00093420"/>
    <w:rsid w:val="000938E0"/>
    <w:rsid w:val="00093C75"/>
    <w:rsid w:val="00093F44"/>
    <w:rsid w:val="00094253"/>
    <w:rsid w:val="000943DC"/>
    <w:rsid w:val="00094575"/>
    <w:rsid w:val="00094C36"/>
    <w:rsid w:val="00094C99"/>
    <w:rsid w:val="00094D7C"/>
    <w:rsid w:val="0009500E"/>
    <w:rsid w:val="0009507B"/>
    <w:rsid w:val="00095086"/>
    <w:rsid w:val="0009509E"/>
    <w:rsid w:val="00095401"/>
    <w:rsid w:val="00095D43"/>
    <w:rsid w:val="000963BA"/>
    <w:rsid w:val="0009694D"/>
    <w:rsid w:val="00096C0F"/>
    <w:rsid w:val="00097855"/>
    <w:rsid w:val="00097AFB"/>
    <w:rsid w:val="000A00A9"/>
    <w:rsid w:val="000A00F6"/>
    <w:rsid w:val="000A037D"/>
    <w:rsid w:val="000A0B35"/>
    <w:rsid w:val="000A0E97"/>
    <w:rsid w:val="000A115D"/>
    <w:rsid w:val="000A1514"/>
    <w:rsid w:val="000A19B3"/>
    <w:rsid w:val="000A1B9A"/>
    <w:rsid w:val="000A20B9"/>
    <w:rsid w:val="000A26A6"/>
    <w:rsid w:val="000A27C1"/>
    <w:rsid w:val="000A2899"/>
    <w:rsid w:val="000A29EC"/>
    <w:rsid w:val="000A31B1"/>
    <w:rsid w:val="000A3955"/>
    <w:rsid w:val="000A39EE"/>
    <w:rsid w:val="000A3EF6"/>
    <w:rsid w:val="000A455A"/>
    <w:rsid w:val="000A490F"/>
    <w:rsid w:val="000A4BDF"/>
    <w:rsid w:val="000A4C1B"/>
    <w:rsid w:val="000A4FAD"/>
    <w:rsid w:val="000A52FA"/>
    <w:rsid w:val="000A537D"/>
    <w:rsid w:val="000A5D8F"/>
    <w:rsid w:val="000A6129"/>
    <w:rsid w:val="000A6A4A"/>
    <w:rsid w:val="000A6C7F"/>
    <w:rsid w:val="000A6E8A"/>
    <w:rsid w:val="000A765C"/>
    <w:rsid w:val="000A76E4"/>
    <w:rsid w:val="000A77AF"/>
    <w:rsid w:val="000A783C"/>
    <w:rsid w:val="000A7A7C"/>
    <w:rsid w:val="000B02EB"/>
    <w:rsid w:val="000B0AFD"/>
    <w:rsid w:val="000B168D"/>
    <w:rsid w:val="000B187D"/>
    <w:rsid w:val="000B1910"/>
    <w:rsid w:val="000B1A27"/>
    <w:rsid w:val="000B1E4B"/>
    <w:rsid w:val="000B20D4"/>
    <w:rsid w:val="000B218C"/>
    <w:rsid w:val="000B2D47"/>
    <w:rsid w:val="000B31D2"/>
    <w:rsid w:val="000B3741"/>
    <w:rsid w:val="000B3794"/>
    <w:rsid w:val="000B3840"/>
    <w:rsid w:val="000B39A0"/>
    <w:rsid w:val="000B3F59"/>
    <w:rsid w:val="000B42B0"/>
    <w:rsid w:val="000B44A8"/>
    <w:rsid w:val="000B4529"/>
    <w:rsid w:val="000B48B0"/>
    <w:rsid w:val="000B51E1"/>
    <w:rsid w:val="000B546C"/>
    <w:rsid w:val="000B557E"/>
    <w:rsid w:val="000B5C1C"/>
    <w:rsid w:val="000B5C57"/>
    <w:rsid w:val="000B5E23"/>
    <w:rsid w:val="000B5E4C"/>
    <w:rsid w:val="000B625C"/>
    <w:rsid w:val="000B6858"/>
    <w:rsid w:val="000B6DE9"/>
    <w:rsid w:val="000B7100"/>
    <w:rsid w:val="000B76B8"/>
    <w:rsid w:val="000B7A2C"/>
    <w:rsid w:val="000B7B92"/>
    <w:rsid w:val="000C0B06"/>
    <w:rsid w:val="000C0BA9"/>
    <w:rsid w:val="000C0BD9"/>
    <w:rsid w:val="000C0C14"/>
    <w:rsid w:val="000C0D86"/>
    <w:rsid w:val="000C0FA1"/>
    <w:rsid w:val="000C180A"/>
    <w:rsid w:val="000C1854"/>
    <w:rsid w:val="000C1AC9"/>
    <w:rsid w:val="000C1EA7"/>
    <w:rsid w:val="000C246C"/>
    <w:rsid w:val="000C24EF"/>
    <w:rsid w:val="000C2826"/>
    <w:rsid w:val="000C28CA"/>
    <w:rsid w:val="000C2C2D"/>
    <w:rsid w:val="000C2EAE"/>
    <w:rsid w:val="000C3073"/>
    <w:rsid w:val="000C3492"/>
    <w:rsid w:val="000C35CF"/>
    <w:rsid w:val="000C390B"/>
    <w:rsid w:val="000C3F9E"/>
    <w:rsid w:val="000C41F4"/>
    <w:rsid w:val="000C4296"/>
    <w:rsid w:val="000C42CB"/>
    <w:rsid w:val="000C4B72"/>
    <w:rsid w:val="000C4CE2"/>
    <w:rsid w:val="000C50D3"/>
    <w:rsid w:val="000C50D6"/>
    <w:rsid w:val="000C54E9"/>
    <w:rsid w:val="000C5558"/>
    <w:rsid w:val="000C5650"/>
    <w:rsid w:val="000C5754"/>
    <w:rsid w:val="000C5AC9"/>
    <w:rsid w:val="000C5ACB"/>
    <w:rsid w:val="000C5FCC"/>
    <w:rsid w:val="000C611B"/>
    <w:rsid w:val="000C6252"/>
    <w:rsid w:val="000C64A8"/>
    <w:rsid w:val="000C6682"/>
    <w:rsid w:val="000C688C"/>
    <w:rsid w:val="000C6EC1"/>
    <w:rsid w:val="000C72DC"/>
    <w:rsid w:val="000C73A5"/>
    <w:rsid w:val="000C7879"/>
    <w:rsid w:val="000C7AB5"/>
    <w:rsid w:val="000C7D14"/>
    <w:rsid w:val="000C7FEF"/>
    <w:rsid w:val="000D01AB"/>
    <w:rsid w:val="000D04CF"/>
    <w:rsid w:val="000D0827"/>
    <w:rsid w:val="000D082B"/>
    <w:rsid w:val="000D0B58"/>
    <w:rsid w:val="000D0BEA"/>
    <w:rsid w:val="000D1104"/>
    <w:rsid w:val="000D2161"/>
    <w:rsid w:val="000D2196"/>
    <w:rsid w:val="000D23E0"/>
    <w:rsid w:val="000D270C"/>
    <w:rsid w:val="000D2A2F"/>
    <w:rsid w:val="000D2D9E"/>
    <w:rsid w:val="000D3074"/>
    <w:rsid w:val="000D3189"/>
    <w:rsid w:val="000D3193"/>
    <w:rsid w:val="000D3C86"/>
    <w:rsid w:val="000D3EC3"/>
    <w:rsid w:val="000D4902"/>
    <w:rsid w:val="000D4975"/>
    <w:rsid w:val="000D4BD8"/>
    <w:rsid w:val="000D5229"/>
    <w:rsid w:val="000D5FAD"/>
    <w:rsid w:val="000D646D"/>
    <w:rsid w:val="000D6A8D"/>
    <w:rsid w:val="000D6E5F"/>
    <w:rsid w:val="000D70A2"/>
    <w:rsid w:val="000E0279"/>
    <w:rsid w:val="000E049D"/>
    <w:rsid w:val="000E0556"/>
    <w:rsid w:val="000E0ADD"/>
    <w:rsid w:val="000E0B64"/>
    <w:rsid w:val="000E0F18"/>
    <w:rsid w:val="000E1339"/>
    <w:rsid w:val="000E13F1"/>
    <w:rsid w:val="000E1483"/>
    <w:rsid w:val="000E1853"/>
    <w:rsid w:val="000E19A0"/>
    <w:rsid w:val="000E19D8"/>
    <w:rsid w:val="000E19E8"/>
    <w:rsid w:val="000E1DE8"/>
    <w:rsid w:val="000E1DFC"/>
    <w:rsid w:val="000E216F"/>
    <w:rsid w:val="000E22DC"/>
    <w:rsid w:val="000E2450"/>
    <w:rsid w:val="000E26C8"/>
    <w:rsid w:val="000E2E43"/>
    <w:rsid w:val="000E2F21"/>
    <w:rsid w:val="000E3432"/>
    <w:rsid w:val="000E3471"/>
    <w:rsid w:val="000E35A2"/>
    <w:rsid w:val="000E388B"/>
    <w:rsid w:val="000E3A4C"/>
    <w:rsid w:val="000E3C07"/>
    <w:rsid w:val="000E3D59"/>
    <w:rsid w:val="000E4267"/>
    <w:rsid w:val="000E45AC"/>
    <w:rsid w:val="000E4634"/>
    <w:rsid w:val="000E4643"/>
    <w:rsid w:val="000E4738"/>
    <w:rsid w:val="000E4862"/>
    <w:rsid w:val="000E4CAF"/>
    <w:rsid w:val="000E4EC9"/>
    <w:rsid w:val="000E5042"/>
    <w:rsid w:val="000E58F1"/>
    <w:rsid w:val="000E5EEB"/>
    <w:rsid w:val="000E5FAB"/>
    <w:rsid w:val="000E637D"/>
    <w:rsid w:val="000E6434"/>
    <w:rsid w:val="000E67D6"/>
    <w:rsid w:val="000E67F9"/>
    <w:rsid w:val="000E69AD"/>
    <w:rsid w:val="000E7210"/>
    <w:rsid w:val="000E72AE"/>
    <w:rsid w:val="000E74FD"/>
    <w:rsid w:val="000E75C3"/>
    <w:rsid w:val="000E7FCC"/>
    <w:rsid w:val="000F00D4"/>
    <w:rsid w:val="000F01EC"/>
    <w:rsid w:val="000F0637"/>
    <w:rsid w:val="000F092A"/>
    <w:rsid w:val="000F0942"/>
    <w:rsid w:val="000F0F47"/>
    <w:rsid w:val="000F187B"/>
    <w:rsid w:val="000F1B99"/>
    <w:rsid w:val="000F2253"/>
    <w:rsid w:val="000F237F"/>
    <w:rsid w:val="000F3146"/>
    <w:rsid w:val="000F39BA"/>
    <w:rsid w:val="000F3E42"/>
    <w:rsid w:val="000F3FC0"/>
    <w:rsid w:val="000F4246"/>
    <w:rsid w:val="000F47F4"/>
    <w:rsid w:val="000F4A6F"/>
    <w:rsid w:val="000F4F98"/>
    <w:rsid w:val="000F57F2"/>
    <w:rsid w:val="000F5AE8"/>
    <w:rsid w:val="000F60AA"/>
    <w:rsid w:val="000F658E"/>
    <w:rsid w:val="000F6BA8"/>
    <w:rsid w:val="000F6D10"/>
    <w:rsid w:val="000F6F12"/>
    <w:rsid w:val="000F6F62"/>
    <w:rsid w:val="000F7257"/>
    <w:rsid w:val="000F73B3"/>
    <w:rsid w:val="000F7430"/>
    <w:rsid w:val="000F774D"/>
    <w:rsid w:val="000F77C9"/>
    <w:rsid w:val="0010004C"/>
    <w:rsid w:val="00100095"/>
    <w:rsid w:val="00100345"/>
    <w:rsid w:val="00100360"/>
    <w:rsid w:val="00100520"/>
    <w:rsid w:val="001007D9"/>
    <w:rsid w:val="00100898"/>
    <w:rsid w:val="00100C26"/>
    <w:rsid w:val="00100D64"/>
    <w:rsid w:val="00100D72"/>
    <w:rsid w:val="00100E6B"/>
    <w:rsid w:val="00100ECF"/>
    <w:rsid w:val="00100FB3"/>
    <w:rsid w:val="0010126B"/>
    <w:rsid w:val="00101B84"/>
    <w:rsid w:val="00102019"/>
    <w:rsid w:val="001024C4"/>
    <w:rsid w:val="00102A98"/>
    <w:rsid w:val="00102F76"/>
    <w:rsid w:val="00103116"/>
    <w:rsid w:val="0010349F"/>
    <w:rsid w:val="0010350D"/>
    <w:rsid w:val="001035D2"/>
    <w:rsid w:val="0010368C"/>
    <w:rsid w:val="00103A03"/>
    <w:rsid w:val="00104184"/>
    <w:rsid w:val="00104656"/>
    <w:rsid w:val="00104AD3"/>
    <w:rsid w:val="00104B75"/>
    <w:rsid w:val="00104BAA"/>
    <w:rsid w:val="00104D62"/>
    <w:rsid w:val="00104D88"/>
    <w:rsid w:val="00104FD8"/>
    <w:rsid w:val="00105298"/>
    <w:rsid w:val="00105446"/>
    <w:rsid w:val="00105763"/>
    <w:rsid w:val="00105775"/>
    <w:rsid w:val="00106507"/>
    <w:rsid w:val="00106EC0"/>
    <w:rsid w:val="001075DA"/>
    <w:rsid w:val="00107CE2"/>
    <w:rsid w:val="001100C6"/>
    <w:rsid w:val="00110197"/>
    <w:rsid w:val="001104F7"/>
    <w:rsid w:val="00110587"/>
    <w:rsid w:val="001105BB"/>
    <w:rsid w:val="001107B2"/>
    <w:rsid w:val="00110CC4"/>
    <w:rsid w:val="00110CD1"/>
    <w:rsid w:val="00111599"/>
    <w:rsid w:val="00111FFF"/>
    <w:rsid w:val="0011211E"/>
    <w:rsid w:val="00112124"/>
    <w:rsid w:val="00112255"/>
    <w:rsid w:val="00112436"/>
    <w:rsid w:val="00113282"/>
    <w:rsid w:val="001133A9"/>
    <w:rsid w:val="00113732"/>
    <w:rsid w:val="001138B8"/>
    <w:rsid w:val="001138DF"/>
    <w:rsid w:val="00113ADF"/>
    <w:rsid w:val="00113D51"/>
    <w:rsid w:val="00113FB8"/>
    <w:rsid w:val="001143A1"/>
    <w:rsid w:val="001143F7"/>
    <w:rsid w:val="001145A7"/>
    <w:rsid w:val="00114A79"/>
    <w:rsid w:val="00114B7C"/>
    <w:rsid w:val="00115241"/>
    <w:rsid w:val="00115AEB"/>
    <w:rsid w:val="00115F76"/>
    <w:rsid w:val="00115F78"/>
    <w:rsid w:val="00115FA7"/>
    <w:rsid w:val="00116094"/>
    <w:rsid w:val="00116766"/>
    <w:rsid w:val="0011677C"/>
    <w:rsid w:val="00116ADF"/>
    <w:rsid w:val="00117240"/>
    <w:rsid w:val="001177BB"/>
    <w:rsid w:val="00117AEB"/>
    <w:rsid w:val="00117E34"/>
    <w:rsid w:val="0012019C"/>
    <w:rsid w:val="0012053B"/>
    <w:rsid w:val="00120939"/>
    <w:rsid w:val="00120C74"/>
    <w:rsid w:val="00121089"/>
    <w:rsid w:val="0012139B"/>
    <w:rsid w:val="00121443"/>
    <w:rsid w:val="001214F1"/>
    <w:rsid w:val="00121611"/>
    <w:rsid w:val="00121F14"/>
    <w:rsid w:val="00121FC2"/>
    <w:rsid w:val="00121FF1"/>
    <w:rsid w:val="00122018"/>
    <w:rsid w:val="001223C0"/>
    <w:rsid w:val="001224AE"/>
    <w:rsid w:val="001224B5"/>
    <w:rsid w:val="001224C3"/>
    <w:rsid w:val="001226C1"/>
    <w:rsid w:val="00122D37"/>
    <w:rsid w:val="00122D49"/>
    <w:rsid w:val="00122E8D"/>
    <w:rsid w:val="00122EA8"/>
    <w:rsid w:val="001231D1"/>
    <w:rsid w:val="00123227"/>
    <w:rsid w:val="0012378B"/>
    <w:rsid w:val="001237A3"/>
    <w:rsid w:val="00123B84"/>
    <w:rsid w:val="00123E4E"/>
    <w:rsid w:val="00124333"/>
    <w:rsid w:val="00124648"/>
    <w:rsid w:val="00124757"/>
    <w:rsid w:val="00124A65"/>
    <w:rsid w:val="00125109"/>
    <w:rsid w:val="00125118"/>
    <w:rsid w:val="00125755"/>
    <w:rsid w:val="00126BED"/>
    <w:rsid w:val="00127699"/>
    <w:rsid w:val="001277E7"/>
    <w:rsid w:val="00127ACA"/>
    <w:rsid w:val="00127DE1"/>
    <w:rsid w:val="00127EE1"/>
    <w:rsid w:val="00130B12"/>
    <w:rsid w:val="00130FCD"/>
    <w:rsid w:val="00131691"/>
    <w:rsid w:val="001319A9"/>
    <w:rsid w:val="00131CC8"/>
    <w:rsid w:val="00131DD6"/>
    <w:rsid w:val="001327AC"/>
    <w:rsid w:val="001331DE"/>
    <w:rsid w:val="001336D0"/>
    <w:rsid w:val="001344C4"/>
    <w:rsid w:val="00134727"/>
    <w:rsid w:val="00134851"/>
    <w:rsid w:val="00134D3E"/>
    <w:rsid w:val="00135113"/>
    <w:rsid w:val="00135263"/>
    <w:rsid w:val="0013551A"/>
    <w:rsid w:val="0013572C"/>
    <w:rsid w:val="00135883"/>
    <w:rsid w:val="00135DEA"/>
    <w:rsid w:val="00135DF8"/>
    <w:rsid w:val="00135F1A"/>
    <w:rsid w:val="00136051"/>
    <w:rsid w:val="00136C70"/>
    <w:rsid w:val="00137442"/>
    <w:rsid w:val="001374BA"/>
    <w:rsid w:val="0013773E"/>
    <w:rsid w:val="001378CD"/>
    <w:rsid w:val="001379A5"/>
    <w:rsid w:val="00137BE6"/>
    <w:rsid w:val="00140539"/>
    <w:rsid w:val="001409F4"/>
    <w:rsid w:val="00140ABD"/>
    <w:rsid w:val="00140F44"/>
    <w:rsid w:val="001410B4"/>
    <w:rsid w:val="0014141E"/>
    <w:rsid w:val="0014148E"/>
    <w:rsid w:val="001417BF"/>
    <w:rsid w:val="00141800"/>
    <w:rsid w:val="00141913"/>
    <w:rsid w:val="00141961"/>
    <w:rsid w:val="00141A85"/>
    <w:rsid w:val="00141E41"/>
    <w:rsid w:val="00142015"/>
    <w:rsid w:val="00142515"/>
    <w:rsid w:val="001427A0"/>
    <w:rsid w:val="00142E65"/>
    <w:rsid w:val="00142EEF"/>
    <w:rsid w:val="00142F1F"/>
    <w:rsid w:val="001431CF"/>
    <w:rsid w:val="00143396"/>
    <w:rsid w:val="001435EC"/>
    <w:rsid w:val="00143A99"/>
    <w:rsid w:val="0014436A"/>
    <w:rsid w:val="0014489D"/>
    <w:rsid w:val="0014502D"/>
    <w:rsid w:val="001458A8"/>
    <w:rsid w:val="00145CB6"/>
    <w:rsid w:val="00145E23"/>
    <w:rsid w:val="00145F94"/>
    <w:rsid w:val="0014690E"/>
    <w:rsid w:val="0014692E"/>
    <w:rsid w:val="00146AD8"/>
    <w:rsid w:val="001473BB"/>
    <w:rsid w:val="0014782F"/>
    <w:rsid w:val="00147839"/>
    <w:rsid w:val="00147BE8"/>
    <w:rsid w:val="00147C07"/>
    <w:rsid w:val="00147DE7"/>
    <w:rsid w:val="00150052"/>
    <w:rsid w:val="0015023B"/>
    <w:rsid w:val="00150DC6"/>
    <w:rsid w:val="00150DF4"/>
    <w:rsid w:val="00150E47"/>
    <w:rsid w:val="00151665"/>
    <w:rsid w:val="0015175F"/>
    <w:rsid w:val="00151F90"/>
    <w:rsid w:val="00152123"/>
    <w:rsid w:val="001523AE"/>
    <w:rsid w:val="0015251D"/>
    <w:rsid w:val="00152A53"/>
    <w:rsid w:val="00152F93"/>
    <w:rsid w:val="00152FC7"/>
    <w:rsid w:val="0015304F"/>
    <w:rsid w:val="0015311C"/>
    <w:rsid w:val="0015363F"/>
    <w:rsid w:val="00153730"/>
    <w:rsid w:val="00153B56"/>
    <w:rsid w:val="00153CB9"/>
    <w:rsid w:val="00153D4C"/>
    <w:rsid w:val="00154132"/>
    <w:rsid w:val="00154367"/>
    <w:rsid w:val="00154457"/>
    <w:rsid w:val="001546B9"/>
    <w:rsid w:val="001549CC"/>
    <w:rsid w:val="00154A73"/>
    <w:rsid w:val="00154B1D"/>
    <w:rsid w:val="00154F0F"/>
    <w:rsid w:val="001554E5"/>
    <w:rsid w:val="00155546"/>
    <w:rsid w:val="001557A9"/>
    <w:rsid w:val="001557E7"/>
    <w:rsid w:val="00155A16"/>
    <w:rsid w:val="00155D85"/>
    <w:rsid w:val="00155E31"/>
    <w:rsid w:val="00155EA2"/>
    <w:rsid w:val="00155F78"/>
    <w:rsid w:val="001567A0"/>
    <w:rsid w:val="00156B1E"/>
    <w:rsid w:val="0015734F"/>
    <w:rsid w:val="00157925"/>
    <w:rsid w:val="00157E50"/>
    <w:rsid w:val="00157EF8"/>
    <w:rsid w:val="001600AD"/>
    <w:rsid w:val="00160196"/>
    <w:rsid w:val="00160F2A"/>
    <w:rsid w:val="00161115"/>
    <w:rsid w:val="001612DD"/>
    <w:rsid w:val="001619D1"/>
    <w:rsid w:val="001620A5"/>
    <w:rsid w:val="001624DF"/>
    <w:rsid w:val="0016252B"/>
    <w:rsid w:val="00162C85"/>
    <w:rsid w:val="00163186"/>
    <w:rsid w:val="00163457"/>
    <w:rsid w:val="00163532"/>
    <w:rsid w:val="00163A4A"/>
    <w:rsid w:val="00163A8B"/>
    <w:rsid w:val="00163E3B"/>
    <w:rsid w:val="0016411F"/>
    <w:rsid w:val="00164790"/>
    <w:rsid w:val="001652B1"/>
    <w:rsid w:val="00165705"/>
    <w:rsid w:val="00166144"/>
    <w:rsid w:val="0016642D"/>
    <w:rsid w:val="00166768"/>
    <w:rsid w:val="00166E3C"/>
    <w:rsid w:val="00167FC1"/>
    <w:rsid w:val="0017031E"/>
    <w:rsid w:val="001703DB"/>
    <w:rsid w:val="0017042F"/>
    <w:rsid w:val="00170696"/>
    <w:rsid w:val="00170CB2"/>
    <w:rsid w:val="00170DD2"/>
    <w:rsid w:val="00170EA6"/>
    <w:rsid w:val="001711B5"/>
    <w:rsid w:val="00171222"/>
    <w:rsid w:val="001718C4"/>
    <w:rsid w:val="00171A3F"/>
    <w:rsid w:val="00171EE5"/>
    <w:rsid w:val="00171F4E"/>
    <w:rsid w:val="001724AA"/>
    <w:rsid w:val="001728C0"/>
    <w:rsid w:val="00172A9F"/>
    <w:rsid w:val="00172E06"/>
    <w:rsid w:val="0017344B"/>
    <w:rsid w:val="00173804"/>
    <w:rsid w:val="0017406B"/>
    <w:rsid w:val="00174544"/>
    <w:rsid w:val="001745EE"/>
    <w:rsid w:val="00174697"/>
    <w:rsid w:val="00175056"/>
    <w:rsid w:val="001755FC"/>
    <w:rsid w:val="001756E0"/>
    <w:rsid w:val="00176629"/>
    <w:rsid w:val="001769DB"/>
    <w:rsid w:val="00176C1E"/>
    <w:rsid w:val="00176C5D"/>
    <w:rsid w:val="0017716E"/>
    <w:rsid w:val="0017716F"/>
    <w:rsid w:val="001772AA"/>
    <w:rsid w:val="00177770"/>
    <w:rsid w:val="001778E0"/>
    <w:rsid w:val="001779BB"/>
    <w:rsid w:val="00177B0D"/>
    <w:rsid w:val="00177CC4"/>
    <w:rsid w:val="0018002E"/>
    <w:rsid w:val="001800A1"/>
    <w:rsid w:val="0018018B"/>
    <w:rsid w:val="001801B2"/>
    <w:rsid w:val="0018042C"/>
    <w:rsid w:val="001806ED"/>
    <w:rsid w:val="00181098"/>
    <w:rsid w:val="001810E2"/>
    <w:rsid w:val="00181464"/>
    <w:rsid w:val="0018166D"/>
    <w:rsid w:val="00181E83"/>
    <w:rsid w:val="0018248F"/>
    <w:rsid w:val="0018300B"/>
    <w:rsid w:val="0018332F"/>
    <w:rsid w:val="00183389"/>
    <w:rsid w:val="001836F6"/>
    <w:rsid w:val="001838EA"/>
    <w:rsid w:val="001844C1"/>
    <w:rsid w:val="001849C4"/>
    <w:rsid w:val="00184A3A"/>
    <w:rsid w:val="00185269"/>
    <w:rsid w:val="00185855"/>
    <w:rsid w:val="00185CD1"/>
    <w:rsid w:val="001862E9"/>
    <w:rsid w:val="0018695E"/>
    <w:rsid w:val="00186C85"/>
    <w:rsid w:val="00186D5F"/>
    <w:rsid w:val="00187AFF"/>
    <w:rsid w:val="00187DBA"/>
    <w:rsid w:val="00187DF1"/>
    <w:rsid w:val="0019023C"/>
    <w:rsid w:val="001904C9"/>
    <w:rsid w:val="0019067C"/>
    <w:rsid w:val="00190769"/>
    <w:rsid w:val="00191207"/>
    <w:rsid w:val="00191649"/>
    <w:rsid w:val="00191F72"/>
    <w:rsid w:val="00192567"/>
    <w:rsid w:val="0019323B"/>
    <w:rsid w:val="0019388B"/>
    <w:rsid w:val="00193A97"/>
    <w:rsid w:val="00193C44"/>
    <w:rsid w:val="00193E02"/>
    <w:rsid w:val="0019406B"/>
    <w:rsid w:val="0019429B"/>
    <w:rsid w:val="0019466B"/>
    <w:rsid w:val="0019476E"/>
    <w:rsid w:val="00194C4A"/>
    <w:rsid w:val="00194F82"/>
    <w:rsid w:val="0019510B"/>
    <w:rsid w:val="00195824"/>
    <w:rsid w:val="0019588C"/>
    <w:rsid w:val="0019593C"/>
    <w:rsid w:val="001959F7"/>
    <w:rsid w:val="00196097"/>
    <w:rsid w:val="0019655B"/>
    <w:rsid w:val="00196E2E"/>
    <w:rsid w:val="00197496"/>
    <w:rsid w:val="001974C5"/>
    <w:rsid w:val="00197814"/>
    <w:rsid w:val="00197B5B"/>
    <w:rsid w:val="00197BD0"/>
    <w:rsid w:val="00197DEA"/>
    <w:rsid w:val="001A01A6"/>
    <w:rsid w:val="001A0765"/>
    <w:rsid w:val="001A0904"/>
    <w:rsid w:val="001A090D"/>
    <w:rsid w:val="001A1AC4"/>
    <w:rsid w:val="001A1D6A"/>
    <w:rsid w:val="001A1F3A"/>
    <w:rsid w:val="001A1F89"/>
    <w:rsid w:val="001A21D8"/>
    <w:rsid w:val="001A21FA"/>
    <w:rsid w:val="001A2708"/>
    <w:rsid w:val="001A28A1"/>
    <w:rsid w:val="001A2A5C"/>
    <w:rsid w:val="001A2F1F"/>
    <w:rsid w:val="001A327D"/>
    <w:rsid w:val="001A348E"/>
    <w:rsid w:val="001A3D35"/>
    <w:rsid w:val="001A41D8"/>
    <w:rsid w:val="001A41E8"/>
    <w:rsid w:val="001A4308"/>
    <w:rsid w:val="001A45F4"/>
    <w:rsid w:val="001A4EB6"/>
    <w:rsid w:val="001A53FF"/>
    <w:rsid w:val="001A5642"/>
    <w:rsid w:val="001A6169"/>
    <w:rsid w:val="001A6628"/>
    <w:rsid w:val="001A68C7"/>
    <w:rsid w:val="001A69C0"/>
    <w:rsid w:val="001A69ED"/>
    <w:rsid w:val="001A6A93"/>
    <w:rsid w:val="001A6F61"/>
    <w:rsid w:val="001A7831"/>
    <w:rsid w:val="001A7C6C"/>
    <w:rsid w:val="001A7EEA"/>
    <w:rsid w:val="001B04D1"/>
    <w:rsid w:val="001B062A"/>
    <w:rsid w:val="001B0C92"/>
    <w:rsid w:val="001B0DFA"/>
    <w:rsid w:val="001B0F32"/>
    <w:rsid w:val="001B0F5A"/>
    <w:rsid w:val="001B10CF"/>
    <w:rsid w:val="001B10D4"/>
    <w:rsid w:val="001B110F"/>
    <w:rsid w:val="001B115A"/>
    <w:rsid w:val="001B16E2"/>
    <w:rsid w:val="001B2096"/>
    <w:rsid w:val="001B22D5"/>
    <w:rsid w:val="001B28E1"/>
    <w:rsid w:val="001B2A3B"/>
    <w:rsid w:val="001B2D7E"/>
    <w:rsid w:val="001B2FA2"/>
    <w:rsid w:val="001B3119"/>
    <w:rsid w:val="001B32AE"/>
    <w:rsid w:val="001B3A7D"/>
    <w:rsid w:val="001B4215"/>
    <w:rsid w:val="001B4429"/>
    <w:rsid w:val="001B483B"/>
    <w:rsid w:val="001B487B"/>
    <w:rsid w:val="001B49A0"/>
    <w:rsid w:val="001B4A78"/>
    <w:rsid w:val="001B4E95"/>
    <w:rsid w:val="001B4ED1"/>
    <w:rsid w:val="001B51A5"/>
    <w:rsid w:val="001B51BB"/>
    <w:rsid w:val="001B568E"/>
    <w:rsid w:val="001B57B9"/>
    <w:rsid w:val="001B5B85"/>
    <w:rsid w:val="001B5D5B"/>
    <w:rsid w:val="001B66C8"/>
    <w:rsid w:val="001B6EC4"/>
    <w:rsid w:val="001B74CB"/>
    <w:rsid w:val="001B7866"/>
    <w:rsid w:val="001B7C01"/>
    <w:rsid w:val="001B7C5B"/>
    <w:rsid w:val="001B7D3F"/>
    <w:rsid w:val="001B7EBA"/>
    <w:rsid w:val="001C0063"/>
    <w:rsid w:val="001C05AB"/>
    <w:rsid w:val="001C0B97"/>
    <w:rsid w:val="001C0C6B"/>
    <w:rsid w:val="001C11F3"/>
    <w:rsid w:val="001C1ABF"/>
    <w:rsid w:val="001C1C7F"/>
    <w:rsid w:val="001C21B7"/>
    <w:rsid w:val="001C252E"/>
    <w:rsid w:val="001C32A1"/>
    <w:rsid w:val="001C338C"/>
    <w:rsid w:val="001C34CC"/>
    <w:rsid w:val="001C34E2"/>
    <w:rsid w:val="001C360F"/>
    <w:rsid w:val="001C378D"/>
    <w:rsid w:val="001C3BD2"/>
    <w:rsid w:val="001C3C51"/>
    <w:rsid w:val="001C3E6A"/>
    <w:rsid w:val="001C3FDA"/>
    <w:rsid w:val="001C41B3"/>
    <w:rsid w:val="001C435B"/>
    <w:rsid w:val="001C48CC"/>
    <w:rsid w:val="001C48F7"/>
    <w:rsid w:val="001C4956"/>
    <w:rsid w:val="001C4980"/>
    <w:rsid w:val="001C4C21"/>
    <w:rsid w:val="001C4CB3"/>
    <w:rsid w:val="001C500C"/>
    <w:rsid w:val="001C557F"/>
    <w:rsid w:val="001C5860"/>
    <w:rsid w:val="001C5F58"/>
    <w:rsid w:val="001C6231"/>
    <w:rsid w:val="001C63A5"/>
    <w:rsid w:val="001C6DB7"/>
    <w:rsid w:val="001C7827"/>
    <w:rsid w:val="001C797F"/>
    <w:rsid w:val="001C7D4A"/>
    <w:rsid w:val="001C7EC4"/>
    <w:rsid w:val="001D01F4"/>
    <w:rsid w:val="001D0809"/>
    <w:rsid w:val="001D098D"/>
    <w:rsid w:val="001D09A6"/>
    <w:rsid w:val="001D0A74"/>
    <w:rsid w:val="001D0BE8"/>
    <w:rsid w:val="001D0C0F"/>
    <w:rsid w:val="001D111B"/>
    <w:rsid w:val="001D166F"/>
    <w:rsid w:val="001D1CCC"/>
    <w:rsid w:val="001D1D87"/>
    <w:rsid w:val="001D22F8"/>
    <w:rsid w:val="001D281D"/>
    <w:rsid w:val="001D2B13"/>
    <w:rsid w:val="001D2CF6"/>
    <w:rsid w:val="001D3179"/>
    <w:rsid w:val="001D32BB"/>
    <w:rsid w:val="001D33ED"/>
    <w:rsid w:val="001D382B"/>
    <w:rsid w:val="001D386D"/>
    <w:rsid w:val="001D3A1A"/>
    <w:rsid w:val="001D3AB7"/>
    <w:rsid w:val="001D3C82"/>
    <w:rsid w:val="001D3DA7"/>
    <w:rsid w:val="001D3E28"/>
    <w:rsid w:val="001D3E76"/>
    <w:rsid w:val="001D3EC8"/>
    <w:rsid w:val="001D3EDD"/>
    <w:rsid w:val="001D46E1"/>
    <w:rsid w:val="001D472C"/>
    <w:rsid w:val="001D4A06"/>
    <w:rsid w:val="001D51CB"/>
    <w:rsid w:val="001D575E"/>
    <w:rsid w:val="001D5803"/>
    <w:rsid w:val="001D5823"/>
    <w:rsid w:val="001D5836"/>
    <w:rsid w:val="001D5950"/>
    <w:rsid w:val="001D5C29"/>
    <w:rsid w:val="001D5D74"/>
    <w:rsid w:val="001D5E68"/>
    <w:rsid w:val="001D6068"/>
    <w:rsid w:val="001D63E8"/>
    <w:rsid w:val="001D63F0"/>
    <w:rsid w:val="001D65CB"/>
    <w:rsid w:val="001D6833"/>
    <w:rsid w:val="001D6B0A"/>
    <w:rsid w:val="001D7236"/>
    <w:rsid w:val="001D7470"/>
    <w:rsid w:val="001D7669"/>
    <w:rsid w:val="001D76EF"/>
    <w:rsid w:val="001D77B7"/>
    <w:rsid w:val="001D77BC"/>
    <w:rsid w:val="001D796E"/>
    <w:rsid w:val="001D79E6"/>
    <w:rsid w:val="001D7A16"/>
    <w:rsid w:val="001D7B61"/>
    <w:rsid w:val="001D7E2D"/>
    <w:rsid w:val="001E0139"/>
    <w:rsid w:val="001E02E7"/>
    <w:rsid w:val="001E0305"/>
    <w:rsid w:val="001E0411"/>
    <w:rsid w:val="001E06EE"/>
    <w:rsid w:val="001E0B27"/>
    <w:rsid w:val="001E0BF6"/>
    <w:rsid w:val="001E0E2B"/>
    <w:rsid w:val="001E0E64"/>
    <w:rsid w:val="001E103F"/>
    <w:rsid w:val="001E11EB"/>
    <w:rsid w:val="001E12AC"/>
    <w:rsid w:val="001E13E6"/>
    <w:rsid w:val="001E16BA"/>
    <w:rsid w:val="001E194C"/>
    <w:rsid w:val="001E1B38"/>
    <w:rsid w:val="001E1DC3"/>
    <w:rsid w:val="001E1E35"/>
    <w:rsid w:val="001E208E"/>
    <w:rsid w:val="001E2CD0"/>
    <w:rsid w:val="001E332B"/>
    <w:rsid w:val="001E37E9"/>
    <w:rsid w:val="001E380D"/>
    <w:rsid w:val="001E5769"/>
    <w:rsid w:val="001E5A34"/>
    <w:rsid w:val="001E5B03"/>
    <w:rsid w:val="001E602A"/>
    <w:rsid w:val="001E64E1"/>
    <w:rsid w:val="001E680E"/>
    <w:rsid w:val="001E6897"/>
    <w:rsid w:val="001E737B"/>
    <w:rsid w:val="001E7AA5"/>
    <w:rsid w:val="001E7ED7"/>
    <w:rsid w:val="001F06A9"/>
    <w:rsid w:val="001F071E"/>
    <w:rsid w:val="001F0851"/>
    <w:rsid w:val="001F09D6"/>
    <w:rsid w:val="001F0B42"/>
    <w:rsid w:val="001F0D6F"/>
    <w:rsid w:val="001F145F"/>
    <w:rsid w:val="001F1574"/>
    <w:rsid w:val="001F1EC1"/>
    <w:rsid w:val="001F1F89"/>
    <w:rsid w:val="001F2525"/>
    <w:rsid w:val="001F2574"/>
    <w:rsid w:val="001F2685"/>
    <w:rsid w:val="001F2E1A"/>
    <w:rsid w:val="001F36BF"/>
    <w:rsid w:val="001F379C"/>
    <w:rsid w:val="001F3851"/>
    <w:rsid w:val="001F3C87"/>
    <w:rsid w:val="001F3F80"/>
    <w:rsid w:val="001F405B"/>
    <w:rsid w:val="001F419B"/>
    <w:rsid w:val="001F4221"/>
    <w:rsid w:val="001F4281"/>
    <w:rsid w:val="001F486D"/>
    <w:rsid w:val="001F4884"/>
    <w:rsid w:val="001F4A15"/>
    <w:rsid w:val="001F551A"/>
    <w:rsid w:val="001F5651"/>
    <w:rsid w:val="001F5975"/>
    <w:rsid w:val="001F5C42"/>
    <w:rsid w:val="001F5E1A"/>
    <w:rsid w:val="001F6105"/>
    <w:rsid w:val="001F6648"/>
    <w:rsid w:val="001F6813"/>
    <w:rsid w:val="001F6968"/>
    <w:rsid w:val="001F6A1C"/>
    <w:rsid w:val="001F7259"/>
    <w:rsid w:val="001F72FF"/>
    <w:rsid w:val="001F78EE"/>
    <w:rsid w:val="001F7CE5"/>
    <w:rsid w:val="001F7D03"/>
    <w:rsid w:val="00200680"/>
    <w:rsid w:val="0020073D"/>
    <w:rsid w:val="002007B8"/>
    <w:rsid w:val="0020091D"/>
    <w:rsid w:val="00200A80"/>
    <w:rsid w:val="00200D05"/>
    <w:rsid w:val="0020104D"/>
    <w:rsid w:val="002011F3"/>
    <w:rsid w:val="0020129A"/>
    <w:rsid w:val="002014BF"/>
    <w:rsid w:val="00201966"/>
    <w:rsid w:val="00201D57"/>
    <w:rsid w:val="00202136"/>
    <w:rsid w:val="002025C9"/>
    <w:rsid w:val="002027B7"/>
    <w:rsid w:val="00202930"/>
    <w:rsid w:val="00202C82"/>
    <w:rsid w:val="00202F18"/>
    <w:rsid w:val="00203585"/>
    <w:rsid w:val="0020361E"/>
    <w:rsid w:val="00203747"/>
    <w:rsid w:val="00203E34"/>
    <w:rsid w:val="00203FB1"/>
    <w:rsid w:val="002041E1"/>
    <w:rsid w:val="0020439C"/>
    <w:rsid w:val="0020479A"/>
    <w:rsid w:val="002051A7"/>
    <w:rsid w:val="00205BED"/>
    <w:rsid w:val="00205E5A"/>
    <w:rsid w:val="00206157"/>
    <w:rsid w:val="00206283"/>
    <w:rsid w:val="00206543"/>
    <w:rsid w:val="00206A14"/>
    <w:rsid w:val="00206BA4"/>
    <w:rsid w:val="00206F5E"/>
    <w:rsid w:val="0020740A"/>
    <w:rsid w:val="0020752B"/>
    <w:rsid w:val="00207645"/>
    <w:rsid w:val="00207710"/>
    <w:rsid w:val="002078FF"/>
    <w:rsid w:val="00207BB7"/>
    <w:rsid w:val="00207EF6"/>
    <w:rsid w:val="00207F43"/>
    <w:rsid w:val="00210254"/>
    <w:rsid w:val="002102BD"/>
    <w:rsid w:val="002103EE"/>
    <w:rsid w:val="0021061A"/>
    <w:rsid w:val="002108E7"/>
    <w:rsid w:val="00210903"/>
    <w:rsid w:val="00210917"/>
    <w:rsid w:val="00210997"/>
    <w:rsid w:val="00210F37"/>
    <w:rsid w:val="002110E8"/>
    <w:rsid w:val="00211F71"/>
    <w:rsid w:val="002121C5"/>
    <w:rsid w:val="002122A3"/>
    <w:rsid w:val="0021232E"/>
    <w:rsid w:val="00212409"/>
    <w:rsid w:val="0021273C"/>
    <w:rsid w:val="00212C5A"/>
    <w:rsid w:val="0021305B"/>
    <w:rsid w:val="002130CE"/>
    <w:rsid w:val="0021383A"/>
    <w:rsid w:val="00213E6F"/>
    <w:rsid w:val="0021401E"/>
    <w:rsid w:val="002149A2"/>
    <w:rsid w:val="00214DDC"/>
    <w:rsid w:val="0021526C"/>
    <w:rsid w:val="0021553F"/>
    <w:rsid w:val="0021586B"/>
    <w:rsid w:val="0021590C"/>
    <w:rsid w:val="00215B37"/>
    <w:rsid w:val="00215C1C"/>
    <w:rsid w:val="00216545"/>
    <w:rsid w:val="0021680F"/>
    <w:rsid w:val="00216DD0"/>
    <w:rsid w:val="00217187"/>
    <w:rsid w:val="002171A8"/>
    <w:rsid w:val="0021747D"/>
    <w:rsid w:val="002174AC"/>
    <w:rsid w:val="00217CBF"/>
    <w:rsid w:val="002200EA"/>
    <w:rsid w:val="002206A1"/>
    <w:rsid w:val="0022089A"/>
    <w:rsid w:val="00220978"/>
    <w:rsid w:val="00220BAE"/>
    <w:rsid w:val="00220C8E"/>
    <w:rsid w:val="00220DF1"/>
    <w:rsid w:val="00221BD5"/>
    <w:rsid w:val="00221BDD"/>
    <w:rsid w:val="00221D4D"/>
    <w:rsid w:val="002221EE"/>
    <w:rsid w:val="00222234"/>
    <w:rsid w:val="002222EE"/>
    <w:rsid w:val="00222327"/>
    <w:rsid w:val="00222406"/>
    <w:rsid w:val="00222579"/>
    <w:rsid w:val="00222646"/>
    <w:rsid w:val="00222924"/>
    <w:rsid w:val="00222A3C"/>
    <w:rsid w:val="00222A9D"/>
    <w:rsid w:val="00222FAF"/>
    <w:rsid w:val="002237B1"/>
    <w:rsid w:val="00223A0F"/>
    <w:rsid w:val="00223BFE"/>
    <w:rsid w:val="00223C6C"/>
    <w:rsid w:val="00223DF0"/>
    <w:rsid w:val="00223DF4"/>
    <w:rsid w:val="00224002"/>
    <w:rsid w:val="002244B3"/>
    <w:rsid w:val="0022450A"/>
    <w:rsid w:val="00224573"/>
    <w:rsid w:val="0022466B"/>
    <w:rsid w:val="002246C5"/>
    <w:rsid w:val="0022492C"/>
    <w:rsid w:val="00224B35"/>
    <w:rsid w:val="0022500B"/>
    <w:rsid w:val="00225355"/>
    <w:rsid w:val="002253EB"/>
    <w:rsid w:val="00225588"/>
    <w:rsid w:val="002256B4"/>
    <w:rsid w:val="00225A7A"/>
    <w:rsid w:val="00225BF5"/>
    <w:rsid w:val="00225E9B"/>
    <w:rsid w:val="00225FE4"/>
    <w:rsid w:val="0022606D"/>
    <w:rsid w:val="0022683E"/>
    <w:rsid w:val="00226CFC"/>
    <w:rsid w:val="00226E65"/>
    <w:rsid w:val="00226FBF"/>
    <w:rsid w:val="002271F7"/>
    <w:rsid w:val="0022727C"/>
    <w:rsid w:val="002272AC"/>
    <w:rsid w:val="00227727"/>
    <w:rsid w:val="00227C3B"/>
    <w:rsid w:val="002301D2"/>
    <w:rsid w:val="00230492"/>
    <w:rsid w:val="00230DD5"/>
    <w:rsid w:val="00231508"/>
    <w:rsid w:val="00231861"/>
    <w:rsid w:val="00231BE4"/>
    <w:rsid w:val="00231C52"/>
    <w:rsid w:val="00231CB2"/>
    <w:rsid w:val="00231FAF"/>
    <w:rsid w:val="0023223C"/>
    <w:rsid w:val="00232631"/>
    <w:rsid w:val="002326F5"/>
    <w:rsid w:val="00232DE2"/>
    <w:rsid w:val="0023312D"/>
    <w:rsid w:val="002333F3"/>
    <w:rsid w:val="002334EB"/>
    <w:rsid w:val="002337AD"/>
    <w:rsid w:val="002339DF"/>
    <w:rsid w:val="002340BE"/>
    <w:rsid w:val="002341CC"/>
    <w:rsid w:val="00234431"/>
    <w:rsid w:val="0023459A"/>
    <w:rsid w:val="00234BE6"/>
    <w:rsid w:val="00235470"/>
    <w:rsid w:val="00235C48"/>
    <w:rsid w:val="00235E36"/>
    <w:rsid w:val="00236025"/>
    <w:rsid w:val="00236536"/>
    <w:rsid w:val="0023697F"/>
    <w:rsid w:val="00236E9D"/>
    <w:rsid w:val="00236EEB"/>
    <w:rsid w:val="00237088"/>
    <w:rsid w:val="0023780C"/>
    <w:rsid w:val="0023790D"/>
    <w:rsid w:val="00237DC7"/>
    <w:rsid w:val="00237E29"/>
    <w:rsid w:val="00237FED"/>
    <w:rsid w:val="002401A1"/>
    <w:rsid w:val="00240267"/>
    <w:rsid w:val="0024036B"/>
    <w:rsid w:val="0024079B"/>
    <w:rsid w:val="002408C4"/>
    <w:rsid w:val="00240A73"/>
    <w:rsid w:val="00240B02"/>
    <w:rsid w:val="00240DA0"/>
    <w:rsid w:val="00240EA4"/>
    <w:rsid w:val="00240FFF"/>
    <w:rsid w:val="0024141B"/>
    <w:rsid w:val="00241426"/>
    <w:rsid w:val="00241597"/>
    <w:rsid w:val="00241A0E"/>
    <w:rsid w:val="00242B23"/>
    <w:rsid w:val="00242D3B"/>
    <w:rsid w:val="002430D0"/>
    <w:rsid w:val="0024312C"/>
    <w:rsid w:val="00243C36"/>
    <w:rsid w:val="00244674"/>
    <w:rsid w:val="0024471A"/>
    <w:rsid w:val="00245845"/>
    <w:rsid w:val="0024603B"/>
    <w:rsid w:val="002466E3"/>
    <w:rsid w:val="002467DA"/>
    <w:rsid w:val="0024687E"/>
    <w:rsid w:val="0024691E"/>
    <w:rsid w:val="00246BC4"/>
    <w:rsid w:val="00246F1E"/>
    <w:rsid w:val="00246F3F"/>
    <w:rsid w:val="00247237"/>
    <w:rsid w:val="00247459"/>
    <w:rsid w:val="00247D79"/>
    <w:rsid w:val="00247ECA"/>
    <w:rsid w:val="0025028C"/>
    <w:rsid w:val="002505AB"/>
    <w:rsid w:val="002505B1"/>
    <w:rsid w:val="00250DC2"/>
    <w:rsid w:val="00250EF5"/>
    <w:rsid w:val="00250F01"/>
    <w:rsid w:val="00250FD1"/>
    <w:rsid w:val="00251284"/>
    <w:rsid w:val="00251576"/>
    <w:rsid w:val="002515F1"/>
    <w:rsid w:val="00251792"/>
    <w:rsid w:val="002517A2"/>
    <w:rsid w:val="00251CC4"/>
    <w:rsid w:val="00252533"/>
    <w:rsid w:val="00252563"/>
    <w:rsid w:val="00252B52"/>
    <w:rsid w:val="00252EF9"/>
    <w:rsid w:val="002531BF"/>
    <w:rsid w:val="002532B1"/>
    <w:rsid w:val="0025373A"/>
    <w:rsid w:val="00253A64"/>
    <w:rsid w:val="00253AC0"/>
    <w:rsid w:val="00253C46"/>
    <w:rsid w:val="0025429F"/>
    <w:rsid w:val="002542E5"/>
    <w:rsid w:val="00254432"/>
    <w:rsid w:val="002546C7"/>
    <w:rsid w:val="00254EAD"/>
    <w:rsid w:val="0025518B"/>
    <w:rsid w:val="0025521A"/>
    <w:rsid w:val="00255905"/>
    <w:rsid w:val="00255DB3"/>
    <w:rsid w:val="00255EA9"/>
    <w:rsid w:val="00256212"/>
    <w:rsid w:val="00256B73"/>
    <w:rsid w:val="00256EB4"/>
    <w:rsid w:val="0025723C"/>
    <w:rsid w:val="00257249"/>
    <w:rsid w:val="002573FA"/>
    <w:rsid w:val="002576DD"/>
    <w:rsid w:val="0025773B"/>
    <w:rsid w:val="00257795"/>
    <w:rsid w:val="00257A58"/>
    <w:rsid w:val="002602CD"/>
    <w:rsid w:val="002609D1"/>
    <w:rsid w:val="00260AD9"/>
    <w:rsid w:val="0026126A"/>
    <w:rsid w:val="002614D8"/>
    <w:rsid w:val="0026157C"/>
    <w:rsid w:val="00261A76"/>
    <w:rsid w:val="00261BE4"/>
    <w:rsid w:val="00261C67"/>
    <w:rsid w:val="00261C88"/>
    <w:rsid w:val="00261E3F"/>
    <w:rsid w:val="00262064"/>
    <w:rsid w:val="00262598"/>
    <w:rsid w:val="0026268E"/>
    <w:rsid w:val="00262726"/>
    <w:rsid w:val="0026296E"/>
    <w:rsid w:val="00262A82"/>
    <w:rsid w:val="00262CC7"/>
    <w:rsid w:val="00262F97"/>
    <w:rsid w:val="0026326F"/>
    <w:rsid w:val="002634A8"/>
    <w:rsid w:val="0026386D"/>
    <w:rsid w:val="00263F7F"/>
    <w:rsid w:val="002643A3"/>
    <w:rsid w:val="0026452E"/>
    <w:rsid w:val="002652CD"/>
    <w:rsid w:val="002656E4"/>
    <w:rsid w:val="00265703"/>
    <w:rsid w:val="00265BBC"/>
    <w:rsid w:val="00265E64"/>
    <w:rsid w:val="00266575"/>
    <w:rsid w:val="00266A06"/>
    <w:rsid w:val="00266B6B"/>
    <w:rsid w:val="00266C67"/>
    <w:rsid w:val="00266E51"/>
    <w:rsid w:val="00267200"/>
    <w:rsid w:val="002674BF"/>
    <w:rsid w:val="002675EA"/>
    <w:rsid w:val="002678A4"/>
    <w:rsid w:val="00267D09"/>
    <w:rsid w:val="00267E4A"/>
    <w:rsid w:val="0027002D"/>
    <w:rsid w:val="002701A4"/>
    <w:rsid w:val="00270413"/>
    <w:rsid w:val="0027046D"/>
    <w:rsid w:val="0027046F"/>
    <w:rsid w:val="0027089F"/>
    <w:rsid w:val="00270D23"/>
    <w:rsid w:val="00270DBF"/>
    <w:rsid w:val="00271394"/>
    <w:rsid w:val="00271447"/>
    <w:rsid w:val="00271891"/>
    <w:rsid w:val="00271E4F"/>
    <w:rsid w:val="00272400"/>
    <w:rsid w:val="002724B3"/>
    <w:rsid w:val="00272668"/>
    <w:rsid w:val="002726A7"/>
    <w:rsid w:val="002729A2"/>
    <w:rsid w:val="00272A2A"/>
    <w:rsid w:val="00272B08"/>
    <w:rsid w:val="00272C54"/>
    <w:rsid w:val="00273022"/>
    <w:rsid w:val="00273AE2"/>
    <w:rsid w:val="00273E9D"/>
    <w:rsid w:val="0027435D"/>
    <w:rsid w:val="002748E2"/>
    <w:rsid w:val="00274B42"/>
    <w:rsid w:val="0027537F"/>
    <w:rsid w:val="00275BF6"/>
    <w:rsid w:val="0027620C"/>
    <w:rsid w:val="00276495"/>
    <w:rsid w:val="00277328"/>
    <w:rsid w:val="00277499"/>
    <w:rsid w:val="002775C8"/>
    <w:rsid w:val="002775D8"/>
    <w:rsid w:val="00277694"/>
    <w:rsid w:val="002776BD"/>
    <w:rsid w:val="0027783B"/>
    <w:rsid w:val="00277E51"/>
    <w:rsid w:val="00277FE1"/>
    <w:rsid w:val="002802FB"/>
    <w:rsid w:val="002804C0"/>
    <w:rsid w:val="0028069D"/>
    <w:rsid w:val="0028093A"/>
    <w:rsid w:val="00280FD4"/>
    <w:rsid w:val="00281316"/>
    <w:rsid w:val="00281742"/>
    <w:rsid w:val="0028202C"/>
    <w:rsid w:val="002826F2"/>
    <w:rsid w:val="00282704"/>
    <w:rsid w:val="00282D31"/>
    <w:rsid w:val="0028331A"/>
    <w:rsid w:val="00284115"/>
    <w:rsid w:val="002847C5"/>
    <w:rsid w:val="002847EB"/>
    <w:rsid w:val="0028484C"/>
    <w:rsid w:val="002849EF"/>
    <w:rsid w:val="00284C8C"/>
    <w:rsid w:val="002850A5"/>
    <w:rsid w:val="002855D4"/>
    <w:rsid w:val="00285600"/>
    <w:rsid w:val="0028575B"/>
    <w:rsid w:val="00285824"/>
    <w:rsid w:val="0028587C"/>
    <w:rsid w:val="00285B2A"/>
    <w:rsid w:val="00286377"/>
    <w:rsid w:val="002870C3"/>
    <w:rsid w:val="00287877"/>
    <w:rsid w:val="00287EDC"/>
    <w:rsid w:val="002900BB"/>
    <w:rsid w:val="0029031D"/>
    <w:rsid w:val="0029072E"/>
    <w:rsid w:val="00291693"/>
    <w:rsid w:val="00291BD1"/>
    <w:rsid w:val="00291D85"/>
    <w:rsid w:val="00291E8F"/>
    <w:rsid w:val="00292234"/>
    <w:rsid w:val="002924A6"/>
    <w:rsid w:val="002924F3"/>
    <w:rsid w:val="00292756"/>
    <w:rsid w:val="00292CDF"/>
    <w:rsid w:val="00292D9C"/>
    <w:rsid w:val="0029323C"/>
    <w:rsid w:val="002933B2"/>
    <w:rsid w:val="0029341C"/>
    <w:rsid w:val="00293889"/>
    <w:rsid w:val="00293B40"/>
    <w:rsid w:val="00293BB9"/>
    <w:rsid w:val="00293C6A"/>
    <w:rsid w:val="00293EAD"/>
    <w:rsid w:val="002950AD"/>
    <w:rsid w:val="0029572D"/>
    <w:rsid w:val="00295B86"/>
    <w:rsid w:val="00295FD6"/>
    <w:rsid w:val="00296006"/>
    <w:rsid w:val="00296477"/>
    <w:rsid w:val="00296923"/>
    <w:rsid w:val="00296ED6"/>
    <w:rsid w:val="00297041"/>
    <w:rsid w:val="0029778E"/>
    <w:rsid w:val="002978B2"/>
    <w:rsid w:val="00297AD3"/>
    <w:rsid w:val="00297EB8"/>
    <w:rsid w:val="002A00D7"/>
    <w:rsid w:val="002A064E"/>
    <w:rsid w:val="002A0816"/>
    <w:rsid w:val="002A08AC"/>
    <w:rsid w:val="002A0B7A"/>
    <w:rsid w:val="002A0E7B"/>
    <w:rsid w:val="002A12E6"/>
    <w:rsid w:val="002A14B1"/>
    <w:rsid w:val="002A1986"/>
    <w:rsid w:val="002A1D11"/>
    <w:rsid w:val="002A1E5F"/>
    <w:rsid w:val="002A1F6B"/>
    <w:rsid w:val="002A217B"/>
    <w:rsid w:val="002A29CA"/>
    <w:rsid w:val="002A2AB2"/>
    <w:rsid w:val="002A2F8A"/>
    <w:rsid w:val="002A30FD"/>
    <w:rsid w:val="002A3138"/>
    <w:rsid w:val="002A3547"/>
    <w:rsid w:val="002A3569"/>
    <w:rsid w:val="002A36BB"/>
    <w:rsid w:val="002A3B47"/>
    <w:rsid w:val="002A3D7D"/>
    <w:rsid w:val="002A44D8"/>
    <w:rsid w:val="002A4670"/>
    <w:rsid w:val="002A468F"/>
    <w:rsid w:val="002A4887"/>
    <w:rsid w:val="002A4B14"/>
    <w:rsid w:val="002A685D"/>
    <w:rsid w:val="002A6995"/>
    <w:rsid w:val="002A6BC6"/>
    <w:rsid w:val="002A71FB"/>
    <w:rsid w:val="002A7534"/>
    <w:rsid w:val="002A76FE"/>
    <w:rsid w:val="002A7B2A"/>
    <w:rsid w:val="002B05A9"/>
    <w:rsid w:val="002B1224"/>
    <w:rsid w:val="002B146A"/>
    <w:rsid w:val="002B15A1"/>
    <w:rsid w:val="002B15F2"/>
    <w:rsid w:val="002B16F8"/>
    <w:rsid w:val="002B172A"/>
    <w:rsid w:val="002B188C"/>
    <w:rsid w:val="002B1A1A"/>
    <w:rsid w:val="002B1F72"/>
    <w:rsid w:val="002B20D7"/>
    <w:rsid w:val="002B2571"/>
    <w:rsid w:val="002B29C4"/>
    <w:rsid w:val="002B2AFC"/>
    <w:rsid w:val="002B2C1D"/>
    <w:rsid w:val="002B2C1F"/>
    <w:rsid w:val="002B3825"/>
    <w:rsid w:val="002B38F2"/>
    <w:rsid w:val="002B3B41"/>
    <w:rsid w:val="002B3C09"/>
    <w:rsid w:val="002B3CA9"/>
    <w:rsid w:val="002B3CC7"/>
    <w:rsid w:val="002B3D17"/>
    <w:rsid w:val="002B3F96"/>
    <w:rsid w:val="002B4099"/>
    <w:rsid w:val="002B4317"/>
    <w:rsid w:val="002B51B4"/>
    <w:rsid w:val="002B5759"/>
    <w:rsid w:val="002B5928"/>
    <w:rsid w:val="002B5E0A"/>
    <w:rsid w:val="002B6116"/>
    <w:rsid w:val="002B6218"/>
    <w:rsid w:val="002B638C"/>
    <w:rsid w:val="002B66DA"/>
    <w:rsid w:val="002B6790"/>
    <w:rsid w:val="002B6E4F"/>
    <w:rsid w:val="002B7247"/>
    <w:rsid w:val="002B7458"/>
    <w:rsid w:val="002C038E"/>
    <w:rsid w:val="002C06E5"/>
    <w:rsid w:val="002C0E97"/>
    <w:rsid w:val="002C1139"/>
    <w:rsid w:val="002C14EA"/>
    <w:rsid w:val="002C160D"/>
    <w:rsid w:val="002C2128"/>
    <w:rsid w:val="002C217F"/>
    <w:rsid w:val="002C2703"/>
    <w:rsid w:val="002C2BA5"/>
    <w:rsid w:val="002C2E24"/>
    <w:rsid w:val="002C2E50"/>
    <w:rsid w:val="002C2FB2"/>
    <w:rsid w:val="002C31AD"/>
    <w:rsid w:val="002C37EE"/>
    <w:rsid w:val="002C3DB8"/>
    <w:rsid w:val="002C4075"/>
    <w:rsid w:val="002C4846"/>
    <w:rsid w:val="002C4E08"/>
    <w:rsid w:val="002C50D8"/>
    <w:rsid w:val="002C50F5"/>
    <w:rsid w:val="002C5BC5"/>
    <w:rsid w:val="002C5FF0"/>
    <w:rsid w:val="002C6040"/>
    <w:rsid w:val="002C6CB8"/>
    <w:rsid w:val="002C70E9"/>
    <w:rsid w:val="002C7594"/>
    <w:rsid w:val="002C77B2"/>
    <w:rsid w:val="002C7924"/>
    <w:rsid w:val="002C7ABF"/>
    <w:rsid w:val="002C7B8E"/>
    <w:rsid w:val="002C7C54"/>
    <w:rsid w:val="002D01E9"/>
    <w:rsid w:val="002D063A"/>
    <w:rsid w:val="002D06DC"/>
    <w:rsid w:val="002D0B52"/>
    <w:rsid w:val="002D0C33"/>
    <w:rsid w:val="002D113F"/>
    <w:rsid w:val="002D1DE6"/>
    <w:rsid w:val="002D1E37"/>
    <w:rsid w:val="002D20A6"/>
    <w:rsid w:val="002D262A"/>
    <w:rsid w:val="002D2CE1"/>
    <w:rsid w:val="002D3260"/>
    <w:rsid w:val="002D32D8"/>
    <w:rsid w:val="002D32DD"/>
    <w:rsid w:val="002D3389"/>
    <w:rsid w:val="002D38C2"/>
    <w:rsid w:val="002D3B7C"/>
    <w:rsid w:val="002D44E8"/>
    <w:rsid w:val="002D454C"/>
    <w:rsid w:val="002D4BF7"/>
    <w:rsid w:val="002D4F63"/>
    <w:rsid w:val="002D540D"/>
    <w:rsid w:val="002D562F"/>
    <w:rsid w:val="002D5927"/>
    <w:rsid w:val="002D5D1B"/>
    <w:rsid w:val="002D5D1E"/>
    <w:rsid w:val="002D5F6D"/>
    <w:rsid w:val="002D619A"/>
    <w:rsid w:val="002D640E"/>
    <w:rsid w:val="002D6AB7"/>
    <w:rsid w:val="002D6C4A"/>
    <w:rsid w:val="002D6E73"/>
    <w:rsid w:val="002D72A8"/>
    <w:rsid w:val="002D7AC4"/>
    <w:rsid w:val="002D7B5A"/>
    <w:rsid w:val="002D7FAC"/>
    <w:rsid w:val="002E0328"/>
    <w:rsid w:val="002E03C0"/>
    <w:rsid w:val="002E05C9"/>
    <w:rsid w:val="002E081D"/>
    <w:rsid w:val="002E0904"/>
    <w:rsid w:val="002E0CD8"/>
    <w:rsid w:val="002E0D3B"/>
    <w:rsid w:val="002E109C"/>
    <w:rsid w:val="002E1187"/>
    <w:rsid w:val="002E1499"/>
    <w:rsid w:val="002E197D"/>
    <w:rsid w:val="002E1F7E"/>
    <w:rsid w:val="002E1FEE"/>
    <w:rsid w:val="002E201B"/>
    <w:rsid w:val="002E2025"/>
    <w:rsid w:val="002E285C"/>
    <w:rsid w:val="002E2A6C"/>
    <w:rsid w:val="002E2CB6"/>
    <w:rsid w:val="002E39D3"/>
    <w:rsid w:val="002E3A5E"/>
    <w:rsid w:val="002E3E71"/>
    <w:rsid w:val="002E4075"/>
    <w:rsid w:val="002E4590"/>
    <w:rsid w:val="002E46E8"/>
    <w:rsid w:val="002E52A5"/>
    <w:rsid w:val="002E5310"/>
    <w:rsid w:val="002E5469"/>
    <w:rsid w:val="002E5521"/>
    <w:rsid w:val="002E55DC"/>
    <w:rsid w:val="002E5B92"/>
    <w:rsid w:val="002E5D8F"/>
    <w:rsid w:val="002E6063"/>
    <w:rsid w:val="002E623C"/>
    <w:rsid w:val="002E6522"/>
    <w:rsid w:val="002E67FE"/>
    <w:rsid w:val="002E680F"/>
    <w:rsid w:val="002E6C3B"/>
    <w:rsid w:val="002E6E72"/>
    <w:rsid w:val="002E708F"/>
    <w:rsid w:val="002E7901"/>
    <w:rsid w:val="002E7D6E"/>
    <w:rsid w:val="002F0111"/>
    <w:rsid w:val="002F01CD"/>
    <w:rsid w:val="002F0257"/>
    <w:rsid w:val="002F0783"/>
    <w:rsid w:val="002F09E3"/>
    <w:rsid w:val="002F0C5E"/>
    <w:rsid w:val="002F0DA5"/>
    <w:rsid w:val="002F1912"/>
    <w:rsid w:val="002F2537"/>
    <w:rsid w:val="002F28D2"/>
    <w:rsid w:val="002F2B01"/>
    <w:rsid w:val="002F2F18"/>
    <w:rsid w:val="002F3390"/>
    <w:rsid w:val="002F33C1"/>
    <w:rsid w:val="002F33C7"/>
    <w:rsid w:val="002F3825"/>
    <w:rsid w:val="002F38E2"/>
    <w:rsid w:val="002F3951"/>
    <w:rsid w:val="002F3D48"/>
    <w:rsid w:val="002F3F58"/>
    <w:rsid w:val="002F4D63"/>
    <w:rsid w:val="002F5086"/>
    <w:rsid w:val="002F5415"/>
    <w:rsid w:val="002F5586"/>
    <w:rsid w:val="002F5692"/>
    <w:rsid w:val="002F5714"/>
    <w:rsid w:val="002F5FAF"/>
    <w:rsid w:val="002F65BD"/>
    <w:rsid w:val="002F6669"/>
    <w:rsid w:val="002F6DA4"/>
    <w:rsid w:val="002F6ED9"/>
    <w:rsid w:val="002F764F"/>
    <w:rsid w:val="002F7677"/>
    <w:rsid w:val="002F7750"/>
    <w:rsid w:val="002F7821"/>
    <w:rsid w:val="002F7E31"/>
    <w:rsid w:val="0030049C"/>
    <w:rsid w:val="003006A0"/>
    <w:rsid w:val="003006B4"/>
    <w:rsid w:val="00300712"/>
    <w:rsid w:val="00300CB3"/>
    <w:rsid w:val="00300F0D"/>
    <w:rsid w:val="00300F84"/>
    <w:rsid w:val="00301199"/>
    <w:rsid w:val="003012F4"/>
    <w:rsid w:val="0030139E"/>
    <w:rsid w:val="00302026"/>
    <w:rsid w:val="003027E9"/>
    <w:rsid w:val="00302A22"/>
    <w:rsid w:val="00303B8C"/>
    <w:rsid w:val="00304422"/>
    <w:rsid w:val="003046F6"/>
    <w:rsid w:val="00304A8D"/>
    <w:rsid w:val="0030535D"/>
    <w:rsid w:val="00305379"/>
    <w:rsid w:val="003053D5"/>
    <w:rsid w:val="00305838"/>
    <w:rsid w:val="00305C98"/>
    <w:rsid w:val="00305CCD"/>
    <w:rsid w:val="00306143"/>
    <w:rsid w:val="0030614C"/>
    <w:rsid w:val="0030629F"/>
    <w:rsid w:val="003063EB"/>
    <w:rsid w:val="00306858"/>
    <w:rsid w:val="00306963"/>
    <w:rsid w:val="00306DE2"/>
    <w:rsid w:val="00306E9E"/>
    <w:rsid w:val="00306F52"/>
    <w:rsid w:val="00307849"/>
    <w:rsid w:val="00307954"/>
    <w:rsid w:val="003079A7"/>
    <w:rsid w:val="00307ABF"/>
    <w:rsid w:val="00307F7E"/>
    <w:rsid w:val="00307FCC"/>
    <w:rsid w:val="0031009F"/>
    <w:rsid w:val="00310DFF"/>
    <w:rsid w:val="003111F9"/>
    <w:rsid w:val="00311329"/>
    <w:rsid w:val="00311407"/>
    <w:rsid w:val="0031141A"/>
    <w:rsid w:val="0031169C"/>
    <w:rsid w:val="00311867"/>
    <w:rsid w:val="003118A6"/>
    <w:rsid w:val="003119B6"/>
    <w:rsid w:val="00312469"/>
    <w:rsid w:val="003128FD"/>
    <w:rsid w:val="00312B58"/>
    <w:rsid w:val="00312E42"/>
    <w:rsid w:val="003130B8"/>
    <w:rsid w:val="00313697"/>
    <w:rsid w:val="003140DF"/>
    <w:rsid w:val="003141A8"/>
    <w:rsid w:val="0031464F"/>
    <w:rsid w:val="00314B2D"/>
    <w:rsid w:val="00314CA6"/>
    <w:rsid w:val="00315092"/>
    <w:rsid w:val="003153CB"/>
    <w:rsid w:val="00315460"/>
    <w:rsid w:val="003157B7"/>
    <w:rsid w:val="0031601C"/>
    <w:rsid w:val="003162CB"/>
    <w:rsid w:val="00316352"/>
    <w:rsid w:val="0031685D"/>
    <w:rsid w:val="00316BBD"/>
    <w:rsid w:val="00316D07"/>
    <w:rsid w:val="00316ED1"/>
    <w:rsid w:val="00317389"/>
    <w:rsid w:val="003173DC"/>
    <w:rsid w:val="0031745A"/>
    <w:rsid w:val="00317B63"/>
    <w:rsid w:val="00320D94"/>
    <w:rsid w:val="00320FB2"/>
    <w:rsid w:val="0032149E"/>
    <w:rsid w:val="003215CC"/>
    <w:rsid w:val="00321674"/>
    <w:rsid w:val="003218D8"/>
    <w:rsid w:val="00321A41"/>
    <w:rsid w:val="00321D70"/>
    <w:rsid w:val="00321F20"/>
    <w:rsid w:val="003221D4"/>
    <w:rsid w:val="003225D0"/>
    <w:rsid w:val="0032270E"/>
    <w:rsid w:val="00322835"/>
    <w:rsid w:val="00322AAE"/>
    <w:rsid w:val="00323036"/>
    <w:rsid w:val="00323078"/>
    <w:rsid w:val="003231AA"/>
    <w:rsid w:val="00323328"/>
    <w:rsid w:val="00323684"/>
    <w:rsid w:val="0032369E"/>
    <w:rsid w:val="003239A8"/>
    <w:rsid w:val="00323CCB"/>
    <w:rsid w:val="00323D77"/>
    <w:rsid w:val="00324465"/>
    <w:rsid w:val="00324909"/>
    <w:rsid w:val="0032490C"/>
    <w:rsid w:val="00325135"/>
    <w:rsid w:val="003254F3"/>
    <w:rsid w:val="00326203"/>
    <w:rsid w:val="003262F5"/>
    <w:rsid w:val="00326955"/>
    <w:rsid w:val="00326B44"/>
    <w:rsid w:val="00327106"/>
    <w:rsid w:val="00327319"/>
    <w:rsid w:val="0032775D"/>
    <w:rsid w:val="00327DEE"/>
    <w:rsid w:val="00327E7E"/>
    <w:rsid w:val="0033030E"/>
    <w:rsid w:val="0033068F"/>
    <w:rsid w:val="00330A4C"/>
    <w:rsid w:val="00331407"/>
    <w:rsid w:val="00331463"/>
    <w:rsid w:val="00331582"/>
    <w:rsid w:val="0033184C"/>
    <w:rsid w:val="00331E96"/>
    <w:rsid w:val="00332515"/>
    <w:rsid w:val="003325AB"/>
    <w:rsid w:val="0033263A"/>
    <w:rsid w:val="003327A6"/>
    <w:rsid w:val="00332A0D"/>
    <w:rsid w:val="00332AEE"/>
    <w:rsid w:val="00332BDE"/>
    <w:rsid w:val="00332C18"/>
    <w:rsid w:val="00332DAF"/>
    <w:rsid w:val="00332E73"/>
    <w:rsid w:val="00333221"/>
    <w:rsid w:val="003336CE"/>
    <w:rsid w:val="00333CCF"/>
    <w:rsid w:val="00334C90"/>
    <w:rsid w:val="00334E74"/>
    <w:rsid w:val="003358E7"/>
    <w:rsid w:val="00335E32"/>
    <w:rsid w:val="00336326"/>
    <w:rsid w:val="00336364"/>
    <w:rsid w:val="003363C4"/>
    <w:rsid w:val="0033645A"/>
    <w:rsid w:val="00336526"/>
    <w:rsid w:val="00337419"/>
    <w:rsid w:val="00337645"/>
    <w:rsid w:val="00337AB8"/>
    <w:rsid w:val="00337E4C"/>
    <w:rsid w:val="0034006B"/>
    <w:rsid w:val="003406C3"/>
    <w:rsid w:val="00340858"/>
    <w:rsid w:val="00340E07"/>
    <w:rsid w:val="0034138B"/>
    <w:rsid w:val="003419A0"/>
    <w:rsid w:val="00341E55"/>
    <w:rsid w:val="0034258C"/>
    <w:rsid w:val="00342678"/>
    <w:rsid w:val="0034283C"/>
    <w:rsid w:val="00342EBF"/>
    <w:rsid w:val="00342F89"/>
    <w:rsid w:val="003430A0"/>
    <w:rsid w:val="00343751"/>
    <w:rsid w:val="003438FE"/>
    <w:rsid w:val="00343CD2"/>
    <w:rsid w:val="00343D98"/>
    <w:rsid w:val="00343DAF"/>
    <w:rsid w:val="00344E92"/>
    <w:rsid w:val="00344ED7"/>
    <w:rsid w:val="00345A90"/>
    <w:rsid w:val="00346004"/>
    <w:rsid w:val="00346081"/>
    <w:rsid w:val="00346140"/>
    <w:rsid w:val="00346683"/>
    <w:rsid w:val="00346A3C"/>
    <w:rsid w:val="00346B8A"/>
    <w:rsid w:val="003471EF"/>
    <w:rsid w:val="00347310"/>
    <w:rsid w:val="00347917"/>
    <w:rsid w:val="00347AB4"/>
    <w:rsid w:val="00347AF5"/>
    <w:rsid w:val="00347ECD"/>
    <w:rsid w:val="00347F4F"/>
    <w:rsid w:val="00350336"/>
    <w:rsid w:val="00350396"/>
    <w:rsid w:val="003506BD"/>
    <w:rsid w:val="00350994"/>
    <w:rsid w:val="00350C9A"/>
    <w:rsid w:val="00350DB2"/>
    <w:rsid w:val="00351559"/>
    <w:rsid w:val="0035155D"/>
    <w:rsid w:val="003517EF"/>
    <w:rsid w:val="00351849"/>
    <w:rsid w:val="0035192C"/>
    <w:rsid w:val="00351A2C"/>
    <w:rsid w:val="00351F14"/>
    <w:rsid w:val="00352326"/>
    <w:rsid w:val="003526E6"/>
    <w:rsid w:val="003528E7"/>
    <w:rsid w:val="00352AF9"/>
    <w:rsid w:val="00352E7B"/>
    <w:rsid w:val="00352EC0"/>
    <w:rsid w:val="00352F9B"/>
    <w:rsid w:val="00353073"/>
    <w:rsid w:val="003530D2"/>
    <w:rsid w:val="00353195"/>
    <w:rsid w:val="003531E2"/>
    <w:rsid w:val="00353ABE"/>
    <w:rsid w:val="00353EFC"/>
    <w:rsid w:val="00354AFF"/>
    <w:rsid w:val="00354B61"/>
    <w:rsid w:val="00355056"/>
    <w:rsid w:val="00355129"/>
    <w:rsid w:val="00355255"/>
    <w:rsid w:val="0035530A"/>
    <w:rsid w:val="0035531A"/>
    <w:rsid w:val="00355B8C"/>
    <w:rsid w:val="003560D3"/>
    <w:rsid w:val="003564E0"/>
    <w:rsid w:val="003567C5"/>
    <w:rsid w:val="00356E4B"/>
    <w:rsid w:val="003571F0"/>
    <w:rsid w:val="003576BC"/>
    <w:rsid w:val="00357D72"/>
    <w:rsid w:val="00357D94"/>
    <w:rsid w:val="00357FAF"/>
    <w:rsid w:val="003602E8"/>
    <w:rsid w:val="00360705"/>
    <w:rsid w:val="00360A16"/>
    <w:rsid w:val="00360BB3"/>
    <w:rsid w:val="00361172"/>
    <w:rsid w:val="00361406"/>
    <w:rsid w:val="003615C1"/>
    <w:rsid w:val="003619EE"/>
    <w:rsid w:val="00361C2D"/>
    <w:rsid w:val="00361F3B"/>
    <w:rsid w:val="0036220C"/>
    <w:rsid w:val="003628D5"/>
    <w:rsid w:val="00362978"/>
    <w:rsid w:val="00362ACB"/>
    <w:rsid w:val="00362AD5"/>
    <w:rsid w:val="00362BE7"/>
    <w:rsid w:val="00362D23"/>
    <w:rsid w:val="00362EA0"/>
    <w:rsid w:val="00362EC6"/>
    <w:rsid w:val="00362EC9"/>
    <w:rsid w:val="00363047"/>
    <w:rsid w:val="0036331B"/>
    <w:rsid w:val="00363A32"/>
    <w:rsid w:val="00363D32"/>
    <w:rsid w:val="00363DC2"/>
    <w:rsid w:val="00363F75"/>
    <w:rsid w:val="00364046"/>
    <w:rsid w:val="003642B4"/>
    <w:rsid w:val="003645E2"/>
    <w:rsid w:val="003645F3"/>
    <w:rsid w:val="003649E8"/>
    <w:rsid w:val="00364EE8"/>
    <w:rsid w:val="0036577F"/>
    <w:rsid w:val="0036633E"/>
    <w:rsid w:val="0036657B"/>
    <w:rsid w:val="0036673F"/>
    <w:rsid w:val="003679D5"/>
    <w:rsid w:val="00367CBD"/>
    <w:rsid w:val="00367E8F"/>
    <w:rsid w:val="00370074"/>
    <w:rsid w:val="0037027C"/>
    <w:rsid w:val="003709F9"/>
    <w:rsid w:val="00370CE3"/>
    <w:rsid w:val="00370E7C"/>
    <w:rsid w:val="0037133B"/>
    <w:rsid w:val="0037172A"/>
    <w:rsid w:val="00371D1C"/>
    <w:rsid w:val="00371D40"/>
    <w:rsid w:val="003722A0"/>
    <w:rsid w:val="0037297B"/>
    <w:rsid w:val="003734C1"/>
    <w:rsid w:val="003736B7"/>
    <w:rsid w:val="0037381D"/>
    <w:rsid w:val="0037385F"/>
    <w:rsid w:val="00373C1B"/>
    <w:rsid w:val="00373CF6"/>
    <w:rsid w:val="00373E49"/>
    <w:rsid w:val="00373E66"/>
    <w:rsid w:val="00374334"/>
    <w:rsid w:val="00374628"/>
    <w:rsid w:val="00374C7A"/>
    <w:rsid w:val="00374EAD"/>
    <w:rsid w:val="00375072"/>
    <w:rsid w:val="0037512F"/>
    <w:rsid w:val="00375205"/>
    <w:rsid w:val="00375472"/>
    <w:rsid w:val="003756A2"/>
    <w:rsid w:val="00375BA6"/>
    <w:rsid w:val="003761E9"/>
    <w:rsid w:val="003764F6"/>
    <w:rsid w:val="00376770"/>
    <w:rsid w:val="00376B1A"/>
    <w:rsid w:val="00376BB5"/>
    <w:rsid w:val="00376F03"/>
    <w:rsid w:val="003771AB"/>
    <w:rsid w:val="00377276"/>
    <w:rsid w:val="0037728A"/>
    <w:rsid w:val="00377390"/>
    <w:rsid w:val="0037791C"/>
    <w:rsid w:val="00377A2E"/>
    <w:rsid w:val="00377FD2"/>
    <w:rsid w:val="00380408"/>
    <w:rsid w:val="00380777"/>
    <w:rsid w:val="003817B7"/>
    <w:rsid w:val="00381B86"/>
    <w:rsid w:val="00381DC4"/>
    <w:rsid w:val="0038256B"/>
    <w:rsid w:val="00382685"/>
    <w:rsid w:val="003826DA"/>
    <w:rsid w:val="0038280C"/>
    <w:rsid w:val="00382C4D"/>
    <w:rsid w:val="00382FDA"/>
    <w:rsid w:val="00383271"/>
    <w:rsid w:val="003832BC"/>
    <w:rsid w:val="00383588"/>
    <w:rsid w:val="003836E4"/>
    <w:rsid w:val="00383921"/>
    <w:rsid w:val="00383937"/>
    <w:rsid w:val="00383B70"/>
    <w:rsid w:val="00383CAE"/>
    <w:rsid w:val="0038425D"/>
    <w:rsid w:val="003842BB"/>
    <w:rsid w:val="003842D2"/>
    <w:rsid w:val="003843F3"/>
    <w:rsid w:val="00384530"/>
    <w:rsid w:val="0038465F"/>
    <w:rsid w:val="003849E7"/>
    <w:rsid w:val="003854AC"/>
    <w:rsid w:val="003856B9"/>
    <w:rsid w:val="00385D07"/>
    <w:rsid w:val="003860FD"/>
    <w:rsid w:val="003866CD"/>
    <w:rsid w:val="003869AA"/>
    <w:rsid w:val="00386AEE"/>
    <w:rsid w:val="00386E36"/>
    <w:rsid w:val="00387027"/>
    <w:rsid w:val="00387919"/>
    <w:rsid w:val="00387FEE"/>
    <w:rsid w:val="00390121"/>
    <w:rsid w:val="003904FA"/>
    <w:rsid w:val="00390A78"/>
    <w:rsid w:val="00390AAD"/>
    <w:rsid w:val="00390DD1"/>
    <w:rsid w:val="00390EDB"/>
    <w:rsid w:val="003913F7"/>
    <w:rsid w:val="00391581"/>
    <w:rsid w:val="003915A0"/>
    <w:rsid w:val="003915F7"/>
    <w:rsid w:val="00391680"/>
    <w:rsid w:val="00391774"/>
    <w:rsid w:val="00391932"/>
    <w:rsid w:val="003919E0"/>
    <w:rsid w:val="00391D38"/>
    <w:rsid w:val="00391D9E"/>
    <w:rsid w:val="00391FFD"/>
    <w:rsid w:val="0039267A"/>
    <w:rsid w:val="0039294E"/>
    <w:rsid w:val="00392F4E"/>
    <w:rsid w:val="00393108"/>
    <w:rsid w:val="00393A93"/>
    <w:rsid w:val="00393ACA"/>
    <w:rsid w:val="00394216"/>
    <w:rsid w:val="0039428F"/>
    <w:rsid w:val="0039433E"/>
    <w:rsid w:val="00394362"/>
    <w:rsid w:val="00394836"/>
    <w:rsid w:val="00394925"/>
    <w:rsid w:val="00394DE9"/>
    <w:rsid w:val="0039515A"/>
    <w:rsid w:val="00395A75"/>
    <w:rsid w:val="00395C93"/>
    <w:rsid w:val="00395DE0"/>
    <w:rsid w:val="00396174"/>
    <w:rsid w:val="00396961"/>
    <w:rsid w:val="00397074"/>
    <w:rsid w:val="003970C2"/>
    <w:rsid w:val="0039753E"/>
    <w:rsid w:val="00397662"/>
    <w:rsid w:val="0039791B"/>
    <w:rsid w:val="00397939"/>
    <w:rsid w:val="00397ADA"/>
    <w:rsid w:val="00397CD8"/>
    <w:rsid w:val="003A09AF"/>
    <w:rsid w:val="003A0AF5"/>
    <w:rsid w:val="003A0B49"/>
    <w:rsid w:val="003A0DF6"/>
    <w:rsid w:val="003A0F7B"/>
    <w:rsid w:val="003A11DE"/>
    <w:rsid w:val="003A134B"/>
    <w:rsid w:val="003A20C8"/>
    <w:rsid w:val="003A2A64"/>
    <w:rsid w:val="003A2A8D"/>
    <w:rsid w:val="003A2E33"/>
    <w:rsid w:val="003A3376"/>
    <w:rsid w:val="003A3504"/>
    <w:rsid w:val="003A3DFE"/>
    <w:rsid w:val="003A40C8"/>
    <w:rsid w:val="003A4253"/>
    <w:rsid w:val="003A46CB"/>
    <w:rsid w:val="003A526A"/>
    <w:rsid w:val="003A5469"/>
    <w:rsid w:val="003A54F5"/>
    <w:rsid w:val="003A5828"/>
    <w:rsid w:val="003A58B7"/>
    <w:rsid w:val="003A59E7"/>
    <w:rsid w:val="003A5AD2"/>
    <w:rsid w:val="003A603C"/>
    <w:rsid w:val="003A6205"/>
    <w:rsid w:val="003A6393"/>
    <w:rsid w:val="003A65F6"/>
    <w:rsid w:val="003A682D"/>
    <w:rsid w:val="003A6A52"/>
    <w:rsid w:val="003A6C64"/>
    <w:rsid w:val="003A6C69"/>
    <w:rsid w:val="003A72E5"/>
    <w:rsid w:val="003A7FE2"/>
    <w:rsid w:val="003B0040"/>
    <w:rsid w:val="003B00B8"/>
    <w:rsid w:val="003B01F0"/>
    <w:rsid w:val="003B03A1"/>
    <w:rsid w:val="003B04B5"/>
    <w:rsid w:val="003B0553"/>
    <w:rsid w:val="003B08DE"/>
    <w:rsid w:val="003B090E"/>
    <w:rsid w:val="003B0AE8"/>
    <w:rsid w:val="003B0CF3"/>
    <w:rsid w:val="003B0E1B"/>
    <w:rsid w:val="003B1062"/>
    <w:rsid w:val="003B11E0"/>
    <w:rsid w:val="003B1620"/>
    <w:rsid w:val="003B1A64"/>
    <w:rsid w:val="003B2ADD"/>
    <w:rsid w:val="003B2E7B"/>
    <w:rsid w:val="003B2F37"/>
    <w:rsid w:val="003B2F99"/>
    <w:rsid w:val="003B30CB"/>
    <w:rsid w:val="003B3105"/>
    <w:rsid w:val="003B3172"/>
    <w:rsid w:val="003B3196"/>
    <w:rsid w:val="003B34D6"/>
    <w:rsid w:val="003B369B"/>
    <w:rsid w:val="003B373F"/>
    <w:rsid w:val="003B39DB"/>
    <w:rsid w:val="003B3A92"/>
    <w:rsid w:val="003B3B27"/>
    <w:rsid w:val="003B3BB3"/>
    <w:rsid w:val="003B42C6"/>
    <w:rsid w:val="003B43EA"/>
    <w:rsid w:val="003B469E"/>
    <w:rsid w:val="003B46D4"/>
    <w:rsid w:val="003B49B9"/>
    <w:rsid w:val="003B4D80"/>
    <w:rsid w:val="003B5E9A"/>
    <w:rsid w:val="003B5F06"/>
    <w:rsid w:val="003B6321"/>
    <w:rsid w:val="003B6709"/>
    <w:rsid w:val="003B68CD"/>
    <w:rsid w:val="003B6A07"/>
    <w:rsid w:val="003B6A60"/>
    <w:rsid w:val="003B7927"/>
    <w:rsid w:val="003B7FB6"/>
    <w:rsid w:val="003B7FCD"/>
    <w:rsid w:val="003C02D7"/>
    <w:rsid w:val="003C0EB5"/>
    <w:rsid w:val="003C1262"/>
    <w:rsid w:val="003C1762"/>
    <w:rsid w:val="003C1835"/>
    <w:rsid w:val="003C18CA"/>
    <w:rsid w:val="003C1DB4"/>
    <w:rsid w:val="003C21BB"/>
    <w:rsid w:val="003C252F"/>
    <w:rsid w:val="003C2A7C"/>
    <w:rsid w:val="003C2CAE"/>
    <w:rsid w:val="003C2D4D"/>
    <w:rsid w:val="003C2E53"/>
    <w:rsid w:val="003C300E"/>
    <w:rsid w:val="003C3066"/>
    <w:rsid w:val="003C3359"/>
    <w:rsid w:val="003C35D0"/>
    <w:rsid w:val="003C3695"/>
    <w:rsid w:val="003C391E"/>
    <w:rsid w:val="003C3C7D"/>
    <w:rsid w:val="003C3F43"/>
    <w:rsid w:val="003C4768"/>
    <w:rsid w:val="003C4F6C"/>
    <w:rsid w:val="003C50CE"/>
    <w:rsid w:val="003C52FA"/>
    <w:rsid w:val="003C5726"/>
    <w:rsid w:val="003C59A6"/>
    <w:rsid w:val="003C5A4E"/>
    <w:rsid w:val="003C5C21"/>
    <w:rsid w:val="003C5D06"/>
    <w:rsid w:val="003C5D74"/>
    <w:rsid w:val="003C6198"/>
    <w:rsid w:val="003C63CF"/>
    <w:rsid w:val="003C6417"/>
    <w:rsid w:val="003C70C9"/>
    <w:rsid w:val="003C754C"/>
    <w:rsid w:val="003C7972"/>
    <w:rsid w:val="003C7BBF"/>
    <w:rsid w:val="003D0152"/>
    <w:rsid w:val="003D089A"/>
    <w:rsid w:val="003D1120"/>
    <w:rsid w:val="003D11DD"/>
    <w:rsid w:val="003D20FE"/>
    <w:rsid w:val="003D210C"/>
    <w:rsid w:val="003D25C1"/>
    <w:rsid w:val="003D2638"/>
    <w:rsid w:val="003D3153"/>
    <w:rsid w:val="003D3481"/>
    <w:rsid w:val="003D3815"/>
    <w:rsid w:val="003D381A"/>
    <w:rsid w:val="003D3903"/>
    <w:rsid w:val="003D395C"/>
    <w:rsid w:val="003D3C13"/>
    <w:rsid w:val="003D4193"/>
    <w:rsid w:val="003D44F9"/>
    <w:rsid w:val="003D45CE"/>
    <w:rsid w:val="003D496C"/>
    <w:rsid w:val="003D4EEA"/>
    <w:rsid w:val="003D4F98"/>
    <w:rsid w:val="003D4FFC"/>
    <w:rsid w:val="003D51DE"/>
    <w:rsid w:val="003D5240"/>
    <w:rsid w:val="003D5292"/>
    <w:rsid w:val="003D53BA"/>
    <w:rsid w:val="003D556E"/>
    <w:rsid w:val="003D56A5"/>
    <w:rsid w:val="003D56CE"/>
    <w:rsid w:val="003D5DB9"/>
    <w:rsid w:val="003D5EE7"/>
    <w:rsid w:val="003D5EE9"/>
    <w:rsid w:val="003D6141"/>
    <w:rsid w:val="003D6192"/>
    <w:rsid w:val="003D61A5"/>
    <w:rsid w:val="003D6489"/>
    <w:rsid w:val="003D650C"/>
    <w:rsid w:val="003D6B12"/>
    <w:rsid w:val="003D6C83"/>
    <w:rsid w:val="003D7130"/>
    <w:rsid w:val="003D765C"/>
    <w:rsid w:val="003D76A2"/>
    <w:rsid w:val="003D79B2"/>
    <w:rsid w:val="003D7D1C"/>
    <w:rsid w:val="003E0668"/>
    <w:rsid w:val="003E072D"/>
    <w:rsid w:val="003E0B85"/>
    <w:rsid w:val="003E1027"/>
    <w:rsid w:val="003E1156"/>
    <w:rsid w:val="003E1A3C"/>
    <w:rsid w:val="003E1C6D"/>
    <w:rsid w:val="003E1FDA"/>
    <w:rsid w:val="003E206D"/>
    <w:rsid w:val="003E22B5"/>
    <w:rsid w:val="003E23B8"/>
    <w:rsid w:val="003E29CE"/>
    <w:rsid w:val="003E2C8F"/>
    <w:rsid w:val="003E2D6A"/>
    <w:rsid w:val="003E30C3"/>
    <w:rsid w:val="003E334C"/>
    <w:rsid w:val="003E38E2"/>
    <w:rsid w:val="003E3984"/>
    <w:rsid w:val="003E3D09"/>
    <w:rsid w:val="003E3FD9"/>
    <w:rsid w:val="003E4141"/>
    <w:rsid w:val="003E49BF"/>
    <w:rsid w:val="003E4A72"/>
    <w:rsid w:val="003E4EBA"/>
    <w:rsid w:val="003E530E"/>
    <w:rsid w:val="003E5360"/>
    <w:rsid w:val="003E564B"/>
    <w:rsid w:val="003E59B0"/>
    <w:rsid w:val="003E5A65"/>
    <w:rsid w:val="003E5DF2"/>
    <w:rsid w:val="003E618F"/>
    <w:rsid w:val="003E677B"/>
    <w:rsid w:val="003E690C"/>
    <w:rsid w:val="003E6E13"/>
    <w:rsid w:val="003E6F0B"/>
    <w:rsid w:val="003E6FE9"/>
    <w:rsid w:val="003E72B9"/>
    <w:rsid w:val="003F01A6"/>
    <w:rsid w:val="003F0252"/>
    <w:rsid w:val="003F0B2A"/>
    <w:rsid w:val="003F139F"/>
    <w:rsid w:val="003F13EC"/>
    <w:rsid w:val="003F18CF"/>
    <w:rsid w:val="003F1F59"/>
    <w:rsid w:val="003F2030"/>
    <w:rsid w:val="003F280F"/>
    <w:rsid w:val="003F2815"/>
    <w:rsid w:val="003F3508"/>
    <w:rsid w:val="003F3E43"/>
    <w:rsid w:val="003F40E1"/>
    <w:rsid w:val="003F423B"/>
    <w:rsid w:val="003F4587"/>
    <w:rsid w:val="003F45D1"/>
    <w:rsid w:val="003F4773"/>
    <w:rsid w:val="003F4B1E"/>
    <w:rsid w:val="003F532F"/>
    <w:rsid w:val="003F5838"/>
    <w:rsid w:val="003F58E6"/>
    <w:rsid w:val="003F5B82"/>
    <w:rsid w:val="003F5FAA"/>
    <w:rsid w:val="003F6025"/>
    <w:rsid w:val="003F64A8"/>
    <w:rsid w:val="003F6568"/>
    <w:rsid w:val="003F66C1"/>
    <w:rsid w:val="003F6899"/>
    <w:rsid w:val="003F689E"/>
    <w:rsid w:val="003F691C"/>
    <w:rsid w:val="003F6960"/>
    <w:rsid w:val="003F6C33"/>
    <w:rsid w:val="003F6D66"/>
    <w:rsid w:val="003F6E82"/>
    <w:rsid w:val="003F7411"/>
    <w:rsid w:val="003F7512"/>
    <w:rsid w:val="003F7B60"/>
    <w:rsid w:val="003F7F0C"/>
    <w:rsid w:val="004002AC"/>
    <w:rsid w:val="00400656"/>
    <w:rsid w:val="00400CC0"/>
    <w:rsid w:val="00400DC7"/>
    <w:rsid w:val="00400F55"/>
    <w:rsid w:val="004014B2"/>
    <w:rsid w:val="004017C9"/>
    <w:rsid w:val="0040188C"/>
    <w:rsid w:val="00401B6A"/>
    <w:rsid w:val="00401E11"/>
    <w:rsid w:val="0040217C"/>
    <w:rsid w:val="004025B1"/>
    <w:rsid w:val="00402850"/>
    <w:rsid w:val="004028DC"/>
    <w:rsid w:val="00402A4C"/>
    <w:rsid w:val="004034BC"/>
    <w:rsid w:val="004034DC"/>
    <w:rsid w:val="00403606"/>
    <w:rsid w:val="004036B4"/>
    <w:rsid w:val="004038F5"/>
    <w:rsid w:val="00403963"/>
    <w:rsid w:val="00403B9E"/>
    <w:rsid w:val="00403DF0"/>
    <w:rsid w:val="004053C4"/>
    <w:rsid w:val="0040551A"/>
    <w:rsid w:val="004057E5"/>
    <w:rsid w:val="004058E1"/>
    <w:rsid w:val="00405FC7"/>
    <w:rsid w:val="0040684D"/>
    <w:rsid w:val="004070FB"/>
    <w:rsid w:val="0040778E"/>
    <w:rsid w:val="0040781A"/>
    <w:rsid w:val="004102EA"/>
    <w:rsid w:val="00410CC4"/>
    <w:rsid w:val="00411477"/>
    <w:rsid w:val="00411573"/>
    <w:rsid w:val="00411949"/>
    <w:rsid w:val="00411DC2"/>
    <w:rsid w:val="00411E41"/>
    <w:rsid w:val="00411E8B"/>
    <w:rsid w:val="00412148"/>
    <w:rsid w:val="00412276"/>
    <w:rsid w:val="00412771"/>
    <w:rsid w:val="00412778"/>
    <w:rsid w:val="0041289C"/>
    <w:rsid w:val="00412922"/>
    <w:rsid w:val="00412955"/>
    <w:rsid w:val="00412E8F"/>
    <w:rsid w:val="00412FB4"/>
    <w:rsid w:val="00413145"/>
    <w:rsid w:val="004131DB"/>
    <w:rsid w:val="004131E7"/>
    <w:rsid w:val="004135EE"/>
    <w:rsid w:val="00413B85"/>
    <w:rsid w:val="00413C75"/>
    <w:rsid w:val="00413CB5"/>
    <w:rsid w:val="004141C6"/>
    <w:rsid w:val="004143EA"/>
    <w:rsid w:val="004146C4"/>
    <w:rsid w:val="00414C66"/>
    <w:rsid w:val="004153B6"/>
    <w:rsid w:val="0041546F"/>
    <w:rsid w:val="004157CB"/>
    <w:rsid w:val="00415E2F"/>
    <w:rsid w:val="004162EF"/>
    <w:rsid w:val="0041697B"/>
    <w:rsid w:val="004171E3"/>
    <w:rsid w:val="00417426"/>
    <w:rsid w:val="004179B7"/>
    <w:rsid w:val="00417DC9"/>
    <w:rsid w:val="00417F93"/>
    <w:rsid w:val="00420126"/>
    <w:rsid w:val="004205C9"/>
    <w:rsid w:val="0042096F"/>
    <w:rsid w:val="00420B98"/>
    <w:rsid w:val="00420EE4"/>
    <w:rsid w:val="00421BDC"/>
    <w:rsid w:val="00421E25"/>
    <w:rsid w:val="00421E57"/>
    <w:rsid w:val="00421FBF"/>
    <w:rsid w:val="0042288D"/>
    <w:rsid w:val="0042291A"/>
    <w:rsid w:val="00422B9F"/>
    <w:rsid w:val="00422F0D"/>
    <w:rsid w:val="00423874"/>
    <w:rsid w:val="00423B08"/>
    <w:rsid w:val="00423CC1"/>
    <w:rsid w:val="0042437B"/>
    <w:rsid w:val="00424674"/>
    <w:rsid w:val="00424DB1"/>
    <w:rsid w:val="0042515F"/>
    <w:rsid w:val="00425208"/>
    <w:rsid w:val="0042552D"/>
    <w:rsid w:val="00425847"/>
    <w:rsid w:val="00425ACF"/>
    <w:rsid w:val="00425BCD"/>
    <w:rsid w:val="00425BE7"/>
    <w:rsid w:val="00425D29"/>
    <w:rsid w:val="00426333"/>
    <w:rsid w:val="00426605"/>
    <w:rsid w:val="0042674D"/>
    <w:rsid w:val="00426B3E"/>
    <w:rsid w:val="00426B95"/>
    <w:rsid w:val="00426F17"/>
    <w:rsid w:val="00427AB9"/>
    <w:rsid w:val="00427ADE"/>
    <w:rsid w:val="00427D65"/>
    <w:rsid w:val="0043062A"/>
    <w:rsid w:val="004308CB"/>
    <w:rsid w:val="00430C99"/>
    <w:rsid w:val="00430D05"/>
    <w:rsid w:val="004314F3"/>
    <w:rsid w:val="004317FD"/>
    <w:rsid w:val="00431B21"/>
    <w:rsid w:val="00431EFF"/>
    <w:rsid w:val="00431FA4"/>
    <w:rsid w:val="0043218C"/>
    <w:rsid w:val="00432295"/>
    <w:rsid w:val="004328CE"/>
    <w:rsid w:val="00432C37"/>
    <w:rsid w:val="00432CD4"/>
    <w:rsid w:val="00432DF0"/>
    <w:rsid w:val="00433365"/>
    <w:rsid w:val="004335CB"/>
    <w:rsid w:val="004336FD"/>
    <w:rsid w:val="0043405E"/>
    <w:rsid w:val="00434771"/>
    <w:rsid w:val="00434971"/>
    <w:rsid w:val="00434B16"/>
    <w:rsid w:val="00434BEC"/>
    <w:rsid w:val="00434BFB"/>
    <w:rsid w:val="004356D8"/>
    <w:rsid w:val="00435705"/>
    <w:rsid w:val="00435C92"/>
    <w:rsid w:val="004360FE"/>
    <w:rsid w:val="0043667F"/>
    <w:rsid w:val="00436CAF"/>
    <w:rsid w:val="00437030"/>
    <w:rsid w:val="004370AB"/>
    <w:rsid w:val="0043765B"/>
    <w:rsid w:val="004379DA"/>
    <w:rsid w:val="00437E54"/>
    <w:rsid w:val="00437F72"/>
    <w:rsid w:val="00437FC1"/>
    <w:rsid w:val="00440411"/>
    <w:rsid w:val="0044058B"/>
    <w:rsid w:val="004405A0"/>
    <w:rsid w:val="0044072E"/>
    <w:rsid w:val="00440B08"/>
    <w:rsid w:val="00440B77"/>
    <w:rsid w:val="00440EE7"/>
    <w:rsid w:val="00441498"/>
    <w:rsid w:val="00441516"/>
    <w:rsid w:val="0044160B"/>
    <w:rsid w:val="004417B9"/>
    <w:rsid w:val="00441A27"/>
    <w:rsid w:val="00442615"/>
    <w:rsid w:val="004426E5"/>
    <w:rsid w:val="00442B01"/>
    <w:rsid w:val="00442BDD"/>
    <w:rsid w:val="00442C9F"/>
    <w:rsid w:val="00442E2A"/>
    <w:rsid w:val="00443657"/>
    <w:rsid w:val="00443CEC"/>
    <w:rsid w:val="0044421F"/>
    <w:rsid w:val="004445C9"/>
    <w:rsid w:val="004446C9"/>
    <w:rsid w:val="00444A0D"/>
    <w:rsid w:val="00444B70"/>
    <w:rsid w:val="00444F31"/>
    <w:rsid w:val="00444F42"/>
    <w:rsid w:val="004455E2"/>
    <w:rsid w:val="004456EA"/>
    <w:rsid w:val="004458E7"/>
    <w:rsid w:val="00445C4F"/>
    <w:rsid w:val="00445CB8"/>
    <w:rsid w:val="00446238"/>
    <w:rsid w:val="004463D7"/>
    <w:rsid w:val="0044642E"/>
    <w:rsid w:val="004467CD"/>
    <w:rsid w:val="00446F2E"/>
    <w:rsid w:val="004474B1"/>
    <w:rsid w:val="004478B3"/>
    <w:rsid w:val="00447934"/>
    <w:rsid w:val="004479D9"/>
    <w:rsid w:val="00447A0E"/>
    <w:rsid w:val="00447B0C"/>
    <w:rsid w:val="00447B95"/>
    <w:rsid w:val="00450060"/>
    <w:rsid w:val="004501D6"/>
    <w:rsid w:val="004504AC"/>
    <w:rsid w:val="00451AEA"/>
    <w:rsid w:val="00451D39"/>
    <w:rsid w:val="00451ED1"/>
    <w:rsid w:val="0045244E"/>
    <w:rsid w:val="0045250F"/>
    <w:rsid w:val="00452541"/>
    <w:rsid w:val="00452628"/>
    <w:rsid w:val="0045271D"/>
    <w:rsid w:val="00452C83"/>
    <w:rsid w:val="00452D34"/>
    <w:rsid w:val="00452EFD"/>
    <w:rsid w:val="004530CF"/>
    <w:rsid w:val="004537E2"/>
    <w:rsid w:val="00453A36"/>
    <w:rsid w:val="00453A6C"/>
    <w:rsid w:val="00453AF5"/>
    <w:rsid w:val="00453E34"/>
    <w:rsid w:val="00453E8E"/>
    <w:rsid w:val="00453F36"/>
    <w:rsid w:val="00453F4A"/>
    <w:rsid w:val="00454062"/>
    <w:rsid w:val="0045462C"/>
    <w:rsid w:val="00454A0F"/>
    <w:rsid w:val="004553DD"/>
    <w:rsid w:val="00455419"/>
    <w:rsid w:val="0045542E"/>
    <w:rsid w:val="004554C3"/>
    <w:rsid w:val="004557DF"/>
    <w:rsid w:val="00455DD7"/>
    <w:rsid w:val="0045602F"/>
    <w:rsid w:val="004560A1"/>
    <w:rsid w:val="00456512"/>
    <w:rsid w:val="0045684F"/>
    <w:rsid w:val="00456B6A"/>
    <w:rsid w:val="00456C5F"/>
    <w:rsid w:val="00456C60"/>
    <w:rsid w:val="00456EE0"/>
    <w:rsid w:val="004571CD"/>
    <w:rsid w:val="00457249"/>
    <w:rsid w:val="00457A3E"/>
    <w:rsid w:val="00457FB6"/>
    <w:rsid w:val="00460955"/>
    <w:rsid w:val="00460ADB"/>
    <w:rsid w:val="00460BF8"/>
    <w:rsid w:val="00460C39"/>
    <w:rsid w:val="00460C9B"/>
    <w:rsid w:val="00460DAE"/>
    <w:rsid w:val="004612EE"/>
    <w:rsid w:val="00461591"/>
    <w:rsid w:val="004617B2"/>
    <w:rsid w:val="00461A63"/>
    <w:rsid w:val="00461C98"/>
    <w:rsid w:val="00462CEC"/>
    <w:rsid w:val="00462FA0"/>
    <w:rsid w:val="004641E2"/>
    <w:rsid w:val="0046423D"/>
    <w:rsid w:val="0046427F"/>
    <w:rsid w:val="00464DFF"/>
    <w:rsid w:val="004650EB"/>
    <w:rsid w:val="00465288"/>
    <w:rsid w:val="00465804"/>
    <w:rsid w:val="00465BA3"/>
    <w:rsid w:val="00465E3D"/>
    <w:rsid w:val="00465EC2"/>
    <w:rsid w:val="00466241"/>
    <w:rsid w:val="0046637D"/>
    <w:rsid w:val="00466CAC"/>
    <w:rsid w:val="00466FF8"/>
    <w:rsid w:val="00467212"/>
    <w:rsid w:val="00467215"/>
    <w:rsid w:val="0046723C"/>
    <w:rsid w:val="004678D5"/>
    <w:rsid w:val="0046794B"/>
    <w:rsid w:val="00467AC2"/>
    <w:rsid w:val="00467B19"/>
    <w:rsid w:val="00467BAE"/>
    <w:rsid w:val="00467DA5"/>
    <w:rsid w:val="004700D6"/>
    <w:rsid w:val="00470165"/>
    <w:rsid w:val="0047043C"/>
    <w:rsid w:val="004706D7"/>
    <w:rsid w:val="00470B35"/>
    <w:rsid w:val="00470C1E"/>
    <w:rsid w:val="004713CD"/>
    <w:rsid w:val="004713D4"/>
    <w:rsid w:val="0047181E"/>
    <w:rsid w:val="00471A61"/>
    <w:rsid w:val="00471B12"/>
    <w:rsid w:val="00471D6B"/>
    <w:rsid w:val="00471DC9"/>
    <w:rsid w:val="00472677"/>
    <w:rsid w:val="00472B03"/>
    <w:rsid w:val="00472E16"/>
    <w:rsid w:val="00472E3A"/>
    <w:rsid w:val="004730A5"/>
    <w:rsid w:val="00473396"/>
    <w:rsid w:val="004733C4"/>
    <w:rsid w:val="004735B6"/>
    <w:rsid w:val="00473A25"/>
    <w:rsid w:val="00473B8B"/>
    <w:rsid w:val="00473BF9"/>
    <w:rsid w:val="00473DF6"/>
    <w:rsid w:val="00474319"/>
    <w:rsid w:val="00474502"/>
    <w:rsid w:val="00474729"/>
    <w:rsid w:val="00474D45"/>
    <w:rsid w:val="004753C4"/>
    <w:rsid w:val="00475A04"/>
    <w:rsid w:val="00475A67"/>
    <w:rsid w:val="00475FC3"/>
    <w:rsid w:val="00476264"/>
    <w:rsid w:val="00476433"/>
    <w:rsid w:val="004766AB"/>
    <w:rsid w:val="00476BA4"/>
    <w:rsid w:val="00476CBE"/>
    <w:rsid w:val="00477806"/>
    <w:rsid w:val="00477E52"/>
    <w:rsid w:val="00477F47"/>
    <w:rsid w:val="00477FAC"/>
    <w:rsid w:val="00480A65"/>
    <w:rsid w:val="00480C0F"/>
    <w:rsid w:val="00481184"/>
    <w:rsid w:val="0048135C"/>
    <w:rsid w:val="004813A6"/>
    <w:rsid w:val="00481445"/>
    <w:rsid w:val="00481545"/>
    <w:rsid w:val="00481EA1"/>
    <w:rsid w:val="00482001"/>
    <w:rsid w:val="00482265"/>
    <w:rsid w:val="0048246E"/>
    <w:rsid w:val="004827E6"/>
    <w:rsid w:val="00482AE9"/>
    <w:rsid w:val="00482B08"/>
    <w:rsid w:val="00483063"/>
    <w:rsid w:val="0048342F"/>
    <w:rsid w:val="0048343A"/>
    <w:rsid w:val="004834EC"/>
    <w:rsid w:val="004839E7"/>
    <w:rsid w:val="00483C7A"/>
    <w:rsid w:val="0048437A"/>
    <w:rsid w:val="00484418"/>
    <w:rsid w:val="0048531A"/>
    <w:rsid w:val="00485355"/>
    <w:rsid w:val="00485426"/>
    <w:rsid w:val="00485463"/>
    <w:rsid w:val="0048597A"/>
    <w:rsid w:val="00485B87"/>
    <w:rsid w:val="00486871"/>
    <w:rsid w:val="00486A3A"/>
    <w:rsid w:val="00486D4D"/>
    <w:rsid w:val="00486E79"/>
    <w:rsid w:val="00486F7E"/>
    <w:rsid w:val="00487469"/>
    <w:rsid w:val="004874D5"/>
    <w:rsid w:val="00487586"/>
    <w:rsid w:val="0048768C"/>
    <w:rsid w:val="00487B48"/>
    <w:rsid w:val="00487BE0"/>
    <w:rsid w:val="00487D01"/>
    <w:rsid w:val="00490199"/>
    <w:rsid w:val="0049043E"/>
    <w:rsid w:val="00490898"/>
    <w:rsid w:val="00490A48"/>
    <w:rsid w:val="00490A4E"/>
    <w:rsid w:val="00490A64"/>
    <w:rsid w:val="00490F47"/>
    <w:rsid w:val="004912AC"/>
    <w:rsid w:val="00491369"/>
    <w:rsid w:val="004919C1"/>
    <w:rsid w:val="004919DE"/>
    <w:rsid w:val="00491F34"/>
    <w:rsid w:val="00492513"/>
    <w:rsid w:val="004927A0"/>
    <w:rsid w:val="004927FE"/>
    <w:rsid w:val="00492964"/>
    <w:rsid w:val="00492AB5"/>
    <w:rsid w:val="00492B95"/>
    <w:rsid w:val="0049346D"/>
    <w:rsid w:val="0049362D"/>
    <w:rsid w:val="00493633"/>
    <w:rsid w:val="00493CEF"/>
    <w:rsid w:val="00493E33"/>
    <w:rsid w:val="00493E67"/>
    <w:rsid w:val="0049417B"/>
    <w:rsid w:val="00494355"/>
    <w:rsid w:val="004945A5"/>
    <w:rsid w:val="004947C3"/>
    <w:rsid w:val="00494933"/>
    <w:rsid w:val="00494AA2"/>
    <w:rsid w:val="00494C78"/>
    <w:rsid w:val="00494CE1"/>
    <w:rsid w:val="00494D41"/>
    <w:rsid w:val="0049572A"/>
    <w:rsid w:val="004962B5"/>
    <w:rsid w:val="00496388"/>
    <w:rsid w:val="004964AA"/>
    <w:rsid w:val="004965CD"/>
    <w:rsid w:val="00496664"/>
    <w:rsid w:val="004968ED"/>
    <w:rsid w:val="00496AA7"/>
    <w:rsid w:val="00496B7F"/>
    <w:rsid w:val="00496C7B"/>
    <w:rsid w:val="004970A1"/>
    <w:rsid w:val="00497329"/>
    <w:rsid w:val="00497A7A"/>
    <w:rsid w:val="00497AF2"/>
    <w:rsid w:val="00497AF9"/>
    <w:rsid w:val="00497F33"/>
    <w:rsid w:val="004A0BB9"/>
    <w:rsid w:val="004A0DA5"/>
    <w:rsid w:val="004A1405"/>
    <w:rsid w:val="004A1473"/>
    <w:rsid w:val="004A15DD"/>
    <w:rsid w:val="004A1B87"/>
    <w:rsid w:val="004A23D9"/>
    <w:rsid w:val="004A2979"/>
    <w:rsid w:val="004A2A35"/>
    <w:rsid w:val="004A2ABE"/>
    <w:rsid w:val="004A3202"/>
    <w:rsid w:val="004A32DD"/>
    <w:rsid w:val="004A35AC"/>
    <w:rsid w:val="004A3EC0"/>
    <w:rsid w:val="004A415B"/>
    <w:rsid w:val="004A4311"/>
    <w:rsid w:val="004A446A"/>
    <w:rsid w:val="004A4747"/>
    <w:rsid w:val="004A4B0E"/>
    <w:rsid w:val="004A4F13"/>
    <w:rsid w:val="004A5433"/>
    <w:rsid w:val="004A5548"/>
    <w:rsid w:val="004A5561"/>
    <w:rsid w:val="004A5AE4"/>
    <w:rsid w:val="004A5C4F"/>
    <w:rsid w:val="004A5D24"/>
    <w:rsid w:val="004A6260"/>
    <w:rsid w:val="004A634A"/>
    <w:rsid w:val="004A66C1"/>
    <w:rsid w:val="004A6EC1"/>
    <w:rsid w:val="004A6F14"/>
    <w:rsid w:val="004A743B"/>
    <w:rsid w:val="004A76A2"/>
    <w:rsid w:val="004A7829"/>
    <w:rsid w:val="004A7945"/>
    <w:rsid w:val="004A7AB6"/>
    <w:rsid w:val="004A7C08"/>
    <w:rsid w:val="004A7F04"/>
    <w:rsid w:val="004B0028"/>
    <w:rsid w:val="004B0038"/>
    <w:rsid w:val="004B0213"/>
    <w:rsid w:val="004B027D"/>
    <w:rsid w:val="004B046C"/>
    <w:rsid w:val="004B059D"/>
    <w:rsid w:val="004B08DE"/>
    <w:rsid w:val="004B138B"/>
    <w:rsid w:val="004B1B5B"/>
    <w:rsid w:val="004B1DEB"/>
    <w:rsid w:val="004B27C7"/>
    <w:rsid w:val="004B2886"/>
    <w:rsid w:val="004B2C46"/>
    <w:rsid w:val="004B2E3B"/>
    <w:rsid w:val="004B2E51"/>
    <w:rsid w:val="004B3033"/>
    <w:rsid w:val="004B3BDE"/>
    <w:rsid w:val="004B3EE7"/>
    <w:rsid w:val="004B41FF"/>
    <w:rsid w:val="004B45E9"/>
    <w:rsid w:val="004B49FF"/>
    <w:rsid w:val="004B4F84"/>
    <w:rsid w:val="004B5220"/>
    <w:rsid w:val="004B5736"/>
    <w:rsid w:val="004B580C"/>
    <w:rsid w:val="004B5831"/>
    <w:rsid w:val="004B58D8"/>
    <w:rsid w:val="004B594F"/>
    <w:rsid w:val="004B5C38"/>
    <w:rsid w:val="004B5C96"/>
    <w:rsid w:val="004B5DBD"/>
    <w:rsid w:val="004B5FFB"/>
    <w:rsid w:val="004B6570"/>
    <w:rsid w:val="004B6626"/>
    <w:rsid w:val="004B673E"/>
    <w:rsid w:val="004B6A71"/>
    <w:rsid w:val="004B6B2A"/>
    <w:rsid w:val="004B6EA6"/>
    <w:rsid w:val="004B71E3"/>
    <w:rsid w:val="004B77AA"/>
    <w:rsid w:val="004B78F7"/>
    <w:rsid w:val="004C020E"/>
    <w:rsid w:val="004C04CC"/>
    <w:rsid w:val="004C0650"/>
    <w:rsid w:val="004C07B9"/>
    <w:rsid w:val="004C09D6"/>
    <w:rsid w:val="004C1086"/>
    <w:rsid w:val="004C12BD"/>
    <w:rsid w:val="004C1417"/>
    <w:rsid w:val="004C152F"/>
    <w:rsid w:val="004C1913"/>
    <w:rsid w:val="004C1BFC"/>
    <w:rsid w:val="004C2339"/>
    <w:rsid w:val="004C2355"/>
    <w:rsid w:val="004C2635"/>
    <w:rsid w:val="004C2B75"/>
    <w:rsid w:val="004C2CD9"/>
    <w:rsid w:val="004C2EF9"/>
    <w:rsid w:val="004C3090"/>
    <w:rsid w:val="004C31A8"/>
    <w:rsid w:val="004C31D5"/>
    <w:rsid w:val="004C3BC8"/>
    <w:rsid w:val="004C3EA7"/>
    <w:rsid w:val="004C4073"/>
    <w:rsid w:val="004C40B9"/>
    <w:rsid w:val="004C459E"/>
    <w:rsid w:val="004C45CA"/>
    <w:rsid w:val="004C49E7"/>
    <w:rsid w:val="004C4B85"/>
    <w:rsid w:val="004C4D45"/>
    <w:rsid w:val="004C4DCD"/>
    <w:rsid w:val="004C5816"/>
    <w:rsid w:val="004C5840"/>
    <w:rsid w:val="004C5F2C"/>
    <w:rsid w:val="004C5F32"/>
    <w:rsid w:val="004C618A"/>
    <w:rsid w:val="004C6AFD"/>
    <w:rsid w:val="004C7514"/>
    <w:rsid w:val="004C7704"/>
    <w:rsid w:val="004D0376"/>
    <w:rsid w:val="004D07D3"/>
    <w:rsid w:val="004D0AE9"/>
    <w:rsid w:val="004D124D"/>
    <w:rsid w:val="004D1B7F"/>
    <w:rsid w:val="004D2092"/>
    <w:rsid w:val="004D24B0"/>
    <w:rsid w:val="004D26A6"/>
    <w:rsid w:val="004D2E20"/>
    <w:rsid w:val="004D2F41"/>
    <w:rsid w:val="004D2FB6"/>
    <w:rsid w:val="004D3F0E"/>
    <w:rsid w:val="004D3FC7"/>
    <w:rsid w:val="004D4638"/>
    <w:rsid w:val="004D497F"/>
    <w:rsid w:val="004D4996"/>
    <w:rsid w:val="004D4CD7"/>
    <w:rsid w:val="004D4D4B"/>
    <w:rsid w:val="004D4E4F"/>
    <w:rsid w:val="004D4F8E"/>
    <w:rsid w:val="004D5376"/>
    <w:rsid w:val="004D5397"/>
    <w:rsid w:val="004D5E26"/>
    <w:rsid w:val="004D6230"/>
    <w:rsid w:val="004D6F29"/>
    <w:rsid w:val="004D72D9"/>
    <w:rsid w:val="004D746E"/>
    <w:rsid w:val="004D754C"/>
    <w:rsid w:val="004D77C0"/>
    <w:rsid w:val="004D7803"/>
    <w:rsid w:val="004D78A1"/>
    <w:rsid w:val="004D7A3A"/>
    <w:rsid w:val="004D7C36"/>
    <w:rsid w:val="004E0250"/>
    <w:rsid w:val="004E03EA"/>
    <w:rsid w:val="004E046A"/>
    <w:rsid w:val="004E05B5"/>
    <w:rsid w:val="004E084E"/>
    <w:rsid w:val="004E0E6B"/>
    <w:rsid w:val="004E0FD5"/>
    <w:rsid w:val="004E1021"/>
    <w:rsid w:val="004E10AF"/>
    <w:rsid w:val="004E145E"/>
    <w:rsid w:val="004E14FA"/>
    <w:rsid w:val="004E15C2"/>
    <w:rsid w:val="004E19A4"/>
    <w:rsid w:val="004E19DA"/>
    <w:rsid w:val="004E1DF4"/>
    <w:rsid w:val="004E1E2E"/>
    <w:rsid w:val="004E1F28"/>
    <w:rsid w:val="004E21A4"/>
    <w:rsid w:val="004E234E"/>
    <w:rsid w:val="004E2772"/>
    <w:rsid w:val="004E299E"/>
    <w:rsid w:val="004E2B66"/>
    <w:rsid w:val="004E2C2F"/>
    <w:rsid w:val="004E2CA7"/>
    <w:rsid w:val="004E2E80"/>
    <w:rsid w:val="004E2FED"/>
    <w:rsid w:val="004E3214"/>
    <w:rsid w:val="004E32DC"/>
    <w:rsid w:val="004E3416"/>
    <w:rsid w:val="004E351D"/>
    <w:rsid w:val="004E357E"/>
    <w:rsid w:val="004E36CD"/>
    <w:rsid w:val="004E3914"/>
    <w:rsid w:val="004E3DED"/>
    <w:rsid w:val="004E4004"/>
    <w:rsid w:val="004E4E56"/>
    <w:rsid w:val="004E5081"/>
    <w:rsid w:val="004E52AE"/>
    <w:rsid w:val="004E54C4"/>
    <w:rsid w:val="004E5B9A"/>
    <w:rsid w:val="004E5C35"/>
    <w:rsid w:val="004E5DD3"/>
    <w:rsid w:val="004E5EAB"/>
    <w:rsid w:val="004E5EF5"/>
    <w:rsid w:val="004E6367"/>
    <w:rsid w:val="004E647A"/>
    <w:rsid w:val="004E6628"/>
    <w:rsid w:val="004E664F"/>
    <w:rsid w:val="004E672C"/>
    <w:rsid w:val="004E67A4"/>
    <w:rsid w:val="004E6D7D"/>
    <w:rsid w:val="004E6F0C"/>
    <w:rsid w:val="004E7051"/>
    <w:rsid w:val="004E70E8"/>
    <w:rsid w:val="004E774C"/>
    <w:rsid w:val="004E7A20"/>
    <w:rsid w:val="004E7C76"/>
    <w:rsid w:val="004E7CC4"/>
    <w:rsid w:val="004E7E72"/>
    <w:rsid w:val="004F083F"/>
    <w:rsid w:val="004F0C0D"/>
    <w:rsid w:val="004F0F59"/>
    <w:rsid w:val="004F1741"/>
    <w:rsid w:val="004F1747"/>
    <w:rsid w:val="004F1D45"/>
    <w:rsid w:val="004F1FB6"/>
    <w:rsid w:val="004F235D"/>
    <w:rsid w:val="004F276D"/>
    <w:rsid w:val="004F2844"/>
    <w:rsid w:val="004F2977"/>
    <w:rsid w:val="004F2F5C"/>
    <w:rsid w:val="004F33FF"/>
    <w:rsid w:val="004F35B9"/>
    <w:rsid w:val="004F367C"/>
    <w:rsid w:val="004F373D"/>
    <w:rsid w:val="004F394F"/>
    <w:rsid w:val="004F3E2B"/>
    <w:rsid w:val="004F4758"/>
    <w:rsid w:val="004F48FA"/>
    <w:rsid w:val="004F4948"/>
    <w:rsid w:val="004F4F9D"/>
    <w:rsid w:val="004F526D"/>
    <w:rsid w:val="004F57B0"/>
    <w:rsid w:val="004F58B3"/>
    <w:rsid w:val="004F5A84"/>
    <w:rsid w:val="004F5C08"/>
    <w:rsid w:val="004F68AE"/>
    <w:rsid w:val="004F6E2C"/>
    <w:rsid w:val="004F7142"/>
    <w:rsid w:val="004F74B3"/>
    <w:rsid w:val="004F76AF"/>
    <w:rsid w:val="004F76FB"/>
    <w:rsid w:val="004F799E"/>
    <w:rsid w:val="004F7B4A"/>
    <w:rsid w:val="004F7EA5"/>
    <w:rsid w:val="00500256"/>
    <w:rsid w:val="0050032F"/>
    <w:rsid w:val="005004F6"/>
    <w:rsid w:val="0050092B"/>
    <w:rsid w:val="0050120C"/>
    <w:rsid w:val="00501427"/>
    <w:rsid w:val="005014C6"/>
    <w:rsid w:val="005015D3"/>
    <w:rsid w:val="00501633"/>
    <w:rsid w:val="00501964"/>
    <w:rsid w:val="00501DCB"/>
    <w:rsid w:val="0050211B"/>
    <w:rsid w:val="00502276"/>
    <w:rsid w:val="00502513"/>
    <w:rsid w:val="0050257B"/>
    <w:rsid w:val="00502802"/>
    <w:rsid w:val="005028B8"/>
    <w:rsid w:val="00502988"/>
    <w:rsid w:val="00502E1A"/>
    <w:rsid w:val="00502EAF"/>
    <w:rsid w:val="0050383D"/>
    <w:rsid w:val="005038A2"/>
    <w:rsid w:val="00503B76"/>
    <w:rsid w:val="00503F19"/>
    <w:rsid w:val="0050424A"/>
    <w:rsid w:val="00504272"/>
    <w:rsid w:val="005042DE"/>
    <w:rsid w:val="00504683"/>
    <w:rsid w:val="00504B90"/>
    <w:rsid w:val="00504BF9"/>
    <w:rsid w:val="005058BF"/>
    <w:rsid w:val="00505A0E"/>
    <w:rsid w:val="00505A78"/>
    <w:rsid w:val="00505B64"/>
    <w:rsid w:val="00505BDA"/>
    <w:rsid w:val="00506579"/>
    <w:rsid w:val="005067BC"/>
    <w:rsid w:val="00506914"/>
    <w:rsid w:val="005069A8"/>
    <w:rsid w:val="00506FF1"/>
    <w:rsid w:val="00507085"/>
    <w:rsid w:val="00507385"/>
    <w:rsid w:val="005074A0"/>
    <w:rsid w:val="0050789C"/>
    <w:rsid w:val="00507B63"/>
    <w:rsid w:val="00507D15"/>
    <w:rsid w:val="00510090"/>
    <w:rsid w:val="0051084D"/>
    <w:rsid w:val="00510879"/>
    <w:rsid w:val="00510BAA"/>
    <w:rsid w:val="00510D88"/>
    <w:rsid w:val="00511132"/>
    <w:rsid w:val="005115D0"/>
    <w:rsid w:val="00511793"/>
    <w:rsid w:val="005118E6"/>
    <w:rsid w:val="00511B6C"/>
    <w:rsid w:val="00511C08"/>
    <w:rsid w:val="00511CC3"/>
    <w:rsid w:val="00511F53"/>
    <w:rsid w:val="00511F8B"/>
    <w:rsid w:val="00511FC8"/>
    <w:rsid w:val="005128D3"/>
    <w:rsid w:val="00512A3C"/>
    <w:rsid w:val="00512D7E"/>
    <w:rsid w:val="00512DA6"/>
    <w:rsid w:val="005131D4"/>
    <w:rsid w:val="0051357F"/>
    <w:rsid w:val="00513B48"/>
    <w:rsid w:val="00513B53"/>
    <w:rsid w:val="005142D2"/>
    <w:rsid w:val="0051471B"/>
    <w:rsid w:val="00514B45"/>
    <w:rsid w:val="00515D00"/>
    <w:rsid w:val="0051658A"/>
    <w:rsid w:val="0051680D"/>
    <w:rsid w:val="00516B17"/>
    <w:rsid w:val="00516CA0"/>
    <w:rsid w:val="00516D4E"/>
    <w:rsid w:val="00516E68"/>
    <w:rsid w:val="00516F92"/>
    <w:rsid w:val="00517173"/>
    <w:rsid w:val="00517937"/>
    <w:rsid w:val="00520092"/>
    <w:rsid w:val="0052020D"/>
    <w:rsid w:val="00520260"/>
    <w:rsid w:val="005202A8"/>
    <w:rsid w:val="00520730"/>
    <w:rsid w:val="00520774"/>
    <w:rsid w:val="00520905"/>
    <w:rsid w:val="00521143"/>
    <w:rsid w:val="005218DD"/>
    <w:rsid w:val="005227B1"/>
    <w:rsid w:val="00522B27"/>
    <w:rsid w:val="00522E8A"/>
    <w:rsid w:val="00522F17"/>
    <w:rsid w:val="005231ED"/>
    <w:rsid w:val="00523822"/>
    <w:rsid w:val="00523B7E"/>
    <w:rsid w:val="00523EB3"/>
    <w:rsid w:val="00524015"/>
    <w:rsid w:val="00524149"/>
    <w:rsid w:val="005247A7"/>
    <w:rsid w:val="00525038"/>
    <w:rsid w:val="0052520D"/>
    <w:rsid w:val="00525480"/>
    <w:rsid w:val="00525AD9"/>
    <w:rsid w:val="00525F89"/>
    <w:rsid w:val="00526518"/>
    <w:rsid w:val="0052669A"/>
    <w:rsid w:val="005268EF"/>
    <w:rsid w:val="00526CF1"/>
    <w:rsid w:val="00527081"/>
    <w:rsid w:val="0052710B"/>
    <w:rsid w:val="005273C8"/>
    <w:rsid w:val="005274F8"/>
    <w:rsid w:val="005275D9"/>
    <w:rsid w:val="005276E4"/>
    <w:rsid w:val="005277C9"/>
    <w:rsid w:val="005277F8"/>
    <w:rsid w:val="00527B46"/>
    <w:rsid w:val="0053010A"/>
    <w:rsid w:val="0053021F"/>
    <w:rsid w:val="005302BA"/>
    <w:rsid w:val="005302FF"/>
    <w:rsid w:val="00530421"/>
    <w:rsid w:val="005304AB"/>
    <w:rsid w:val="005305B6"/>
    <w:rsid w:val="00530638"/>
    <w:rsid w:val="00530C22"/>
    <w:rsid w:val="00530D0C"/>
    <w:rsid w:val="00530DC2"/>
    <w:rsid w:val="00530E68"/>
    <w:rsid w:val="00531020"/>
    <w:rsid w:val="00531245"/>
    <w:rsid w:val="00531459"/>
    <w:rsid w:val="0053187F"/>
    <w:rsid w:val="00531C33"/>
    <w:rsid w:val="005321C9"/>
    <w:rsid w:val="0053231F"/>
    <w:rsid w:val="00532334"/>
    <w:rsid w:val="00532353"/>
    <w:rsid w:val="005323B6"/>
    <w:rsid w:val="00532CE6"/>
    <w:rsid w:val="00533576"/>
    <w:rsid w:val="0053360D"/>
    <w:rsid w:val="00533668"/>
    <w:rsid w:val="005338BF"/>
    <w:rsid w:val="00533A98"/>
    <w:rsid w:val="00533AFC"/>
    <w:rsid w:val="00533DE2"/>
    <w:rsid w:val="00534160"/>
    <w:rsid w:val="00534166"/>
    <w:rsid w:val="00534273"/>
    <w:rsid w:val="005342AF"/>
    <w:rsid w:val="005342C1"/>
    <w:rsid w:val="00534747"/>
    <w:rsid w:val="00534987"/>
    <w:rsid w:val="00534A6C"/>
    <w:rsid w:val="00534AE7"/>
    <w:rsid w:val="00534F3A"/>
    <w:rsid w:val="005356B9"/>
    <w:rsid w:val="005356F4"/>
    <w:rsid w:val="0053577F"/>
    <w:rsid w:val="0053595C"/>
    <w:rsid w:val="00535C39"/>
    <w:rsid w:val="00535EF8"/>
    <w:rsid w:val="00535FBD"/>
    <w:rsid w:val="00536116"/>
    <w:rsid w:val="0053640C"/>
    <w:rsid w:val="0053689E"/>
    <w:rsid w:val="00536C66"/>
    <w:rsid w:val="00536EA8"/>
    <w:rsid w:val="00537055"/>
    <w:rsid w:val="005376E4"/>
    <w:rsid w:val="00537796"/>
    <w:rsid w:val="00537804"/>
    <w:rsid w:val="00537850"/>
    <w:rsid w:val="00537862"/>
    <w:rsid w:val="00537C43"/>
    <w:rsid w:val="00537E0B"/>
    <w:rsid w:val="00537EDC"/>
    <w:rsid w:val="005400AA"/>
    <w:rsid w:val="00540104"/>
    <w:rsid w:val="00540303"/>
    <w:rsid w:val="005403D7"/>
    <w:rsid w:val="00540497"/>
    <w:rsid w:val="0054053A"/>
    <w:rsid w:val="005409A8"/>
    <w:rsid w:val="00540A5B"/>
    <w:rsid w:val="005410C6"/>
    <w:rsid w:val="00541E2E"/>
    <w:rsid w:val="00541EB2"/>
    <w:rsid w:val="0054205B"/>
    <w:rsid w:val="00542498"/>
    <w:rsid w:val="00542DFE"/>
    <w:rsid w:val="00542FDD"/>
    <w:rsid w:val="00542FFB"/>
    <w:rsid w:val="0054383B"/>
    <w:rsid w:val="00543A48"/>
    <w:rsid w:val="005441C7"/>
    <w:rsid w:val="005445C8"/>
    <w:rsid w:val="00544642"/>
    <w:rsid w:val="00544930"/>
    <w:rsid w:val="00544DC2"/>
    <w:rsid w:val="00545277"/>
    <w:rsid w:val="005457F6"/>
    <w:rsid w:val="00546019"/>
    <w:rsid w:val="00546722"/>
    <w:rsid w:val="005469CA"/>
    <w:rsid w:val="00546BD6"/>
    <w:rsid w:val="00546DFB"/>
    <w:rsid w:val="00546E3F"/>
    <w:rsid w:val="0054723F"/>
    <w:rsid w:val="00547B75"/>
    <w:rsid w:val="00547C2E"/>
    <w:rsid w:val="00547DA5"/>
    <w:rsid w:val="00550031"/>
    <w:rsid w:val="00550238"/>
    <w:rsid w:val="00550A91"/>
    <w:rsid w:val="00550B21"/>
    <w:rsid w:val="00550B6F"/>
    <w:rsid w:val="00551181"/>
    <w:rsid w:val="00551358"/>
    <w:rsid w:val="0055139A"/>
    <w:rsid w:val="00551610"/>
    <w:rsid w:val="0055172F"/>
    <w:rsid w:val="005518C0"/>
    <w:rsid w:val="0055196A"/>
    <w:rsid w:val="00551BAB"/>
    <w:rsid w:val="00552B4A"/>
    <w:rsid w:val="00552EF1"/>
    <w:rsid w:val="00553324"/>
    <w:rsid w:val="0055358B"/>
    <w:rsid w:val="00553C41"/>
    <w:rsid w:val="00553FF8"/>
    <w:rsid w:val="00554848"/>
    <w:rsid w:val="00554915"/>
    <w:rsid w:val="00554B38"/>
    <w:rsid w:val="00554D41"/>
    <w:rsid w:val="00554D82"/>
    <w:rsid w:val="00555232"/>
    <w:rsid w:val="0055551B"/>
    <w:rsid w:val="00555647"/>
    <w:rsid w:val="005558EF"/>
    <w:rsid w:val="00555A42"/>
    <w:rsid w:val="00556076"/>
    <w:rsid w:val="00556278"/>
    <w:rsid w:val="0055675E"/>
    <w:rsid w:val="00556C51"/>
    <w:rsid w:val="00556D8A"/>
    <w:rsid w:val="0055706D"/>
    <w:rsid w:val="00557506"/>
    <w:rsid w:val="00557A5F"/>
    <w:rsid w:val="00557C41"/>
    <w:rsid w:val="005601C7"/>
    <w:rsid w:val="00560717"/>
    <w:rsid w:val="00560C77"/>
    <w:rsid w:val="00560E0F"/>
    <w:rsid w:val="00560E72"/>
    <w:rsid w:val="00561204"/>
    <w:rsid w:val="00561373"/>
    <w:rsid w:val="005617A5"/>
    <w:rsid w:val="005617BA"/>
    <w:rsid w:val="005618D7"/>
    <w:rsid w:val="00561A01"/>
    <w:rsid w:val="00561CB9"/>
    <w:rsid w:val="00561F33"/>
    <w:rsid w:val="005623AC"/>
    <w:rsid w:val="00562866"/>
    <w:rsid w:val="00562BF5"/>
    <w:rsid w:val="0056308D"/>
    <w:rsid w:val="00563278"/>
    <w:rsid w:val="00563B4A"/>
    <w:rsid w:val="00563BC0"/>
    <w:rsid w:val="00564162"/>
    <w:rsid w:val="005649A1"/>
    <w:rsid w:val="00565033"/>
    <w:rsid w:val="00565070"/>
    <w:rsid w:val="0056521E"/>
    <w:rsid w:val="00565576"/>
    <w:rsid w:val="00565656"/>
    <w:rsid w:val="005657F3"/>
    <w:rsid w:val="00565970"/>
    <w:rsid w:val="00565BD3"/>
    <w:rsid w:val="00566DDC"/>
    <w:rsid w:val="00567329"/>
    <w:rsid w:val="005675D8"/>
    <w:rsid w:val="00567744"/>
    <w:rsid w:val="00567950"/>
    <w:rsid w:val="00567FE7"/>
    <w:rsid w:val="00567FF9"/>
    <w:rsid w:val="005707F4"/>
    <w:rsid w:val="005708AA"/>
    <w:rsid w:val="00570EE2"/>
    <w:rsid w:val="00571064"/>
    <w:rsid w:val="00571304"/>
    <w:rsid w:val="00571643"/>
    <w:rsid w:val="00571A84"/>
    <w:rsid w:val="00571D9E"/>
    <w:rsid w:val="00571F8B"/>
    <w:rsid w:val="00572265"/>
    <w:rsid w:val="005724AC"/>
    <w:rsid w:val="00572932"/>
    <w:rsid w:val="00573093"/>
    <w:rsid w:val="0057371C"/>
    <w:rsid w:val="005738F6"/>
    <w:rsid w:val="00573D64"/>
    <w:rsid w:val="00573F1F"/>
    <w:rsid w:val="00574228"/>
    <w:rsid w:val="005743A1"/>
    <w:rsid w:val="00574B55"/>
    <w:rsid w:val="00574EAD"/>
    <w:rsid w:val="005753CD"/>
    <w:rsid w:val="0057541D"/>
    <w:rsid w:val="00575761"/>
    <w:rsid w:val="00575C35"/>
    <w:rsid w:val="005765DE"/>
    <w:rsid w:val="00576679"/>
    <w:rsid w:val="00576C2B"/>
    <w:rsid w:val="00576C46"/>
    <w:rsid w:val="00576C99"/>
    <w:rsid w:val="00576FC8"/>
    <w:rsid w:val="00577363"/>
    <w:rsid w:val="005776F9"/>
    <w:rsid w:val="005778B5"/>
    <w:rsid w:val="00577A73"/>
    <w:rsid w:val="00577E7F"/>
    <w:rsid w:val="00577E84"/>
    <w:rsid w:val="00577E9E"/>
    <w:rsid w:val="005803B2"/>
    <w:rsid w:val="00580719"/>
    <w:rsid w:val="0058087E"/>
    <w:rsid w:val="00580AD8"/>
    <w:rsid w:val="00580C87"/>
    <w:rsid w:val="0058128A"/>
    <w:rsid w:val="005812ED"/>
    <w:rsid w:val="0058143D"/>
    <w:rsid w:val="00581486"/>
    <w:rsid w:val="005816A9"/>
    <w:rsid w:val="005816D5"/>
    <w:rsid w:val="00581716"/>
    <w:rsid w:val="00581BB8"/>
    <w:rsid w:val="005820ED"/>
    <w:rsid w:val="005821A9"/>
    <w:rsid w:val="00582574"/>
    <w:rsid w:val="0058276A"/>
    <w:rsid w:val="0058294F"/>
    <w:rsid w:val="005829B1"/>
    <w:rsid w:val="00582DAF"/>
    <w:rsid w:val="00582FE5"/>
    <w:rsid w:val="005832C5"/>
    <w:rsid w:val="005836D3"/>
    <w:rsid w:val="00583831"/>
    <w:rsid w:val="00583C1C"/>
    <w:rsid w:val="00583D49"/>
    <w:rsid w:val="00583E43"/>
    <w:rsid w:val="0058401A"/>
    <w:rsid w:val="005840E6"/>
    <w:rsid w:val="005841AD"/>
    <w:rsid w:val="0058428B"/>
    <w:rsid w:val="005842B3"/>
    <w:rsid w:val="00584495"/>
    <w:rsid w:val="005846FB"/>
    <w:rsid w:val="00584D86"/>
    <w:rsid w:val="00585896"/>
    <w:rsid w:val="005859F1"/>
    <w:rsid w:val="00585B3D"/>
    <w:rsid w:val="00585F52"/>
    <w:rsid w:val="005862D6"/>
    <w:rsid w:val="005869B9"/>
    <w:rsid w:val="00586E86"/>
    <w:rsid w:val="00586FCC"/>
    <w:rsid w:val="005870F6"/>
    <w:rsid w:val="00587B20"/>
    <w:rsid w:val="00587C22"/>
    <w:rsid w:val="00587F7D"/>
    <w:rsid w:val="00590094"/>
    <w:rsid w:val="00590225"/>
    <w:rsid w:val="005902BC"/>
    <w:rsid w:val="0059035B"/>
    <w:rsid w:val="005904ED"/>
    <w:rsid w:val="0059050A"/>
    <w:rsid w:val="00590804"/>
    <w:rsid w:val="00590D8A"/>
    <w:rsid w:val="0059100C"/>
    <w:rsid w:val="0059108A"/>
    <w:rsid w:val="00591AB0"/>
    <w:rsid w:val="00591C4E"/>
    <w:rsid w:val="00591D10"/>
    <w:rsid w:val="00592D17"/>
    <w:rsid w:val="0059322E"/>
    <w:rsid w:val="0059336B"/>
    <w:rsid w:val="00593BE2"/>
    <w:rsid w:val="0059411E"/>
    <w:rsid w:val="00594182"/>
    <w:rsid w:val="00594778"/>
    <w:rsid w:val="00594CC5"/>
    <w:rsid w:val="005950E0"/>
    <w:rsid w:val="005957C5"/>
    <w:rsid w:val="00595C6C"/>
    <w:rsid w:val="00595E84"/>
    <w:rsid w:val="00595FCC"/>
    <w:rsid w:val="00596AE7"/>
    <w:rsid w:val="00596D4F"/>
    <w:rsid w:val="00597561"/>
    <w:rsid w:val="00597788"/>
    <w:rsid w:val="005A002D"/>
    <w:rsid w:val="005A03FC"/>
    <w:rsid w:val="005A092E"/>
    <w:rsid w:val="005A09EB"/>
    <w:rsid w:val="005A0E34"/>
    <w:rsid w:val="005A0EB6"/>
    <w:rsid w:val="005A16D1"/>
    <w:rsid w:val="005A18EF"/>
    <w:rsid w:val="005A1A9B"/>
    <w:rsid w:val="005A1DB7"/>
    <w:rsid w:val="005A1E68"/>
    <w:rsid w:val="005A1E83"/>
    <w:rsid w:val="005A2087"/>
    <w:rsid w:val="005A2335"/>
    <w:rsid w:val="005A2A9B"/>
    <w:rsid w:val="005A2EEB"/>
    <w:rsid w:val="005A2F2B"/>
    <w:rsid w:val="005A3011"/>
    <w:rsid w:val="005A3FF3"/>
    <w:rsid w:val="005A4B16"/>
    <w:rsid w:val="005A4C22"/>
    <w:rsid w:val="005A4C67"/>
    <w:rsid w:val="005A5562"/>
    <w:rsid w:val="005A5ABB"/>
    <w:rsid w:val="005A5B25"/>
    <w:rsid w:val="005A601A"/>
    <w:rsid w:val="005A645B"/>
    <w:rsid w:val="005A69F1"/>
    <w:rsid w:val="005A6B6E"/>
    <w:rsid w:val="005A7405"/>
    <w:rsid w:val="005A7437"/>
    <w:rsid w:val="005A77FC"/>
    <w:rsid w:val="005A78E8"/>
    <w:rsid w:val="005A7B6F"/>
    <w:rsid w:val="005B0090"/>
    <w:rsid w:val="005B02B3"/>
    <w:rsid w:val="005B03B8"/>
    <w:rsid w:val="005B0688"/>
    <w:rsid w:val="005B06F0"/>
    <w:rsid w:val="005B0B28"/>
    <w:rsid w:val="005B0CC1"/>
    <w:rsid w:val="005B0FA5"/>
    <w:rsid w:val="005B1741"/>
    <w:rsid w:val="005B1856"/>
    <w:rsid w:val="005B1B39"/>
    <w:rsid w:val="005B1C9C"/>
    <w:rsid w:val="005B1D3E"/>
    <w:rsid w:val="005B2241"/>
    <w:rsid w:val="005B28C4"/>
    <w:rsid w:val="005B29CF"/>
    <w:rsid w:val="005B2A39"/>
    <w:rsid w:val="005B2C07"/>
    <w:rsid w:val="005B30C6"/>
    <w:rsid w:val="005B3558"/>
    <w:rsid w:val="005B371F"/>
    <w:rsid w:val="005B3A97"/>
    <w:rsid w:val="005B3DB4"/>
    <w:rsid w:val="005B4333"/>
    <w:rsid w:val="005B4357"/>
    <w:rsid w:val="005B4414"/>
    <w:rsid w:val="005B4527"/>
    <w:rsid w:val="005B45C2"/>
    <w:rsid w:val="005B46EA"/>
    <w:rsid w:val="005B471E"/>
    <w:rsid w:val="005B4B68"/>
    <w:rsid w:val="005B5087"/>
    <w:rsid w:val="005B5125"/>
    <w:rsid w:val="005B5362"/>
    <w:rsid w:val="005B59DD"/>
    <w:rsid w:val="005B5B96"/>
    <w:rsid w:val="005B6443"/>
    <w:rsid w:val="005B6AF7"/>
    <w:rsid w:val="005B6BA5"/>
    <w:rsid w:val="005B6EAC"/>
    <w:rsid w:val="005B700D"/>
    <w:rsid w:val="005B70E5"/>
    <w:rsid w:val="005B73D8"/>
    <w:rsid w:val="005B73DD"/>
    <w:rsid w:val="005B7719"/>
    <w:rsid w:val="005B7C62"/>
    <w:rsid w:val="005B7E52"/>
    <w:rsid w:val="005B7FEE"/>
    <w:rsid w:val="005C0551"/>
    <w:rsid w:val="005C0596"/>
    <w:rsid w:val="005C08B1"/>
    <w:rsid w:val="005C0959"/>
    <w:rsid w:val="005C0ABC"/>
    <w:rsid w:val="005C0AC7"/>
    <w:rsid w:val="005C0AF6"/>
    <w:rsid w:val="005C0D0F"/>
    <w:rsid w:val="005C0F57"/>
    <w:rsid w:val="005C109E"/>
    <w:rsid w:val="005C1A7B"/>
    <w:rsid w:val="005C1B0F"/>
    <w:rsid w:val="005C1D81"/>
    <w:rsid w:val="005C1FF2"/>
    <w:rsid w:val="005C28C8"/>
    <w:rsid w:val="005C2C41"/>
    <w:rsid w:val="005C2C84"/>
    <w:rsid w:val="005C2DBA"/>
    <w:rsid w:val="005C307C"/>
    <w:rsid w:val="005C34A7"/>
    <w:rsid w:val="005C3585"/>
    <w:rsid w:val="005C39E8"/>
    <w:rsid w:val="005C3DC7"/>
    <w:rsid w:val="005C3E25"/>
    <w:rsid w:val="005C3ED1"/>
    <w:rsid w:val="005C480A"/>
    <w:rsid w:val="005C481C"/>
    <w:rsid w:val="005C495B"/>
    <w:rsid w:val="005C4B65"/>
    <w:rsid w:val="005C5915"/>
    <w:rsid w:val="005C5B21"/>
    <w:rsid w:val="005C60AE"/>
    <w:rsid w:val="005C6D81"/>
    <w:rsid w:val="005C6DC3"/>
    <w:rsid w:val="005C7213"/>
    <w:rsid w:val="005C77AA"/>
    <w:rsid w:val="005C7874"/>
    <w:rsid w:val="005C78E9"/>
    <w:rsid w:val="005D035F"/>
    <w:rsid w:val="005D03E6"/>
    <w:rsid w:val="005D0515"/>
    <w:rsid w:val="005D05F6"/>
    <w:rsid w:val="005D0A25"/>
    <w:rsid w:val="005D1263"/>
    <w:rsid w:val="005D1455"/>
    <w:rsid w:val="005D18D9"/>
    <w:rsid w:val="005D1BB0"/>
    <w:rsid w:val="005D20E6"/>
    <w:rsid w:val="005D2602"/>
    <w:rsid w:val="005D26AC"/>
    <w:rsid w:val="005D2935"/>
    <w:rsid w:val="005D2B9F"/>
    <w:rsid w:val="005D2CAC"/>
    <w:rsid w:val="005D2ED8"/>
    <w:rsid w:val="005D36A3"/>
    <w:rsid w:val="005D3D62"/>
    <w:rsid w:val="005D404A"/>
    <w:rsid w:val="005D43A3"/>
    <w:rsid w:val="005D4D0F"/>
    <w:rsid w:val="005D512A"/>
    <w:rsid w:val="005D5708"/>
    <w:rsid w:val="005D5740"/>
    <w:rsid w:val="005D5951"/>
    <w:rsid w:val="005D5D76"/>
    <w:rsid w:val="005D5E59"/>
    <w:rsid w:val="005D6069"/>
    <w:rsid w:val="005D61F2"/>
    <w:rsid w:val="005D63E5"/>
    <w:rsid w:val="005D65E8"/>
    <w:rsid w:val="005D6803"/>
    <w:rsid w:val="005D6907"/>
    <w:rsid w:val="005D6CBA"/>
    <w:rsid w:val="005D768E"/>
    <w:rsid w:val="005D76D8"/>
    <w:rsid w:val="005D7ABE"/>
    <w:rsid w:val="005D7D0F"/>
    <w:rsid w:val="005D7E1C"/>
    <w:rsid w:val="005D7F7C"/>
    <w:rsid w:val="005E0030"/>
    <w:rsid w:val="005E03A1"/>
    <w:rsid w:val="005E1066"/>
    <w:rsid w:val="005E12BD"/>
    <w:rsid w:val="005E135B"/>
    <w:rsid w:val="005E17FC"/>
    <w:rsid w:val="005E191D"/>
    <w:rsid w:val="005E1C36"/>
    <w:rsid w:val="005E1E36"/>
    <w:rsid w:val="005E2642"/>
    <w:rsid w:val="005E2AA3"/>
    <w:rsid w:val="005E2E27"/>
    <w:rsid w:val="005E2FFC"/>
    <w:rsid w:val="005E3273"/>
    <w:rsid w:val="005E32C0"/>
    <w:rsid w:val="005E37E7"/>
    <w:rsid w:val="005E38E2"/>
    <w:rsid w:val="005E3B5E"/>
    <w:rsid w:val="005E3F59"/>
    <w:rsid w:val="005E42A5"/>
    <w:rsid w:val="005E441C"/>
    <w:rsid w:val="005E4480"/>
    <w:rsid w:val="005E491D"/>
    <w:rsid w:val="005E4EB7"/>
    <w:rsid w:val="005E5042"/>
    <w:rsid w:val="005E5458"/>
    <w:rsid w:val="005E5471"/>
    <w:rsid w:val="005E5548"/>
    <w:rsid w:val="005E55AE"/>
    <w:rsid w:val="005E5799"/>
    <w:rsid w:val="005E5C97"/>
    <w:rsid w:val="005E5CBB"/>
    <w:rsid w:val="005E5D46"/>
    <w:rsid w:val="005E606B"/>
    <w:rsid w:val="005E60CE"/>
    <w:rsid w:val="005E629A"/>
    <w:rsid w:val="005E6396"/>
    <w:rsid w:val="005E67DE"/>
    <w:rsid w:val="005E6EFC"/>
    <w:rsid w:val="005E7319"/>
    <w:rsid w:val="005E777D"/>
    <w:rsid w:val="005E79B4"/>
    <w:rsid w:val="005E7C8D"/>
    <w:rsid w:val="005E7D69"/>
    <w:rsid w:val="005F0272"/>
    <w:rsid w:val="005F090A"/>
    <w:rsid w:val="005F0EA8"/>
    <w:rsid w:val="005F126F"/>
    <w:rsid w:val="005F15F0"/>
    <w:rsid w:val="005F1630"/>
    <w:rsid w:val="005F1972"/>
    <w:rsid w:val="005F19DF"/>
    <w:rsid w:val="005F1A82"/>
    <w:rsid w:val="005F202C"/>
    <w:rsid w:val="005F2279"/>
    <w:rsid w:val="005F22DC"/>
    <w:rsid w:val="005F25C4"/>
    <w:rsid w:val="005F30FB"/>
    <w:rsid w:val="005F310E"/>
    <w:rsid w:val="005F32F7"/>
    <w:rsid w:val="005F3582"/>
    <w:rsid w:val="005F37B9"/>
    <w:rsid w:val="005F3880"/>
    <w:rsid w:val="005F3D6F"/>
    <w:rsid w:val="005F3DAB"/>
    <w:rsid w:val="005F408C"/>
    <w:rsid w:val="005F4658"/>
    <w:rsid w:val="005F4783"/>
    <w:rsid w:val="005F4954"/>
    <w:rsid w:val="005F53CA"/>
    <w:rsid w:val="005F593E"/>
    <w:rsid w:val="005F5987"/>
    <w:rsid w:val="005F5BFE"/>
    <w:rsid w:val="005F5D10"/>
    <w:rsid w:val="005F64BA"/>
    <w:rsid w:val="005F66A0"/>
    <w:rsid w:val="005F679D"/>
    <w:rsid w:val="005F6EC2"/>
    <w:rsid w:val="005F752B"/>
    <w:rsid w:val="005F7ABA"/>
    <w:rsid w:val="00600427"/>
    <w:rsid w:val="006004A5"/>
    <w:rsid w:val="006008EB"/>
    <w:rsid w:val="0060094C"/>
    <w:rsid w:val="00600C27"/>
    <w:rsid w:val="00600E51"/>
    <w:rsid w:val="006013FA"/>
    <w:rsid w:val="0060152E"/>
    <w:rsid w:val="0060158E"/>
    <w:rsid w:val="006015B7"/>
    <w:rsid w:val="006018F6"/>
    <w:rsid w:val="00601B24"/>
    <w:rsid w:val="00601DCA"/>
    <w:rsid w:val="00601E32"/>
    <w:rsid w:val="0060252D"/>
    <w:rsid w:val="00602617"/>
    <w:rsid w:val="00602693"/>
    <w:rsid w:val="006026AA"/>
    <w:rsid w:val="006028F8"/>
    <w:rsid w:val="00602D06"/>
    <w:rsid w:val="00602FA6"/>
    <w:rsid w:val="006032E3"/>
    <w:rsid w:val="00603C65"/>
    <w:rsid w:val="00603DA4"/>
    <w:rsid w:val="00603DBA"/>
    <w:rsid w:val="006044B3"/>
    <w:rsid w:val="00604D90"/>
    <w:rsid w:val="00604DCA"/>
    <w:rsid w:val="006052F2"/>
    <w:rsid w:val="0060535F"/>
    <w:rsid w:val="00605446"/>
    <w:rsid w:val="00605814"/>
    <w:rsid w:val="00606F66"/>
    <w:rsid w:val="00607859"/>
    <w:rsid w:val="00607C12"/>
    <w:rsid w:val="00607CCE"/>
    <w:rsid w:val="00607E06"/>
    <w:rsid w:val="006105B2"/>
    <w:rsid w:val="00610AF5"/>
    <w:rsid w:val="00610C2D"/>
    <w:rsid w:val="00610C50"/>
    <w:rsid w:val="0061159A"/>
    <w:rsid w:val="00611A42"/>
    <w:rsid w:val="00611B01"/>
    <w:rsid w:val="00611BE3"/>
    <w:rsid w:val="00611CD0"/>
    <w:rsid w:val="00612121"/>
    <w:rsid w:val="00612A8E"/>
    <w:rsid w:val="00612CB8"/>
    <w:rsid w:val="00612DA6"/>
    <w:rsid w:val="00613624"/>
    <w:rsid w:val="00613CEA"/>
    <w:rsid w:val="00613F04"/>
    <w:rsid w:val="00614344"/>
    <w:rsid w:val="006150FC"/>
    <w:rsid w:val="00615EDE"/>
    <w:rsid w:val="00615FA8"/>
    <w:rsid w:val="00615FEB"/>
    <w:rsid w:val="0061607C"/>
    <w:rsid w:val="006160E3"/>
    <w:rsid w:val="00616738"/>
    <w:rsid w:val="00616C04"/>
    <w:rsid w:val="00616E8C"/>
    <w:rsid w:val="00616F09"/>
    <w:rsid w:val="006173F1"/>
    <w:rsid w:val="00617D98"/>
    <w:rsid w:val="00620087"/>
    <w:rsid w:val="00620551"/>
    <w:rsid w:val="0062063A"/>
    <w:rsid w:val="00620993"/>
    <w:rsid w:val="00620D4F"/>
    <w:rsid w:val="006213B8"/>
    <w:rsid w:val="006218FA"/>
    <w:rsid w:val="00621910"/>
    <w:rsid w:val="006219A0"/>
    <w:rsid w:val="00621D0F"/>
    <w:rsid w:val="00621F0D"/>
    <w:rsid w:val="006223D8"/>
    <w:rsid w:val="00622433"/>
    <w:rsid w:val="00622B8E"/>
    <w:rsid w:val="00622BA3"/>
    <w:rsid w:val="00622BCD"/>
    <w:rsid w:val="00622C73"/>
    <w:rsid w:val="0062377A"/>
    <w:rsid w:val="006239B5"/>
    <w:rsid w:val="00623B40"/>
    <w:rsid w:val="00623CC4"/>
    <w:rsid w:val="00624158"/>
    <w:rsid w:val="00624408"/>
    <w:rsid w:val="006244B7"/>
    <w:rsid w:val="00624672"/>
    <w:rsid w:val="00624979"/>
    <w:rsid w:val="006253DD"/>
    <w:rsid w:val="00625BE1"/>
    <w:rsid w:val="00625CA0"/>
    <w:rsid w:val="00626084"/>
    <w:rsid w:val="006266F6"/>
    <w:rsid w:val="0062678D"/>
    <w:rsid w:val="00626887"/>
    <w:rsid w:val="006268E0"/>
    <w:rsid w:val="00626907"/>
    <w:rsid w:val="00627405"/>
    <w:rsid w:val="00627545"/>
    <w:rsid w:val="0062777C"/>
    <w:rsid w:val="00627FC1"/>
    <w:rsid w:val="0063025B"/>
    <w:rsid w:val="0063027C"/>
    <w:rsid w:val="00630699"/>
    <w:rsid w:val="00630C3E"/>
    <w:rsid w:val="00630C4C"/>
    <w:rsid w:val="006319EC"/>
    <w:rsid w:val="00631C33"/>
    <w:rsid w:val="00631E5D"/>
    <w:rsid w:val="006321DC"/>
    <w:rsid w:val="006325DA"/>
    <w:rsid w:val="006329C6"/>
    <w:rsid w:val="00632D03"/>
    <w:rsid w:val="00633570"/>
    <w:rsid w:val="006335F1"/>
    <w:rsid w:val="00633661"/>
    <w:rsid w:val="006339AE"/>
    <w:rsid w:val="006339C0"/>
    <w:rsid w:val="00633A95"/>
    <w:rsid w:val="00633F0C"/>
    <w:rsid w:val="0063439B"/>
    <w:rsid w:val="0063468D"/>
    <w:rsid w:val="006346C0"/>
    <w:rsid w:val="006347BD"/>
    <w:rsid w:val="00634B89"/>
    <w:rsid w:val="00634CEB"/>
    <w:rsid w:val="00634F56"/>
    <w:rsid w:val="006350D7"/>
    <w:rsid w:val="00635318"/>
    <w:rsid w:val="0063546C"/>
    <w:rsid w:val="00635819"/>
    <w:rsid w:val="00635899"/>
    <w:rsid w:val="00635980"/>
    <w:rsid w:val="00635B55"/>
    <w:rsid w:val="00635C30"/>
    <w:rsid w:val="00635CCF"/>
    <w:rsid w:val="00636325"/>
    <w:rsid w:val="0063634C"/>
    <w:rsid w:val="00636A60"/>
    <w:rsid w:val="00636B33"/>
    <w:rsid w:val="00636E9E"/>
    <w:rsid w:val="00637260"/>
    <w:rsid w:val="006378D8"/>
    <w:rsid w:val="00637AF3"/>
    <w:rsid w:val="00637FF0"/>
    <w:rsid w:val="006400A3"/>
    <w:rsid w:val="006407EB"/>
    <w:rsid w:val="00640B14"/>
    <w:rsid w:val="00640BDB"/>
    <w:rsid w:val="00640FF9"/>
    <w:rsid w:val="00641105"/>
    <w:rsid w:val="0064142F"/>
    <w:rsid w:val="006416CB"/>
    <w:rsid w:val="006417DE"/>
    <w:rsid w:val="00641815"/>
    <w:rsid w:val="0064196A"/>
    <w:rsid w:val="00641BA0"/>
    <w:rsid w:val="00641EEA"/>
    <w:rsid w:val="006420F3"/>
    <w:rsid w:val="00642C5A"/>
    <w:rsid w:val="00643125"/>
    <w:rsid w:val="0064318B"/>
    <w:rsid w:val="006432F6"/>
    <w:rsid w:val="006436D1"/>
    <w:rsid w:val="00643ED5"/>
    <w:rsid w:val="0064442C"/>
    <w:rsid w:val="006449DD"/>
    <w:rsid w:val="00644E64"/>
    <w:rsid w:val="00645914"/>
    <w:rsid w:val="00645D07"/>
    <w:rsid w:val="0064614F"/>
    <w:rsid w:val="00646229"/>
    <w:rsid w:val="00646292"/>
    <w:rsid w:val="00646648"/>
    <w:rsid w:val="006467E2"/>
    <w:rsid w:val="00646C0E"/>
    <w:rsid w:val="00647B4D"/>
    <w:rsid w:val="00647CCF"/>
    <w:rsid w:val="00647D66"/>
    <w:rsid w:val="00650474"/>
    <w:rsid w:val="00650559"/>
    <w:rsid w:val="006506A9"/>
    <w:rsid w:val="00650925"/>
    <w:rsid w:val="00650A69"/>
    <w:rsid w:val="00650C29"/>
    <w:rsid w:val="00651016"/>
    <w:rsid w:val="006514C9"/>
    <w:rsid w:val="006518A5"/>
    <w:rsid w:val="00651912"/>
    <w:rsid w:val="00651A1A"/>
    <w:rsid w:val="00652557"/>
    <w:rsid w:val="00652E27"/>
    <w:rsid w:val="00652FED"/>
    <w:rsid w:val="006535D6"/>
    <w:rsid w:val="006536A0"/>
    <w:rsid w:val="00653711"/>
    <w:rsid w:val="0065393A"/>
    <w:rsid w:val="00653997"/>
    <w:rsid w:val="006541EC"/>
    <w:rsid w:val="00654D92"/>
    <w:rsid w:val="00655545"/>
    <w:rsid w:val="006557F8"/>
    <w:rsid w:val="00655F2F"/>
    <w:rsid w:val="00655F99"/>
    <w:rsid w:val="00656451"/>
    <w:rsid w:val="00656890"/>
    <w:rsid w:val="00656A61"/>
    <w:rsid w:val="00656CBD"/>
    <w:rsid w:val="00656D55"/>
    <w:rsid w:val="00656EC8"/>
    <w:rsid w:val="00657644"/>
    <w:rsid w:val="00657806"/>
    <w:rsid w:val="00657950"/>
    <w:rsid w:val="00657A34"/>
    <w:rsid w:val="00657B23"/>
    <w:rsid w:val="00657D43"/>
    <w:rsid w:val="00657EBD"/>
    <w:rsid w:val="0066010B"/>
    <w:rsid w:val="006603CF"/>
    <w:rsid w:val="006607C4"/>
    <w:rsid w:val="00660BF0"/>
    <w:rsid w:val="00661036"/>
    <w:rsid w:val="006610CB"/>
    <w:rsid w:val="00661349"/>
    <w:rsid w:val="00661442"/>
    <w:rsid w:val="00661708"/>
    <w:rsid w:val="006620A3"/>
    <w:rsid w:val="0066211E"/>
    <w:rsid w:val="00662DEA"/>
    <w:rsid w:val="00662F8B"/>
    <w:rsid w:val="00663858"/>
    <w:rsid w:val="0066443C"/>
    <w:rsid w:val="006645EB"/>
    <w:rsid w:val="0066489D"/>
    <w:rsid w:val="00664A45"/>
    <w:rsid w:val="00664D67"/>
    <w:rsid w:val="00665111"/>
    <w:rsid w:val="00665411"/>
    <w:rsid w:val="00665713"/>
    <w:rsid w:val="00665769"/>
    <w:rsid w:val="0066588C"/>
    <w:rsid w:val="006659D8"/>
    <w:rsid w:val="00665CD8"/>
    <w:rsid w:val="00665CED"/>
    <w:rsid w:val="00666199"/>
    <w:rsid w:val="00666F6D"/>
    <w:rsid w:val="00667112"/>
    <w:rsid w:val="00667227"/>
    <w:rsid w:val="00667461"/>
    <w:rsid w:val="006677DE"/>
    <w:rsid w:val="0066781A"/>
    <w:rsid w:val="0066794B"/>
    <w:rsid w:val="00667C88"/>
    <w:rsid w:val="00667CE2"/>
    <w:rsid w:val="00667E1E"/>
    <w:rsid w:val="00667F49"/>
    <w:rsid w:val="00667F82"/>
    <w:rsid w:val="0067029E"/>
    <w:rsid w:val="00670480"/>
    <w:rsid w:val="00670576"/>
    <w:rsid w:val="006708F2"/>
    <w:rsid w:val="00670A02"/>
    <w:rsid w:val="00670A59"/>
    <w:rsid w:val="00670BE3"/>
    <w:rsid w:val="00670C8E"/>
    <w:rsid w:val="00670D26"/>
    <w:rsid w:val="006711BF"/>
    <w:rsid w:val="006712C5"/>
    <w:rsid w:val="00671534"/>
    <w:rsid w:val="006717E0"/>
    <w:rsid w:val="00671D46"/>
    <w:rsid w:val="00671F6D"/>
    <w:rsid w:val="00672B28"/>
    <w:rsid w:val="0067337D"/>
    <w:rsid w:val="006733F1"/>
    <w:rsid w:val="00673B67"/>
    <w:rsid w:val="006740D4"/>
    <w:rsid w:val="00674372"/>
    <w:rsid w:val="006747C1"/>
    <w:rsid w:val="00674C4A"/>
    <w:rsid w:val="00674CD7"/>
    <w:rsid w:val="00674FFE"/>
    <w:rsid w:val="00675253"/>
    <w:rsid w:val="006752B6"/>
    <w:rsid w:val="00675831"/>
    <w:rsid w:val="00675B5D"/>
    <w:rsid w:val="00675EE8"/>
    <w:rsid w:val="00676CAD"/>
    <w:rsid w:val="00676D75"/>
    <w:rsid w:val="006770EA"/>
    <w:rsid w:val="006771D1"/>
    <w:rsid w:val="006771E9"/>
    <w:rsid w:val="006803A9"/>
    <w:rsid w:val="00680523"/>
    <w:rsid w:val="006806A0"/>
    <w:rsid w:val="006808F8"/>
    <w:rsid w:val="00680977"/>
    <w:rsid w:val="00680D6D"/>
    <w:rsid w:val="006810E3"/>
    <w:rsid w:val="00681201"/>
    <w:rsid w:val="0068148C"/>
    <w:rsid w:val="00681706"/>
    <w:rsid w:val="00681726"/>
    <w:rsid w:val="0068197F"/>
    <w:rsid w:val="00681A61"/>
    <w:rsid w:val="00681AB1"/>
    <w:rsid w:val="00681DC3"/>
    <w:rsid w:val="00681E2B"/>
    <w:rsid w:val="00681FCE"/>
    <w:rsid w:val="00682407"/>
    <w:rsid w:val="00682434"/>
    <w:rsid w:val="006825D9"/>
    <w:rsid w:val="00682B5F"/>
    <w:rsid w:val="00682BB2"/>
    <w:rsid w:val="00682E5A"/>
    <w:rsid w:val="00683112"/>
    <w:rsid w:val="00683403"/>
    <w:rsid w:val="006838F5"/>
    <w:rsid w:val="006841A2"/>
    <w:rsid w:val="0068423F"/>
    <w:rsid w:val="00684552"/>
    <w:rsid w:val="00684706"/>
    <w:rsid w:val="0068470A"/>
    <w:rsid w:val="00684A97"/>
    <w:rsid w:val="00684C19"/>
    <w:rsid w:val="006852DF"/>
    <w:rsid w:val="00685531"/>
    <w:rsid w:val="00685617"/>
    <w:rsid w:val="0068564A"/>
    <w:rsid w:val="00685A96"/>
    <w:rsid w:val="00685B5C"/>
    <w:rsid w:val="006865D4"/>
    <w:rsid w:val="00686608"/>
    <w:rsid w:val="006866A3"/>
    <w:rsid w:val="00686CAD"/>
    <w:rsid w:val="00686CD2"/>
    <w:rsid w:val="00686EB6"/>
    <w:rsid w:val="006875D2"/>
    <w:rsid w:val="0068765C"/>
    <w:rsid w:val="00687A8F"/>
    <w:rsid w:val="0069022C"/>
    <w:rsid w:val="006909C1"/>
    <w:rsid w:val="00690C27"/>
    <w:rsid w:val="00690C65"/>
    <w:rsid w:val="00690D57"/>
    <w:rsid w:val="00691116"/>
    <w:rsid w:val="006911A3"/>
    <w:rsid w:val="00691612"/>
    <w:rsid w:val="00691710"/>
    <w:rsid w:val="006918DA"/>
    <w:rsid w:val="00691A1D"/>
    <w:rsid w:val="00691C23"/>
    <w:rsid w:val="00691E50"/>
    <w:rsid w:val="006921B2"/>
    <w:rsid w:val="0069299D"/>
    <w:rsid w:val="00692D2F"/>
    <w:rsid w:val="00692E1F"/>
    <w:rsid w:val="00693175"/>
    <w:rsid w:val="006932C5"/>
    <w:rsid w:val="006933FE"/>
    <w:rsid w:val="00693A51"/>
    <w:rsid w:val="00693A9B"/>
    <w:rsid w:val="00693B00"/>
    <w:rsid w:val="00693E28"/>
    <w:rsid w:val="00693ED2"/>
    <w:rsid w:val="0069427F"/>
    <w:rsid w:val="006946DF"/>
    <w:rsid w:val="00694D72"/>
    <w:rsid w:val="00694F93"/>
    <w:rsid w:val="0069510A"/>
    <w:rsid w:val="00695122"/>
    <w:rsid w:val="006956AE"/>
    <w:rsid w:val="00695738"/>
    <w:rsid w:val="00695801"/>
    <w:rsid w:val="00695A93"/>
    <w:rsid w:val="00695BE0"/>
    <w:rsid w:val="00695DAB"/>
    <w:rsid w:val="00695DFD"/>
    <w:rsid w:val="00696060"/>
    <w:rsid w:val="0069644F"/>
    <w:rsid w:val="006964CB"/>
    <w:rsid w:val="00696EB5"/>
    <w:rsid w:val="0069701F"/>
    <w:rsid w:val="00697248"/>
    <w:rsid w:val="00697741"/>
    <w:rsid w:val="00697A08"/>
    <w:rsid w:val="006A0110"/>
    <w:rsid w:val="006A0F21"/>
    <w:rsid w:val="006A1009"/>
    <w:rsid w:val="006A174D"/>
    <w:rsid w:val="006A1C64"/>
    <w:rsid w:val="006A246A"/>
    <w:rsid w:val="006A2881"/>
    <w:rsid w:val="006A2D85"/>
    <w:rsid w:val="006A2D90"/>
    <w:rsid w:val="006A2F28"/>
    <w:rsid w:val="006A2FDE"/>
    <w:rsid w:val="006A30E4"/>
    <w:rsid w:val="006A384B"/>
    <w:rsid w:val="006A3A1E"/>
    <w:rsid w:val="006A3CDD"/>
    <w:rsid w:val="006A3E4A"/>
    <w:rsid w:val="006A3FE6"/>
    <w:rsid w:val="006A41F3"/>
    <w:rsid w:val="006A48BF"/>
    <w:rsid w:val="006A4CC1"/>
    <w:rsid w:val="006A4F12"/>
    <w:rsid w:val="006A50DA"/>
    <w:rsid w:val="006A5170"/>
    <w:rsid w:val="006A53F6"/>
    <w:rsid w:val="006A562A"/>
    <w:rsid w:val="006A5677"/>
    <w:rsid w:val="006A5950"/>
    <w:rsid w:val="006A5C08"/>
    <w:rsid w:val="006A5C71"/>
    <w:rsid w:val="006A6A91"/>
    <w:rsid w:val="006A6C84"/>
    <w:rsid w:val="006A6F34"/>
    <w:rsid w:val="006A723A"/>
    <w:rsid w:val="006A7478"/>
    <w:rsid w:val="006A7AEB"/>
    <w:rsid w:val="006A7D65"/>
    <w:rsid w:val="006B00E0"/>
    <w:rsid w:val="006B010B"/>
    <w:rsid w:val="006B0313"/>
    <w:rsid w:val="006B0C18"/>
    <w:rsid w:val="006B0C48"/>
    <w:rsid w:val="006B0D9D"/>
    <w:rsid w:val="006B1A35"/>
    <w:rsid w:val="006B1A9C"/>
    <w:rsid w:val="006B1C08"/>
    <w:rsid w:val="006B2360"/>
    <w:rsid w:val="006B278A"/>
    <w:rsid w:val="006B2851"/>
    <w:rsid w:val="006B28AA"/>
    <w:rsid w:val="006B28F3"/>
    <w:rsid w:val="006B32D4"/>
    <w:rsid w:val="006B3667"/>
    <w:rsid w:val="006B381D"/>
    <w:rsid w:val="006B3C69"/>
    <w:rsid w:val="006B3EC0"/>
    <w:rsid w:val="006B43C7"/>
    <w:rsid w:val="006B447D"/>
    <w:rsid w:val="006B4681"/>
    <w:rsid w:val="006B4CA4"/>
    <w:rsid w:val="006B52E5"/>
    <w:rsid w:val="006B57C3"/>
    <w:rsid w:val="006B589C"/>
    <w:rsid w:val="006B5B4B"/>
    <w:rsid w:val="006B5C03"/>
    <w:rsid w:val="006B5D6D"/>
    <w:rsid w:val="006B6050"/>
    <w:rsid w:val="006B637E"/>
    <w:rsid w:val="006B6449"/>
    <w:rsid w:val="006B6FEE"/>
    <w:rsid w:val="006B713B"/>
    <w:rsid w:val="006B71C8"/>
    <w:rsid w:val="006B727F"/>
    <w:rsid w:val="006B774C"/>
    <w:rsid w:val="006B7763"/>
    <w:rsid w:val="006B77C7"/>
    <w:rsid w:val="006B7950"/>
    <w:rsid w:val="006B7F23"/>
    <w:rsid w:val="006C0048"/>
    <w:rsid w:val="006C00BA"/>
    <w:rsid w:val="006C07A3"/>
    <w:rsid w:val="006C080B"/>
    <w:rsid w:val="006C08BD"/>
    <w:rsid w:val="006C10F0"/>
    <w:rsid w:val="006C12F1"/>
    <w:rsid w:val="006C13EE"/>
    <w:rsid w:val="006C1926"/>
    <w:rsid w:val="006C1ABA"/>
    <w:rsid w:val="006C1C03"/>
    <w:rsid w:val="006C1C1D"/>
    <w:rsid w:val="006C1CC8"/>
    <w:rsid w:val="006C1D25"/>
    <w:rsid w:val="006C2261"/>
    <w:rsid w:val="006C2745"/>
    <w:rsid w:val="006C29F7"/>
    <w:rsid w:val="006C2DA2"/>
    <w:rsid w:val="006C312B"/>
    <w:rsid w:val="006C330A"/>
    <w:rsid w:val="006C3864"/>
    <w:rsid w:val="006C3996"/>
    <w:rsid w:val="006C412F"/>
    <w:rsid w:val="006C4749"/>
    <w:rsid w:val="006C54A6"/>
    <w:rsid w:val="006C5981"/>
    <w:rsid w:val="006C5ACA"/>
    <w:rsid w:val="006C5C69"/>
    <w:rsid w:val="006C5D92"/>
    <w:rsid w:val="006C5E85"/>
    <w:rsid w:val="006C609A"/>
    <w:rsid w:val="006C66EE"/>
    <w:rsid w:val="006C6E6E"/>
    <w:rsid w:val="006C6E94"/>
    <w:rsid w:val="006C6F07"/>
    <w:rsid w:val="006C6FDA"/>
    <w:rsid w:val="006C70D8"/>
    <w:rsid w:val="006C75C2"/>
    <w:rsid w:val="006C7CBF"/>
    <w:rsid w:val="006D00A8"/>
    <w:rsid w:val="006D0138"/>
    <w:rsid w:val="006D05FF"/>
    <w:rsid w:val="006D0A37"/>
    <w:rsid w:val="006D0EBE"/>
    <w:rsid w:val="006D0ED9"/>
    <w:rsid w:val="006D165E"/>
    <w:rsid w:val="006D20C2"/>
    <w:rsid w:val="006D2272"/>
    <w:rsid w:val="006D2DA7"/>
    <w:rsid w:val="006D2EAC"/>
    <w:rsid w:val="006D354E"/>
    <w:rsid w:val="006D3780"/>
    <w:rsid w:val="006D3DA0"/>
    <w:rsid w:val="006D3DCD"/>
    <w:rsid w:val="006D435F"/>
    <w:rsid w:val="006D4579"/>
    <w:rsid w:val="006D50D5"/>
    <w:rsid w:val="006D51CC"/>
    <w:rsid w:val="006D5450"/>
    <w:rsid w:val="006D54F9"/>
    <w:rsid w:val="006D57F4"/>
    <w:rsid w:val="006D5806"/>
    <w:rsid w:val="006D58DC"/>
    <w:rsid w:val="006D5D8D"/>
    <w:rsid w:val="006D5DC5"/>
    <w:rsid w:val="006D5EC3"/>
    <w:rsid w:val="006D5FDD"/>
    <w:rsid w:val="006D6079"/>
    <w:rsid w:val="006D663C"/>
    <w:rsid w:val="006D6751"/>
    <w:rsid w:val="006D686E"/>
    <w:rsid w:val="006D69BA"/>
    <w:rsid w:val="006D6A20"/>
    <w:rsid w:val="006D7F01"/>
    <w:rsid w:val="006E0099"/>
    <w:rsid w:val="006E00A6"/>
    <w:rsid w:val="006E0237"/>
    <w:rsid w:val="006E0290"/>
    <w:rsid w:val="006E08AD"/>
    <w:rsid w:val="006E0E36"/>
    <w:rsid w:val="006E0F51"/>
    <w:rsid w:val="006E103C"/>
    <w:rsid w:val="006E15D4"/>
    <w:rsid w:val="006E1641"/>
    <w:rsid w:val="006E1839"/>
    <w:rsid w:val="006E20CA"/>
    <w:rsid w:val="006E2381"/>
    <w:rsid w:val="006E2AA0"/>
    <w:rsid w:val="006E2B26"/>
    <w:rsid w:val="006E3261"/>
    <w:rsid w:val="006E356E"/>
    <w:rsid w:val="006E3DC7"/>
    <w:rsid w:val="006E418B"/>
    <w:rsid w:val="006E44EC"/>
    <w:rsid w:val="006E474A"/>
    <w:rsid w:val="006E4788"/>
    <w:rsid w:val="006E4A88"/>
    <w:rsid w:val="006E4BB5"/>
    <w:rsid w:val="006E4D38"/>
    <w:rsid w:val="006E5A3D"/>
    <w:rsid w:val="006E5AC8"/>
    <w:rsid w:val="006E5E55"/>
    <w:rsid w:val="006E605E"/>
    <w:rsid w:val="006E6145"/>
    <w:rsid w:val="006E63AC"/>
    <w:rsid w:val="006E651A"/>
    <w:rsid w:val="006E6C3D"/>
    <w:rsid w:val="006E7006"/>
    <w:rsid w:val="006E70DD"/>
    <w:rsid w:val="006E725D"/>
    <w:rsid w:val="006E7787"/>
    <w:rsid w:val="006E79AC"/>
    <w:rsid w:val="006E7A85"/>
    <w:rsid w:val="006E7AC7"/>
    <w:rsid w:val="006E7B7D"/>
    <w:rsid w:val="006E7CE3"/>
    <w:rsid w:val="006E7DE0"/>
    <w:rsid w:val="006F02A6"/>
    <w:rsid w:val="006F0BF2"/>
    <w:rsid w:val="006F0C50"/>
    <w:rsid w:val="006F1251"/>
    <w:rsid w:val="006F1599"/>
    <w:rsid w:val="006F1673"/>
    <w:rsid w:val="006F1AD8"/>
    <w:rsid w:val="006F1BEF"/>
    <w:rsid w:val="006F1C60"/>
    <w:rsid w:val="006F1C9A"/>
    <w:rsid w:val="006F1CB7"/>
    <w:rsid w:val="006F1E2A"/>
    <w:rsid w:val="006F2718"/>
    <w:rsid w:val="006F29AA"/>
    <w:rsid w:val="006F2D88"/>
    <w:rsid w:val="006F2F59"/>
    <w:rsid w:val="006F380D"/>
    <w:rsid w:val="006F3BC5"/>
    <w:rsid w:val="006F41D6"/>
    <w:rsid w:val="006F441A"/>
    <w:rsid w:val="006F4DAE"/>
    <w:rsid w:val="006F508E"/>
    <w:rsid w:val="006F50B1"/>
    <w:rsid w:val="006F526D"/>
    <w:rsid w:val="006F53C4"/>
    <w:rsid w:val="006F5741"/>
    <w:rsid w:val="006F5897"/>
    <w:rsid w:val="006F5CB2"/>
    <w:rsid w:val="006F6233"/>
    <w:rsid w:val="006F63FF"/>
    <w:rsid w:val="006F6590"/>
    <w:rsid w:val="006F69F6"/>
    <w:rsid w:val="006F6C7A"/>
    <w:rsid w:val="006F6CE2"/>
    <w:rsid w:val="006F702C"/>
    <w:rsid w:val="006F7037"/>
    <w:rsid w:val="006F713B"/>
    <w:rsid w:val="006F720F"/>
    <w:rsid w:val="006F797E"/>
    <w:rsid w:val="006F7B5E"/>
    <w:rsid w:val="006F7D11"/>
    <w:rsid w:val="00700107"/>
    <w:rsid w:val="00700643"/>
    <w:rsid w:val="007006DC"/>
    <w:rsid w:val="00700AC8"/>
    <w:rsid w:val="00700EDE"/>
    <w:rsid w:val="0070178D"/>
    <w:rsid w:val="00701C91"/>
    <w:rsid w:val="007024AC"/>
    <w:rsid w:val="007027C3"/>
    <w:rsid w:val="007028FD"/>
    <w:rsid w:val="00702A9A"/>
    <w:rsid w:val="00702C9E"/>
    <w:rsid w:val="00702E60"/>
    <w:rsid w:val="00702ED0"/>
    <w:rsid w:val="00702F71"/>
    <w:rsid w:val="007031B1"/>
    <w:rsid w:val="007033BF"/>
    <w:rsid w:val="00703837"/>
    <w:rsid w:val="00703A20"/>
    <w:rsid w:val="00703CC6"/>
    <w:rsid w:val="00703CE1"/>
    <w:rsid w:val="00703F21"/>
    <w:rsid w:val="00704112"/>
    <w:rsid w:val="0070417C"/>
    <w:rsid w:val="007041D3"/>
    <w:rsid w:val="00704443"/>
    <w:rsid w:val="00704613"/>
    <w:rsid w:val="00704A5C"/>
    <w:rsid w:val="00704F96"/>
    <w:rsid w:val="00705AC1"/>
    <w:rsid w:val="00705FCB"/>
    <w:rsid w:val="00706298"/>
    <w:rsid w:val="00706D8F"/>
    <w:rsid w:val="0070710B"/>
    <w:rsid w:val="007073B2"/>
    <w:rsid w:val="00707642"/>
    <w:rsid w:val="0070764C"/>
    <w:rsid w:val="00710039"/>
    <w:rsid w:val="007105E9"/>
    <w:rsid w:val="0071064B"/>
    <w:rsid w:val="007106C0"/>
    <w:rsid w:val="0071070E"/>
    <w:rsid w:val="00710CDF"/>
    <w:rsid w:val="007110F7"/>
    <w:rsid w:val="0071119F"/>
    <w:rsid w:val="00711484"/>
    <w:rsid w:val="007116D8"/>
    <w:rsid w:val="00711E73"/>
    <w:rsid w:val="00712088"/>
    <w:rsid w:val="00712321"/>
    <w:rsid w:val="00712344"/>
    <w:rsid w:val="00712720"/>
    <w:rsid w:val="0071277A"/>
    <w:rsid w:val="00712797"/>
    <w:rsid w:val="007127F6"/>
    <w:rsid w:val="00712931"/>
    <w:rsid w:val="00712A0E"/>
    <w:rsid w:val="00712E9C"/>
    <w:rsid w:val="00713CC9"/>
    <w:rsid w:val="00713D75"/>
    <w:rsid w:val="00714526"/>
    <w:rsid w:val="0071475A"/>
    <w:rsid w:val="00714EF0"/>
    <w:rsid w:val="00715475"/>
    <w:rsid w:val="00715AA2"/>
    <w:rsid w:val="00716007"/>
    <w:rsid w:val="0071601B"/>
    <w:rsid w:val="007160DB"/>
    <w:rsid w:val="0071645F"/>
    <w:rsid w:val="007166F6"/>
    <w:rsid w:val="00717044"/>
    <w:rsid w:val="0071729E"/>
    <w:rsid w:val="007172A7"/>
    <w:rsid w:val="007172BF"/>
    <w:rsid w:val="007175CD"/>
    <w:rsid w:val="0071795B"/>
    <w:rsid w:val="007179F1"/>
    <w:rsid w:val="00717A15"/>
    <w:rsid w:val="00717CA8"/>
    <w:rsid w:val="00717F7C"/>
    <w:rsid w:val="00720258"/>
    <w:rsid w:val="00720922"/>
    <w:rsid w:val="00720EA3"/>
    <w:rsid w:val="00720F7B"/>
    <w:rsid w:val="00721420"/>
    <w:rsid w:val="00721475"/>
    <w:rsid w:val="0072179A"/>
    <w:rsid w:val="00721CAA"/>
    <w:rsid w:val="00721FDF"/>
    <w:rsid w:val="007222DD"/>
    <w:rsid w:val="0072265B"/>
    <w:rsid w:val="007228C9"/>
    <w:rsid w:val="00722CF5"/>
    <w:rsid w:val="00722D80"/>
    <w:rsid w:val="00723080"/>
    <w:rsid w:val="007233DC"/>
    <w:rsid w:val="007234DD"/>
    <w:rsid w:val="007235FD"/>
    <w:rsid w:val="007237CD"/>
    <w:rsid w:val="007237FF"/>
    <w:rsid w:val="007239A0"/>
    <w:rsid w:val="0072424D"/>
    <w:rsid w:val="0072440A"/>
    <w:rsid w:val="00724C3D"/>
    <w:rsid w:val="00724D34"/>
    <w:rsid w:val="00724F3F"/>
    <w:rsid w:val="007251ED"/>
    <w:rsid w:val="0072540D"/>
    <w:rsid w:val="00725500"/>
    <w:rsid w:val="007257BC"/>
    <w:rsid w:val="007258BE"/>
    <w:rsid w:val="0072593F"/>
    <w:rsid w:val="00725D02"/>
    <w:rsid w:val="00726372"/>
    <w:rsid w:val="0072643F"/>
    <w:rsid w:val="00726B67"/>
    <w:rsid w:val="00726BA6"/>
    <w:rsid w:val="00726D55"/>
    <w:rsid w:val="00726E82"/>
    <w:rsid w:val="00727109"/>
    <w:rsid w:val="007272F9"/>
    <w:rsid w:val="0072779C"/>
    <w:rsid w:val="00727BE6"/>
    <w:rsid w:val="00727DAB"/>
    <w:rsid w:val="00727E53"/>
    <w:rsid w:val="00730E03"/>
    <w:rsid w:val="00731113"/>
    <w:rsid w:val="00731444"/>
    <w:rsid w:val="00731A8E"/>
    <w:rsid w:val="00731D80"/>
    <w:rsid w:val="0073217C"/>
    <w:rsid w:val="007325D6"/>
    <w:rsid w:val="00732B2C"/>
    <w:rsid w:val="00732BBE"/>
    <w:rsid w:val="00732C13"/>
    <w:rsid w:val="00732E4D"/>
    <w:rsid w:val="00732FEC"/>
    <w:rsid w:val="00733D66"/>
    <w:rsid w:val="00733FA8"/>
    <w:rsid w:val="00734069"/>
    <w:rsid w:val="007340D2"/>
    <w:rsid w:val="00734235"/>
    <w:rsid w:val="00734531"/>
    <w:rsid w:val="00734AEC"/>
    <w:rsid w:val="00734FA5"/>
    <w:rsid w:val="007351CF"/>
    <w:rsid w:val="007352F2"/>
    <w:rsid w:val="00735588"/>
    <w:rsid w:val="007357D4"/>
    <w:rsid w:val="007358CF"/>
    <w:rsid w:val="00735BC1"/>
    <w:rsid w:val="00735D61"/>
    <w:rsid w:val="00735F9F"/>
    <w:rsid w:val="007362EE"/>
    <w:rsid w:val="007363B6"/>
    <w:rsid w:val="007367E1"/>
    <w:rsid w:val="0073682B"/>
    <w:rsid w:val="00736F1F"/>
    <w:rsid w:val="0073720E"/>
    <w:rsid w:val="007378F0"/>
    <w:rsid w:val="007379DF"/>
    <w:rsid w:val="00737BBE"/>
    <w:rsid w:val="00737BFE"/>
    <w:rsid w:val="00737CE3"/>
    <w:rsid w:val="0074000C"/>
    <w:rsid w:val="0074012E"/>
    <w:rsid w:val="00740197"/>
    <w:rsid w:val="00740394"/>
    <w:rsid w:val="00740658"/>
    <w:rsid w:val="0074069D"/>
    <w:rsid w:val="00740D7C"/>
    <w:rsid w:val="00740DA2"/>
    <w:rsid w:val="00741082"/>
    <w:rsid w:val="007411AB"/>
    <w:rsid w:val="007417B1"/>
    <w:rsid w:val="0074183E"/>
    <w:rsid w:val="00741EE8"/>
    <w:rsid w:val="00742642"/>
    <w:rsid w:val="007428A9"/>
    <w:rsid w:val="007429D7"/>
    <w:rsid w:val="00742F6F"/>
    <w:rsid w:val="00742F95"/>
    <w:rsid w:val="007435EA"/>
    <w:rsid w:val="00743651"/>
    <w:rsid w:val="007436EB"/>
    <w:rsid w:val="00743A9D"/>
    <w:rsid w:val="007440CA"/>
    <w:rsid w:val="007442DF"/>
    <w:rsid w:val="00744608"/>
    <w:rsid w:val="00744641"/>
    <w:rsid w:val="0074474E"/>
    <w:rsid w:val="007451C0"/>
    <w:rsid w:val="0074560C"/>
    <w:rsid w:val="0074568B"/>
    <w:rsid w:val="00745DBE"/>
    <w:rsid w:val="00745DFD"/>
    <w:rsid w:val="0074621D"/>
    <w:rsid w:val="007462D3"/>
    <w:rsid w:val="00746323"/>
    <w:rsid w:val="007464F0"/>
    <w:rsid w:val="0074653B"/>
    <w:rsid w:val="00746809"/>
    <w:rsid w:val="00746B9A"/>
    <w:rsid w:val="007473AF"/>
    <w:rsid w:val="0074751F"/>
    <w:rsid w:val="007477B6"/>
    <w:rsid w:val="00747E76"/>
    <w:rsid w:val="0075007B"/>
    <w:rsid w:val="00750463"/>
    <w:rsid w:val="0075061F"/>
    <w:rsid w:val="00750CF4"/>
    <w:rsid w:val="00750E1D"/>
    <w:rsid w:val="00750E77"/>
    <w:rsid w:val="00751158"/>
    <w:rsid w:val="00751A04"/>
    <w:rsid w:val="00751CB7"/>
    <w:rsid w:val="00751E59"/>
    <w:rsid w:val="00752740"/>
    <w:rsid w:val="007527DE"/>
    <w:rsid w:val="00752BB1"/>
    <w:rsid w:val="00752CE4"/>
    <w:rsid w:val="00752FB1"/>
    <w:rsid w:val="00753105"/>
    <w:rsid w:val="007534D9"/>
    <w:rsid w:val="0075383D"/>
    <w:rsid w:val="00753C50"/>
    <w:rsid w:val="00753F16"/>
    <w:rsid w:val="00753FAC"/>
    <w:rsid w:val="0075428E"/>
    <w:rsid w:val="007546CA"/>
    <w:rsid w:val="00754808"/>
    <w:rsid w:val="007549A0"/>
    <w:rsid w:val="00754AA3"/>
    <w:rsid w:val="00754E52"/>
    <w:rsid w:val="00755224"/>
    <w:rsid w:val="00755369"/>
    <w:rsid w:val="007557E7"/>
    <w:rsid w:val="00755C87"/>
    <w:rsid w:val="00755E35"/>
    <w:rsid w:val="00756781"/>
    <w:rsid w:val="00757478"/>
    <w:rsid w:val="007574CD"/>
    <w:rsid w:val="0075752A"/>
    <w:rsid w:val="00757704"/>
    <w:rsid w:val="00760047"/>
    <w:rsid w:val="007603CE"/>
    <w:rsid w:val="0076047D"/>
    <w:rsid w:val="00760947"/>
    <w:rsid w:val="00760AB2"/>
    <w:rsid w:val="00760C70"/>
    <w:rsid w:val="00760FAF"/>
    <w:rsid w:val="0076104B"/>
    <w:rsid w:val="0076161E"/>
    <w:rsid w:val="00761A1D"/>
    <w:rsid w:val="00761CCB"/>
    <w:rsid w:val="007620E0"/>
    <w:rsid w:val="00762449"/>
    <w:rsid w:val="00762929"/>
    <w:rsid w:val="00762D39"/>
    <w:rsid w:val="00763228"/>
    <w:rsid w:val="00763629"/>
    <w:rsid w:val="0076380B"/>
    <w:rsid w:val="00763934"/>
    <w:rsid w:val="00763B2C"/>
    <w:rsid w:val="0076420D"/>
    <w:rsid w:val="00764547"/>
    <w:rsid w:val="00764782"/>
    <w:rsid w:val="0076499D"/>
    <w:rsid w:val="00764D85"/>
    <w:rsid w:val="00764DFB"/>
    <w:rsid w:val="00764F70"/>
    <w:rsid w:val="007652ED"/>
    <w:rsid w:val="0076570B"/>
    <w:rsid w:val="00765725"/>
    <w:rsid w:val="00765EF1"/>
    <w:rsid w:val="00766036"/>
    <w:rsid w:val="007664E7"/>
    <w:rsid w:val="007665CA"/>
    <w:rsid w:val="007667A0"/>
    <w:rsid w:val="00766CE7"/>
    <w:rsid w:val="00767515"/>
    <w:rsid w:val="00767C8A"/>
    <w:rsid w:val="00767CC3"/>
    <w:rsid w:val="00767EA7"/>
    <w:rsid w:val="00767F07"/>
    <w:rsid w:val="00770322"/>
    <w:rsid w:val="00770C72"/>
    <w:rsid w:val="00770D03"/>
    <w:rsid w:val="00770F81"/>
    <w:rsid w:val="0077115F"/>
    <w:rsid w:val="00771203"/>
    <w:rsid w:val="007712FA"/>
    <w:rsid w:val="0077149C"/>
    <w:rsid w:val="00771659"/>
    <w:rsid w:val="00771D00"/>
    <w:rsid w:val="00771DB8"/>
    <w:rsid w:val="00771F7B"/>
    <w:rsid w:val="007723F5"/>
    <w:rsid w:val="00772B01"/>
    <w:rsid w:val="00772DC5"/>
    <w:rsid w:val="00773045"/>
    <w:rsid w:val="00773218"/>
    <w:rsid w:val="00773948"/>
    <w:rsid w:val="00773B52"/>
    <w:rsid w:val="00773CB4"/>
    <w:rsid w:val="00773E22"/>
    <w:rsid w:val="007740B2"/>
    <w:rsid w:val="007741FD"/>
    <w:rsid w:val="00774630"/>
    <w:rsid w:val="00774D38"/>
    <w:rsid w:val="00774ED7"/>
    <w:rsid w:val="0077503F"/>
    <w:rsid w:val="00775B1E"/>
    <w:rsid w:val="00775B79"/>
    <w:rsid w:val="007760DB"/>
    <w:rsid w:val="00776156"/>
    <w:rsid w:val="007762CF"/>
    <w:rsid w:val="007765BF"/>
    <w:rsid w:val="0077669F"/>
    <w:rsid w:val="007766CA"/>
    <w:rsid w:val="00776A8B"/>
    <w:rsid w:val="00777091"/>
    <w:rsid w:val="0077727D"/>
    <w:rsid w:val="007775C4"/>
    <w:rsid w:val="00777B41"/>
    <w:rsid w:val="0078020E"/>
    <w:rsid w:val="007805E5"/>
    <w:rsid w:val="00780695"/>
    <w:rsid w:val="00780BC2"/>
    <w:rsid w:val="0078102B"/>
    <w:rsid w:val="007811CB"/>
    <w:rsid w:val="0078131B"/>
    <w:rsid w:val="007818C6"/>
    <w:rsid w:val="00781A16"/>
    <w:rsid w:val="00781DDC"/>
    <w:rsid w:val="00781FC8"/>
    <w:rsid w:val="00782132"/>
    <w:rsid w:val="0078233C"/>
    <w:rsid w:val="007825B6"/>
    <w:rsid w:val="0078283A"/>
    <w:rsid w:val="007829D2"/>
    <w:rsid w:val="00783166"/>
    <w:rsid w:val="0078355B"/>
    <w:rsid w:val="00783564"/>
    <w:rsid w:val="007835A3"/>
    <w:rsid w:val="00783A6A"/>
    <w:rsid w:val="00783BE8"/>
    <w:rsid w:val="007844D8"/>
    <w:rsid w:val="007846D6"/>
    <w:rsid w:val="00784CA3"/>
    <w:rsid w:val="00784E80"/>
    <w:rsid w:val="00785155"/>
    <w:rsid w:val="00785213"/>
    <w:rsid w:val="0078529B"/>
    <w:rsid w:val="00785577"/>
    <w:rsid w:val="0078573B"/>
    <w:rsid w:val="00785915"/>
    <w:rsid w:val="00785CAC"/>
    <w:rsid w:val="00785F17"/>
    <w:rsid w:val="00786124"/>
    <w:rsid w:val="007861DF"/>
    <w:rsid w:val="007861E7"/>
    <w:rsid w:val="0078683C"/>
    <w:rsid w:val="00786C27"/>
    <w:rsid w:val="00786C5A"/>
    <w:rsid w:val="00787005"/>
    <w:rsid w:val="00787195"/>
    <w:rsid w:val="007877A2"/>
    <w:rsid w:val="00787AB1"/>
    <w:rsid w:val="00787E62"/>
    <w:rsid w:val="0079011F"/>
    <w:rsid w:val="0079026C"/>
    <w:rsid w:val="0079037E"/>
    <w:rsid w:val="007903A5"/>
    <w:rsid w:val="00791323"/>
    <w:rsid w:val="00791438"/>
    <w:rsid w:val="007916C2"/>
    <w:rsid w:val="00791BC5"/>
    <w:rsid w:val="00792043"/>
    <w:rsid w:val="00792202"/>
    <w:rsid w:val="007923C0"/>
    <w:rsid w:val="00792621"/>
    <w:rsid w:val="00793158"/>
    <w:rsid w:val="007931EA"/>
    <w:rsid w:val="00793799"/>
    <w:rsid w:val="007937AA"/>
    <w:rsid w:val="0079383B"/>
    <w:rsid w:val="00794129"/>
    <w:rsid w:val="00794403"/>
    <w:rsid w:val="007946FB"/>
    <w:rsid w:val="007947B0"/>
    <w:rsid w:val="007947BB"/>
    <w:rsid w:val="0079481E"/>
    <w:rsid w:val="00794B1F"/>
    <w:rsid w:val="00794D3A"/>
    <w:rsid w:val="00794FC2"/>
    <w:rsid w:val="00795027"/>
    <w:rsid w:val="00795118"/>
    <w:rsid w:val="007958C3"/>
    <w:rsid w:val="00795AD8"/>
    <w:rsid w:val="00795B88"/>
    <w:rsid w:val="00796246"/>
    <w:rsid w:val="007964EC"/>
    <w:rsid w:val="007966AD"/>
    <w:rsid w:val="0079699C"/>
    <w:rsid w:val="007969C3"/>
    <w:rsid w:val="00796B43"/>
    <w:rsid w:val="00796C49"/>
    <w:rsid w:val="00796DB7"/>
    <w:rsid w:val="00796EE6"/>
    <w:rsid w:val="00796F36"/>
    <w:rsid w:val="00797202"/>
    <w:rsid w:val="00797428"/>
    <w:rsid w:val="00797615"/>
    <w:rsid w:val="00797B8A"/>
    <w:rsid w:val="00797BC8"/>
    <w:rsid w:val="00797D60"/>
    <w:rsid w:val="007A0165"/>
    <w:rsid w:val="007A05E9"/>
    <w:rsid w:val="007A0B9C"/>
    <w:rsid w:val="007A0C07"/>
    <w:rsid w:val="007A0F87"/>
    <w:rsid w:val="007A10C5"/>
    <w:rsid w:val="007A13AB"/>
    <w:rsid w:val="007A15FD"/>
    <w:rsid w:val="007A165B"/>
    <w:rsid w:val="007A16D7"/>
    <w:rsid w:val="007A1749"/>
    <w:rsid w:val="007A1753"/>
    <w:rsid w:val="007A1878"/>
    <w:rsid w:val="007A189E"/>
    <w:rsid w:val="007A190F"/>
    <w:rsid w:val="007A2264"/>
    <w:rsid w:val="007A239C"/>
    <w:rsid w:val="007A23D8"/>
    <w:rsid w:val="007A29B2"/>
    <w:rsid w:val="007A3052"/>
    <w:rsid w:val="007A33FE"/>
    <w:rsid w:val="007A3428"/>
    <w:rsid w:val="007A3AF3"/>
    <w:rsid w:val="007A3E0D"/>
    <w:rsid w:val="007A3F95"/>
    <w:rsid w:val="007A4039"/>
    <w:rsid w:val="007A40BA"/>
    <w:rsid w:val="007A42AC"/>
    <w:rsid w:val="007A4523"/>
    <w:rsid w:val="007A4C97"/>
    <w:rsid w:val="007A5153"/>
    <w:rsid w:val="007A56F1"/>
    <w:rsid w:val="007A5A40"/>
    <w:rsid w:val="007A5B66"/>
    <w:rsid w:val="007A5E5D"/>
    <w:rsid w:val="007A5E62"/>
    <w:rsid w:val="007A6431"/>
    <w:rsid w:val="007A65F8"/>
    <w:rsid w:val="007A6875"/>
    <w:rsid w:val="007A6B33"/>
    <w:rsid w:val="007A6E7F"/>
    <w:rsid w:val="007A71BC"/>
    <w:rsid w:val="007A7438"/>
    <w:rsid w:val="007A7543"/>
    <w:rsid w:val="007A75AD"/>
    <w:rsid w:val="007A7816"/>
    <w:rsid w:val="007A7914"/>
    <w:rsid w:val="007A796A"/>
    <w:rsid w:val="007A7BCB"/>
    <w:rsid w:val="007A7D2F"/>
    <w:rsid w:val="007B0257"/>
    <w:rsid w:val="007B0792"/>
    <w:rsid w:val="007B093E"/>
    <w:rsid w:val="007B0A0F"/>
    <w:rsid w:val="007B0C4F"/>
    <w:rsid w:val="007B0DF8"/>
    <w:rsid w:val="007B14DF"/>
    <w:rsid w:val="007B212C"/>
    <w:rsid w:val="007B22A3"/>
    <w:rsid w:val="007B23D5"/>
    <w:rsid w:val="007B2414"/>
    <w:rsid w:val="007B2863"/>
    <w:rsid w:val="007B2E1D"/>
    <w:rsid w:val="007B2FAC"/>
    <w:rsid w:val="007B3085"/>
    <w:rsid w:val="007B34C9"/>
    <w:rsid w:val="007B36FD"/>
    <w:rsid w:val="007B3B66"/>
    <w:rsid w:val="007B3F31"/>
    <w:rsid w:val="007B47DE"/>
    <w:rsid w:val="007B4A02"/>
    <w:rsid w:val="007B4BE4"/>
    <w:rsid w:val="007B4FD0"/>
    <w:rsid w:val="007B50AA"/>
    <w:rsid w:val="007B515D"/>
    <w:rsid w:val="007B5C22"/>
    <w:rsid w:val="007B5C65"/>
    <w:rsid w:val="007B622A"/>
    <w:rsid w:val="007B6459"/>
    <w:rsid w:val="007B6683"/>
    <w:rsid w:val="007B68F3"/>
    <w:rsid w:val="007B6B44"/>
    <w:rsid w:val="007B6C76"/>
    <w:rsid w:val="007B6D4E"/>
    <w:rsid w:val="007B726A"/>
    <w:rsid w:val="007B742C"/>
    <w:rsid w:val="007B7A3B"/>
    <w:rsid w:val="007B7B54"/>
    <w:rsid w:val="007C01D9"/>
    <w:rsid w:val="007C0474"/>
    <w:rsid w:val="007C084B"/>
    <w:rsid w:val="007C19C8"/>
    <w:rsid w:val="007C2102"/>
    <w:rsid w:val="007C2225"/>
    <w:rsid w:val="007C2333"/>
    <w:rsid w:val="007C238D"/>
    <w:rsid w:val="007C275C"/>
    <w:rsid w:val="007C28B1"/>
    <w:rsid w:val="007C2B88"/>
    <w:rsid w:val="007C2CD3"/>
    <w:rsid w:val="007C312D"/>
    <w:rsid w:val="007C33FA"/>
    <w:rsid w:val="007C3452"/>
    <w:rsid w:val="007C34C2"/>
    <w:rsid w:val="007C360A"/>
    <w:rsid w:val="007C382F"/>
    <w:rsid w:val="007C39CD"/>
    <w:rsid w:val="007C3C1D"/>
    <w:rsid w:val="007C3E12"/>
    <w:rsid w:val="007C41B0"/>
    <w:rsid w:val="007C48D2"/>
    <w:rsid w:val="007C48FB"/>
    <w:rsid w:val="007C4A08"/>
    <w:rsid w:val="007C4C26"/>
    <w:rsid w:val="007C4F3A"/>
    <w:rsid w:val="007C51A4"/>
    <w:rsid w:val="007C5242"/>
    <w:rsid w:val="007C529C"/>
    <w:rsid w:val="007C52AE"/>
    <w:rsid w:val="007C52E3"/>
    <w:rsid w:val="007C573E"/>
    <w:rsid w:val="007C588F"/>
    <w:rsid w:val="007C5906"/>
    <w:rsid w:val="007C59E1"/>
    <w:rsid w:val="007C5FE6"/>
    <w:rsid w:val="007C61B4"/>
    <w:rsid w:val="007C67F0"/>
    <w:rsid w:val="007C6F9E"/>
    <w:rsid w:val="007C718A"/>
    <w:rsid w:val="007C73DB"/>
    <w:rsid w:val="007C77CE"/>
    <w:rsid w:val="007C7C0C"/>
    <w:rsid w:val="007C7D6C"/>
    <w:rsid w:val="007C7D9B"/>
    <w:rsid w:val="007C7F90"/>
    <w:rsid w:val="007D0A3C"/>
    <w:rsid w:val="007D0A82"/>
    <w:rsid w:val="007D0AC5"/>
    <w:rsid w:val="007D0AE9"/>
    <w:rsid w:val="007D1152"/>
    <w:rsid w:val="007D1199"/>
    <w:rsid w:val="007D12E3"/>
    <w:rsid w:val="007D170A"/>
    <w:rsid w:val="007D180F"/>
    <w:rsid w:val="007D19E6"/>
    <w:rsid w:val="007D1EA2"/>
    <w:rsid w:val="007D2450"/>
    <w:rsid w:val="007D253E"/>
    <w:rsid w:val="007D2EC6"/>
    <w:rsid w:val="007D3067"/>
    <w:rsid w:val="007D30D8"/>
    <w:rsid w:val="007D31CD"/>
    <w:rsid w:val="007D3419"/>
    <w:rsid w:val="007D349B"/>
    <w:rsid w:val="007D36B2"/>
    <w:rsid w:val="007D3802"/>
    <w:rsid w:val="007D38F9"/>
    <w:rsid w:val="007D3D2B"/>
    <w:rsid w:val="007D3D61"/>
    <w:rsid w:val="007D3E17"/>
    <w:rsid w:val="007D4351"/>
    <w:rsid w:val="007D4355"/>
    <w:rsid w:val="007D43D6"/>
    <w:rsid w:val="007D4458"/>
    <w:rsid w:val="007D449D"/>
    <w:rsid w:val="007D4898"/>
    <w:rsid w:val="007D4B56"/>
    <w:rsid w:val="007D4EB2"/>
    <w:rsid w:val="007D4FCA"/>
    <w:rsid w:val="007D4FFB"/>
    <w:rsid w:val="007D50D1"/>
    <w:rsid w:val="007D50F7"/>
    <w:rsid w:val="007D5FA9"/>
    <w:rsid w:val="007D6017"/>
    <w:rsid w:val="007D612D"/>
    <w:rsid w:val="007D6147"/>
    <w:rsid w:val="007D674B"/>
    <w:rsid w:val="007D6964"/>
    <w:rsid w:val="007D72A2"/>
    <w:rsid w:val="007D72BA"/>
    <w:rsid w:val="007D7C28"/>
    <w:rsid w:val="007D7D0F"/>
    <w:rsid w:val="007D7E41"/>
    <w:rsid w:val="007D7F6C"/>
    <w:rsid w:val="007E0049"/>
    <w:rsid w:val="007E00D1"/>
    <w:rsid w:val="007E01C2"/>
    <w:rsid w:val="007E04D4"/>
    <w:rsid w:val="007E05E7"/>
    <w:rsid w:val="007E0C8C"/>
    <w:rsid w:val="007E0F4B"/>
    <w:rsid w:val="007E1137"/>
    <w:rsid w:val="007E142D"/>
    <w:rsid w:val="007E14BF"/>
    <w:rsid w:val="007E1548"/>
    <w:rsid w:val="007E1563"/>
    <w:rsid w:val="007E1DFC"/>
    <w:rsid w:val="007E2ABC"/>
    <w:rsid w:val="007E2AF0"/>
    <w:rsid w:val="007E3033"/>
    <w:rsid w:val="007E30F2"/>
    <w:rsid w:val="007E33D7"/>
    <w:rsid w:val="007E33EB"/>
    <w:rsid w:val="007E3B76"/>
    <w:rsid w:val="007E3BC4"/>
    <w:rsid w:val="007E4267"/>
    <w:rsid w:val="007E430A"/>
    <w:rsid w:val="007E439A"/>
    <w:rsid w:val="007E48C4"/>
    <w:rsid w:val="007E5643"/>
    <w:rsid w:val="007E5EBF"/>
    <w:rsid w:val="007E5EF8"/>
    <w:rsid w:val="007E5F3E"/>
    <w:rsid w:val="007E627B"/>
    <w:rsid w:val="007E6489"/>
    <w:rsid w:val="007E6713"/>
    <w:rsid w:val="007E691A"/>
    <w:rsid w:val="007E6A68"/>
    <w:rsid w:val="007E6BD2"/>
    <w:rsid w:val="007E737C"/>
    <w:rsid w:val="007F044C"/>
    <w:rsid w:val="007F0497"/>
    <w:rsid w:val="007F04B4"/>
    <w:rsid w:val="007F0AF6"/>
    <w:rsid w:val="007F0CC9"/>
    <w:rsid w:val="007F189D"/>
    <w:rsid w:val="007F1B12"/>
    <w:rsid w:val="007F1F84"/>
    <w:rsid w:val="007F222A"/>
    <w:rsid w:val="007F2A0E"/>
    <w:rsid w:val="007F2AC5"/>
    <w:rsid w:val="007F2B93"/>
    <w:rsid w:val="007F2E7B"/>
    <w:rsid w:val="007F3D08"/>
    <w:rsid w:val="007F3F20"/>
    <w:rsid w:val="007F3F56"/>
    <w:rsid w:val="007F4033"/>
    <w:rsid w:val="007F41D6"/>
    <w:rsid w:val="007F42DB"/>
    <w:rsid w:val="007F4312"/>
    <w:rsid w:val="007F434D"/>
    <w:rsid w:val="007F43AE"/>
    <w:rsid w:val="007F4755"/>
    <w:rsid w:val="007F4FB8"/>
    <w:rsid w:val="007F51E2"/>
    <w:rsid w:val="007F53F6"/>
    <w:rsid w:val="007F540F"/>
    <w:rsid w:val="007F5A0C"/>
    <w:rsid w:val="007F5D51"/>
    <w:rsid w:val="007F5DDE"/>
    <w:rsid w:val="007F5E7D"/>
    <w:rsid w:val="007F5FBA"/>
    <w:rsid w:val="007F6218"/>
    <w:rsid w:val="007F67D5"/>
    <w:rsid w:val="007F69D9"/>
    <w:rsid w:val="007F6F19"/>
    <w:rsid w:val="007F70E5"/>
    <w:rsid w:val="007F7227"/>
    <w:rsid w:val="007F729D"/>
    <w:rsid w:val="007F7349"/>
    <w:rsid w:val="007F735F"/>
    <w:rsid w:val="007F74F6"/>
    <w:rsid w:val="007F753E"/>
    <w:rsid w:val="007F7566"/>
    <w:rsid w:val="007F770D"/>
    <w:rsid w:val="007F77CD"/>
    <w:rsid w:val="007F7881"/>
    <w:rsid w:val="007F79FF"/>
    <w:rsid w:val="007F7EB4"/>
    <w:rsid w:val="008001F9"/>
    <w:rsid w:val="00800448"/>
    <w:rsid w:val="0080063A"/>
    <w:rsid w:val="008009AF"/>
    <w:rsid w:val="008009E8"/>
    <w:rsid w:val="00800B12"/>
    <w:rsid w:val="008015A7"/>
    <w:rsid w:val="00801960"/>
    <w:rsid w:val="00801AA7"/>
    <w:rsid w:val="0080203E"/>
    <w:rsid w:val="0080214F"/>
    <w:rsid w:val="0080220B"/>
    <w:rsid w:val="008026CC"/>
    <w:rsid w:val="00802A12"/>
    <w:rsid w:val="00803299"/>
    <w:rsid w:val="008032DA"/>
    <w:rsid w:val="0080358A"/>
    <w:rsid w:val="00803B65"/>
    <w:rsid w:val="00803BD1"/>
    <w:rsid w:val="00803CBD"/>
    <w:rsid w:val="008042A9"/>
    <w:rsid w:val="0080442E"/>
    <w:rsid w:val="008044C0"/>
    <w:rsid w:val="008045EC"/>
    <w:rsid w:val="008049ED"/>
    <w:rsid w:val="0080504D"/>
    <w:rsid w:val="00805225"/>
    <w:rsid w:val="00805386"/>
    <w:rsid w:val="00805517"/>
    <w:rsid w:val="00805658"/>
    <w:rsid w:val="00805BB1"/>
    <w:rsid w:val="00805F44"/>
    <w:rsid w:val="008061C1"/>
    <w:rsid w:val="00806347"/>
    <w:rsid w:val="0080651F"/>
    <w:rsid w:val="0080652D"/>
    <w:rsid w:val="008066D1"/>
    <w:rsid w:val="00806FC7"/>
    <w:rsid w:val="0080723D"/>
    <w:rsid w:val="008072F0"/>
    <w:rsid w:val="008073D7"/>
    <w:rsid w:val="00807510"/>
    <w:rsid w:val="008079EA"/>
    <w:rsid w:val="00807A73"/>
    <w:rsid w:val="00807A9B"/>
    <w:rsid w:val="00810914"/>
    <w:rsid w:val="00810970"/>
    <w:rsid w:val="00810F93"/>
    <w:rsid w:val="008114D3"/>
    <w:rsid w:val="00811C7A"/>
    <w:rsid w:val="00811D66"/>
    <w:rsid w:val="00812139"/>
    <w:rsid w:val="00812234"/>
    <w:rsid w:val="0081253A"/>
    <w:rsid w:val="00812D24"/>
    <w:rsid w:val="00812D9E"/>
    <w:rsid w:val="008132A1"/>
    <w:rsid w:val="008136B2"/>
    <w:rsid w:val="008137E9"/>
    <w:rsid w:val="00813BB4"/>
    <w:rsid w:val="00814461"/>
    <w:rsid w:val="008144BB"/>
    <w:rsid w:val="008144D1"/>
    <w:rsid w:val="008148B7"/>
    <w:rsid w:val="008148BE"/>
    <w:rsid w:val="00814B60"/>
    <w:rsid w:val="008153E4"/>
    <w:rsid w:val="00815686"/>
    <w:rsid w:val="0081570B"/>
    <w:rsid w:val="008157EB"/>
    <w:rsid w:val="008159F2"/>
    <w:rsid w:val="00815A98"/>
    <w:rsid w:val="00815F68"/>
    <w:rsid w:val="008164DD"/>
    <w:rsid w:val="00816B20"/>
    <w:rsid w:val="00816F43"/>
    <w:rsid w:val="0081717F"/>
    <w:rsid w:val="00817566"/>
    <w:rsid w:val="008175D3"/>
    <w:rsid w:val="00817692"/>
    <w:rsid w:val="00817B34"/>
    <w:rsid w:val="00817B93"/>
    <w:rsid w:val="00817C77"/>
    <w:rsid w:val="0082051A"/>
    <w:rsid w:val="00820736"/>
    <w:rsid w:val="00820B74"/>
    <w:rsid w:val="008214F2"/>
    <w:rsid w:val="008217AE"/>
    <w:rsid w:val="00821D8E"/>
    <w:rsid w:val="00821EF3"/>
    <w:rsid w:val="008220E1"/>
    <w:rsid w:val="008229B6"/>
    <w:rsid w:val="008229CB"/>
    <w:rsid w:val="00822A98"/>
    <w:rsid w:val="00822F6C"/>
    <w:rsid w:val="008239DF"/>
    <w:rsid w:val="00823A2B"/>
    <w:rsid w:val="00823A70"/>
    <w:rsid w:val="008241EC"/>
    <w:rsid w:val="008246F5"/>
    <w:rsid w:val="00824753"/>
    <w:rsid w:val="008248A5"/>
    <w:rsid w:val="00824937"/>
    <w:rsid w:val="0082503C"/>
    <w:rsid w:val="00825154"/>
    <w:rsid w:val="00825CF2"/>
    <w:rsid w:val="008262CF"/>
    <w:rsid w:val="00826472"/>
    <w:rsid w:val="00826901"/>
    <w:rsid w:val="00826A85"/>
    <w:rsid w:val="00826BFF"/>
    <w:rsid w:val="00826F96"/>
    <w:rsid w:val="0082702F"/>
    <w:rsid w:val="0082706E"/>
    <w:rsid w:val="008270BB"/>
    <w:rsid w:val="00827251"/>
    <w:rsid w:val="008272E8"/>
    <w:rsid w:val="008277DF"/>
    <w:rsid w:val="00827A83"/>
    <w:rsid w:val="008307EA"/>
    <w:rsid w:val="008308BE"/>
    <w:rsid w:val="0083104D"/>
    <w:rsid w:val="008319B8"/>
    <w:rsid w:val="00831A22"/>
    <w:rsid w:val="00831E0A"/>
    <w:rsid w:val="008322FA"/>
    <w:rsid w:val="00832778"/>
    <w:rsid w:val="008328C0"/>
    <w:rsid w:val="00832B69"/>
    <w:rsid w:val="00832E7E"/>
    <w:rsid w:val="00833650"/>
    <w:rsid w:val="00833C86"/>
    <w:rsid w:val="00833E61"/>
    <w:rsid w:val="00833ED6"/>
    <w:rsid w:val="00834E0C"/>
    <w:rsid w:val="00834EEE"/>
    <w:rsid w:val="00834F48"/>
    <w:rsid w:val="008350C1"/>
    <w:rsid w:val="0083523C"/>
    <w:rsid w:val="00835705"/>
    <w:rsid w:val="00835C2C"/>
    <w:rsid w:val="00835F18"/>
    <w:rsid w:val="00835FEC"/>
    <w:rsid w:val="0083616F"/>
    <w:rsid w:val="00836728"/>
    <w:rsid w:val="00836A63"/>
    <w:rsid w:val="00836CF9"/>
    <w:rsid w:val="00836F93"/>
    <w:rsid w:val="0083754D"/>
    <w:rsid w:val="00837A0B"/>
    <w:rsid w:val="00837E2C"/>
    <w:rsid w:val="00840453"/>
    <w:rsid w:val="0084051E"/>
    <w:rsid w:val="00840608"/>
    <w:rsid w:val="00840B3C"/>
    <w:rsid w:val="008411A9"/>
    <w:rsid w:val="00841627"/>
    <w:rsid w:val="008418EF"/>
    <w:rsid w:val="00841B33"/>
    <w:rsid w:val="00841BC0"/>
    <w:rsid w:val="00841DCA"/>
    <w:rsid w:val="00841FBC"/>
    <w:rsid w:val="00842010"/>
    <w:rsid w:val="008421DE"/>
    <w:rsid w:val="008423A4"/>
    <w:rsid w:val="00842862"/>
    <w:rsid w:val="00842A25"/>
    <w:rsid w:val="00842A51"/>
    <w:rsid w:val="00842D53"/>
    <w:rsid w:val="0084333D"/>
    <w:rsid w:val="00843436"/>
    <w:rsid w:val="0084379E"/>
    <w:rsid w:val="00843C44"/>
    <w:rsid w:val="00843F5F"/>
    <w:rsid w:val="00843FA1"/>
    <w:rsid w:val="00844091"/>
    <w:rsid w:val="0084486B"/>
    <w:rsid w:val="00844AA7"/>
    <w:rsid w:val="00844B4C"/>
    <w:rsid w:val="0084521F"/>
    <w:rsid w:val="0084524C"/>
    <w:rsid w:val="0084541B"/>
    <w:rsid w:val="0084560F"/>
    <w:rsid w:val="0084581F"/>
    <w:rsid w:val="00845B0F"/>
    <w:rsid w:val="00845C0A"/>
    <w:rsid w:val="0084659B"/>
    <w:rsid w:val="00846941"/>
    <w:rsid w:val="00846DBC"/>
    <w:rsid w:val="00846EDB"/>
    <w:rsid w:val="008471A9"/>
    <w:rsid w:val="00847339"/>
    <w:rsid w:val="00847351"/>
    <w:rsid w:val="00847468"/>
    <w:rsid w:val="0084769D"/>
    <w:rsid w:val="00847794"/>
    <w:rsid w:val="008477CD"/>
    <w:rsid w:val="00847F0F"/>
    <w:rsid w:val="00847F82"/>
    <w:rsid w:val="0085015D"/>
    <w:rsid w:val="00850AB7"/>
    <w:rsid w:val="00850AED"/>
    <w:rsid w:val="00850AEE"/>
    <w:rsid w:val="00850C1E"/>
    <w:rsid w:val="00850CB5"/>
    <w:rsid w:val="00850E59"/>
    <w:rsid w:val="00851068"/>
    <w:rsid w:val="00851141"/>
    <w:rsid w:val="008511D6"/>
    <w:rsid w:val="0085120F"/>
    <w:rsid w:val="00851554"/>
    <w:rsid w:val="00851648"/>
    <w:rsid w:val="008518FF"/>
    <w:rsid w:val="0085212C"/>
    <w:rsid w:val="00852184"/>
    <w:rsid w:val="0085218C"/>
    <w:rsid w:val="00852762"/>
    <w:rsid w:val="008527BF"/>
    <w:rsid w:val="00852C77"/>
    <w:rsid w:val="00852D4F"/>
    <w:rsid w:val="00852DCA"/>
    <w:rsid w:val="00852F3D"/>
    <w:rsid w:val="00852FDA"/>
    <w:rsid w:val="00853400"/>
    <w:rsid w:val="00853410"/>
    <w:rsid w:val="00853923"/>
    <w:rsid w:val="00853C6A"/>
    <w:rsid w:val="00853E0B"/>
    <w:rsid w:val="0085408B"/>
    <w:rsid w:val="00854304"/>
    <w:rsid w:val="00854331"/>
    <w:rsid w:val="008544E6"/>
    <w:rsid w:val="008547DC"/>
    <w:rsid w:val="008549FA"/>
    <w:rsid w:val="00854CF8"/>
    <w:rsid w:val="00854D6C"/>
    <w:rsid w:val="00854D74"/>
    <w:rsid w:val="00854EBD"/>
    <w:rsid w:val="00855353"/>
    <w:rsid w:val="008555DC"/>
    <w:rsid w:val="008559CF"/>
    <w:rsid w:val="00855BE4"/>
    <w:rsid w:val="00855D79"/>
    <w:rsid w:val="00855DDC"/>
    <w:rsid w:val="00855FCB"/>
    <w:rsid w:val="00856112"/>
    <w:rsid w:val="00856253"/>
    <w:rsid w:val="0085630D"/>
    <w:rsid w:val="0085666C"/>
    <w:rsid w:val="00856B92"/>
    <w:rsid w:val="00857260"/>
    <w:rsid w:val="00857775"/>
    <w:rsid w:val="00857D71"/>
    <w:rsid w:val="00860257"/>
    <w:rsid w:val="008606B6"/>
    <w:rsid w:val="00860BD7"/>
    <w:rsid w:val="00860BF6"/>
    <w:rsid w:val="0086106E"/>
    <w:rsid w:val="00861213"/>
    <w:rsid w:val="0086123C"/>
    <w:rsid w:val="008612AE"/>
    <w:rsid w:val="008615F2"/>
    <w:rsid w:val="008617C7"/>
    <w:rsid w:val="00861A03"/>
    <w:rsid w:val="00861FEF"/>
    <w:rsid w:val="008622EB"/>
    <w:rsid w:val="00862473"/>
    <w:rsid w:val="008629FB"/>
    <w:rsid w:val="00863208"/>
    <w:rsid w:val="008635EE"/>
    <w:rsid w:val="0086378C"/>
    <w:rsid w:val="00863A88"/>
    <w:rsid w:val="00863B2C"/>
    <w:rsid w:val="00863F1B"/>
    <w:rsid w:val="00864197"/>
    <w:rsid w:val="0086451E"/>
    <w:rsid w:val="0086468D"/>
    <w:rsid w:val="008648A5"/>
    <w:rsid w:val="0086491D"/>
    <w:rsid w:val="00864C8B"/>
    <w:rsid w:val="00864DA9"/>
    <w:rsid w:val="008656F2"/>
    <w:rsid w:val="008657EE"/>
    <w:rsid w:val="00865E4B"/>
    <w:rsid w:val="00865E84"/>
    <w:rsid w:val="008664D2"/>
    <w:rsid w:val="00866521"/>
    <w:rsid w:val="008671FD"/>
    <w:rsid w:val="0086724A"/>
    <w:rsid w:val="00867323"/>
    <w:rsid w:val="00867347"/>
    <w:rsid w:val="00867381"/>
    <w:rsid w:val="0086783D"/>
    <w:rsid w:val="00867C06"/>
    <w:rsid w:val="00867DE9"/>
    <w:rsid w:val="00867F45"/>
    <w:rsid w:val="008703E8"/>
    <w:rsid w:val="008707E7"/>
    <w:rsid w:val="00870CA4"/>
    <w:rsid w:val="00870D72"/>
    <w:rsid w:val="00871140"/>
    <w:rsid w:val="0087136C"/>
    <w:rsid w:val="008716AB"/>
    <w:rsid w:val="008717CC"/>
    <w:rsid w:val="008717E9"/>
    <w:rsid w:val="008717FB"/>
    <w:rsid w:val="00871D26"/>
    <w:rsid w:val="008721DE"/>
    <w:rsid w:val="008724B4"/>
    <w:rsid w:val="00873255"/>
    <w:rsid w:val="008733F0"/>
    <w:rsid w:val="008735AB"/>
    <w:rsid w:val="008736A4"/>
    <w:rsid w:val="0087380E"/>
    <w:rsid w:val="00873ABE"/>
    <w:rsid w:val="00873D3E"/>
    <w:rsid w:val="008744F5"/>
    <w:rsid w:val="0087462A"/>
    <w:rsid w:val="00874A12"/>
    <w:rsid w:val="0087505E"/>
    <w:rsid w:val="00875078"/>
    <w:rsid w:val="008753AE"/>
    <w:rsid w:val="0087577A"/>
    <w:rsid w:val="00875BDB"/>
    <w:rsid w:val="008764BD"/>
    <w:rsid w:val="00876943"/>
    <w:rsid w:val="00876C0B"/>
    <w:rsid w:val="00876EF0"/>
    <w:rsid w:val="008770C4"/>
    <w:rsid w:val="00877232"/>
    <w:rsid w:val="00877795"/>
    <w:rsid w:val="0087790A"/>
    <w:rsid w:val="00880A20"/>
    <w:rsid w:val="00880FDA"/>
    <w:rsid w:val="0088100D"/>
    <w:rsid w:val="008811AD"/>
    <w:rsid w:val="00881B10"/>
    <w:rsid w:val="008820D7"/>
    <w:rsid w:val="00882126"/>
    <w:rsid w:val="00882901"/>
    <w:rsid w:val="00882AD3"/>
    <w:rsid w:val="00882E38"/>
    <w:rsid w:val="0088313D"/>
    <w:rsid w:val="00883543"/>
    <w:rsid w:val="00883587"/>
    <w:rsid w:val="00883613"/>
    <w:rsid w:val="0088370C"/>
    <w:rsid w:val="00883F5F"/>
    <w:rsid w:val="00883F91"/>
    <w:rsid w:val="0088426E"/>
    <w:rsid w:val="0088492E"/>
    <w:rsid w:val="008849C1"/>
    <w:rsid w:val="008857D3"/>
    <w:rsid w:val="0088583C"/>
    <w:rsid w:val="00885A41"/>
    <w:rsid w:val="00885BA6"/>
    <w:rsid w:val="00885BCB"/>
    <w:rsid w:val="00885D6D"/>
    <w:rsid w:val="00885E0D"/>
    <w:rsid w:val="0088626B"/>
    <w:rsid w:val="00886517"/>
    <w:rsid w:val="00886F02"/>
    <w:rsid w:val="00887640"/>
    <w:rsid w:val="0088777A"/>
    <w:rsid w:val="008879DF"/>
    <w:rsid w:val="00887B04"/>
    <w:rsid w:val="00887B61"/>
    <w:rsid w:val="00887BDF"/>
    <w:rsid w:val="008900EF"/>
    <w:rsid w:val="008901B3"/>
    <w:rsid w:val="0089056E"/>
    <w:rsid w:val="008909AC"/>
    <w:rsid w:val="00891163"/>
    <w:rsid w:val="008917F7"/>
    <w:rsid w:val="00891AD9"/>
    <w:rsid w:val="008922BE"/>
    <w:rsid w:val="008924C2"/>
    <w:rsid w:val="00892933"/>
    <w:rsid w:val="008929BA"/>
    <w:rsid w:val="0089308F"/>
    <w:rsid w:val="00893344"/>
    <w:rsid w:val="0089373A"/>
    <w:rsid w:val="00893983"/>
    <w:rsid w:val="00893A13"/>
    <w:rsid w:val="00893E73"/>
    <w:rsid w:val="0089402C"/>
    <w:rsid w:val="00894519"/>
    <w:rsid w:val="00894872"/>
    <w:rsid w:val="0089492D"/>
    <w:rsid w:val="00894B43"/>
    <w:rsid w:val="00895336"/>
    <w:rsid w:val="00895710"/>
    <w:rsid w:val="008958EE"/>
    <w:rsid w:val="00895D2C"/>
    <w:rsid w:val="00895DD4"/>
    <w:rsid w:val="0089604A"/>
    <w:rsid w:val="008963AA"/>
    <w:rsid w:val="0089693A"/>
    <w:rsid w:val="00896ADE"/>
    <w:rsid w:val="00896AE5"/>
    <w:rsid w:val="00896DF2"/>
    <w:rsid w:val="00897225"/>
    <w:rsid w:val="0089760D"/>
    <w:rsid w:val="008A0511"/>
    <w:rsid w:val="008A0A4C"/>
    <w:rsid w:val="008A0A85"/>
    <w:rsid w:val="008A0F26"/>
    <w:rsid w:val="008A11FE"/>
    <w:rsid w:val="008A14C4"/>
    <w:rsid w:val="008A181E"/>
    <w:rsid w:val="008A1EDC"/>
    <w:rsid w:val="008A1F68"/>
    <w:rsid w:val="008A2713"/>
    <w:rsid w:val="008A2929"/>
    <w:rsid w:val="008A2D00"/>
    <w:rsid w:val="008A2ED4"/>
    <w:rsid w:val="008A3307"/>
    <w:rsid w:val="008A3434"/>
    <w:rsid w:val="008A35C9"/>
    <w:rsid w:val="008A38E4"/>
    <w:rsid w:val="008A3EE2"/>
    <w:rsid w:val="008A3F04"/>
    <w:rsid w:val="008A4238"/>
    <w:rsid w:val="008A434F"/>
    <w:rsid w:val="008A449E"/>
    <w:rsid w:val="008A4611"/>
    <w:rsid w:val="008A4712"/>
    <w:rsid w:val="008A47BB"/>
    <w:rsid w:val="008A49CD"/>
    <w:rsid w:val="008A4B98"/>
    <w:rsid w:val="008A50BA"/>
    <w:rsid w:val="008A50F6"/>
    <w:rsid w:val="008A5D8A"/>
    <w:rsid w:val="008A5F73"/>
    <w:rsid w:val="008A5FBE"/>
    <w:rsid w:val="008A5FE8"/>
    <w:rsid w:val="008A6010"/>
    <w:rsid w:val="008A610E"/>
    <w:rsid w:val="008A633D"/>
    <w:rsid w:val="008A687D"/>
    <w:rsid w:val="008A6E2B"/>
    <w:rsid w:val="008A6FE9"/>
    <w:rsid w:val="008A715B"/>
    <w:rsid w:val="008A761D"/>
    <w:rsid w:val="008A7913"/>
    <w:rsid w:val="008B0237"/>
    <w:rsid w:val="008B03AE"/>
    <w:rsid w:val="008B03F1"/>
    <w:rsid w:val="008B0699"/>
    <w:rsid w:val="008B071D"/>
    <w:rsid w:val="008B0828"/>
    <w:rsid w:val="008B08A6"/>
    <w:rsid w:val="008B1111"/>
    <w:rsid w:val="008B1190"/>
    <w:rsid w:val="008B11E5"/>
    <w:rsid w:val="008B13D1"/>
    <w:rsid w:val="008B144A"/>
    <w:rsid w:val="008B173B"/>
    <w:rsid w:val="008B1DF7"/>
    <w:rsid w:val="008B2669"/>
    <w:rsid w:val="008B27CC"/>
    <w:rsid w:val="008B299A"/>
    <w:rsid w:val="008B2C4C"/>
    <w:rsid w:val="008B30EC"/>
    <w:rsid w:val="008B3D39"/>
    <w:rsid w:val="008B3E26"/>
    <w:rsid w:val="008B40AD"/>
    <w:rsid w:val="008B48E6"/>
    <w:rsid w:val="008B4B2F"/>
    <w:rsid w:val="008B4ECE"/>
    <w:rsid w:val="008B4FAD"/>
    <w:rsid w:val="008B500C"/>
    <w:rsid w:val="008B5A90"/>
    <w:rsid w:val="008B5BB6"/>
    <w:rsid w:val="008B5BC7"/>
    <w:rsid w:val="008B5D27"/>
    <w:rsid w:val="008B5D86"/>
    <w:rsid w:val="008B5ED4"/>
    <w:rsid w:val="008B648A"/>
    <w:rsid w:val="008B6763"/>
    <w:rsid w:val="008B6959"/>
    <w:rsid w:val="008B6FE5"/>
    <w:rsid w:val="008B7142"/>
    <w:rsid w:val="008B747C"/>
    <w:rsid w:val="008B7602"/>
    <w:rsid w:val="008B78EE"/>
    <w:rsid w:val="008B7D32"/>
    <w:rsid w:val="008B7E6A"/>
    <w:rsid w:val="008B7F5D"/>
    <w:rsid w:val="008C0069"/>
    <w:rsid w:val="008C02E5"/>
    <w:rsid w:val="008C0328"/>
    <w:rsid w:val="008C0950"/>
    <w:rsid w:val="008C095D"/>
    <w:rsid w:val="008C0F06"/>
    <w:rsid w:val="008C0FB6"/>
    <w:rsid w:val="008C1080"/>
    <w:rsid w:val="008C1C4A"/>
    <w:rsid w:val="008C24CF"/>
    <w:rsid w:val="008C26A6"/>
    <w:rsid w:val="008C2851"/>
    <w:rsid w:val="008C2EE0"/>
    <w:rsid w:val="008C35BA"/>
    <w:rsid w:val="008C3B28"/>
    <w:rsid w:val="008C3E43"/>
    <w:rsid w:val="008C3E88"/>
    <w:rsid w:val="008C3FD7"/>
    <w:rsid w:val="008C408C"/>
    <w:rsid w:val="008C42E8"/>
    <w:rsid w:val="008C4543"/>
    <w:rsid w:val="008C4ABB"/>
    <w:rsid w:val="008C5050"/>
    <w:rsid w:val="008C564E"/>
    <w:rsid w:val="008C58CA"/>
    <w:rsid w:val="008C616E"/>
    <w:rsid w:val="008C6D3D"/>
    <w:rsid w:val="008C715C"/>
    <w:rsid w:val="008C7249"/>
    <w:rsid w:val="008C77AF"/>
    <w:rsid w:val="008C78DA"/>
    <w:rsid w:val="008C7DC5"/>
    <w:rsid w:val="008D03E4"/>
    <w:rsid w:val="008D09A1"/>
    <w:rsid w:val="008D0F5F"/>
    <w:rsid w:val="008D11B0"/>
    <w:rsid w:val="008D1309"/>
    <w:rsid w:val="008D1A75"/>
    <w:rsid w:val="008D1C1B"/>
    <w:rsid w:val="008D1C5A"/>
    <w:rsid w:val="008D1F66"/>
    <w:rsid w:val="008D222D"/>
    <w:rsid w:val="008D268D"/>
    <w:rsid w:val="008D271E"/>
    <w:rsid w:val="008D2CAB"/>
    <w:rsid w:val="008D3851"/>
    <w:rsid w:val="008D3957"/>
    <w:rsid w:val="008D3AD3"/>
    <w:rsid w:val="008D3EA7"/>
    <w:rsid w:val="008D4143"/>
    <w:rsid w:val="008D42FE"/>
    <w:rsid w:val="008D44CB"/>
    <w:rsid w:val="008D49F7"/>
    <w:rsid w:val="008D4A2B"/>
    <w:rsid w:val="008D4C5C"/>
    <w:rsid w:val="008D5407"/>
    <w:rsid w:val="008D5E82"/>
    <w:rsid w:val="008D6221"/>
    <w:rsid w:val="008D654E"/>
    <w:rsid w:val="008D65AC"/>
    <w:rsid w:val="008D6D83"/>
    <w:rsid w:val="008D7457"/>
    <w:rsid w:val="008D75A5"/>
    <w:rsid w:val="008E0176"/>
    <w:rsid w:val="008E0223"/>
    <w:rsid w:val="008E06E8"/>
    <w:rsid w:val="008E07D1"/>
    <w:rsid w:val="008E0D0D"/>
    <w:rsid w:val="008E0DCD"/>
    <w:rsid w:val="008E0FD9"/>
    <w:rsid w:val="008E10BF"/>
    <w:rsid w:val="008E13C4"/>
    <w:rsid w:val="008E150A"/>
    <w:rsid w:val="008E1802"/>
    <w:rsid w:val="008E187A"/>
    <w:rsid w:val="008E1B0A"/>
    <w:rsid w:val="008E1BC7"/>
    <w:rsid w:val="008E1D77"/>
    <w:rsid w:val="008E1F8E"/>
    <w:rsid w:val="008E2245"/>
    <w:rsid w:val="008E260C"/>
    <w:rsid w:val="008E2AF3"/>
    <w:rsid w:val="008E2BFC"/>
    <w:rsid w:val="008E2D04"/>
    <w:rsid w:val="008E3BF4"/>
    <w:rsid w:val="008E3D71"/>
    <w:rsid w:val="008E437A"/>
    <w:rsid w:val="008E45EE"/>
    <w:rsid w:val="008E4CC4"/>
    <w:rsid w:val="008E55AF"/>
    <w:rsid w:val="008E58E4"/>
    <w:rsid w:val="008E5B49"/>
    <w:rsid w:val="008E5DDF"/>
    <w:rsid w:val="008E61B9"/>
    <w:rsid w:val="008E622C"/>
    <w:rsid w:val="008E71AA"/>
    <w:rsid w:val="008E728C"/>
    <w:rsid w:val="008E7C62"/>
    <w:rsid w:val="008E7D56"/>
    <w:rsid w:val="008F0020"/>
    <w:rsid w:val="008F182C"/>
    <w:rsid w:val="008F1E47"/>
    <w:rsid w:val="008F1EDE"/>
    <w:rsid w:val="008F22A9"/>
    <w:rsid w:val="008F245C"/>
    <w:rsid w:val="008F26B2"/>
    <w:rsid w:val="008F2A75"/>
    <w:rsid w:val="008F2E97"/>
    <w:rsid w:val="008F2EF5"/>
    <w:rsid w:val="008F2F7C"/>
    <w:rsid w:val="008F3029"/>
    <w:rsid w:val="008F3175"/>
    <w:rsid w:val="008F31D3"/>
    <w:rsid w:val="008F344B"/>
    <w:rsid w:val="008F38F0"/>
    <w:rsid w:val="008F3A83"/>
    <w:rsid w:val="008F3AD5"/>
    <w:rsid w:val="008F3CD6"/>
    <w:rsid w:val="008F3D90"/>
    <w:rsid w:val="008F3F56"/>
    <w:rsid w:val="008F4252"/>
    <w:rsid w:val="008F44E7"/>
    <w:rsid w:val="008F48A1"/>
    <w:rsid w:val="008F4F0C"/>
    <w:rsid w:val="008F528C"/>
    <w:rsid w:val="008F5426"/>
    <w:rsid w:val="008F5C00"/>
    <w:rsid w:val="008F65D7"/>
    <w:rsid w:val="008F695E"/>
    <w:rsid w:val="008F6FD5"/>
    <w:rsid w:val="008F71E1"/>
    <w:rsid w:val="008F7448"/>
    <w:rsid w:val="008F780F"/>
    <w:rsid w:val="008F79CF"/>
    <w:rsid w:val="008F7A2F"/>
    <w:rsid w:val="008F7BA4"/>
    <w:rsid w:val="008F7E5C"/>
    <w:rsid w:val="00900741"/>
    <w:rsid w:val="0090088F"/>
    <w:rsid w:val="00900BA6"/>
    <w:rsid w:val="00901195"/>
    <w:rsid w:val="0090160D"/>
    <w:rsid w:val="009016A7"/>
    <w:rsid w:val="00901968"/>
    <w:rsid w:val="00901BA7"/>
    <w:rsid w:val="0090200A"/>
    <w:rsid w:val="009020CF"/>
    <w:rsid w:val="00902284"/>
    <w:rsid w:val="00902776"/>
    <w:rsid w:val="00902B37"/>
    <w:rsid w:val="00903497"/>
    <w:rsid w:val="0090359A"/>
    <w:rsid w:val="009037A1"/>
    <w:rsid w:val="00903954"/>
    <w:rsid w:val="009039A9"/>
    <w:rsid w:val="00903A60"/>
    <w:rsid w:val="00903B8B"/>
    <w:rsid w:val="00903C94"/>
    <w:rsid w:val="00903DF6"/>
    <w:rsid w:val="00903E31"/>
    <w:rsid w:val="00903F4A"/>
    <w:rsid w:val="00904002"/>
    <w:rsid w:val="00904D4D"/>
    <w:rsid w:val="00904EBB"/>
    <w:rsid w:val="00904F59"/>
    <w:rsid w:val="009051C5"/>
    <w:rsid w:val="009051C7"/>
    <w:rsid w:val="009051DE"/>
    <w:rsid w:val="00905324"/>
    <w:rsid w:val="0090566D"/>
    <w:rsid w:val="00905B3F"/>
    <w:rsid w:val="00905EEA"/>
    <w:rsid w:val="00906605"/>
    <w:rsid w:val="00906895"/>
    <w:rsid w:val="0090692A"/>
    <w:rsid w:val="00906B7D"/>
    <w:rsid w:val="00906CF1"/>
    <w:rsid w:val="00906DAC"/>
    <w:rsid w:val="00906EA1"/>
    <w:rsid w:val="00907054"/>
    <w:rsid w:val="0090734E"/>
    <w:rsid w:val="009077EA"/>
    <w:rsid w:val="0090781B"/>
    <w:rsid w:val="00907E23"/>
    <w:rsid w:val="0091024B"/>
    <w:rsid w:val="009102C7"/>
    <w:rsid w:val="00910AD4"/>
    <w:rsid w:val="00911536"/>
    <w:rsid w:val="00911A2B"/>
    <w:rsid w:val="0091278B"/>
    <w:rsid w:val="0091286C"/>
    <w:rsid w:val="00912B99"/>
    <w:rsid w:val="00912C75"/>
    <w:rsid w:val="00913447"/>
    <w:rsid w:val="00913A59"/>
    <w:rsid w:val="0091495E"/>
    <w:rsid w:val="00914FB7"/>
    <w:rsid w:val="0091514E"/>
    <w:rsid w:val="0091550F"/>
    <w:rsid w:val="00915945"/>
    <w:rsid w:val="00915CC9"/>
    <w:rsid w:val="00915DC8"/>
    <w:rsid w:val="00916007"/>
    <w:rsid w:val="00916713"/>
    <w:rsid w:val="00916763"/>
    <w:rsid w:val="0091689B"/>
    <w:rsid w:val="00916940"/>
    <w:rsid w:val="00916A95"/>
    <w:rsid w:val="0091704C"/>
    <w:rsid w:val="00917291"/>
    <w:rsid w:val="00917395"/>
    <w:rsid w:val="00917625"/>
    <w:rsid w:val="00920318"/>
    <w:rsid w:val="009206A9"/>
    <w:rsid w:val="00920828"/>
    <w:rsid w:val="0092093B"/>
    <w:rsid w:val="009211AF"/>
    <w:rsid w:val="00921697"/>
    <w:rsid w:val="00922218"/>
    <w:rsid w:val="009224CF"/>
    <w:rsid w:val="00922C19"/>
    <w:rsid w:val="00922CB4"/>
    <w:rsid w:val="0092392E"/>
    <w:rsid w:val="00924207"/>
    <w:rsid w:val="0092429C"/>
    <w:rsid w:val="009243D5"/>
    <w:rsid w:val="00924A66"/>
    <w:rsid w:val="00924D30"/>
    <w:rsid w:val="00925715"/>
    <w:rsid w:val="00925A51"/>
    <w:rsid w:val="00926003"/>
    <w:rsid w:val="00926289"/>
    <w:rsid w:val="009263CB"/>
    <w:rsid w:val="009265FD"/>
    <w:rsid w:val="00926601"/>
    <w:rsid w:val="00926C57"/>
    <w:rsid w:val="00926F7E"/>
    <w:rsid w:val="009274E0"/>
    <w:rsid w:val="00927AEA"/>
    <w:rsid w:val="00927C85"/>
    <w:rsid w:val="00927F59"/>
    <w:rsid w:val="009304D3"/>
    <w:rsid w:val="00930720"/>
    <w:rsid w:val="00930A41"/>
    <w:rsid w:val="0093131C"/>
    <w:rsid w:val="00931846"/>
    <w:rsid w:val="00931AA3"/>
    <w:rsid w:val="00931DAD"/>
    <w:rsid w:val="009320E4"/>
    <w:rsid w:val="0093230E"/>
    <w:rsid w:val="009323DE"/>
    <w:rsid w:val="00932A41"/>
    <w:rsid w:val="00932A46"/>
    <w:rsid w:val="00932BE0"/>
    <w:rsid w:val="00933136"/>
    <w:rsid w:val="009336CD"/>
    <w:rsid w:val="00933725"/>
    <w:rsid w:val="00933A90"/>
    <w:rsid w:val="00933DD8"/>
    <w:rsid w:val="00933F21"/>
    <w:rsid w:val="00933FBA"/>
    <w:rsid w:val="00934308"/>
    <w:rsid w:val="009346D4"/>
    <w:rsid w:val="0093478F"/>
    <w:rsid w:val="009347FE"/>
    <w:rsid w:val="00934E2C"/>
    <w:rsid w:val="00934E48"/>
    <w:rsid w:val="00934EAE"/>
    <w:rsid w:val="009353E6"/>
    <w:rsid w:val="00935CC0"/>
    <w:rsid w:val="00935FF3"/>
    <w:rsid w:val="0093601D"/>
    <w:rsid w:val="00936120"/>
    <w:rsid w:val="00936680"/>
    <w:rsid w:val="00936682"/>
    <w:rsid w:val="00936806"/>
    <w:rsid w:val="00936D49"/>
    <w:rsid w:val="00936E57"/>
    <w:rsid w:val="00936F5E"/>
    <w:rsid w:val="00936F6E"/>
    <w:rsid w:val="00936FBD"/>
    <w:rsid w:val="009375D1"/>
    <w:rsid w:val="00937867"/>
    <w:rsid w:val="0093798A"/>
    <w:rsid w:val="00937D49"/>
    <w:rsid w:val="00937FD2"/>
    <w:rsid w:val="00940736"/>
    <w:rsid w:val="009408DE"/>
    <w:rsid w:val="00941120"/>
    <w:rsid w:val="00941284"/>
    <w:rsid w:val="009415FB"/>
    <w:rsid w:val="009416EE"/>
    <w:rsid w:val="0094182F"/>
    <w:rsid w:val="00941A0D"/>
    <w:rsid w:val="00941A3C"/>
    <w:rsid w:val="00941AB1"/>
    <w:rsid w:val="00941C4D"/>
    <w:rsid w:val="00941E0F"/>
    <w:rsid w:val="009420F0"/>
    <w:rsid w:val="009422C4"/>
    <w:rsid w:val="00942359"/>
    <w:rsid w:val="0094284E"/>
    <w:rsid w:val="00942914"/>
    <w:rsid w:val="00942A4A"/>
    <w:rsid w:val="00942C1B"/>
    <w:rsid w:val="00942FDD"/>
    <w:rsid w:val="00943381"/>
    <w:rsid w:val="00943BDE"/>
    <w:rsid w:val="00943FCE"/>
    <w:rsid w:val="00944067"/>
    <w:rsid w:val="00944A0E"/>
    <w:rsid w:val="00944DBE"/>
    <w:rsid w:val="009450FA"/>
    <w:rsid w:val="009450FC"/>
    <w:rsid w:val="00945124"/>
    <w:rsid w:val="0094514D"/>
    <w:rsid w:val="00945452"/>
    <w:rsid w:val="00945609"/>
    <w:rsid w:val="00945920"/>
    <w:rsid w:val="00945C5D"/>
    <w:rsid w:val="00945EB2"/>
    <w:rsid w:val="00945F86"/>
    <w:rsid w:val="009460AB"/>
    <w:rsid w:val="009463BE"/>
    <w:rsid w:val="00946575"/>
    <w:rsid w:val="0094674D"/>
    <w:rsid w:val="009467EB"/>
    <w:rsid w:val="0094695B"/>
    <w:rsid w:val="00946C12"/>
    <w:rsid w:val="00946FB1"/>
    <w:rsid w:val="009470D3"/>
    <w:rsid w:val="0094781A"/>
    <w:rsid w:val="00947B5C"/>
    <w:rsid w:val="00947DE7"/>
    <w:rsid w:val="00950025"/>
    <w:rsid w:val="009501A0"/>
    <w:rsid w:val="00950790"/>
    <w:rsid w:val="009508B5"/>
    <w:rsid w:val="00950A4D"/>
    <w:rsid w:val="00950BDE"/>
    <w:rsid w:val="00950E03"/>
    <w:rsid w:val="00950E23"/>
    <w:rsid w:val="00950E41"/>
    <w:rsid w:val="009512BE"/>
    <w:rsid w:val="0095137B"/>
    <w:rsid w:val="00951858"/>
    <w:rsid w:val="00951949"/>
    <w:rsid w:val="00951FEE"/>
    <w:rsid w:val="00952034"/>
    <w:rsid w:val="0095316A"/>
    <w:rsid w:val="00953192"/>
    <w:rsid w:val="00953223"/>
    <w:rsid w:val="009533B2"/>
    <w:rsid w:val="009535C0"/>
    <w:rsid w:val="00953DF7"/>
    <w:rsid w:val="00953FAB"/>
    <w:rsid w:val="0095464E"/>
    <w:rsid w:val="00954727"/>
    <w:rsid w:val="0095496B"/>
    <w:rsid w:val="0095499F"/>
    <w:rsid w:val="009549CD"/>
    <w:rsid w:val="00954AAB"/>
    <w:rsid w:val="00954EF9"/>
    <w:rsid w:val="00955646"/>
    <w:rsid w:val="009556BE"/>
    <w:rsid w:val="009557C7"/>
    <w:rsid w:val="009558BC"/>
    <w:rsid w:val="0095593D"/>
    <w:rsid w:val="00955B55"/>
    <w:rsid w:val="00955BCD"/>
    <w:rsid w:val="00955F80"/>
    <w:rsid w:val="00956133"/>
    <w:rsid w:val="00956AA2"/>
    <w:rsid w:val="00956B77"/>
    <w:rsid w:val="00956D75"/>
    <w:rsid w:val="0095745D"/>
    <w:rsid w:val="00957BEE"/>
    <w:rsid w:val="00957E19"/>
    <w:rsid w:val="00960106"/>
    <w:rsid w:val="00960696"/>
    <w:rsid w:val="00960D0F"/>
    <w:rsid w:val="00961A22"/>
    <w:rsid w:val="00961A75"/>
    <w:rsid w:val="00962A25"/>
    <w:rsid w:val="00963582"/>
    <w:rsid w:val="00963BED"/>
    <w:rsid w:val="00963E9F"/>
    <w:rsid w:val="00963F2C"/>
    <w:rsid w:val="009640A3"/>
    <w:rsid w:val="00964188"/>
    <w:rsid w:val="00964281"/>
    <w:rsid w:val="009645E1"/>
    <w:rsid w:val="00964815"/>
    <w:rsid w:val="0096491D"/>
    <w:rsid w:val="00964BD5"/>
    <w:rsid w:val="00964E89"/>
    <w:rsid w:val="009650C1"/>
    <w:rsid w:val="009651B3"/>
    <w:rsid w:val="009653AE"/>
    <w:rsid w:val="0096545B"/>
    <w:rsid w:val="009656DB"/>
    <w:rsid w:val="00965C76"/>
    <w:rsid w:val="0096602D"/>
    <w:rsid w:val="0096608C"/>
    <w:rsid w:val="009662E8"/>
    <w:rsid w:val="009666B4"/>
    <w:rsid w:val="0096672C"/>
    <w:rsid w:val="009667BD"/>
    <w:rsid w:val="00966957"/>
    <w:rsid w:val="00966A9C"/>
    <w:rsid w:val="00967369"/>
    <w:rsid w:val="00967395"/>
    <w:rsid w:val="009673A9"/>
    <w:rsid w:val="00967572"/>
    <w:rsid w:val="0096778D"/>
    <w:rsid w:val="00967A36"/>
    <w:rsid w:val="00967E88"/>
    <w:rsid w:val="00970118"/>
    <w:rsid w:val="0097029B"/>
    <w:rsid w:val="009702D5"/>
    <w:rsid w:val="00970392"/>
    <w:rsid w:val="00970489"/>
    <w:rsid w:val="0097067D"/>
    <w:rsid w:val="009709EA"/>
    <w:rsid w:val="00970CA3"/>
    <w:rsid w:val="00970E7D"/>
    <w:rsid w:val="009712F5"/>
    <w:rsid w:val="009716CF"/>
    <w:rsid w:val="0097173C"/>
    <w:rsid w:val="0097181E"/>
    <w:rsid w:val="009719B1"/>
    <w:rsid w:val="00971E6C"/>
    <w:rsid w:val="00971E6D"/>
    <w:rsid w:val="00971EAF"/>
    <w:rsid w:val="0097210A"/>
    <w:rsid w:val="00972341"/>
    <w:rsid w:val="0097280F"/>
    <w:rsid w:val="009738D5"/>
    <w:rsid w:val="009738FC"/>
    <w:rsid w:val="00973A26"/>
    <w:rsid w:val="00973DD8"/>
    <w:rsid w:val="00973DF3"/>
    <w:rsid w:val="00973E42"/>
    <w:rsid w:val="0097404D"/>
    <w:rsid w:val="0097456C"/>
    <w:rsid w:val="009751E5"/>
    <w:rsid w:val="00975577"/>
    <w:rsid w:val="00975666"/>
    <w:rsid w:val="00975AB6"/>
    <w:rsid w:val="00975C06"/>
    <w:rsid w:val="00975C93"/>
    <w:rsid w:val="009762BB"/>
    <w:rsid w:val="00976462"/>
    <w:rsid w:val="00976BD6"/>
    <w:rsid w:val="00976CF8"/>
    <w:rsid w:val="00977046"/>
    <w:rsid w:val="009770E6"/>
    <w:rsid w:val="0097733C"/>
    <w:rsid w:val="00977496"/>
    <w:rsid w:val="009801D4"/>
    <w:rsid w:val="0098028C"/>
    <w:rsid w:val="00980956"/>
    <w:rsid w:val="00980F2E"/>
    <w:rsid w:val="00981A9B"/>
    <w:rsid w:val="0098217A"/>
    <w:rsid w:val="00982474"/>
    <w:rsid w:val="0098264A"/>
    <w:rsid w:val="00982748"/>
    <w:rsid w:val="00982ED9"/>
    <w:rsid w:val="00983318"/>
    <w:rsid w:val="00983756"/>
    <w:rsid w:val="009839C5"/>
    <w:rsid w:val="00983BDD"/>
    <w:rsid w:val="00983ED0"/>
    <w:rsid w:val="00983F61"/>
    <w:rsid w:val="009845B9"/>
    <w:rsid w:val="009846A9"/>
    <w:rsid w:val="00984C8B"/>
    <w:rsid w:val="00984DAF"/>
    <w:rsid w:val="00984DCC"/>
    <w:rsid w:val="00984F48"/>
    <w:rsid w:val="0098510F"/>
    <w:rsid w:val="009851BB"/>
    <w:rsid w:val="00985629"/>
    <w:rsid w:val="009857AC"/>
    <w:rsid w:val="00985B2C"/>
    <w:rsid w:val="00985BF9"/>
    <w:rsid w:val="00985CB5"/>
    <w:rsid w:val="009867C9"/>
    <w:rsid w:val="00986C74"/>
    <w:rsid w:val="00986D27"/>
    <w:rsid w:val="009870EA"/>
    <w:rsid w:val="0098715A"/>
    <w:rsid w:val="00987373"/>
    <w:rsid w:val="00987A1C"/>
    <w:rsid w:val="00987AEA"/>
    <w:rsid w:val="0099020C"/>
    <w:rsid w:val="0099058A"/>
    <w:rsid w:val="00990943"/>
    <w:rsid w:val="00990B42"/>
    <w:rsid w:val="00990CDA"/>
    <w:rsid w:val="009916BB"/>
    <w:rsid w:val="009917B8"/>
    <w:rsid w:val="0099184B"/>
    <w:rsid w:val="00991964"/>
    <w:rsid w:val="00991C85"/>
    <w:rsid w:val="00991C97"/>
    <w:rsid w:val="00991DFE"/>
    <w:rsid w:val="00991F51"/>
    <w:rsid w:val="00991FFB"/>
    <w:rsid w:val="00992528"/>
    <w:rsid w:val="00992625"/>
    <w:rsid w:val="009927B6"/>
    <w:rsid w:val="00992D47"/>
    <w:rsid w:val="00992DD0"/>
    <w:rsid w:val="00993253"/>
    <w:rsid w:val="009932B5"/>
    <w:rsid w:val="0099355B"/>
    <w:rsid w:val="00993D70"/>
    <w:rsid w:val="00993DBE"/>
    <w:rsid w:val="00993F75"/>
    <w:rsid w:val="00994096"/>
    <w:rsid w:val="00994668"/>
    <w:rsid w:val="009952FC"/>
    <w:rsid w:val="00995C40"/>
    <w:rsid w:val="00996151"/>
    <w:rsid w:val="009965F6"/>
    <w:rsid w:val="009967B1"/>
    <w:rsid w:val="0099695C"/>
    <w:rsid w:val="00996CFC"/>
    <w:rsid w:val="00996D1B"/>
    <w:rsid w:val="00996F4B"/>
    <w:rsid w:val="009971A2"/>
    <w:rsid w:val="0099726B"/>
    <w:rsid w:val="009972BD"/>
    <w:rsid w:val="00997818"/>
    <w:rsid w:val="00997B3A"/>
    <w:rsid w:val="00997C31"/>
    <w:rsid w:val="009A025D"/>
    <w:rsid w:val="009A0344"/>
    <w:rsid w:val="009A060B"/>
    <w:rsid w:val="009A066B"/>
    <w:rsid w:val="009A082C"/>
    <w:rsid w:val="009A0B38"/>
    <w:rsid w:val="009A0E7F"/>
    <w:rsid w:val="009A115D"/>
    <w:rsid w:val="009A1352"/>
    <w:rsid w:val="009A14B9"/>
    <w:rsid w:val="009A156E"/>
    <w:rsid w:val="009A15BE"/>
    <w:rsid w:val="009A1B3B"/>
    <w:rsid w:val="009A1EE6"/>
    <w:rsid w:val="009A2155"/>
    <w:rsid w:val="009A225C"/>
    <w:rsid w:val="009A24D3"/>
    <w:rsid w:val="009A2523"/>
    <w:rsid w:val="009A25C9"/>
    <w:rsid w:val="009A31E4"/>
    <w:rsid w:val="009A33AE"/>
    <w:rsid w:val="009A36D2"/>
    <w:rsid w:val="009A3783"/>
    <w:rsid w:val="009A3883"/>
    <w:rsid w:val="009A3900"/>
    <w:rsid w:val="009A4070"/>
    <w:rsid w:val="009A45D1"/>
    <w:rsid w:val="009A467F"/>
    <w:rsid w:val="009A49D8"/>
    <w:rsid w:val="009A50F4"/>
    <w:rsid w:val="009A51FE"/>
    <w:rsid w:val="009A5308"/>
    <w:rsid w:val="009A544E"/>
    <w:rsid w:val="009A544F"/>
    <w:rsid w:val="009A5CC8"/>
    <w:rsid w:val="009A6155"/>
    <w:rsid w:val="009A63B0"/>
    <w:rsid w:val="009A6545"/>
    <w:rsid w:val="009A6685"/>
    <w:rsid w:val="009A66B6"/>
    <w:rsid w:val="009A69CD"/>
    <w:rsid w:val="009A6B4E"/>
    <w:rsid w:val="009A6FC6"/>
    <w:rsid w:val="009A6FD4"/>
    <w:rsid w:val="009A7051"/>
    <w:rsid w:val="009A70AD"/>
    <w:rsid w:val="009A71FF"/>
    <w:rsid w:val="009A725F"/>
    <w:rsid w:val="009A7588"/>
    <w:rsid w:val="009A7609"/>
    <w:rsid w:val="009A7C5D"/>
    <w:rsid w:val="009A7FE4"/>
    <w:rsid w:val="009B0098"/>
    <w:rsid w:val="009B020A"/>
    <w:rsid w:val="009B0459"/>
    <w:rsid w:val="009B0846"/>
    <w:rsid w:val="009B0F2D"/>
    <w:rsid w:val="009B0FA9"/>
    <w:rsid w:val="009B1341"/>
    <w:rsid w:val="009B17A7"/>
    <w:rsid w:val="009B1834"/>
    <w:rsid w:val="009B1A20"/>
    <w:rsid w:val="009B1D16"/>
    <w:rsid w:val="009B1D6D"/>
    <w:rsid w:val="009B21F9"/>
    <w:rsid w:val="009B22B4"/>
    <w:rsid w:val="009B2780"/>
    <w:rsid w:val="009B2B51"/>
    <w:rsid w:val="009B32CD"/>
    <w:rsid w:val="009B3E15"/>
    <w:rsid w:val="009B4166"/>
    <w:rsid w:val="009B417A"/>
    <w:rsid w:val="009B4367"/>
    <w:rsid w:val="009B4C59"/>
    <w:rsid w:val="009B5131"/>
    <w:rsid w:val="009B5343"/>
    <w:rsid w:val="009B5510"/>
    <w:rsid w:val="009B5868"/>
    <w:rsid w:val="009B59AB"/>
    <w:rsid w:val="009B67CE"/>
    <w:rsid w:val="009B6A27"/>
    <w:rsid w:val="009B73DD"/>
    <w:rsid w:val="009B79D8"/>
    <w:rsid w:val="009B7E39"/>
    <w:rsid w:val="009B7F24"/>
    <w:rsid w:val="009B7FDC"/>
    <w:rsid w:val="009C021F"/>
    <w:rsid w:val="009C0595"/>
    <w:rsid w:val="009C075C"/>
    <w:rsid w:val="009C07E1"/>
    <w:rsid w:val="009C0B93"/>
    <w:rsid w:val="009C0D87"/>
    <w:rsid w:val="009C18EF"/>
    <w:rsid w:val="009C1F17"/>
    <w:rsid w:val="009C212C"/>
    <w:rsid w:val="009C21A3"/>
    <w:rsid w:val="009C252E"/>
    <w:rsid w:val="009C2749"/>
    <w:rsid w:val="009C2AC8"/>
    <w:rsid w:val="009C2BCA"/>
    <w:rsid w:val="009C2F31"/>
    <w:rsid w:val="009C4914"/>
    <w:rsid w:val="009C495A"/>
    <w:rsid w:val="009C516C"/>
    <w:rsid w:val="009C5957"/>
    <w:rsid w:val="009C59C8"/>
    <w:rsid w:val="009C5CC4"/>
    <w:rsid w:val="009C5F7E"/>
    <w:rsid w:val="009C60AA"/>
    <w:rsid w:val="009C64E0"/>
    <w:rsid w:val="009C6681"/>
    <w:rsid w:val="009C67E3"/>
    <w:rsid w:val="009C68A1"/>
    <w:rsid w:val="009C7073"/>
    <w:rsid w:val="009C70D5"/>
    <w:rsid w:val="009C7699"/>
    <w:rsid w:val="009C7C61"/>
    <w:rsid w:val="009C7DEC"/>
    <w:rsid w:val="009D005D"/>
    <w:rsid w:val="009D0448"/>
    <w:rsid w:val="009D0542"/>
    <w:rsid w:val="009D0568"/>
    <w:rsid w:val="009D0B52"/>
    <w:rsid w:val="009D0E63"/>
    <w:rsid w:val="009D167E"/>
    <w:rsid w:val="009D17EA"/>
    <w:rsid w:val="009D2C08"/>
    <w:rsid w:val="009D2E2F"/>
    <w:rsid w:val="009D3242"/>
    <w:rsid w:val="009D3449"/>
    <w:rsid w:val="009D3806"/>
    <w:rsid w:val="009D3880"/>
    <w:rsid w:val="009D395B"/>
    <w:rsid w:val="009D39EA"/>
    <w:rsid w:val="009D3A74"/>
    <w:rsid w:val="009D3AA8"/>
    <w:rsid w:val="009D3DF9"/>
    <w:rsid w:val="009D408C"/>
    <w:rsid w:val="009D432C"/>
    <w:rsid w:val="009D488C"/>
    <w:rsid w:val="009D491D"/>
    <w:rsid w:val="009D4CB6"/>
    <w:rsid w:val="009D4DCD"/>
    <w:rsid w:val="009D51F0"/>
    <w:rsid w:val="009D59EE"/>
    <w:rsid w:val="009D5AAF"/>
    <w:rsid w:val="009D5CF9"/>
    <w:rsid w:val="009D5DA0"/>
    <w:rsid w:val="009D6232"/>
    <w:rsid w:val="009D6488"/>
    <w:rsid w:val="009D7714"/>
    <w:rsid w:val="009D7724"/>
    <w:rsid w:val="009D7FF8"/>
    <w:rsid w:val="009E0D0F"/>
    <w:rsid w:val="009E10FB"/>
    <w:rsid w:val="009E13B9"/>
    <w:rsid w:val="009E1659"/>
    <w:rsid w:val="009E173E"/>
    <w:rsid w:val="009E1C92"/>
    <w:rsid w:val="009E1CAF"/>
    <w:rsid w:val="009E1F2F"/>
    <w:rsid w:val="009E296E"/>
    <w:rsid w:val="009E2BA2"/>
    <w:rsid w:val="009E2C59"/>
    <w:rsid w:val="009E3005"/>
    <w:rsid w:val="009E30F8"/>
    <w:rsid w:val="009E3105"/>
    <w:rsid w:val="009E33DA"/>
    <w:rsid w:val="009E4045"/>
    <w:rsid w:val="009E49C1"/>
    <w:rsid w:val="009E4C7C"/>
    <w:rsid w:val="009E5242"/>
    <w:rsid w:val="009E52ED"/>
    <w:rsid w:val="009E54FD"/>
    <w:rsid w:val="009E5AB9"/>
    <w:rsid w:val="009E5CFC"/>
    <w:rsid w:val="009E5DB5"/>
    <w:rsid w:val="009E6259"/>
    <w:rsid w:val="009E6619"/>
    <w:rsid w:val="009E6D3E"/>
    <w:rsid w:val="009E6D68"/>
    <w:rsid w:val="009E6F7A"/>
    <w:rsid w:val="009E709D"/>
    <w:rsid w:val="009E746D"/>
    <w:rsid w:val="009E7585"/>
    <w:rsid w:val="009E7595"/>
    <w:rsid w:val="009E7679"/>
    <w:rsid w:val="009E7777"/>
    <w:rsid w:val="009E79B7"/>
    <w:rsid w:val="009E7DB7"/>
    <w:rsid w:val="009F04AC"/>
    <w:rsid w:val="009F05A6"/>
    <w:rsid w:val="009F0BDB"/>
    <w:rsid w:val="009F1375"/>
    <w:rsid w:val="009F15D0"/>
    <w:rsid w:val="009F16B0"/>
    <w:rsid w:val="009F184B"/>
    <w:rsid w:val="009F18D9"/>
    <w:rsid w:val="009F1914"/>
    <w:rsid w:val="009F1917"/>
    <w:rsid w:val="009F1F3D"/>
    <w:rsid w:val="009F2095"/>
    <w:rsid w:val="009F2474"/>
    <w:rsid w:val="009F24E9"/>
    <w:rsid w:val="009F2560"/>
    <w:rsid w:val="009F284E"/>
    <w:rsid w:val="009F2912"/>
    <w:rsid w:val="009F2E3C"/>
    <w:rsid w:val="009F2E91"/>
    <w:rsid w:val="009F340F"/>
    <w:rsid w:val="009F34C5"/>
    <w:rsid w:val="009F3513"/>
    <w:rsid w:val="009F38A9"/>
    <w:rsid w:val="009F3E7B"/>
    <w:rsid w:val="009F4430"/>
    <w:rsid w:val="009F45D3"/>
    <w:rsid w:val="009F47F8"/>
    <w:rsid w:val="009F57DA"/>
    <w:rsid w:val="009F5B2E"/>
    <w:rsid w:val="009F5C04"/>
    <w:rsid w:val="009F5C0E"/>
    <w:rsid w:val="009F6468"/>
    <w:rsid w:val="009F6960"/>
    <w:rsid w:val="009F6B81"/>
    <w:rsid w:val="009F73D2"/>
    <w:rsid w:val="009F79AF"/>
    <w:rsid w:val="009F7A78"/>
    <w:rsid w:val="009F7CFD"/>
    <w:rsid w:val="009F7DCE"/>
    <w:rsid w:val="00A000E2"/>
    <w:rsid w:val="00A00854"/>
    <w:rsid w:val="00A00942"/>
    <w:rsid w:val="00A009CF"/>
    <w:rsid w:val="00A00D36"/>
    <w:rsid w:val="00A0159E"/>
    <w:rsid w:val="00A01BA0"/>
    <w:rsid w:val="00A02740"/>
    <w:rsid w:val="00A02AB1"/>
    <w:rsid w:val="00A02B83"/>
    <w:rsid w:val="00A02ED5"/>
    <w:rsid w:val="00A03EC4"/>
    <w:rsid w:val="00A03EFD"/>
    <w:rsid w:val="00A04401"/>
    <w:rsid w:val="00A04593"/>
    <w:rsid w:val="00A046E7"/>
    <w:rsid w:val="00A047A0"/>
    <w:rsid w:val="00A04BB0"/>
    <w:rsid w:val="00A0503E"/>
    <w:rsid w:val="00A052F8"/>
    <w:rsid w:val="00A05726"/>
    <w:rsid w:val="00A0586C"/>
    <w:rsid w:val="00A059B9"/>
    <w:rsid w:val="00A062FD"/>
    <w:rsid w:val="00A06443"/>
    <w:rsid w:val="00A066E1"/>
    <w:rsid w:val="00A06AE6"/>
    <w:rsid w:val="00A06B4B"/>
    <w:rsid w:val="00A06C5F"/>
    <w:rsid w:val="00A0707D"/>
    <w:rsid w:val="00A07369"/>
    <w:rsid w:val="00A07AE1"/>
    <w:rsid w:val="00A07D75"/>
    <w:rsid w:val="00A07DC6"/>
    <w:rsid w:val="00A07F74"/>
    <w:rsid w:val="00A10602"/>
    <w:rsid w:val="00A106F4"/>
    <w:rsid w:val="00A106F7"/>
    <w:rsid w:val="00A10717"/>
    <w:rsid w:val="00A109FE"/>
    <w:rsid w:val="00A10B00"/>
    <w:rsid w:val="00A11A3D"/>
    <w:rsid w:val="00A11E75"/>
    <w:rsid w:val="00A12674"/>
    <w:rsid w:val="00A1267C"/>
    <w:rsid w:val="00A12BCC"/>
    <w:rsid w:val="00A12BD3"/>
    <w:rsid w:val="00A12F29"/>
    <w:rsid w:val="00A1309E"/>
    <w:rsid w:val="00A1357B"/>
    <w:rsid w:val="00A1365F"/>
    <w:rsid w:val="00A13AD0"/>
    <w:rsid w:val="00A13D55"/>
    <w:rsid w:val="00A13F79"/>
    <w:rsid w:val="00A14062"/>
    <w:rsid w:val="00A1409C"/>
    <w:rsid w:val="00A1416F"/>
    <w:rsid w:val="00A14365"/>
    <w:rsid w:val="00A14434"/>
    <w:rsid w:val="00A145EB"/>
    <w:rsid w:val="00A146CD"/>
    <w:rsid w:val="00A14914"/>
    <w:rsid w:val="00A14B26"/>
    <w:rsid w:val="00A14D0A"/>
    <w:rsid w:val="00A152DD"/>
    <w:rsid w:val="00A1539C"/>
    <w:rsid w:val="00A1557B"/>
    <w:rsid w:val="00A15ECB"/>
    <w:rsid w:val="00A163E8"/>
    <w:rsid w:val="00A166D6"/>
    <w:rsid w:val="00A16CB8"/>
    <w:rsid w:val="00A16F18"/>
    <w:rsid w:val="00A17278"/>
    <w:rsid w:val="00A176BB"/>
    <w:rsid w:val="00A177C3"/>
    <w:rsid w:val="00A178C7"/>
    <w:rsid w:val="00A178F1"/>
    <w:rsid w:val="00A17E82"/>
    <w:rsid w:val="00A17EC0"/>
    <w:rsid w:val="00A20326"/>
    <w:rsid w:val="00A204C4"/>
    <w:rsid w:val="00A20616"/>
    <w:rsid w:val="00A208E7"/>
    <w:rsid w:val="00A210FF"/>
    <w:rsid w:val="00A2117A"/>
    <w:rsid w:val="00A21296"/>
    <w:rsid w:val="00A21551"/>
    <w:rsid w:val="00A218E2"/>
    <w:rsid w:val="00A21CE2"/>
    <w:rsid w:val="00A2226F"/>
    <w:rsid w:val="00A22909"/>
    <w:rsid w:val="00A22B98"/>
    <w:rsid w:val="00A22F61"/>
    <w:rsid w:val="00A235E4"/>
    <w:rsid w:val="00A2381F"/>
    <w:rsid w:val="00A23BA2"/>
    <w:rsid w:val="00A243A0"/>
    <w:rsid w:val="00A24782"/>
    <w:rsid w:val="00A24DCC"/>
    <w:rsid w:val="00A2519D"/>
    <w:rsid w:val="00A2534D"/>
    <w:rsid w:val="00A258AF"/>
    <w:rsid w:val="00A2591D"/>
    <w:rsid w:val="00A25BF0"/>
    <w:rsid w:val="00A25E4E"/>
    <w:rsid w:val="00A25F18"/>
    <w:rsid w:val="00A26098"/>
    <w:rsid w:val="00A265DD"/>
    <w:rsid w:val="00A2683B"/>
    <w:rsid w:val="00A26945"/>
    <w:rsid w:val="00A26955"/>
    <w:rsid w:val="00A26F25"/>
    <w:rsid w:val="00A271FA"/>
    <w:rsid w:val="00A273CD"/>
    <w:rsid w:val="00A2742D"/>
    <w:rsid w:val="00A2795D"/>
    <w:rsid w:val="00A27ED2"/>
    <w:rsid w:val="00A27F37"/>
    <w:rsid w:val="00A301D7"/>
    <w:rsid w:val="00A30377"/>
    <w:rsid w:val="00A303CA"/>
    <w:rsid w:val="00A30ADB"/>
    <w:rsid w:val="00A30CE9"/>
    <w:rsid w:val="00A3106D"/>
    <w:rsid w:val="00A31A32"/>
    <w:rsid w:val="00A31E5A"/>
    <w:rsid w:val="00A328C6"/>
    <w:rsid w:val="00A32967"/>
    <w:rsid w:val="00A32BE6"/>
    <w:rsid w:val="00A32D0C"/>
    <w:rsid w:val="00A32DCB"/>
    <w:rsid w:val="00A333D1"/>
    <w:rsid w:val="00A337C8"/>
    <w:rsid w:val="00A33928"/>
    <w:rsid w:val="00A339ED"/>
    <w:rsid w:val="00A342F5"/>
    <w:rsid w:val="00A34755"/>
    <w:rsid w:val="00A34AAA"/>
    <w:rsid w:val="00A34CF0"/>
    <w:rsid w:val="00A3518F"/>
    <w:rsid w:val="00A351D4"/>
    <w:rsid w:val="00A353CA"/>
    <w:rsid w:val="00A356F0"/>
    <w:rsid w:val="00A35806"/>
    <w:rsid w:val="00A35977"/>
    <w:rsid w:val="00A35B8B"/>
    <w:rsid w:val="00A35E56"/>
    <w:rsid w:val="00A36417"/>
    <w:rsid w:val="00A366EB"/>
    <w:rsid w:val="00A36808"/>
    <w:rsid w:val="00A369B2"/>
    <w:rsid w:val="00A36B7E"/>
    <w:rsid w:val="00A370D6"/>
    <w:rsid w:val="00A37176"/>
    <w:rsid w:val="00A377D4"/>
    <w:rsid w:val="00A37848"/>
    <w:rsid w:val="00A37E32"/>
    <w:rsid w:val="00A40289"/>
    <w:rsid w:val="00A402A7"/>
    <w:rsid w:val="00A402C9"/>
    <w:rsid w:val="00A40395"/>
    <w:rsid w:val="00A4045A"/>
    <w:rsid w:val="00A406B0"/>
    <w:rsid w:val="00A40DF6"/>
    <w:rsid w:val="00A419AD"/>
    <w:rsid w:val="00A41C47"/>
    <w:rsid w:val="00A41DB1"/>
    <w:rsid w:val="00A420D8"/>
    <w:rsid w:val="00A4221B"/>
    <w:rsid w:val="00A423BC"/>
    <w:rsid w:val="00A42669"/>
    <w:rsid w:val="00A42E39"/>
    <w:rsid w:val="00A43104"/>
    <w:rsid w:val="00A43160"/>
    <w:rsid w:val="00A4323D"/>
    <w:rsid w:val="00A434F7"/>
    <w:rsid w:val="00A43D53"/>
    <w:rsid w:val="00A43D5F"/>
    <w:rsid w:val="00A44059"/>
    <w:rsid w:val="00A44418"/>
    <w:rsid w:val="00A447B0"/>
    <w:rsid w:val="00A44A62"/>
    <w:rsid w:val="00A4563A"/>
    <w:rsid w:val="00A45799"/>
    <w:rsid w:val="00A459E5"/>
    <w:rsid w:val="00A45AE6"/>
    <w:rsid w:val="00A45C28"/>
    <w:rsid w:val="00A45C50"/>
    <w:rsid w:val="00A46062"/>
    <w:rsid w:val="00A4640B"/>
    <w:rsid w:val="00A466D2"/>
    <w:rsid w:val="00A46B24"/>
    <w:rsid w:val="00A46CB2"/>
    <w:rsid w:val="00A471DB"/>
    <w:rsid w:val="00A476F9"/>
    <w:rsid w:val="00A47BEC"/>
    <w:rsid w:val="00A47D08"/>
    <w:rsid w:val="00A47EC0"/>
    <w:rsid w:val="00A50042"/>
    <w:rsid w:val="00A5068D"/>
    <w:rsid w:val="00A50F7A"/>
    <w:rsid w:val="00A51440"/>
    <w:rsid w:val="00A51B4F"/>
    <w:rsid w:val="00A51B53"/>
    <w:rsid w:val="00A51E16"/>
    <w:rsid w:val="00A52787"/>
    <w:rsid w:val="00A52C79"/>
    <w:rsid w:val="00A52E39"/>
    <w:rsid w:val="00A5320E"/>
    <w:rsid w:val="00A53886"/>
    <w:rsid w:val="00A5399C"/>
    <w:rsid w:val="00A539C6"/>
    <w:rsid w:val="00A54160"/>
    <w:rsid w:val="00A54540"/>
    <w:rsid w:val="00A554B8"/>
    <w:rsid w:val="00A55951"/>
    <w:rsid w:val="00A56164"/>
    <w:rsid w:val="00A56700"/>
    <w:rsid w:val="00A56880"/>
    <w:rsid w:val="00A568D8"/>
    <w:rsid w:val="00A56AEA"/>
    <w:rsid w:val="00A56FC4"/>
    <w:rsid w:val="00A579AE"/>
    <w:rsid w:val="00A57DA2"/>
    <w:rsid w:val="00A602C0"/>
    <w:rsid w:val="00A602C8"/>
    <w:rsid w:val="00A6038E"/>
    <w:rsid w:val="00A603D9"/>
    <w:rsid w:val="00A6089D"/>
    <w:rsid w:val="00A609D5"/>
    <w:rsid w:val="00A609FD"/>
    <w:rsid w:val="00A60F1D"/>
    <w:rsid w:val="00A6104D"/>
    <w:rsid w:val="00A6105A"/>
    <w:rsid w:val="00A61D91"/>
    <w:rsid w:val="00A61E27"/>
    <w:rsid w:val="00A6230A"/>
    <w:rsid w:val="00A625FF"/>
    <w:rsid w:val="00A6295C"/>
    <w:rsid w:val="00A62AE8"/>
    <w:rsid w:val="00A62EF8"/>
    <w:rsid w:val="00A63078"/>
    <w:rsid w:val="00A6326B"/>
    <w:rsid w:val="00A63332"/>
    <w:rsid w:val="00A633EE"/>
    <w:rsid w:val="00A638A9"/>
    <w:rsid w:val="00A63CE3"/>
    <w:rsid w:val="00A63F40"/>
    <w:rsid w:val="00A63F5E"/>
    <w:rsid w:val="00A63FAB"/>
    <w:rsid w:val="00A64433"/>
    <w:rsid w:val="00A64C5E"/>
    <w:rsid w:val="00A64CF5"/>
    <w:rsid w:val="00A64EE3"/>
    <w:rsid w:val="00A65177"/>
    <w:rsid w:val="00A65732"/>
    <w:rsid w:val="00A65BB2"/>
    <w:rsid w:val="00A65DB5"/>
    <w:rsid w:val="00A65E6E"/>
    <w:rsid w:val="00A6643F"/>
    <w:rsid w:val="00A66574"/>
    <w:rsid w:val="00A66A0F"/>
    <w:rsid w:val="00A67082"/>
    <w:rsid w:val="00A67C20"/>
    <w:rsid w:val="00A67C78"/>
    <w:rsid w:val="00A70519"/>
    <w:rsid w:val="00A708AB"/>
    <w:rsid w:val="00A71171"/>
    <w:rsid w:val="00A7139D"/>
    <w:rsid w:val="00A71423"/>
    <w:rsid w:val="00A715C6"/>
    <w:rsid w:val="00A719C8"/>
    <w:rsid w:val="00A71B3F"/>
    <w:rsid w:val="00A71CD9"/>
    <w:rsid w:val="00A71CF1"/>
    <w:rsid w:val="00A721CC"/>
    <w:rsid w:val="00A723DB"/>
    <w:rsid w:val="00A725C7"/>
    <w:rsid w:val="00A72BF5"/>
    <w:rsid w:val="00A735B8"/>
    <w:rsid w:val="00A73890"/>
    <w:rsid w:val="00A738F0"/>
    <w:rsid w:val="00A73B1B"/>
    <w:rsid w:val="00A73E02"/>
    <w:rsid w:val="00A73F97"/>
    <w:rsid w:val="00A74232"/>
    <w:rsid w:val="00A74469"/>
    <w:rsid w:val="00A746A1"/>
    <w:rsid w:val="00A74980"/>
    <w:rsid w:val="00A74ABC"/>
    <w:rsid w:val="00A74EC0"/>
    <w:rsid w:val="00A7516D"/>
    <w:rsid w:val="00A751DB"/>
    <w:rsid w:val="00A757B9"/>
    <w:rsid w:val="00A759E6"/>
    <w:rsid w:val="00A764E5"/>
    <w:rsid w:val="00A7688E"/>
    <w:rsid w:val="00A76911"/>
    <w:rsid w:val="00A779C1"/>
    <w:rsid w:val="00A779C6"/>
    <w:rsid w:val="00A77B6A"/>
    <w:rsid w:val="00A800B0"/>
    <w:rsid w:val="00A8054E"/>
    <w:rsid w:val="00A80824"/>
    <w:rsid w:val="00A80944"/>
    <w:rsid w:val="00A80EDA"/>
    <w:rsid w:val="00A81CFE"/>
    <w:rsid w:val="00A81F2A"/>
    <w:rsid w:val="00A8252D"/>
    <w:rsid w:val="00A8272C"/>
    <w:rsid w:val="00A82B23"/>
    <w:rsid w:val="00A82F49"/>
    <w:rsid w:val="00A8304B"/>
    <w:rsid w:val="00A83132"/>
    <w:rsid w:val="00A83237"/>
    <w:rsid w:val="00A8339A"/>
    <w:rsid w:val="00A8414B"/>
    <w:rsid w:val="00A841C7"/>
    <w:rsid w:val="00A8477D"/>
    <w:rsid w:val="00A848EB"/>
    <w:rsid w:val="00A8494C"/>
    <w:rsid w:val="00A84A57"/>
    <w:rsid w:val="00A84A86"/>
    <w:rsid w:val="00A84B0E"/>
    <w:rsid w:val="00A84C3B"/>
    <w:rsid w:val="00A84F79"/>
    <w:rsid w:val="00A8518A"/>
    <w:rsid w:val="00A85DBA"/>
    <w:rsid w:val="00A85ECF"/>
    <w:rsid w:val="00A864B0"/>
    <w:rsid w:val="00A87113"/>
    <w:rsid w:val="00A873C8"/>
    <w:rsid w:val="00A87649"/>
    <w:rsid w:val="00A87FF5"/>
    <w:rsid w:val="00A901EF"/>
    <w:rsid w:val="00A90A13"/>
    <w:rsid w:val="00A90C08"/>
    <w:rsid w:val="00A90DCD"/>
    <w:rsid w:val="00A90FF8"/>
    <w:rsid w:val="00A9106C"/>
    <w:rsid w:val="00A91165"/>
    <w:rsid w:val="00A91377"/>
    <w:rsid w:val="00A91CEF"/>
    <w:rsid w:val="00A91F6D"/>
    <w:rsid w:val="00A9232F"/>
    <w:rsid w:val="00A92663"/>
    <w:rsid w:val="00A92AB4"/>
    <w:rsid w:val="00A92DA0"/>
    <w:rsid w:val="00A93463"/>
    <w:rsid w:val="00A937E5"/>
    <w:rsid w:val="00A93D0C"/>
    <w:rsid w:val="00A93F2C"/>
    <w:rsid w:val="00A94226"/>
    <w:rsid w:val="00A944E3"/>
    <w:rsid w:val="00A94CD8"/>
    <w:rsid w:val="00A94EA5"/>
    <w:rsid w:val="00A951F7"/>
    <w:rsid w:val="00A95337"/>
    <w:rsid w:val="00A95413"/>
    <w:rsid w:val="00A95736"/>
    <w:rsid w:val="00A95951"/>
    <w:rsid w:val="00A96193"/>
    <w:rsid w:val="00A96963"/>
    <w:rsid w:val="00A96C44"/>
    <w:rsid w:val="00A96CD6"/>
    <w:rsid w:val="00A96F9F"/>
    <w:rsid w:val="00A9748B"/>
    <w:rsid w:val="00A97EEC"/>
    <w:rsid w:val="00AA048F"/>
    <w:rsid w:val="00AA04D6"/>
    <w:rsid w:val="00AA05F4"/>
    <w:rsid w:val="00AA0C34"/>
    <w:rsid w:val="00AA0C8D"/>
    <w:rsid w:val="00AA13EA"/>
    <w:rsid w:val="00AA1409"/>
    <w:rsid w:val="00AA1555"/>
    <w:rsid w:val="00AA16F9"/>
    <w:rsid w:val="00AA170A"/>
    <w:rsid w:val="00AA174F"/>
    <w:rsid w:val="00AA1AD6"/>
    <w:rsid w:val="00AA1AEC"/>
    <w:rsid w:val="00AA2074"/>
    <w:rsid w:val="00AA2149"/>
    <w:rsid w:val="00AA2259"/>
    <w:rsid w:val="00AA275E"/>
    <w:rsid w:val="00AA2AFC"/>
    <w:rsid w:val="00AA2E33"/>
    <w:rsid w:val="00AA326A"/>
    <w:rsid w:val="00AA327E"/>
    <w:rsid w:val="00AA32E7"/>
    <w:rsid w:val="00AA35EB"/>
    <w:rsid w:val="00AA3748"/>
    <w:rsid w:val="00AA38CA"/>
    <w:rsid w:val="00AA3CAC"/>
    <w:rsid w:val="00AA3CCA"/>
    <w:rsid w:val="00AA3F79"/>
    <w:rsid w:val="00AA447F"/>
    <w:rsid w:val="00AA4D46"/>
    <w:rsid w:val="00AA4EBD"/>
    <w:rsid w:val="00AA564D"/>
    <w:rsid w:val="00AA56C7"/>
    <w:rsid w:val="00AA5892"/>
    <w:rsid w:val="00AA5F05"/>
    <w:rsid w:val="00AA61C3"/>
    <w:rsid w:val="00AA61FA"/>
    <w:rsid w:val="00AA623F"/>
    <w:rsid w:val="00AA6F9B"/>
    <w:rsid w:val="00AA72BF"/>
    <w:rsid w:val="00AA74B0"/>
    <w:rsid w:val="00AA763A"/>
    <w:rsid w:val="00AA7799"/>
    <w:rsid w:val="00AA78BC"/>
    <w:rsid w:val="00AA7EB6"/>
    <w:rsid w:val="00AB01B2"/>
    <w:rsid w:val="00AB01E4"/>
    <w:rsid w:val="00AB072C"/>
    <w:rsid w:val="00AB0F89"/>
    <w:rsid w:val="00AB1122"/>
    <w:rsid w:val="00AB1153"/>
    <w:rsid w:val="00AB127D"/>
    <w:rsid w:val="00AB1435"/>
    <w:rsid w:val="00AB1496"/>
    <w:rsid w:val="00AB16CF"/>
    <w:rsid w:val="00AB1FB0"/>
    <w:rsid w:val="00AB2053"/>
    <w:rsid w:val="00AB2177"/>
    <w:rsid w:val="00AB2215"/>
    <w:rsid w:val="00AB22E1"/>
    <w:rsid w:val="00AB2672"/>
    <w:rsid w:val="00AB2734"/>
    <w:rsid w:val="00AB29B5"/>
    <w:rsid w:val="00AB349C"/>
    <w:rsid w:val="00AB3A69"/>
    <w:rsid w:val="00AB40F4"/>
    <w:rsid w:val="00AB441B"/>
    <w:rsid w:val="00AB46D9"/>
    <w:rsid w:val="00AB46FB"/>
    <w:rsid w:val="00AB5101"/>
    <w:rsid w:val="00AB51C5"/>
    <w:rsid w:val="00AB568B"/>
    <w:rsid w:val="00AB59D3"/>
    <w:rsid w:val="00AB5B3E"/>
    <w:rsid w:val="00AB5C52"/>
    <w:rsid w:val="00AB5ECA"/>
    <w:rsid w:val="00AB6006"/>
    <w:rsid w:val="00AB602F"/>
    <w:rsid w:val="00AB61C2"/>
    <w:rsid w:val="00AB6454"/>
    <w:rsid w:val="00AB6902"/>
    <w:rsid w:val="00AB6B15"/>
    <w:rsid w:val="00AB6DEB"/>
    <w:rsid w:val="00AB7227"/>
    <w:rsid w:val="00AB7305"/>
    <w:rsid w:val="00AB7709"/>
    <w:rsid w:val="00AC022E"/>
    <w:rsid w:val="00AC0854"/>
    <w:rsid w:val="00AC0EBB"/>
    <w:rsid w:val="00AC15F3"/>
    <w:rsid w:val="00AC180B"/>
    <w:rsid w:val="00AC1B3F"/>
    <w:rsid w:val="00AC2295"/>
    <w:rsid w:val="00AC24C9"/>
    <w:rsid w:val="00AC2628"/>
    <w:rsid w:val="00AC26F1"/>
    <w:rsid w:val="00AC2915"/>
    <w:rsid w:val="00AC2EAF"/>
    <w:rsid w:val="00AC3171"/>
    <w:rsid w:val="00AC331E"/>
    <w:rsid w:val="00AC3371"/>
    <w:rsid w:val="00AC3C74"/>
    <w:rsid w:val="00AC3F1A"/>
    <w:rsid w:val="00AC4232"/>
    <w:rsid w:val="00AC4264"/>
    <w:rsid w:val="00AC44EE"/>
    <w:rsid w:val="00AC48B6"/>
    <w:rsid w:val="00AC49B3"/>
    <w:rsid w:val="00AC49EF"/>
    <w:rsid w:val="00AC4CD4"/>
    <w:rsid w:val="00AC4D34"/>
    <w:rsid w:val="00AC51A7"/>
    <w:rsid w:val="00AC55C6"/>
    <w:rsid w:val="00AC58EF"/>
    <w:rsid w:val="00AC5B79"/>
    <w:rsid w:val="00AC5CBF"/>
    <w:rsid w:val="00AC5D2F"/>
    <w:rsid w:val="00AC5FFA"/>
    <w:rsid w:val="00AC62FC"/>
    <w:rsid w:val="00AC64DE"/>
    <w:rsid w:val="00AC6706"/>
    <w:rsid w:val="00AC6AC8"/>
    <w:rsid w:val="00AC706E"/>
    <w:rsid w:val="00AC72CB"/>
    <w:rsid w:val="00AC7406"/>
    <w:rsid w:val="00AC7541"/>
    <w:rsid w:val="00AC796F"/>
    <w:rsid w:val="00AC7A06"/>
    <w:rsid w:val="00AC7D20"/>
    <w:rsid w:val="00AC7F53"/>
    <w:rsid w:val="00AD00C6"/>
    <w:rsid w:val="00AD01CB"/>
    <w:rsid w:val="00AD05FD"/>
    <w:rsid w:val="00AD074E"/>
    <w:rsid w:val="00AD0AF6"/>
    <w:rsid w:val="00AD0C48"/>
    <w:rsid w:val="00AD0E88"/>
    <w:rsid w:val="00AD0FE1"/>
    <w:rsid w:val="00AD17A6"/>
    <w:rsid w:val="00AD1DC4"/>
    <w:rsid w:val="00AD2242"/>
    <w:rsid w:val="00AD2796"/>
    <w:rsid w:val="00AD288C"/>
    <w:rsid w:val="00AD28E2"/>
    <w:rsid w:val="00AD2C8E"/>
    <w:rsid w:val="00AD2DE1"/>
    <w:rsid w:val="00AD3018"/>
    <w:rsid w:val="00AD37B0"/>
    <w:rsid w:val="00AD4478"/>
    <w:rsid w:val="00AD454D"/>
    <w:rsid w:val="00AD455F"/>
    <w:rsid w:val="00AD468D"/>
    <w:rsid w:val="00AD470A"/>
    <w:rsid w:val="00AD504C"/>
    <w:rsid w:val="00AD51DB"/>
    <w:rsid w:val="00AD5655"/>
    <w:rsid w:val="00AD572B"/>
    <w:rsid w:val="00AD5F75"/>
    <w:rsid w:val="00AD62FA"/>
    <w:rsid w:val="00AD6C3D"/>
    <w:rsid w:val="00AD6DBE"/>
    <w:rsid w:val="00AD7021"/>
    <w:rsid w:val="00AD71E9"/>
    <w:rsid w:val="00AD740A"/>
    <w:rsid w:val="00AD75B9"/>
    <w:rsid w:val="00AD7889"/>
    <w:rsid w:val="00AD78D2"/>
    <w:rsid w:val="00AD7BE6"/>
    <w:rsid w:val="00AE0200"/>
    <w:rsid w:val="00AE028E"/>
    <w:rsid w:val="00AE062D"/>
    <w:rsid w:val="00AE0A8B"/>
    <w:rsid w:val="00AE0B99"/>
    <w:rsid w:val="00AE0ECF"/>
    <w:rsid w:val="00AE1836"/>
    <w:rsid w:val="00AE1A88"/>
    <w:rsid w:val="00AE1D75"/>
    <w:rsid w:val="00AE1F1E"/>
    <w:rsid w:val="00AE1F70"/>
    <w:rsid w:val="00AE212F"/>
    <w:rsid w:val="00AE21E3"/>
    <w:rsid w:val="00AE269F"/>
    <w:rsid w:val="00AE301F"/>
    <w:rsid w:val="00AE3603"/>
    <w:rsid w:val="00AE4223"/>
    <w:rsid w:val="00AE4358"/>
    <w:rsid w:val="00AE4C4D"/>
    <w:rsid w:val="00AE4EB0"/>
    <w:rsid w:val="00AE535D"/>
    <w:rsid w:val="00AE546F"/>
    <w:rsid w:val="00AE5496"/>
    <w:rsid w:val="00AE558E"/>
    <w:rsid w:val="00AE585C"/>
    <w:rsid w:val="00AE606F"/>
    <w:rsid w:val="00AE6224"/>
    <w:rsid w:val="00AE6361"/>
    <w:rsid w:val="00AE6FB1"/>
    <w:rsid w:val="00AE736C"/>
    <w:rsid w:val="00AE7DAE"/>
    <w:rsid w:val="00AF03DD"/>
    <w:rsid w:val="00AF0513"/>
    <w:rsid w:val="00AF0543"/>
    <w:rsid w:val="00AF06CD"/>
    <w:rsid w:val="00AF07FE"/>
    <w:rsid w:val="00AF08C2"/>
    <w:rsid w:val="00AF0E08"/>
    <w:rsid w:val="00AF1087"/>
    <w:rsid w:val="00AF1249"/>
    <w:rsid w:val="00AF140B"/>
    <w:rsid w:val="00AF157A"/>
    <w:rsid w:val="00AF178B"/>
    <w:rsid w:val="00AF1C64"/>
    <w:rsid w:val="00AF22F8"/>
    <w:rsid w:val="00AF2EE9"/>
    <w:rsid w:val="00AF315A"/>
    <w:rsid w:val="00AF32D8"/>
    <w:rsid w:val="00AF3584"/>
    <w:rsid w:val="00AF3CED"/>
    <w:rsid w:val="00AF3E2B"/>
    <w:rsid w:val="00AF3E6B"/>
    <w:rsid w:val="00AF4459"/>
    <w:rsid w:val="00AF4D06"/>
    <w:rsid w:val="00AF4D22"/>
    <w:rsid w:val="00AF4E2B"/>
    <w:rsid w:val="00AF4FBC"/>
    <w:rsid w:val="00AF544C"/>
    <w:rsid w:val="00AF56DD"/>
    <w:rsid w:val="00AF5844"/>
    <w:rsid w:val="00AF5A39"/>
    <w:rsid w:val="00AF5C15"/>
    <w:rsid w:val="00AF664A"/>
    <w:rsid w:val="00AF6F88"/>
    <w:rsid w:val="00AF7C4F"/>
    <w:rsid w:val="00AF7C85"/>
    <w:rsid w:val="00B00CE8"/>
    <w:rsid w:val="00B00F85"/>
    <w:rsid w:val="00B018B6"/>
    <w:rsid w:val="00B01EAD"/>
    <w:rsid w:val="00B01F21"/>
    <w:rsid w:val="00B0242A"/>
    <w:rsid w:val="00B0278C"/>
    <w:rsid w:val="00B03139"/>
    <w:rsid w:val="00B0371F"/>
    <w:rsid w:val="00B03750"/>
    <w:rsid w:val="00B03937"/>
    <w:rsid w:val="00B03B43"/>
    <w:rsid w:val="00B03CBE"/>
    <w:rsid w:val="00B03DEB"/>
    <w:rsid w:val="00B03FAF"/>
    <w:rsid w:val="00B03FB7"/>
    <w:rsid w:val="00B04CE4"/>
    <w:rsid w:val="00B04F6E"/>
    <w:rsid w:val="00B05683"/>
    <w:rsid w:val="00B059A1"/>
    <w:rsid w:val="00B0612D"/>
    <w:rsid w:val="00B06320"/>
    <w:rsid w:val="00B0651E"/>
    <w:rsid w:val="00B0659C"/>
    <w:rsid w:val="00B0680D"/>
    <w:rsid w:val="00B06AC3"/>
    <w:rsid w:val="00B06E5D"/>
    <w:rsid w:val="00B06EF5"/>
    <w:rsid w:val="00B06F54"/>
    <w:rsid w:val="00B074CB"/>
    <w:rsid w:val="00B0774B"/>
    <w:rsid w:val="00B07B95"/>
    <w:rsid w:val="00B07EF3"/>
    <w:rsid w:val="00B07FA6"/>
    <w:rsid w:val="00B100D4"/>
    <w:rsid w:val="00B10137"/>
    <w:rsid w:val="00B1022A"/>
    <w:rsid w:val="00B10683"/>
    <w:rsid w:val="00B10874"/>
    <w:rsid w:val="00B108B6"/>
    <w:rsid w:val="00B10A92"/>
    <w:rsid w:val="00B10B94"/>
    <w:rsid w:val="00B10EE8"/>
    <w:rsid w:val="00B10F26"/>
    <w:rsid w:val="00B10F8E"/>
    <w:rsid w:val="00B110C5"/>
    <w:rsid w:val="00B110CE"/>
    <w:rsid w:val="00B11275"/>
    <w:rsid w:val="00B12C93"/>
    <w:rsid w:val="00B12D43"/>
    <w:rsid w:val="00B12F5A"/>
    <w:rsid w:val="00B130DC"/>
    <w:rsid w:val="00B133FD"/>
    <w:rsid w:val="00B134E0"/>
    <w:rsid w:val="00B13F6B"/>
    <w:rsid w:val="00B1400C"/>
    <w:rsid w:val="00B1458B"/>
    <w:rsid w:val="00B14913"/>
    <w:rsid w:val="00B14AED"/>
    <w:rsid w:val="00B14B4C"/>
    <w:rsid w:val="00B14F43"/>
    <w:rsid w:val="00B14FB4"/>
    <w:rsid w:val="00B15181"/>
    <w:rsid w:val="00B155D4"/>
    <w:rsid w:val="00B156D8"/>
    <w:rsid w:val="00B15897"/>
    <w:rsid w:val="00B1597D"/>
    <w:rsid w:val="00B15CDD"/>
    <w:rsid w:val="00B15D81"/>
    <w:rsid w:val="00B15F95"/>
    <w:rsid w:val="00B161B6"/>
    <w:rsid w:val="00B161C4"/>
    <w:rsid w:val="00B162D1"/>
    <w:rsid w:val="00B16638"/>
    <w:rsid w:val="00B16785"/>
    <w:rsid w:val="00B167B9"/>
    <w:rsid w:val="00B16993"/>
    <w:rsid w:val="00B16DA1"/>
    <w:rsid w:val="00B16E89"/>
    <w:rsid w:val="00B173E8"/>
    <w:rsid w:val="00B178C9"/>
    <w:rsid w:val="00B179F9"/>
    <w:rsid w:val="00B17BBD"/>
    <w:rsid w:val="00B17E9B"/>
    <w:rsid w:val="00B20051"/>
    <w:rsid w:val="00B202C9"/>
    <w:rsid w:val="00B2093F"/>
    <w:rsid w:val="00B20B57"/>
    <w:rsid w:val="00B20D4C"/>
    <w:rsid w:val="00B21241"/>
    <w:rsid w:val="00B21866"/>
    <w:rsid w:val="00B21FD4"/>
    <w:rsid w:val="00B21FDD"/>
    <w:rsid w:val="00B2224C"/>
    <w:rsid w:val="00B22355"/>
    <w:rsid w:val="00B22722"/>
    <w:rsid w:val="00B22EE9"/>
    <w:rsid w:val="00B23477"/>
    <w:rsid w:val="00B2370E"/>
    <w:rsid w:val="00B238E1"/>
    <w:rsid w:val="00B23ACB"/>
    <w:rsid w:val="00B23BE6"/>
    <w:rsid w:val="00B23BF7"/>
    <w:rsid w:val="00B2432A"/>
    <w:rsid w:val="00B2458D"/>
    <w:rsid w:val="00B2491F"/>
    <w:rsid w:val="00B24BAC"/>
    <w:rsid w:val="00B24CDE"/>
    <w:rsid w:val="00B24F8B"/>
    <w:rsid w:val="00B24FD2"/>
    <w:rsid w:val="00B24FFE"/>
    <w:rsid w:val="00B251F6"/>
    <w:rsid w:val="00B25B57"/>
    <w:rsid w:val="00B263CC"/>
    <w:rsid w:val="00B26A33"/>
    <w:rsid w:val="00B270A2"/>
    <w:rsid w:val="00B270FA"/>
    <w:rsid w:val="00B271BC"/>
    <w:rsid w:val="00B27415"/>
    <w:rsid w:val="00B27676"/>
    <w:rsid w:val="00B27771"/>
    <w:rsid w:val="00B2789B"/>
    <w:rsid w:val="00B2790C"/>
    <w:rsid w:val="00B27C4D"/>
    <w:rsid w:val="00B27D61"/>
    <w:rsid w:val="00B3094B"/>
    <w:rsid w:val="00B31353"/>
    <w:rsid w:val="00B31F05"/>
    <w:rsid w:val="00B320F4"/>
    <w:rsid w:val="00B324E3"/>
    <w:rsid w:val="00B326A6"/>
    <w:rsid w:val="00B329F1"/>
    <w:rsid w:val="00B32F4A"/>
    <w:rsid w:val="00B32F7A"/>
    <w:rsid w:val="00B3321C"/>
    <w:rsid w:val="00B33319"/>
    <w:rsid w:val="00B33460"/>
    <w:rsid w:val="00B3354E"/>
    <w:rsid w:val="00B339F9"/>
    <w:rsid w:val="00B33B51"/>
    <w:rsid w:val="00B3484B"/>
    <w:rsid w:val="00B34902"/>
    <w:rsid w:val="00B34983"/>
    <w:rsid w:val="00B34EE2"/>
    <w:rsid w:val="00B34F56"/>
    <w:rsid w:val="00B3515D"/>
    <w:rsid w:val="00B357E9"/>
    <w:rsid w:val="00B35ACC"/>
    <w:rsid w:val="00B35DA6"/>
    <w:rsid w:val="00B3620D"/>
    <w:rsid w:val="00B364DC"/>
    <w:rsid w:val="00B368F0"/>
    <w:rsid w:val="00B36907"/>
    <w:rsid w:val="00B36A56"/>
    <w:rsid w:val="00B36CDC"/>
    <w:rsid w:val="00B36CF5"/>
    <w:rsid w:val="00B37BA8"/>
    <w:rsid w:val="00B37DF7"/>
    <w:rsid w:val="00B4051D"/>
    <w:rsid w:val="00B40B38"/>
    <w:rsid w:val="00B40BCC"/>
    <w:rsid w:val="00B40FC7"/>
    <w:rsid w:val="00B41278"/>
    <w:rsid w:val="00B413C4"/>
    <w:rsid w:val="00B41647"/>
    <w:rsid w:val="00B4166F"/>
    <w:rsid w:val="00B41B20"/>
    <w:rsid w:val="00B41DC0"/>
    <w:rsid w:val="00B41DF8"/>
    <w:rsid w:val="00B421A4"/>
    <w:rsid w:val="00B4278B"/>
    <w:rsid w:val="00B430EA"/>
    <w:rsid w:val="00B43995"/>
    <w:rsid w:val="00B43E15"/>
    <w:rsid w:val="00B444E6"/>
    <w:rsid w:val="00B44C8A"/>
    <w:rsid w:val="00B44D57"/>
    <w:rsid w:val="00B4576B"/>
    <w:rsid w:val="00B4618A"/>
    <w:rsid w:val="00B46232"/>
    <w:rsid w:val="00B46620"/>
    <w:rsid w:val="00B4697A"/>
    <w:rsid w:val="00B46DB9"/>
    <w:rsid w:val="00B47198"/>
    <w:rsid w:val="00B47439"/>
    <w:rsid w:val="00B4765E"/>
    <w:rsid w:val="00B47748"/>
    <w:rsid w:val="00B47975"/>
    <w:rsid w:val="00B500C4"/>
    <w:rsid w:val="00B50664"/>
    <w:rsid w:val="00B50F21"/>
    <w:rsid w:val="00B51038"/>
    <w:rsid w:val="00B51468"/>
    <w:rsid w:val="00B515A1"/>
    <w:rsid w:val="00B5190B"/>
    <w:rsid w:val="00B51AA6"/>
    <w:rsid w:val="00B51E71"/>
    <w:rsid w:val="00B51FB5"/>
    <w:rsid w:val="00B5247E"/>
    <w:rsid w:val="00B52C02"/>
    <w:rsid w:val="00B52E15"/>
    <w:rsid w:val="00B53040"/>
    <w:rsid w:val="00B53096"/>
    <w:rsid w:val="00B5316A"/>
    <w:rsid w:val="00B5320B"/>
    <w:rsid w:val="00B53570"/>
    <w:rsid w:val="00B535EC"/>
    <w:rsid w:val="00B53738"/>
    <w:rsid w:val="00B5395A"/>
    <w:rsid w:val="00B53C56"/>
    <w:rsid w:val="00B53E53"/>
    <w:rsid w:val="00B5408C"/>
    <w:rsid w:val="00B5416D"/>
    <w:rsid w:val="00B5429C"/>
    <w:rsid w:val="00B542CD"/>
    <w:rsid w:val="00B54320"/>
    <w:rsid w:val="00B546F1"/>
    <w:rsid w:val="00B5474D"/>
    <w:rsid w:val="00B54781"/>
    <w:rsid w:val="00B54C9F"/>
    <w:rsid w:val="00B54DFE"/>
    <w:rsid w:val="00B54E28"/>
    <w:rsid w:val="00B5649B"/>
    <w:rsid w:val="00B568F4"/>
    <w:rsid w:val="00B569D9"/>
    <w:rsid w:val="00B56D5C"/>
    <w:rsid w:val="00B56DBA"/>
    <w:rsid w:val="00B56E74"/>
    <w:rsid w:val="00B56F38"/>
    <w:rsid w:val="00B573F9"/>
    <w:rsid w:val="00B57427"/>
    <w:rsid w:val="00B576CD"/>
    <w:rsid w:val="00B57852"/>
    <w:rsid w:val="00B57CB4"/>
    <w:rsid w:val="00B57D82"/>
    <w:rsid w:val="00B57DED"/>
    <w:rsid w:val="00B6010F"/>
    <w:rsid w:val="00B604C6"/>
    <w:rsid w:val="00B605EE"/>
    <w:rsid w:val="00B60655"/>
    <w:rsid w:val="00B609AF"/>
    <w:rsid w:val="00B60A40"/>
    <w:rsid w:val="00B60BA4"/>
    <w:rsid w:val="00B60EDF"/>
    <w:rsid w:val="00B618B1"/>
    <w:rsid w:val="00B618BF"/>
    <w:rsid w:val="00B61B70"/>
    <w:rsid w:val="00B61E25"/>
    <w:rsid w:val="00B62731"/>
    <w:rsid w:val="00B62837"/>
    <w:rsid w:val="00B629AD"/>
    <w:rsid w:val="00B62A82"/>
    <w:rsid w:val="00B62C13"/>
    <w:rsid w:val="00B62D60"/>
    <w:rsid w:val="00B62EE4"/>
    <w:rsid w:val="00B63716"/>
    <w:rsid w:val="00B63D77"/>
    <w:rsid w:val="00B640CF"/>
    <w:rsid w:val="00B6425E"/>
    <w:rsid w:val="00B64743"/>
    <w:rsid w:val="00B6482F"/>
    <w:rsid w:val="00B652E2"/>
    <w:rsid w:val="00B6542B"/>
    <w:rsid w:val="00B655AD"/>
    <w:rsid w:val="00B65663"/>
    <w:rsid w:val="00B66093"/>
    <w:rsid w:val="00B6622A"/>
    <w:rsid w:val="00B66605"/>
    <w:rsid w:val="00B66B21"/>
    <w:rsid w:val="00B66C80"/>
    <w:rsid w:val="00B66E7E"/>
    <w:rsid w:val="00B67303"/>
    <w:rsid w:val="00B67634"/>
    <w:rsid w:val="00B676B5"/>
    <w:rsid w:val="00B676C6"/>
    <w:rsid w:val="00B67816"/>
    <w:rsid w:val="00B70376"/>
    <w:rsid w:val="00B70788"/>
    <w:rsid w:val="00B7097F"/>
    <w:rsid w:val="00B70C26"/>
    <w:rsid w:val="00B70D89"/>
    <w:rsid w:val="00B7129E"/>
    <w:rsid w:val="00B71C38"/>
    <w:rsid w:val="00B71E08"/>
    <w:rsid w:val="00B72A63"/>
    <w:rsid w:val="00B72AAD"/>
    <w:rsid w:val="00B72DFC"/>
    <w:rsid w:val="00B72F29"/>
    <w:rsid w:val="00B7342F"/>
    <w:rsid w:val="00B738B5"/>
    <w:rsid w:val="00B739E7"/>
    <w:rsid w:val="00B73A9C"/>
    <w:rsid w:val="00B74491"/>
    <w:rsid w:val="00B746CB"/>
    <w:rsid w:val="00B747A3"/>
    <w:rsid w:val="00B74B22"/>
    <w:rsid w:val="00B7529D"/>
    <w:rsid w:val="00B75758"/>
    <w:rsid w:val="00B7586E"/>
    <w:rsid w:val="00B75962"/>
    <w:rsid w:val="00B75A63"/>
    <w:rsid w:val="00B75D35"/>
    <w:rsid w:val="00B76034"/>
    <w:rsid w:val="00B7630D"/>
    <w:rsid w:val="00B76326"/>
    <w:rsid w:val="00B766FE"/>
    <w:rsid w:val="00B76A75"/>
    <w:rsid w:val="00B7718E"/>
    <w:rsid w:val="00B77303"/>
    <w:rsid w:val="00B776D3"/>
    <w:rsid w:val="00B77D37"/>
    <w:rsid w:val="00B805CF"/>
    <w:rsid w:val="00B80B92"/>
    <w:rsid w:val="00B80EB1"/>
    <w:rsid w:val="00B812C7"/>
    <w:rsid w:val="00B81974"/>
    <w:rsid w:val="00B81D8D"/>
    <w:rsid w:val="00B82018"/>
    <w:rsid w:val="00B82507"/>
    <w:rsid w:val="00B82530"/>
    <w:rsid w:val="00B826B9"/>
    <w:rsid w:val="00B8282D"/>
    <w:rsid w:val="00B828C3"/>
    <w:rsid w:val="00B82A7A"/>
    <w:rsid w:val="00B82B89"/>
    <w:rsid w:val="00B82F9B"/>
    <w:rsid w:val="00B830A3"/>
    <w:rsid w:val="00B83732"/>
    <w:rsid w:val="00B838C3"/>
    <w:rsid w:val="00B83D62"/>
    <w:rsid w:val="00B83F68"/>
    <w:rsid w:val="00B855BF"/>
    <w:rsid w:val="00B85883"/>
    <w:rsid w:val="00B85B63"/>
    <w:rsid w:val="00B8612D"/>
    <w:rsid w:val="00B861B0"/>
    <w:rsid w:val="00B868A6"/>
    <w:rsid w:val="00B86979"/>
    <w:rsid w:val="00B86B57"/>
    <w:rsid w:val="00B86E04"/>
    <w:rsid w:val="00B86F45"/>
    <w:rsid w:val="00B86F4A"/>
    <w:rsid w:val="00B871E9"/>
    <w:rsid w:val="00B87473"/>
    <w:rsid w:val="00B874A4"/>
    <w:rsid w:val="00B877CA"/>
    <w:rsid w:val="00B87A07"/>
    <w:rsid w:val="00B87AB5"/>
    <w:rsid w:val="00B87B02"/>
    <w:rsid w:val="00B9098A"/>
    <w:rsid w:val="00B90BF3"/>
    <w:rsid w:val="00B90DA4"/>
    <w:rsid w:val="00B9127A"/>
    <w:rsid w:val="00B9161A"/>
    <w:rsid w:val="00B918AB"/>
    <w:rsid w:val="00B91AE1"/>
    <w:rsid w:val="00B91D95"/>
    <w:rsid w:val="00B9209C"/>
    <w:rsid w:val="00B920E7"/>
    <w:rsid w:val="00B92318"/>
    <w:rsid w:val="00B929BB"/>
    <w:rsid w:val="00B92A7D"/>
    <w:rsid w:val="00B92CE8"/>
    <w:rsid w:val="00B92CEF"/>
    <w:rsid w:val="00B92D2C"/>
    <w:rsid w:val="00B92EEB"/>
    <w:rsid w:val="00B93354"/>
    <w:rsid w:val="00B934AE"/>
    <w:rsid w:val="00B937C2"/>
    <w:rsid w:val="00B93A9E"/>
    <w:rsid w:val="00B93D9B"/>
    <w:rsid w:val="00B94153"/>
    <w:rsid w:val="00B941D7"/>
    <w:rsid w:val="00B943FE"/>
    <w:rsid w:val="00B9440D"/>
    <w:rsid w:val="00B94704"/>
    <w:rsid w:val="00B9485E"/>
    <w:rsid w:val="00B94CD2"/>
    <w:rsid w:val="00B94D1F"/>
    <w:rsid w:val="00B94FC2"/>
    <w:rsid w:val="00B94FED"/>
    <w:rsid w:val="00B954AF"/>
    <w:rsid w:val="00B9597B"/>
    <w:rsid w:val="00B95A5A"/>
    <w:rsid w:val="00B96224"/>
    <w:rsid w:val="00B96268"/>
    <w:rsid w:val="00B96347"/>
    <w:rsid w:val="00B969A4"/>
    <w:rsid w:val="00B972AF"/>
    <w:rsid w:val="00B97768"/>
    <w:rsid w:val="00B97AA4"/>
    <w:rsid w:val="00B97B93"/>
    <w:rsid w:val="00B97BFB"/>
    <w:rsid w:val="00BA0045"/>
    <w:rsid w:val="00BA0391"/>
    <w:rsid w:val="00BA05CE"/>
    <w:rsid w:val="00BA0694"/>
    <w:rsid w:val="00BA1876"/>
    <w:rsid w:val="00BA1A53"/>
    <w:rsid w:val="00BA218D"/>
    <w:rsid w:val="00BA21A7"/>
    <w:rsid w:val="00BA27AB"/>
    <w:rsid w:val="00BA3266"/>
    <w:rsid w:val="00BA34B6"/>
    <w:rsid w:val="00BA3875"/>
    <w:rsid w:val="00BA39E7"/>
    <w:rsid w:val="00BA3CD8"/>
    <w:rsid w:val="00BA4407"/>
    <w:rsid w:val="00BA44BC"/>
    <w:rsid w:val="00BA4702"/>
    <w:rsid w:val="00BA4A22"/>
    <w:rsid w:val="00BA52C0"/>
    <w:rsid w:val="00BA53A8"/>
    <w:rsid w:val="00BA56E9"/>
    <w:rsid w:val="00BA572D"/>
    <w:rsid w:val="00BA57CD"/>
    <w:rsid w:val="00BA5B37"/>
    <w:rsid w:val="00BA5B51"/>
    <w:rsid w:val="00BA606B"/>
    <w:rsid w:val="00BA6393"/>
    <w:rsid w:val="00BA6597"/>
    <w:rsid w:val="00BA68C7"/>
    <w:rsid w:val="00BA6968"/>
    <w:rsid w:val="00BA69EF"/>
    <w:rsid w:val="00BA6CB4"/>
    <w:rsid w:val="00BA6D82"/>
    <w:rsid w:val="00BA6F19"/>
    <w:rsid w:val="00BA6F5C"/>
    <w:rsid w:val="00BA75E7"/>
    <w:rsid w:val="00BA7CEE"/>
    <w:rsid w:val="00BA7ED1"/>
    <w:rsid w:val="00BA7FDE"/>
    <w:rsid w:val="00BB084F"/>
    <w:rsid w:val="00BB1666"/>
    <w:rsid w:val="00BB1707"/>
    <w:rsid w:val="00BB18C5"/>
    <w:rsid w:val="00BB1983"/>
    <w:rsid w:val="00BB19A6"/>
    <w:rsid w:val="00BB21F0"/>
    <w:rsid w:val="00BB2264"/>
    <w:rsid w:val="00BB237D"/>
    <w:rsid w:val="00BB2630"/>
    <w:rsid w:val="00BB2869"/>
    <w:rsid w:val="00BB2D3E"/>
    <w:rsid w:val="00BB2DBB"/>
    <w:rsid w:val="00BB2EB4"/>
    <w:rsid w:val="00BB3115"/>
    <w:rsid w:val="00BB3330"/>
    <w:rsid w:val="00BB3B8D"/>
    <w:rsid w:val="00BB3E78"/>
    <w:rsid w:val="00BB4542"/>
    <w:rsid w:val="00BB464C"/>
    <w:rsid w:val="00BB484C"/>
    <w:rsid w:val="00BB5201"/>
    <w:rsid w:val="00BB53AC"/>
    <w:rsid w:val="00BB5B73"/>
    <w:rsid w:val="00BB5D05"/>
    <w:rsid w:val="00BB5E64"/>
    <w:rsid w:val="00BB6085"/>
    <w:rsid w:val="00BB6664"/>
    <w:rsid w:val="00BB6A87"/>
    <w:rsid w:val="00BB779C"/>
    <w:rsid w:val="00BB78AF"/>
    <w:rsid w:val="00BB7AC8"/>
    <w:rsid w:val="00BB7E09"/>
    <w:rsid w:val="00BC0228"/>
    <w:rsid w:val="00BC038D"/>
    <w:rsid w:val="00BC07EC"/>
    <w:rsid w:val="00BC08CF"/>
    <w:rsid w:val="00BC0D36"/>
    <w:rsid w:val="00BC0EB6"/>
    <w:rsid w:val="00BC11DA"/>
    <w:rsid w:val="00BC1657"/>
    <w:rsid w:val="00BC1EC1"/>
    <w:rsid w:val="00BC21CA"/>
    <w:rsid w:val="00BC237F"/>
    <w:rsid w:val="00BC2392"/>
    <w:rsid w:val="00BC274C"/>
    <w:rsid w:val="00BC2AE7"/>
    <w:rsid w:val="00BC2AF8"/>
    <w:rsid w:val="00BC2E43"/>
    <w:rsid w:val="00BC2EE8"/>
    <w:rsid w:val="00BC3041"/>
    <w:rsid w:val="00BC3097"/>
    <w:rsid w:val="00BC33B2"/>
    <w:rsid w:val="00BC41F3"/>
    <w:rsid w:val="00BC465C"/>
    <w:rsid w:val="00BC467A"/>
    <w:rsid w:val="00BC4A8D"/>
    <w:rsid w:val="00BC4DED"/>
    <w:rsid w:val="00BC4EA1"/>
    <w:rsid w:val="00BC57EE"/>
    <w:rsid w:val="00BC5D49"/>
    <w:rsid w:val="00BC6796"/>
    <w:rsid w:val="00BC6A65"/>
    <w:rsid w:val="00BC6DED"/>
    <w:rsid w:val="00BC702D"/>
    <w:rsid w:val="00BC7103"/>
    <w:rsid w:val="00BC7BBC"/>
    <w:rsid w:val="00BC7DF4"/>
    <w:rsid w:val="00BC7FF3"/>
    <w:rsid w:val="00BD0BFD"/>
    <w:rsid w:val="00BD0E8E"/>
    <w:rsid w:val="00BD1043"/>
    <w:rsid w:val="00BD10F7"/>
    <w:rsid w:val="00BD135A"/>
    <w:rsid w:val="00BD1463"/>
    <w:rsid w:val="00BD1491"/>
    <w:rsid w:val="00BD1839"/>
    <w:rsid w:val="00BD1FE3"/>
    <w:rsid w:val="00BD2296"/>
    <w:rsid w:val="00BD2528"/>
    <w:rsid w:val="00BD25FD"/>
    <w:rsid w:val="00BD27AC"/>
    <w:rsid w:val="00BD2ABA"/>
    <w:rsid w:val="00BD2BEA"/>
    <w:rsid w:val="00BD2CCC"/>
    <w:rsid w:val="00BD2D41"/>
    <w:rsid w:val="00BD2D87"/>
    <w:rsid w:val="00BD30FE"/>
    <w:rsid w:val="00BD364E"/>
    <w:rsid w:val="00BD3823"/>
    <w:rsid w:val="00BD39D1"/>
    <w:rsid w:val="00BD3C56"/>
    <w:rsid w:val="00BD3D65"/>
    <w:rsid w:val="00BD3F44"/>
    <w:rsid w:val="00BD3FC5"/>
    <w:rsid w:val="00BD4B2B"/>
    <w:rsid w:val="00BD4CE1"/>
    <w:rsid w:val="00BD4F69"/>
    <w:rsid w:val="00BD507F"/>
    <w:rsid w:val="00BD5115"/>
    <w:rsid w:val="00BD5BAB"/>
    <w:rsid w:val="00BD5E5B"/>
    <w:rsid w:val="00BD6C2A"/>
    <w:rsid w:val="00BD6C73"/>
    <w:rsid w:val="00BD6E04"/>
    <w:rsid w:val="00BD6EF8"/>
    <w:rsid w:val="00BD7365"/>
    <w:rsid w:val="00BD753C"/>
    <w:rsid w:val="00BD7607"/>
    <w:rsid w:val="00BD7745"/>
    <w:rsid w:val="00BD7D1B"/>
    <w:rsid w:val="00BE015B"/>
    <w:rsid w:val="00BE05CC"/>
    <w:rsid w:val="00BE0BA0"/>
    <w:rsid w:val="00BE0BCC"/>
    <w:rsid w:val="00BE0C0D"/>
    <w:rsid w:val="00BE0E12"/>
    <w:rsid w:val="00BE11B3"/>
    <w:rsid w:val="00BE1A0D"/>
    <w:rsid w:val="00BE1C8A"/>
    <w:rsid w:val="00BE1D66"/>
    <w:rsid w:val="00BE1EE6"/>
    <w:rsid w:val="00BE22D2"/>
    <w:rsid w:val="00BE265E"/>
    <w:rsid w:val="00BE2AA8"/>
    <w:rsid w:val="00BE3056"/>
    <w:rsid w:val="00BE3426"/>
    <w:rsid w:val="00BE34A4"/>
    <w:rsid w:val="00BE3D05"/>
    <w:rsid w:val="00BE3D4A"/>
    <w:rsid w:val="00BE4648"/>
    <w:rsid w:val="00BE4934"/>
    <w:rsid w:val="00BE4A6C"/>
    <w:rsid w:val="00BE4BC3"/>
    <w:rsid w:val="00BE4DAF"/>
    <w:rsid w:val="00BE52C4"/>
    <w:rsid w:val="00BE5403"/>
    <w:rsid w:val="00BE5573"/>
    <w:rsid w:val="00BE5680"/>
    <w:rsid w:val="00BE5A9C"/>
    <w:rsid w:val="00BE5DCC"/>
    <w:rsid w:val="00BE62F4"/>
    <w:rsid w:val="00BE6685"/>
    <w:rsid w:val="00BE7354"/>
    <w:rsid w:val="00BE73AD"/>
    <w:rsid w:val="00BE73F0"/>
    <w:rsid w:val="00BE7584"/>
    <w:rsid w:val="00BE75DE"/>
    <w:rsid w:val="00BE7635"/>
    <w:rsid w:val="00BE77ED"/>
    <w:rsid w:val="00BE7D73"/>
    <w:rsid w:val="00BE7F3C"/>
    <w:rsid w:val="00BF0529"/>
    <w:rsid w:val="00BF0A0C"/>
    <w:rsid w:val="00BF0EDD"/>
    <w:rsid w:val="00BF1760"/>
    <w:rsid w:val="00BF19A2"/>
    <w:rsid w:val="00BF1BDF"/>
    <w:rsid w:val="00BF1D66"/>
    <w:rsid w:val="00BF25DC"/>
    <w:rsid w:val="00BF38FA"/>
    <w:rsid w:val="00BF396A"/>
    <w:rsid w:val="00BF3D3D"/>
    <w:rsid w:val="00BF42AA"/>
    <w:rsid w:val="00BF4324"/>
    <w:rsid w:val="00BF4644"/>
    <w:rsid w:val="00BF46DF"/>
    <w:rsid w:val="00BF4E27"/>
    <w:rsid w:val="00BF5790"/>
    <w:rsid w:val="00BF59F9"/>
    <w:rsid w:val="00BF624D"/>
    <w:rsid w:val="00BF6BD6"/>
    <w:rsid w:val="00BF6E1B"/>
    <w:rsid w:val="00BF74DB"/>
    <w:rsid w:val="00BF75FE"/>
    <w:rsid w:val="00BF7F3E"/>
    <w:rsid w:val="00BF7F94"/>
    <w:rsid w:val="00C000FA"/>
    <w:rsid w:val="00C00201"/>
    <w:rsid w:val="00C01200"/>
    <w:rsid w:val="00C01239"/>
    <w:rsid w:val="00C0168F"/>
    <w:rsid w:val="00C02086"/>
    <w:rsid w:val="00C02671"/>
    <w:rsid w:val="00C0351D"/>
    <w:rsid w:val="00C03B94"/>
    <w:rsid w:val="00C03C59"/>
    <w:rsid w:val="00C03E8B"/>
    <w:rsid w:val="00C04084"/>
    <w:rsid w:val="00C0470C"/>
    <w:rsid w:val="00C04786"/>
    <w:rsid w:val="00C04CC2"/>
    <w:rsid w:val="00C05297"/>
    <w:rsid w:val="00C057FD"/>
    <w:rsid w:val="00C05B09"/>
    <w:rsid w:val="00C05DA2"/>
    <w:rsid w:val="00C05FC4"/>
    <w:rsid w:val="00C05FEC"/>
    <w:rsid w:val="00C061EE"/>
    <w:rsid w:val="00C0664B"/>
    <w:rsid w:val="00C06EA3"/>
    <w:rsid w:val="00C06FBD"/>
    <w:rsid w:val="00C07067"/>
    <w:rsid w:val="00C07689"/>
    <w:rsid w:val="00C07C46"/>
    <w:rsid w:val="00C07DC5"/>
    <w:rsid w:val="00C10115"/>
    <w:rsid w:val="00C10213"/>
    <w:rsid w:val="00C10385"/>
    <w:rsid w:val="00C107E3"/>
    <w:rsid w:val="00C11797"/>
    <w:rsid w:val="00C117AF"/>
    <w:rsid w:val="00C11A5F"/>
    <w:rsid w:val="00C11AD0"/>
    <w:rsid w:val="00C11DD4"/>
    <w:rsid w:val="00C12A56"/>
    <w:rsid w:val="00C12B69"/>
    <w:rsid w:val="00C130AA"/>
    <w:rsid w:val="00C132D2"/>
    <w:rsid w:val="00C1337E"/>
    <w:rsid w:val="00C136F0"/>
    <w:rsid w:val="00C13A66"/>
    <w:rsid w:val="00C14ED9"/>
    <w:rsid w:val="00C152EA"/>
    <w:rsid w:val="00C157C5"/>
    <w:rsid w:val="00C1580B"/>
    <w:rsid w:val="00C15E9F"/>
    <w:rsid w:val="00C16EB3"/>
    <w:rsid w:val="00C1731F"/>
    <w:rsid w:val="00C1789B"/>
    <w:rsid w:val="00C20471"/>
    <w:rsid w:val="00C204D6"/>
    <w:rsid w:val="00C208F5"/>
    <w:rsid w:val="00C20EE9"/>
    <w:rsid w:val="00C210A7"/>
    <w:rsid w:val="00C2151C"/>
    <w:rsid w:val="00C21E18"/>
    <w:rsid w:val="00C2203F"/>
    <w:rsid w:val="00C22567"/>
    <w:rsid w:val="00C22679"/>
    <w:rsid w:val="00C22D57"/>
    <w:rsid w:val="00C22FE6"/>
    <w:rsid w:val="00C23031"/>
    <w:rsid w:val="00C231E1"/>
    <w:rsid w:val="00C23539"/>
    <w:rsid w:val="00C2359A"/>
    <w:rsid w:val="00C23A57"/>
    <w:rsid w:val="00C23A6A"/>
    <w:rsid w:val="00C23C9E"/>
    <w:rsid w:val="00C23D85"/>
    <w:rsid w:val="00C23E73"/>
    <w:rsid w:val="00C23FAF"/>
    <w:rsid w:val="00C24093"/>
    <w:rsid w:val="00C2451A"/>
    <w:rsid w:val="00C246A5"/>
    <w:rsid w:val="00C252AD"/>
    <w:rsid w:val="00C259BD"/>
    <w:rsid w:val="00C259C8"/>
    <w:rsid w:val="00C26368"/>
    <w:rsid w:val="00C26654"/>
    <w:rsid w:val="00C26728"/>
    <w:rsid w:val="00C26DCE"/>
    <w:rsid w:val="00C2754A"/>
    <w:rsid w:val="00C275BB"/>
    <w:rsid w:val="00C2781A"/>
    <w:rsid w:val="00C27B68"/>
    <w:rsid w:val="00C27EDD"/>
    <w:rsid w:val="00C301D6"/>
    <w:rsid w:val="00C302D2"/>
    <w:rsid w:val="00C30518"/>
    <w:rsid w:val="00C30E1A"/>
    <w:rsid w:val="00C30F3E"/>
    <w:rsid w:val="00C31029"/>
    <w:rsid w:val="00C310EC"/>
    <w:rsid w:val="00C31169"/>
    <w:rsid w:val="00C31B8B"/>
    <w:rsid w:val="00C31F06"/>
    <w:rsid w:val="00C32A1A"/>
    <w:rsid w:val="00C32BE7"/>
    <w:rsid w:val="00C3339A"/>
    <w:rsid w:val="00C333D8"/>
    <w:rsid w:val="00C33477"/>
    <w:rsid w:val="00C33892"/>
    <w:rsid w:val="00C33E02"/>
    <w:rsid w:val="00C34108"/>
    <w:rsid w:val="00C3428F"/>
    <w:rsid w:val="00C342B6"/>
    <w:rsid w:val="00C34488"/>
    <w:rsid w:val="00C352B1"/>
    <w:rsid w:val="00C354E7"/>
    <w:rsid w:val="00C358B9"/>
    <w:rsid w:val="00C36374"/>
    <w:rsid w:val="00C36B51"/>
    <w:rsid w:val="00C36B7C"/>
    <w:rsid w:val="00C36F01"/>
    <w:rsid w:val="00C375C6"/>
    <w:rsid w:val="00C37EA5"/>
    <w:rsid w:val="00C417B3"/>
    <w:rsid w:val="00C41C84"/>
    <w:rsid w:val="00C41D5E"/>
    <w:rsid w:val="00C42701"/>
    <w:rsid w:val="00C427A9"/>
    <w:rsid w:val="00C42AEE"/>
    <w:rsid w:val="00C42BAF"/>
    <w:rsid w:val="00C42E66"/>
    <w:rsid w:val="00C430F2"/>
    <w:rsid w:val="00C43763"/>
    <w:rsid w:val="00C43AD8"/>
    <w:rsid w:val="00C43D1B"/>
    <w:rsid w:val="00C44416"/>
    <w:rsid w:val="00C445A9"/>
    <w:rsid w:val="00C445C4"/>
    <w:rsid w:val="00C4462D"/>
    <w:rsid w:val="00C44836"/>
    <w:rsid w:val="00C44CD2"/>
    <w:rsid w:val="00C450B2"/>
    <w:rsid w:val="00C4513E"/>
    <w:rsid w:val="00C451DB"/>
    <w:rsid w:val="00C451F4"/>
    <w:rsid w:val="00C456C3"/>
    <w:rsid w:val="00C45C5F"/>
    <w:rsid w:val="00C45D9F"/>
    <w:rsid w:val="00C45DA6"/>
    <w:rsid w:val="00C45E47"/>
    <w:rsid w:val="00C460E0"/>
    <w:rsid w:val="00C46215"/>
    <w:rsid w:val="00C4654D"/>
    <w:rsid w:val="00C467D2"/>
    <w:rsid w:val="00C46A48"/>
    <w:rsid w:val="00C46A95"/>
    <w:rsid w:val="00C46BA6"/>
    <w:rsid w:val="00C46BC3"/>
    <w:rsid w:val="00C46C43"/>
    <w:rsid w:val="00C46E8A"/>
    <w:rsid w:val="00C47406"/>
    <w:rsid w:val="00C478A6"/>
    <w:rsid w:val="00C47B76"/>
    <w:rsid w:val="00C47D4B"/>
    <w:rsid w:val="00C50A01"/>
    <w:rsid w:val="00C50B49"/>
    <w:rsid w:val="00C510C8"/>
    <w:rsid w:val="00C5114C"/>
    <w:rsid w:val="00C512FA"/>
    <w:rsid w:val="00C51413"/>
    <w:rsid w:val="00C51438"/>
    <w:rsid w:val="00C515BE"/>
    <w:rsid w:val="00C51D92"/>
    <w:rsid w:val="00C52176"/>
    <w:rsid w:val="00C5217E"/>
    <w:rsid w:val="00C52244"/>
    <w:rsid w:val="00C52350"/>
    <w:rsid w:val="00C524BC"/>
    <w:rsid w:val="00C524D9"/>
    <w:rsid w:val="00C5253C"/>
    <w:rsid w:val="00C528AF"/>
    <w:rsid w:val="00C52AEB"/>
    <w:rsid w:val="00C52C4B"/>
    <w:rsid w:val="00C52FE2"/>
    <w:rsid w:val="00C53377"/>
    <w:rsid w:val="00C53449"/>
    <w:rsid w:val="00C53A60"/>
    <w:rsid w:val="00C53BD1"/>
    <w:rsid w:val="00C53D6A"/>
    <w:rsid w:val="00C53D6F"/>
    <w:rsid w:val="00C54235"/>
    <w:rsid w:val="00C5475E"/>
    <w:rsid w:val="00C547B9"/>
    <w:rsid w:val="00C54887"/>
    <w:rsid w:val="00C54BFE"/>
    <w:rsid w:val="00C54CBD"/>
    <w:rsid w:val="00C55556"/>
    <w:rsid w:val="00C5573C"/>
    <w:rsid w:val="00C55820"/>
    <w:rsid w:val="00C55B74"/>
    <w:rsid w:val="00C55D24"/>
    <w:rsid w:val="00C55E95"/>
    <w:rsid w:val="00C55FFA"/>
    <w:rsid w:val="00C56065"/>
    <w:rsid w:val="00C569C0"/>
    <w:rsid w:val="00C56E64"/>
    <w:rsid w:val="00C56EB5"/>
    <w:rsid w:val="00C5764F"/>
    <w:rsid w:val="00C5783B"/>
    <w:rsid w:val="00C607FE"/>
    <w:rsid w:val="00C610E0"/>
    <w:rsid w:val="00C6122A"/>
    <w:rsid w:val="00C615FB"/>
    <w:rsid w:val="00C6174D"/>
    <w:rsid w:val="00C618B4"/>
    <w:rsid w:val="00C623FF"/>
    <w:rsid w:val="00C62634"/>
    <w:rsid w:val="00C62777"/>
    <w:rsid w:val="00C62899"/>
    <w:rsid w:val="00C6352A"/>
    <w:rsid w:val="00C6368D"/>
    <w:rsid w:val="00C6379F"/>
    <w:rsid w:val="00C637B3"/>
    <w:rsid w:val="00C63CBF"/>
    <w:rsid w:val="00C64200"/>
    <w:rsid w:val="00C647C3"/>
    <w:rsid w:val="00C64D67"/>
    <w:rsid w:val="00C64F73"/>
    <w:rsid w:val="00C65041"/>
    <w:rsid w:val="00C651CE"/>
    <w:rsid w:val="00C6535E"/>
    <w:rsid w:val="00C65614"/>
    <w:rsid w:val="00C656A4"/>
    <w:rsid w:val="00C659CE"/>
    <w:rsid w:val="00C65C8E"/>
    <w:rsid w:val="00C65D6B"/>
    <w:rsid w:val="00C65D73"/>
    <w:rsid w:val="00C65F18"/>
    <w:rsid w:val="00C66059"/>
    <w:rsid w:val="00C6658B"/>
    <w:rsid w:val="00C668DB"/>
    <w:rsid w:val="00C66A99"/>
    <w:rsid w:val="00C66C5A"/>
    <w:rsid w:val="00C66D3B"/>
    <w:rsid w:val="00C674A1"/>
    <w:rsid w:val="00C6778F"/>
    <w:rsid w:val="00C678C7"/>
    <w:rsid w:val="00C67A75"/>
    <w:rsid w:val="00C67D7A"/>
    <w:rsid w:val="00C702F4"/>
    <w:rsid w:val="00C70416"/>
    <w:rsid w:val="00C7054D"/>
    <w:rsid w:val="00C706C7"/>
    <w:rsid w:val="00C7072F"/>
    <w:rsid w:val="00C7089F"/>
    <w:rsid w:val="00C709CB"/>
    <w:rsid w:val="00C70D74"/>
    <w:rsid w:val="00C71213"/>
    <w:rsid w:val="00C71565"/>
    <w:rsid w:val="00C71690"/>
    <w:rsid w:val="00C717C7"/>
    <w:rsid w:val="00C7189C"/>
    <w:rsid w:val="00C71B9C"/>
    <w:rsid w:val="00C721E0"/>
    <w:rsid w:val="00C72214"/>
    <w:rsid w:val="00C7243D"/>
    <w:rsid w:val="00C72DFC"/>
    <w:rsid w:val="00C73129"/>
    <w:rsid w:val="00C73324"/>
    <w:rsid w:val="00C73463"/>
    <w:rsid w:val="00C734E2"/>
    <w:rsid w:val="00C746C5"/>
    <w:rsid w:val="00C74D48"/>
    <w:rsid w:val="00C74DFF"/>
    <w:rsid w:val="00C75045"/>
    <w:rsid w:val="00C751E5"/>
    <w:rsid w:val="00C75369"/>
    <w:rsid w:val="00C75600"/>
    <w:rsid w:val="00C7589D"/>
    <w:rsid w:val="00C75B02"/>
    <w:rsid w:val="00C75D39"/>
    <w:rsid w:val="00C75E85"/>
    <w:rsid w:val="00C761D4"/>
    <w:rsid w:val="00C76372"/>
    <w:rsid w:val="00C764F7"/>
    <w:rsid w:val="00C76B34"/>
    <w:rsid w:val="00C76D91"/>
    <w:rsid w:val="00C77723"/>
    <w:rsid w:val="00C778E5"/>
    <w:rsid w:val="00C77C8A"/>
    <w:rsid w:val="00C77CDE"/>
    <w:rsid w:val="00C77E6F"/>
    <w:rsid w:val="00C77F03"/>
    <w:rsid w:val="00C8029A"/>
    <w:rsid w:val="00C8039A"/>
    <w:rsid w:val="00C808E7"/>
    <w:rsid w:val="00C80A6D"/>
    <w:rsid w:val="00C80F66"/>
    <w:rsid w:val="00C81472"/>
    <w:rsid w:val="00C81479"/>
    <w:rsid w:val="00C81899"/>
    <w:rsid w:val="00C81E04"/>
    <w:rsid w:val="00C8210C"/>
    <w:rsid w:val="00C82787"/>
    <w:rsid w:val="00C8282A"/>
    <w:rsid w:val="00C82A11"/>
    <w:rsid w:val="00C82B39"/>
    <w:rsid w:val="00C82B56"/>
    <w:rsid w:val="00C82B7E"/>
    <w:rsid w:val="00C832AC"/>
    <w:rsid w:val="00C8330E"/>
    <w:rsid w:val="00C8336B"/>
    <w:rsid w:val="00C83D20"/>
    <w:rsid w:val="00C84074"/>
    <w:rsid w:val="00C84132"/>
    <w:rsid w:val="00C846AF"/>
    <w:rsid w:val="00C84715"/>
    <w:rsid w:val="00C84819"/>
    <w:rsid w:val="00C84AC3"/>
    <w:rsid w:val="00C84B5D"/>
    <w:rsid w:val="00C84C2A"/>
    <w:rsid w:val="00C84C5D"/>
    <w:rsid w:val="00C84D97"/>
    <w:rsid w:val="00C853F1"/>
    <w:rsid w:val="00C8559F"/>
    <w:rsid w:val="00C85785"/>
    <w:rsid w:val="00C859A5"/>
    <w:rsid w:val="00C85D18"/>
    <w:rsid w:val="00C85F25"/>
    <w:rsid w:val="00C8617B"/>
    <w:rsid w:val="00C8635F"/>
    <w:rsid w:val="00C8648A"/>
    <w:rsid w:val="00C8649A"/>
    <w:rsid w:val="00C864B2"/>
    <w:rsid w:val="00C864E7"/>
    <w:rsid w:val="00C867C4"/>
    <w:rsid w:val="00C8683A"/>
    <w:rsid w:val="00C86CC1"/>
    <w:rsid w:val="00C86EB6"/>
    <w:rsid w:val="00C86EF2"/>
    <w:rsid w:val="00C871EA"/>
    <w:rsid w:val="00C878F7"/>
    <w:rsid w:val="00C87980"/>
    <w:rsid w:val="00C90048"/>
    <w:rsid w:val="00C9013E"/>
    <w:rsid w:val="00C903D6"/>
    <w:rsid w:val="00C9043A"/>
    <w:rsid w:val="00C9089F"/>
    <w:rsid w:val="00C90A41"/>
    <w:rsid w:val="00C90C68"/>
    <w:rsid w:val="00C915BA"/>
    <w:rsid w:val="00C91794"/>
    <w:rsid w:val="00C91800"/>
    <w:rsid w:val="00C91A02"/>
    <w:rsid w:val="00C91AD1"/>
    <w:rsid w:val="00C91DD1"/>
    <w:rsid w:val="00C91E4A"/>
    <w:rsid w:val="00C91E54"/>
    <w:rsid w:val="00C923D5"/>
    <w:rsid w:val="00C92477"/>
    <w:rsid w:val="00C92855"/>
    <w:rsid w:val="00C9297D"/>
    <w:rsid w:val="00C92C41"/>
    <w:rsid w:val="00C92C9A"/>
    <w:rsid w:val="00C92FCF"/>
    <w:rsid w:val="00C93569"/>
    <w:rsid w:val="00C9365E"/>
    <w:rsid w:val="00C94172"/>
    <w:rsid w:val="00C94202"/>
    <w:rsid w:val="00C942D8"/>
    <w:rsid w:val="00C94598"/>
    <w:rsid w:val="00C945EE"/>
    <w:rsid w:val="00C9482F"/>
    <w:rsid w:val="00C94E83"/>
    <w:rsid w:val="00C95189"/>
    <w:rsid w:val="00C952A1"/>
    <w:rsid w:val="00C95C82"/>
    <w:rsid w:val="00C95D54"/>
    <w:rsid w:val="00C95DF6"/>
    <w:rsid w:val="00C962FF"/>
    <w:rsid w:val="00C968F5"/>
    <w:rsid w:val="00C96932"/>
    <w:rsid w:val="00C96D84"/>
    <w:rsid w:val="00C96FE7"/>
    <w:rsid w:val="00C97064"/>
    <w:rsid w:val="00C9721E"/>
    <w:rsid w:val="00C97332"/>
    <w:rsid w:val="00C974EA"/>
    <w:rsid w:val="00CA02E5"/>
    <w:rsid w:val="00CA0403"/>
    <w:rsid w:val="00CA076B"/>
    <w:rsid w:val="00CA0812"/>
    <w:rsid w:val="00CA0DD6"/>
    <w:rsid w:val="00CA0EFA"/>
    <w:rsid w:val="00CA193C"/>
    <w:rsid w:val="00CA1A7E"/>
    <w:rsid w:val="00CA1E20"/>
    <w:rsid w:val="00CA248C"/>
    <w:rsid w:val="00CA2935"/>
    <w:rsid w:val="00CA362A"/>
    <w:rsid w:val="00CA389B"/>
    <w:rsid w:val="00CA39FB"/>
    <w:rsid w:val="00CA3E1B"/>
    <w:rsid w:val="00CA4019"/>
    <w:rsid w:val="00CA4720"/>
    <w:rsid w:val="00CA4A0B"/>
    <w:rsid w:val="00CA4C29"/>
    <w:rsid w:val="00CA5103"/>
    <w:rsid w:val="00CA5B50"/>
    <w:rsid w:val="00CA5BD5"/>
    <w:rsid w:val="00CA65F8"/>
    <w:rsid w:val="00CA6EE0"/>
    <w:rsid w:val="00CA6FA4"/>
    <w:rsid w:val="00CA7120"/>
    <w:rsid w:val="00CA718D"/>
    <w:rsid w:val="00CA7263"/>
    <w:rsid w:val="00CA72DB"/>
    <w:rsid w:val="00CA762E"/>
    <w:rsid w:val="00CA76D0"/>
    <w:rsid w:val="00CB0D8E"/>
    <w:rsid w:val="00CB0E0B"/>
    <w:rsid w:val="00CB10BE"/>
    <w:rsid w:val="00CB11F7"/>
    <w:rsid w:val="00CB1271"/>
    <w:rsid w:val="00CB14E4"/>
    <w:rsid w:val="00CB1ED4"/>
    <w:rsid w:val="00CB1FBA"/>
    <w:rsid w:val="00CB21AB"/>
    <w:rsid w:val="00CB22E9"/>
    <w:rsid w:val="00CB2540"/>
    <w:rsid w:val="00CB2934"/>
    <w:rsid w:val="00CB2FE8"/>
    <w:rsid w:val="00CB39C4"/>
    <w:rsid w:val="00CB3B55"/>
    <w:rsid w:val="00CB3C49"/>
    <w:rsid w:val="00CB3E4E"/>
    <w:rsid w:val="00CB4129"/>
    <w:rsid w:val="00CB4709"/>
    <w:rsid w:val="00CB4979"/>
    <w:rsid w:val="00CB4A1F"/>
    <w:rsid w:val="00CB4B3F"/>
    <w:rsid w:val="00CB4BC6"/>
    <w:rsid w:val="00CB4F44"/>
    <w:rsid w:val="00CB53BA"/>
    <w:rsid w:val="00CB59C1"/>
    <w:rsid w:val="00CB606A"/>
    <w:rsid w:val="00CB60E5"/>
    <w:rsid w:val="00CB6A2A"/>
    <w:rsid w:val="00CB6C85"/>
    <w:rsid w:val="00CB6EED"/>
    <w:rsid w:val="00CB7171"/>
    <w:rsid w:val="00CB71F2"/>
    <w:rsid w:val="00CB742E"/>
    <w:rsid w:val="00CB75DC"/>
    <w:rsid w:val="00CB7652"/>
    <w:rsid w:val="00CB7933"/>
    <w:rsid w:val="00CB7C6D"/>
    <w:rsid w:val="00CC0112"/>
    <w:rsid w:val="00CC026C"/>
    <w:rsid w:val="00CC060D"/>
    <w:rsid w:val="00CC090F"/>
    <w:rsid w:val="00CC096D"/>
    <w:rsid w:val="00CC0E4B"/>
    <w:rsid w:val="00CC1201"/>
    <w:rsid w:val="00CC13E7"/>
    <w:rsid w:val="00CC1480"/>
    <w:rsid w:val="00CC1B0E"/>
    <w:rsid w:val="00CC1BA9"/>
    <w:rsid w:val="00CC1EDA"/>
    <w:rsid w:val="00CC210A"/>
    <w:rsid w:val="00CC24E3"/>
    <w:rsid w:val="00CC268D"/>
    <w:rsid w:val="00CC27B4"/>
    <w:rsid w:val="00CC2803"/>
    <w:rsid w:val="00CC2BCD"/>
    <w:rsid w:val="00CC2D2A"/>
    <w:rsid w:val="00CC2E79"/>
    <w:rsid w:val="00CC30D9"/>
    <w:rsid w:val="00CC3707"/>
    <w:rsid w:val="00CC37D6"/>
    <w:rsid w:val="00CC3BCD"/>
    <w:rsid w:val="00CC3EE8"/>
    <w:rsid w:val="00CC46E6"/>
    <w:rsid w:val="00CC49C3"/>
    <w:rsid w:val="00CC517C"/>
    <w:rsid w:val="00CC5430"/>
    <w:rsid w:val="00CC5D97"/>
    <w:rsid w:val="00CC5FB8"/>
    <w:rsid w:val="00CC6C17"/>
    <w:rsid w:val="00CC6C72"/>
    <w:rsid w:val="00CC6DD9"/>
    <w:rsid w:val="00CC7320"/>
    <w:rsid w:val="00CC7AF2"/>
    <w:rsid w:val="00CC7E69"/>
    <w:rsid w:val="00CC7FF2"/>
    <w:rsid w:val="00CD0461"/>
    <w:rsid w:val="00CD098C"/>
    <w:rsid w:val="00CD0EA5"/>
    <w:rsid w:val="00CD0F9E"/>
    <w:rsid w:val="00CD130A"/>
    <w:rsid w:val="00CD14BC"/>
    <w:rsid w:val="00CD1958"/>
    <w:rsid w:val="00CD1F1A"/>
    <w:rsid w:val="00CD1FB1"/>
    <w:rsid w:val="00CD2333"/>
    <w:rsid w:val="00CD32BF"/>
    <w:rsid w:val="00CD339D"/>
    <w:rsid w:val="00CD35D4"/>
    <w:rsid w:val="00CD367A"/>
    <w:rsid w:val="00CD3697"/>
    <w:rsid w:val="00CD37CC"/>
    <w:rsid w:val="00CD38B9"/>
    <w:rsid w:val="00CD3B28"/>
    <w:rsid w:val="00CD3E46"/>
    <w:rsid w:val="00CD411B"/>
    <w:rsid w:val="00CD444A"/>
    <w:rsid w:val="00CD4634"/>
    <w:rsid w:val="00CD4653"/>
    <w:rsid w:val="00CD483E"/>
    <w:rsid w:val="00CD4AAD"/>
    <w:rsid w:val="00CD4C5B"/>
    <w:rsid w:val="00CD4DA0"/>
    <w:rsid w:val="00CD4E3D"/>
    <w:rsid w:val="00CD4EF7"/>
    <w:rsid w:val="00CD5592"/>
    <w:rsid w:val="00CD5931"/>
    <w:rsid w:val="00CD5A07"/>
    <w:rsid w:val="00CD5A7E"/>
    <w:rsid w:val="00CD5CAB"/>
    <w:rsid w:val="00CD5CF8"/>
    <w:rsid w:val="00CD60A6"/>
    <w:rsid w:val="00CD6532"/>
    <w:rsid w:val="00CD69E5"/>
    <w:rsid w:val="00CD6B68"/>
    <w:rsid w:val="00CD6C5D"/>
    <w:rsid w:val="00CD72CE"/>
    <w:rsid w:val="00CD7599"/>
    <w:rsid w:val="00CD75EC"/>
    <w:rsid w:val="00CD769B"/>
    <w:rsid w:val="00CD783F"/>
    <w:rsid w:val="00CD7ABF"/>
    <w:rsid w:val="00CD7C52"/>
    <w:rsid w:val="00CE02E4"/>
    <w:rsid w:val="00CE0951"/>
    <w:rsid w:val="00CE1030"/>
    <w:rsid w:val="00CE155E"/>
    <w:rsid w:val="00CE1867"/>
    <w:rsid w:val="00CE1CD6"/>
    <w:rsid w:val="00CE1D4F"/>
    <w:rsid w:val="00CE2906"/>
    <w:rsid w:val="00CE2959"/>
    <w:rsid w:val="00CE29F6"/>
    <w:rsid w:val="00CE2DD0"/>
    <w:rsid w:val="00CE2E18"/>
    <w:rsid w:val="00CE2FA0"/>
    <w:rsid w:val="00CE30D5"/>
    <w:rsid w:val="00CE33D4"/>
    <w:rsid w:val="00CE37E9"/>
    <w:rsid w:val="00CE3B0F"/>
    <w:rsid w:val="00CE3B35"/>
    <w:rsid w:val="00CE3C18"/>
    <w:rsid w:val="00CE3FAD"/>
    <w:rsid w:val="00CE4000"/>
    <w:rsid w:val="00CE4291"/>
    <w:rsid w:val="00CE436F"/>
    <w:rsid w:val="00CE4374"/>
    <w:rsid w:val="00CE4483"/>
    <w:rsid w:val="00CE4CD5"/>
    <w:rsid w:val="00CE4D11"/>
    <w:rsid w:val="00CE5436"/>
    <w:rsid w:val="00CE54B8"/>
    <w:rsid w:val="00CE5CCE"/>
    <w:rsid w:val="00CE616A"/>
    <w:rsid w:val="00CE63AF"/>
    <w:rsid w:val="00CE65D2"/>
    <w:rsid w:val="00CE694A"/>
    <w:rsid w:val="00CE6A12"/>
    <w:rsid w:val="00CE6E3D"/>
    <w:rsid w:val="00CE6FE5"/>
    <w:rsid w:val="00CE72AA"/>
    <w:rsid w:val="00CE72E5"/>
    <w:rsid w:val="00CE7306"/>
    <w:rsid w:val="00CE7428"/>
    <w:rsid w:val="00CE7453"/>
    <w:rsid w:val="00CE7950"/>
    <w:rsid w:val="00CE7DC1"/>
    <w:rsid w:val="00CE7FDC"/>
    <w:rsid w:val="00CF062B"/>
    <w:rsid w:val="00CF0796"/>
    <w:rsid w:val="00CF115E"/>
    <w:rsid w:val="00CF12A2"/>
    <w:rsid w:val="00CF1611"/>
    <w:rsid w:val="00CF20E9"/>
    <w:rsid w:val="00CF2344"/>
    <w:rsid w:val="00CF2835"/>
    <w:rsid w:val="00CF2BC5"/>
    <w:rsid w:val="00CF331B"/>
    <w:rsid w:val="00CF35C6"/>
    <w:rsid w:val="00CF37A0"/>
    <w:rsid w:val="00CF37AF"/>
    <w:rsid w:val="00CF38C8"/>
    <w:rsid w:val="00CF3DCD"/>
    <w:rsid w:val="00CF4190"/>
    <w:rsid w:val="00CF41BA"/>
    <w:rsid w:val="00CF41D5"/>
    <w:rsid w:val="00CF438D"/>
    <w:rsid w:val="00CF461B"/>
    <w:rsid w:val="00CF4992"/>
    <w:rsid w:val="00CF4BB5"/>
    <w:rsid w:val="00CF4D45"/>
    <w:rsid w:val="00CF4D99"/>
    <w:rsid w:val="00CF4DD5"/>
    <w:rsid w:val="00CF4ECA"/>
    <w:rsid w:val="00CF516A"/>
    <w:rsid w:val="00CF5326"/>
    <w:rsid w:val="00CF5542"/>
    <w:rsid w:val="00CF5BEF"/>
    <w:rsid w:val="00CF5D51"/>
    <w:rsid w:val="00CF5FBF"/>
    <w:rsid w:val="00CF5FC4"/>
    <w:rsid w:val="00CF636B"/>
    <w:rsid w:val="00CF63C4"/>
    <w:rsid w:val="00CF6906"/>
    <w:rsid w:val="00CF69FC"/>
    <w:rsid w:val="00CF6A3B"/>
    <w:rsid w:val="00CF7AA1"/>
    <w:rsid w:val="00D00476"/>
    <w:rsid w:val="00D00579"/>
    <w:rsid w:val="00D0073C"/>
    <w:rsid w:val="00D00D9C"/>
    <w:rsid w:val="00D0108D"/>
    <w:rsid w:val="00D013C4"/>
    <w:rsid w:val="00D01488"/>
    <w:rsid w:val="00D01622"/>
    <w:rsid w:val="00D01CE9"/>
    <w:rsid w:val="00D01F9E"/>
    <w:rsid w:val="00D02322"/>
    <w:rsid w:val="00D0242E"/>
    <w:rsid w:val="00D02494"/>
    <w:rsid w:val="00D02A69"/>
    <w:rsid w:val="00D03144"/>
    <w:rsid w:val="00D035E4"/>
    <w:rsid w:val="00D03666"/>
    <w:rsid w:val="00D0372A"/>
    <w:rsid w:val="00D03B09"/>
    <w:rsid w:val="00D03C68"/>
    <w:rsid w:val="00D03D41"/>
    <w:rsid w:val="00D04091"/>
    <w:rsid w:val="00D04259"/>
    <w:rsid w:val="00D04316"/>
    <w:rsid w:val="00D0465D"/>
    <w:rsid w:val="00D04ABF"/>
    <w:rsid w:val="00D05A7A"/>
    <w:rsid w:val="00D05BC0"/>
    <w:rsid w:val="00D06182"/>
    <w:rsid w:val="00D062F0"/>
    <w:rsid w:val="00D065C0"/>
    <w:rsid w:val="00D065EF"/>
    <w:rsid w:val="00D068F4"/>
    <w:rsid w:val="00D06AD5"/>
    <w:rsid w:val="00D06F94"/>
    <w:rsid w:val="00D07162"/>
    <w:rsid w:val="00D071B5"/>
    <w:rsid w:val="00D072FB"/>
    <w:rsid w:val="00D0752C"/>
    <w:rsid w:val="00D07904"/>
    <w:rsid w:val="00D079B9"/>
    <w:rsid w:val="00D07A9E"/>
    <w:rsid w:val="00D07B13"/>
    <w:rsid w:val="00D07B2A"/>
    <w:rsid w:val="00D07DBD"/>
    <w:rsid w:val="00D10583"/>
    <w:rsid w:val="00D107D8"/>
    <w:rsid w:val="00D10D5F"/>
    <w:rsid w:val="00D11859"/>
    <w:rsid w:val="00D11EBD"/>
    <w:rsid w:val="00D11F05"/>
    <w:rsid w:val="00D123C8"/>
    <w:rsid w:val="00D128BF"/>
    <w:rsid w:val="00D12E99"/>
    <w:rsid w:val="00D13334"/>
    <w:rsid w:val="00D134B6"/>
    <w:rsid w:val="00D1383C"/>
    <w:rsid w:val="00D13DC3"/>
    <w:rsid w:val="00D1413A"/>
    <w:rsid w:val="00D141C4"/>
    <w:rsid w:val="00D14300"/>
    <w:rsid w:val="00D1476E"/>
    <w:rsid w:val="00D149C8"/>
    <w:rsid w:val="00D14C5E"/>
    <w:rsid w:val="00D14D8A"/>
    <w:rsid w:val="00D15070"/>
    <w:rsid w:val="00D1536D"/>
    <w:rsid w:val="00D154CE"/>
    <w:rsid w:val="00D15C2C"/>
    <w:rsid w:val="00D164F4"/>
    <w:rsid w:val="00D1679A"/>
    <w:rsid w:val="00D16856"/>
    <w:rsid w:val="00D16BA8"/>
    <w:rsid w:val="00D17D04"/>
    <w:rsid w:val="00D2000B"/>
    <w:rsid w:val="00D20F4D"/>
    <w:rsid w:val="00D214A2"/>
    <w:rsid w:val="00D2190F"/>
    <w:rsid w:val="00D22E86"/>
    <w:rsid w:val="00D22EDA"/>
    <w:rsid w:val="00D23213"/>
    <w:rsid w:val="00D2351C"/>
    <w:rsid w:val="00D23B40"/>
    <w:rsid w:val="00D23B4E"/>
    <w:rsid w:val="00D23DF3"/>
    <w:rsid w:val="00D23DFC"/>
    <w:rsid w:val="00D2411A"/>
    <w:rsid w:val="00D24548"/>
    <w:rsid w:val="00D24580"/>
    <w:rsid w:val="00D2464C"/>
    <w:rsid w:val="00D24B4C"/>
    <w:rsid w:val="00D2515D"/>
    <w:rsid w:val="00D25D92"/>
    <w:rsid w:val="00D25EC0"/>
    <w:rsid w:val="00D26331"/>
    <w:rsid w:val="00D26AC0"/>
    <w:rsid w:val="00D26B21"/>
    <w:rsid w:val="00D26EE9"/>
    <w:rsid w:val="00D26FEA"/>
    <w:rsid w:val="00D27103"/>
    <w:rsid w:val="00D27455"/>
    <w:rsid w:val="00D27574"/>
    <w:rsid w:val="00D27648"/>
    <w:rsid w:val="00D27758"/>
    <w:rsid w:val="00D27AE4"/>
    <w:rsid w:val="00D27E08"/>
    <w:rsid w:val="00D27F21"/>
    <w:rsid w:val="00D30208"/>
    <w:rsid w:val="00D30286"/>
    <w:rsid w:val="00D30550"/>
    <w:rsid w:val="00D30BFB"/>
    <w:rsid w:val="00D30C4A"/>
    <w:rsid w:val="00D30CE1"/>
    <w:rsid w:val="00D310D6"/>
    <w:rsid w:val="00D314EC"/>
    <w:rsid w:val="00D31654"/>
    <w:rsid w:val="00D31B80"/>
    <w:rsid w:val="00D31BDB"/>
    <w:rsid w:val="00D32A2E"/>
    <w:rsid w:val="00D333CC"/>
    <w:rsid w:val="00D33623"/>
    <w:rsid w:val="00D33924"/>
    <w:rsid w:val="00D33A93"/>
    <w:rsid w:val="00D33F8D"/>
    <w:rsid w:val="00D341A7"/>
    <w:rsid w:val="00D34279"/>
    <w:rsid w:val="00D34B77"/>
    <w:rsid w:val="00D34B8C"/>
    <w:rsid w:val="00D34FE6"/>
    <w:rsid w:val="00D35387"/>
    <w:rsid w:val="00D3582D"/>
    <w:rsid w:val="00D360D8"/>
    <w:rsid w:val="00D36281"/>
    <w:rsid w:val="00D36529"/>
    <w:rsid w:val="00D366EA"/>
    <w:rsid w:val="00D368D2"/>
    <w:rsid w:val="00D36AC0"/>
    <w:rsid w:val="00D37A1E"/>
    <w:rsid w:val="00D37DD9"/>
    <w:rsid w:val="00D37E2A"/>
    <w:rsid w:val="00D409EC"/>
    <w:rsid w:val="00D40D6E"/>
    <w:rsid w:val="00D41097"/>
    <w:rsid w:val="00D41AAC"/>
    <w:rsid w:val="00D41E30"/>
    <w:rsid w:val="00D420FC"/>
    <w:rsid w:val="00D42155"/>
    <w:rsid w:val="00D4243C"/>
    <w:rsid w:val="00D42695"/>
    <w:rsid w:val="00D42AFA"/>
    <w:rsid w:val="00D42E31"/>
    <w:rsid w:val="00D4322C"/>
    <w:rsid w:val="00D4325F"/>
    <w:rsid w:val="00D4330F"/>
    <w:rsid w:val="00D434A2"/>
    <w:rsid w:val="00D435C7"/>
    <w:rsid w:val="00D435E1"/>
    <w:rsid w:val="00D43AE3"/>
    <w:rsid w:val="00D443E0"/>
    <w:rsid w:val="00D444F8"/>
    <w:rsid w:val="00D445D9"/>
    <w:rsid w:val="00D44656"/>
    <w:rsid w:val="00D447D0"/>
    <w:rsid w:val="00D44922"/>
    <w:rsid w:val="00D44F17"/>
    <w:rsid w:val="00D45230"/>
    <w:rsid w:val="00D45412"/>
    <w:rsid w:val="00D45477"/>
    <w:rsid w:val="00D456F8"/>
    <w:rsid w:val="00D458B4"/>
    <w:rsid w:val="00D45916"/>
    <w:rsid w:val="00D463D0"/>
    <w:rsid w:val="00D46596"/>
    <w:rsid w:val="00D467A5"/>
    <w:rsid w:val="00D4683E"/>
    <w:rsid w:val="00D468B6"/>
    <w:rsid w:val="00D46B18"/>
    <w:rsid w:val="00D46BA7"/>
    <w:rsid w:val="00D46FDF"/>
    <w:rsid w:val="00D4711B"/>
    <w:rsid w:val="00D473CC"/>
    <w:rsid w:val="00D473D3"/>
    <w:rsid w:val="00D474B1"/>
    <w:rsid w:val="00D47543"/>
    <w:rsid w:val="00D47B8F"/>
    <w:rsid w:val="00D47C0F"/>
    <w:rsid w:val="00D47CC9"/>
    <w:rsid w:val="00D47F49"/>
    <w:rsid w:val="00D47F66"/>
    <w:rsid w:val="00D50626"/>
    <w:rsid w:val="00D50831"/>
    <w:rsid w:val="00D509C7"/>
    <w:rsid w:val="00D50BC3"/>
    <w:rsid w:val="00D50C1A"/>
    <w:rsid w:val="00D50D16"/>
    <w:rsid w:val="00D50F69"/>
    <w:rsid w:val="00D51111"/>
    <w:rsid w:val="00D51307"/>
    <w:rsid w:val="00D513DD"/>
    <w:rsid w:val="00D51637"/>
    <w:rsid w:val="00D51663"/>
    <w:rsid w:val="00D51771"/>
    <w:rsid w:val="00D51DC7"/>
    <w:rsid w:val="00D51F85"/>
    <w:rsid w:val="00D5211A"/>
    <w:rsid w:val="00D52242"/>
    <w:rsid w:val="00D5226A"/>
    <w:rsid w:val="00D522A9"/>
    <w:rsid w:val="00D5231E"/>
    <w:rsid w:val="00D52540"/>
    <w:rsid w:val="00D525D7"/>
    <w:rsid w:val="00D52E92"/>
    <w:rsid w:val="00D533AC"/>
    <w:rsid w:val="00D536FE"/>
    <w:rsid w:val="00D53AD6"/>
    <w:rsid w:val="00D53C8D"/>
    <w:rsid w:val="00D54280"/>
    <w:rsid w:val="00D54439"/>
    <w:rsid w:val="00D54688"/>
    <w:rsid w:val="00D54848"/>
    <w:rsid w:val="00D54E04"/>
    <w:rsid w:val="00D55041"/>
    <w:rsid w:val="00D5519B"/>
    <w:rsid w:val="00D55486"/>
    <w:rsid w:val="00D5612F"/>
    <w:rsid w:val="00D56333"/>
    <w:rsid w:val="00D56386"/>
    <w:rsid w:val="00D569A1"/>
    <w:rsid w:val="00D569A8"/>
    <w:rsid w:val="00D57688"/>
    <w:rsid w:val="00D57B17"/>
    <w:rsid w:val="00D57E10"/>
    <w:rsid w:val="00D57FBD"/>
    <w:rsid w:val="00D6023E"/>
    <w:rsid w:val="00D60565"/>
    <w:rsid w:val="00D60692"/>
    <w:rsid w:val="00D61056"/>
    <w:rsid w:val="00D6106B"/>
    <w:rsid w:val="00D61478"/>
    <w:rsid w:val="00D615D4"/>
    <w:rsid w:val="00D61954"/>
    <w:rsid w:val="00D61CE1"/>
    <w:rsid w:val="00D62854"/>
    <w:rsid w:val="00D62A2A"/>
    <w:rsid w:val="00D62A31"/>
    <w:rsid w:val="00D62B2A"/>
    <w:rsid w:val="00D6301F"/>
    <w:rsid w:val="00D6354F"/>
    <w:rsid w:val="00D636DF"/>
    <w:rsid w:val="00D63B1A"/>
    <w:rsid w:val="00D63CF5"/>
    <w:rsid w:val="00D63FC2"/>
    <w:rsid w:val="00D64669"/>
    <w:rsid w:val="00D64821"/>
    <w:rsid w:val="00D64EAC"/>
    <w:rsid w:val="00D650E0"/>
    <w:rsid w:val="00D654A2"/>
    <w:rsid w:val="00D655FB"/>
    <w:rsid w:val="00D65D16"/>
    <w:rsid w:val="00D65D54"/>
    <w:rsid w:val="00D65DDD"/>
    <w:rsid w:val="00D65EEF"/>
    <w:rsid w:val="00D6632A"/>
    <w:rsid w:val="00D666FB"/>
    <w:rsid w:val="00D669E0"/>
    <w:rsid w:val="00D66A8A"/>
    <w:rsid w:val="00D66B5D"/>
    <w:rsid w:val="00D66CC5"/>
    <w:rsid w:val="00D66D76"/>
    <w:rsid w:val="00D67078"/>
    <w:rsid w:val="00D6770E"/>
    <w:rsid w:val="00D67AE3"/>
    <w:rsid w:val="00D70819"/>
    <w:rsid w:val="00D7180C"/>
    <w:rsid w:val="00D71A72"/>
    <w:rsid w:val="00D71B01"/>
    <w:rsid w:val="00D71E06"/>
    <w:rsid w:val="00D71EE7"/>
    <w:rsid w:val="00D7250E"/>
    <w:rsid w:val="00D72BD8"/>
    <w:rsid w:val="00D73061"/>
    <w:rsid w:val="00D7336E"/>
    <w:rsid w:val="00D7339D"/>
    <w:rsid w:val="00D73768"/>
    <w:rsid w:val="00D739A5"/>
    <w:rsid w:val="00D73B5A"/>
    <w:rsid w:val="00D74B04"/>
    <w:rsid w:val="00D74E11"/>
    <w:rsid w:val="00D7508B"/>
    <w:rsid w:val="00D75216"/>
    <w:rsid w:val="00D753A7"/>
    <w:rsid w:val="00D75443"/>
    <w:rsid w:val="00D75574"/>
    <w:rsid w:val="00D75760"/>
    <w:rsid w:val="00D7576F"/>
    <w:rsid w:val="00D759D8"/>
    <w:rsid w:val="00D75CA1"/>
    <w:rsid w:val="00D76096"/>
    <w:rsid w:val="00D76144"/>
    <w:rsid w:val="00D766A0"/>
    <w:rsid w:val="00D76CFA"/>
    <w:rsid w:val="00D77001"/>
    <w:rsid w:val="00D770A7"/>
    <w:rsid w:val="00D771CB"/>
    <w:rsid w:val="00D774E3"/>
    <w:rsid w:val="00D77528"/>
    <w:rsid w:val="00D7761B"/>
    <w:rsid w:val="00D77793"/>
    <w:rsid w:val="00D777E9"/>
    <w:rsid w:val="00D778CE"/>
    <w:rsid w:val="00D77D82"/>
    <w:rsid w:val="00D80208"/>
    <w:rsid w:val="00D8047A"/>
    <w:rsid w:val="00D8048A"/>
    <w:rsid w:val="00D80AEC"/>
    <w:rsid w:val="00D80B2F"/>
    <w:rsid w:val="00D80CA6"/>
    <w:rsid w:val="00D80CAC"/>
    <w:rsid w:val="00D80CE4"/>
    <w:rsid w:val="00D832BA"/>
    <w:rsid w:val="00D834EC"/>
    <w:rsid w:val="00D83505"/>
    <w:rsid w:val="00D839B9"/>
    <w:rsid w:val="00D839DF"/>
    <w:rsid w:val="00D83F4E"/>
    <w:rsid w:val="00D84042"/>
    <w:rsid w:val="00D842A0"/>
    <w:rsid w:val="00D84488"/>
    <w:rsid w:val="00D845E3"/>
    <w:rsid w:val="00D847CF"/>
    <w:rsid w:val="00D84951"/>
    <w:rsid w:val="00D849AA"/>
    <w:rsid w:val="00D84B73"/>
    <w:rsid w:val="00D84BEA"/>
    <w:rsid w:val="00D84D89"/>
    <w:rsid w:val="00D84E2F"/>
    <w:rsid w:val="00D84E38"/>
    <w:rsid w:val="00D85044"/>
    <w:rsid w:val="00D85A40"/>
    <w:rsid w:val="00D85B08"/>
    <w:rsid w:val="00D85B4F"/>
    <w:rsid w:val="00D85BDD"/>
    <w:rsid w:val="00D85FC4"/>
    <w:rsid w:val="00D86178"/>
    <w:rsid w:val="00D86689"/>
    <w:rsid w:val="00D866D6"/>
    <w:rsid w:val="00D867A2"/>
    <w:rsid w:val="00D86A3D"/>
    <w:rsid w:val="00D86F7D"/>
    <w:rsid w:val="00D8700C"/>
    <w:rsid w:val="00D871C8"/>
    <w:rsid w:val="00D8745F"/>
    <w:rsid w:val="00D875CD"/>
    <w:rsid w:val="00D878A2"/>
    <w:rsid w:val="00D8798A"/>
    <w:rsid w:val="00D87B09"/>
    <w:rsid w:val="00D87B44"/>
    <w:rsid w:val="00D87D72"/>
    <w:rsid w:val="00D87E24"/>
    <w:rsid w:val="00D87EC7"/>
    <w:rsid w:val="00D90D68"/>
    <w:rsid w:val="00D90FD8"/>
    <w:rsid w:val="00D91016"/>
    <w:rsid w:val="00D9105B"/>
    <w:rsid w:val="00D912C4"/>
    <w:rsid w:val="00D91834"/>
    <w:rsid w:val="00D91A06"/>
    <w:rsid w:val="00D91A09"/>
    <w:rsid w:val="00D91EDF"/>
    <w:rsid w:val="00D92027"/>
    <w:rsid w:val="00D92196"/>
    <w:rsid w:val="00D921A0"/>
    <w:rsid w:val="00D92534"/>
    <w:rsid w:val="00D927D8"/>
    <w:rsid w:val="00D92905"/>
    <w:rsid w:val="00D92C0C"/>
    <w:rsid w:val="00D92C5D"/>
    <w:rsid w:val="00D9348B"/>
    <w:rsid w:val="00D93859"/>
    <w:rsid w:val="00D939A3"/>
    <w:rsid w:val="00D9441F"/>
    <w:rsid w:val="00D946FF"/>
    <w:rsid w:val="00D94B8B"/>
    <w:rsid w:val="00D94CC7"/>
    <w:rsid w:val="00D94D67"/>
    <w:rsid w:val="00D94F6F"/>
    <w:rsid w:val="00D95B39"/>
    <w:rsid w:val="00D95D74"/>
    <w:rsid w:val="00D960CE"/>
    <w:rsid w:val="00D9613B"/>
    <w:rsid w:val="00D9655C"/>
    <w:rsid w:val="00D96CBA"/>
    <w:rsid w:val="00D96DAF"/>
    <w:rsid w:val="00D97471"/>
    <w:rsid w:val="00D9765C"/>
    <w:rsid w:val="00DA0868"/>
    <w:rsid w:val="00DA08DE"/>
    <w:rsid w:val="00DA0A5D"/>
    <w:rsid w:val="00DA0C02"/>
    <w:rsid w:val="00DA0FD3"/>
    <w:rsid w:val="00DA1220"/>
    <w:rsid w:val="00DA1510"/>
    <w:rsid w:val="00DA155F"/>
    <w:rsid w:val="00DA15A0"/>
    <w:rsid w:val="00DA195D"/>
    <w:rsid w:val="00DA1D78"/>
    <w:rsid w:val="00DA21A5"/>
    <w:rsid w:val="00DA2488"/>
    <w:rsid w:val="00DA2D49"/>
    <w:rsid w:val="00DA2DD9"/>
    <w:rsid w:val="00DA2FCA"/>
    <w:rsid w:val="00DA368F"/>
    <w:rsid w:val="00DA3793"/>
    <w:rsid w:val="00DA3BBB"/>
    <w:rsid w:val="00DA40AA"/>
    <w:rsid w:val="00DA4206"/>
    <w:rsid w:val="00DA4239"/>
    <w:rsid w:val="00DA4575"/>
    <w:rsid w:val="00DA4660"/>
    <w:rsid w:val="00DA4746"/>
    <w:rsid w:val="00DA47C4"/>
    <w:rsid w:val="00DA4F6B"/>
    <w:rsid w:val="00DA514B"/>
    <w:rsid w:val="00DA5366"/>
    <w:rsid w:val="00DA5A74"/>
    <w:rsid w:val="00DA5ADD"/>
    <w:rsid w:val="00DA5DA6"/>
    <w:rsid w:val="00DA6629"/>
    <w:rsid w:val="00DA7522"/>
    <w:rsid w:val="00DA76A9"/>
    <w:rsid w:val="00DA79E7"/>
    <w:rsid w:val="00DA7A5D"/>
    <w:rsid w:val="00DA7D5E"/>
    <w:rsid w:val="00DA7D88"/>
    <w:rsid w:val="00DA7E31"/>
    <w:rsid w:val="00DB01D0"/>
    <w:rsid w:val="00DB03A5"/>
    <w:rsid w:val="00DB0514"/>
    <w:rsid w:val="00DB0538"/>
    <w:rsid w:val="00DB1BE1"/>
    <w:rsid w:val="00DB2620"/>
    <w:rsid w:val="00DB2A18"/>
    <w:rsid w:val="00DB2AEF"/>
    <w:rsid w:val="00DB2C92"/>
    <w:rsid w:val="00DB2CAD"/>
    <w:rsid w:val="00DB2E31"/>
    <w:rsid w:val="00DB30EE"/>
    <w:rsid w:val="00DB34BF"/>
    <w:rsid w:val="00DB361C"/>
    <w:rsid w:val="00DB367B"/>
    <w:rsid w:val="00DB39DD"/>
    <w:rsid w:val="00DB40ED"/>
    <w:rsid w:val="00DB44CA"/>
    <w:rsid w:val="00DB4761"/>
    <w:rsid w:val="00DB4914"/>
    <w:rsid w:val="00DB4E78"/>
    <w:rsid w:val="00DB5702"/>
    <w:rsid w:val="00DB59D8"/>
    <w:rsid w:val="00DB5FBA"/>
    <w:rsid w:val="00DB66AA"/>
    <w:rsid w:val="00DB6A02"/>
    <w:rsid w:val="00DB6D78"/>
    <w:rsid w:val="00DB6EA8"/>
    <w:rsid w:val="00DB7467"/>
    <w:rsid w:val="00DB7FFD"/>
    <w:rsid w:val="00DC001F"/>
    <w:rsid w:val="00DC030A"/>
    <w:rsid w:val="00DC0451"/>
    <w:rsid w:val="00DC0C92"/>
    <w:rsid w:val="00DC0CAC"/>
    <w:rsid w:val="00DC0D15"/>
    <w:rsid w:val="00DC0D30"/>
    <w:rsid w:val="00DC0E1C"/>
    <w:rsid w:val="00DC166A"/>
    <w:rsid w:val="00DC175B"/>
    <w:rsid w:val="00DC1D00"/>
    <w:rsid w:val="00DC1DBD"/>
    <w:rsid w:val="00DC20F4"/>
    <w:rsid w:val="00DC2528"/>
    <w:rsid w:val="00DC2585"/>
    <w:rsid w:val="00DC2690"/>
    <w:rsid w:val="00DC2983"/>
    <w:rsid w:val="00DC29A8"/>
    <w:rsid w:val="00DC2B48"/>
    <w:rsid w:val="00DC2E2C"/>
    <w:rsid w:val="00DC31EE"/>
    <w:rsid w:val="00DC377D"/>
    <w:rsid w:val="00DC4895"/>
    <w:rsid w:val="00DC49FE"/>
    <w:rsid w:val="00DC4FCC"/>
    <w:rsid w:val="00DC5013"/>
    <w:rsid w:val="00DC504E"/>
    <w:rsid w:val="00DC515E"/>
    <w:rsid w:val="00DC553A"/>
    <w:rsid w:val="00DC56AD"/>
    <w:rsid w:val="00DC56E8"/>
    <w:rsid w:val="00DC58D0"/>
    <w:rsid w:val="00DC5A02"/>
    <w:rsid w:val="00DC5B3A"/>
    <w:rsid w:val="00DC5E63"/>
    <w:rsid w:val="00DC60ED"/>
    <w:rsid w:val="00DC6118"/>
    <w:rsid w:val="00DC6E62"/>
    <w:rsid w:val="00DC7231"/>
    <w:rsid w:val="00DC7577"/>
    <w:rsid w:val="00DC7820"/>
    <w:rsid w:val="00DD059A"/>
    <w:rsid w:val="00DD0E2A"/>
    <w:rsid w:val="00DD0E81"/>
    <w:rsid w:val="00DD124A"/>
    <w:rsid w:val="00DD1399"/>
    <w:rsid w:val="00DD14F2"/>
    <w:rsid w:val="00DD1520"/>
    <w:rsid w:val="00DD18D5"/>
    <w:rsid w:val="00DD1957"/>
    <w:rsid w:val="00DD1F30"/>
    <w:rsid w:val="00DD1F59"/>
    <w:rsid w:val="00DD2242"/>
    <w:rsid w:val="00DD348B"/>
    <w:rsid w:val="00DD375F"/>
    <w:rsid w:val="00DD3868"/>
    <w:rsid w:val="00DD393A"/>
    <w:rsid w:val="00DD3A50"/>
    <w:rsid w:val="00DD3DA7"/>
    <w:rsid w:val="00DD44B4"/>
    <w:rsid w:val="00DD4D22"/>
    <w:rsid w:val="00DD4EA5"/>
    <w:rsid w:val="00DD5B25"/>
    <w:rsid w:val="00DD5C8A"/>
    <w:rsid w:val="00DD5D90"/>
    <w:rsid w:val="00DD5F30"/>
    <w:rsid w:val="00DD62AA"/>
    <w:rsid w:val="00DD699B"/>
    <w:rsid w:val="00DD6E27"/>
    <w:rsid w:val="00DD6E70"/>
    <w:rsid w:val="00DD7D80"/>
    <w:rsid w:val="00DD7F40"/>
    <w:rsid w:val="00DE0AB5"/>
    <w:rsid w:val="00DE0B96"/>
    <w:rsid w:val="00DE0C56"/>
    <w:rsid w:val="00DE0C88"/>
    <w:rsid w:val="00DE1132"/>
    <w:rsid w:val="00DE12BD"/>
    <w:rsid w:val="00DE1D5A"/>
    <w:rsid w:val="00DE1D65"/>
    <w:rsid w:val="00DE2323"/>
    <w:rsid w:val="00DE2569"/>
    <w:rsid w:val="00DE2724"/>
    <w:rsid w:val="00DE2B54"/>
    <w:rsid w:val="00DE2C82"/>
    <w:rsid w:val="00DE2E95"/>
    <w:rsid w:val="00DE2F3F"/>
    <w:rsid w:val="00DE3414"/>
    <w:rsid w:val="00DE34FC"/>
    <w:rsid w:val="00DE3999"/>
    <w:rsid w:val="00DE3A17"/>
    <w:rsid w:val="00DE3BA4"/>
    <w:rsid w:val="00DE3C5D"/>
    <w:rsid w:val="00DE3E27"/>
    <w:rsid w:val="00DE3EEE"/>
    <w:rsid w:val="00DE40C9"/>
    <w:rsid w:val="00DE45EA"/>
    <w:rsid w:val="00DE4620"/>
    <w:rsid w:val="00DE4919"/>
    <w:rsid w:val="00DE4B40"/>
    <w:rsid w:val="00DE4F75"/>
    <w:rsid w:val="00DE507E"/>
    <w:rsid w:val="00DE5417"/>
    <w:rsid w:val="00DE547D"/>
    <w:rsid w:val="00DE58EC"/>
    <w:rsid w:val="00DE5A00"/>
    <w:rsid w:val="00DE5BF4"/>
    <w:rsid w:val="00DE5F0F"/>
    <w:rsid w:val="00DE6745"/>
    <w:rsid w:val="00DE68DF"/>
    <w:rsid w:val="00DE68FB"/>
    <w:rsid w:val="00DE6B17"/>
    <w:rsid w:val="00DE6B40"/>
    <w:rsid w:val="00DE6CFB"/>
    <w:rsid w:val="00DE7920"/>
    <w:rsid w:val="00DE7B8E"/>
    <w:rsid w:val="00DE7D53"/>
    <w:rsid w:val="00DE7F57"/>
    <w:rsid w:val="00DF019E"/>
    <w:rsid w:val="00DF025A"/>
    <w:rsid w:val="00DF05B2"/>
    <w:rsid w:val="00DF09B5"/>
    <w:rsid w:val="00DF0C46"/>
    <w:rsid w:val="00DF0CF7"/>
    <w:rsid w:val="00DF1C75"/>
    <w:rsid w:val="00DF1D13"/>
    <w:rsid w:val="00DF231F"/>
    <w:rsid w:val="00DF2671"/>
    <w:rsid w:val="00DF2771"/>
    <w:rsid w:val="00DF28E4"/>
    <w:rsid w:val="00DF2999"/>
    <w:rsid w:val="00DF2C68"/>
    <w:rsid w:val="00DF2CA3"/>
    <w:rsid w:val="00DF31CB"/>
    <w:rsid w:val="00DF330B"/>
    <w:rsid w:val="00DF35EC"/>
    <w:rsid w:val="00DF4007"/>
    <w:rsid w:val="00DF4BC1"/>
    <w:rsid w:val="00DF4FC9"/>
    <w:rsid w:val="00DF584F"/>
    <w:rsid w:val="00DF5C2E"/>
    <w:rsid w:val="00DF5D9D"/>
    <w:rsid w:val="00DF5E4F"/>
    <w:rsid w:val="00DF5EE9"/>
    <w:rsid w:val="00DF6091"/>
    <w:rsid w:val="00DF6262"/>
    <w:rsid w:val="00DF63F9"/>
    <w:rsid w:val="00DF6848"/>
    <w:rsid w:val="00DF6981"/>
    <w:rsid w:val="00DF69B9"/>
    <w:rsid w:val="00DF6B4C"/>
    <w:rsid w:val="00DF6DA5"/>
    <w:rsid w:val="00DF7125"/>
    <w:rsid w:val="00DF7136"/>
    <w:rsid w:val="00DF7275"/>
    <w:rsid w:val="00DF74C4"/>
    <w:rsid w:val="00DF74DD"/>
    <w:rsid w:val="00DF7C7D"/>
    <w:rsid w:val="00DF7F14"/>
    <w:rsid w:val="00DF7F62"/>
    <w:rsid w:val="00E000E2"/>
    <w:rsid w:val="00E002A7"/>
    <w:rsid w:val="00E003F2"/>
    <w:rsid w:val="00E0099A"/>
    <w:rsid w:val="00E00B37"/>
    <w:rsid w:val="00E01113"/>
    <w:rsid w:val="00E015A2"/>
    <w:rsid w:val="00E01864"/>
    <w:rsid w:val="00E0198D"/>
    <w:rsid w:val="00E01B0C"/>
    <w:rsid w:val="00E01D4B"/>
    <w:rsid w:val="00E0204A"/>
    <w:rsid w:val="00E024AE"/>
    <w:rsid w:val="00E024F9"/>
    <w:rsid w:val="00E02CAA"/>
    <w:rsid w:val="00E02D83"/>
    <w:rsid w:val="00E02F63"/>
    <w:rsid w:val="00E02FBF"/>
    <w:rsid w:val="00E030E0"/>
    <w:rsid w:val="00E0354B"/>
    <w:rsid w:val="00E039D1"/>
    <w:rsid w:val="00E04259"/>
    <w:rsid w:val="00E042A4"/>
    <w:rsid w:val="00E04C39"/>
    <w:rsid w:val="00E04E3C"/>
    <w:rsid w:val="00E052A0"/>
    <w:rsid w:val="00E069A5"/>
    <w:rsid w:val="00E069C8"/>
    <w:rsid w:val="00E06B3D"/>
    <w:rsid w:val="00E06E7E"/>
    <w:rsid w:val="00E07449"/>
    <w:rsid w:val="00E07626"/>
    <w:rsid w:val="00E07709"/>
    <w:rsid w:val="00E078F5"/>
    <w:rsid w:val="00E07A8B"/>
    <w:rsid w:val="00E07C66"/>
    <w:rsid w:val="00E101A3"/>
    <w:rsid w:val="00E101D3"/>
    <w:rsid w:val="00E101E8"/>
    <w:rsid w:val="00E10858"/>
    <w:rsid w:val="00E11694"/>
    <w:rsid w:val="00E116B8"/>
    <w:rsid w:val="00E11B87"/>
    <w:rsid w:val="00E12497"/>
    <w:rsid w:val="00E12D9C"/>
    <w:rsid w:val="00E131D3"/>
    <w:rsid w:val="00E13415"/>
    <w:rsid w:val="00E13603"/>
    <w:rsid w:val="00E14217"/>
    <w:rsid w:val="00E1481F"/>
    <w:rsid w:val="00E14B89"/>
    <w:rsid w:val="00E14EDB"/>
    <w:rsid w:val="00E15215"/>
    <w:rsid w:val="00E15C32"/>
    <w:rsid w:val="00E15C41"/>
    <w:rsid w:val="00E15D35"/>
    <w:rsid w:val="00E15D83"/>
    <w:rsid w:val="00E16457"/>
    <w:rsid w:val="00E167B1"/>
    <w:rsid w:val="00E167EC"/>
    <w:rsid w:val="00E16955"/>
    <w:rsid w:val="00E1745D"/>
    <w:rsid w:val="00E17915"/>
    <w:rsid w:val="00E17BB7"/>
    <w:rsid w:val="00E202DB"/>
    <w:rsid w:val="00E203FE"/>
    <w:rsid w:val="00E20AE9"/>
    <w:rsid w:val="00E20B04"/>
    <w:rsid w:val="00E20B12"/>
    <w:rsid w:val="00E20C18"/>
    <w:rsid w:val="00E20C60"/>
    <w:rsid w:val="00E20F00"/>
    <w:rsid w:val="00E21414"/>
    <w:rsid w:val="00E2183E"/>
    <w:rsid w:val="00E219BA"/>
    <w:rsid w:val="00E21EBC"/>
    <w:rsid w:val="00E22491"/>
    <w:rsid w:val="00E22BA7"/>
    <w:rsid w:val="00E22CB7"/>
    <w:rsid w:val="00E23732"/>
    <w:rsid w:val="00E23A04"/>
    <w:rsid w:val="00E23E31"/>
    <w:rsid w:val="00E23E3E"/>
    <w:rsid w:val="00E23FC1"/>
    <w:rsid w:val="00E240B2"/>
    <w:rsid w:val="00E240BF"/>
    <w:rsid w:val="00E2443D"/>
    <w:rsid w:val="00E24B0C"/>
    <w:rsid w:val="00E24B8F"/>
    <w:rsid w:val="00E24BEC"/>
    <w:rsid w:val="00E24DCF"/>
    <w:rsid w:val="00E252AC"/>
    <w:rsid w:val="00E253B8"/>
    <w:rsid w:val="00E25519"/>
    <w:rsid w:val="00E2558F"/>
    <w:rsid w:val="00E25600"/>
    <w:rsid w:val="00E26302"/>
    <w:rsid w:val="00E263A5"/>
    <w:rsid w:val="00E26403"/>
    <w:rsid w:val="00E26951"/>
    <w:rsid w:val="00E26CD4"/>
    <w:rsid w:val="00E26E64"/>
    <w:rsid w:val="00E26EE1"/>
    <w:rsid w:val="00E26FA2"/>
    <w:rsid w:val="00E275C2"/>
    <w:rsid w:val="00E27641"/>
    <w:rsid w:val="00E27884"/>
    <w:rsid w:val="00E27A00"/>
    <w:rsid w:val="00E27BD4"/>
    <w:rsid w:val="00E27D2B"/>
    <w:rsid w:val="00E27D5D"/>
    <w:rsid w:val="00E27DFB"/>
    <w:rsid w:val="00E27E4D"/>
    <w:rsid w:val="00E27E99"/>
    <w:rsid w:val="00E30122"/>
    <w:rsid w:val="00E30153"/>
    <w:rsid w:val="00E3048D"/>
    <w:rsid w:val="00E31059"/>
    <w:rsid w:val="00E3175A"/>
    <w:rsid w:val="00E31921"/>
    <w:rsid w:val="00E3202D"/>
    <w:rsid w:val="00E323E3"/>
    <w:rsid w:val="00E324CF"/>
    <w:rsid w:val="00E32B92"/>
    <w:rsid w:val="00E33046"/>
    <w:rsid w:val="00E33A99"/>
    <w:rsid w:val="00E33AA1"/>
    <w:rsid w:val="00E346A6"/>
    <w:rsid w:val="00E3497D"/>
    <w:rsid w:val="00E34ABD"/>
    <w:rsid w:val="00E34AFB"/>
    <w:rsid w:val="00E34F71"/>
    <w:rsid w:val="00E351B6"/>
    <w:rsid w:val="00E35320"/>
    <w:rsid w:val="00E3586E"/>
    <w:rsid w:val="00E37390"/>
    <w:rsid w:val="00E37397"/>
    <w:rsid w:val="00E37407"/>
    <w:rsid w:val="00E37F21"/>
    <w:rsid w:val="00E4050D"/>
    <w:rsid w:val="00E40616"/>
    <w:rsid w:val="00E40777"/>
    <w:rsid w:val="00E407AD"/>
    <w:rsid w:val="00E4080D"/>
    <w:rsid w:val="00E409EF"/>
    <w:rsid w:val="00E41026"/>
    <w:rsid w:val="00E41389"/>
    <w:rsid w:val="00E419B4"/>
    <w:rsid w:val="00E41DB8"/>
    <w:rsid w:val="00E41DE9"/>
    <w:rsid w:val="00E4211B"/>
    <w:rsid w:val="00E42766"/>
    <w:rsid w:val="00E4293B"/>
    <w:rsid w:val="00E42CE6"/>
    <w:rsid w:val="00E4329B"/>
    <w:rsid w:val="00E437DF"/>
    <w:rsid w:val="00E43825"/>
    <w:rsid w:val="00E4393E"/>
    <w:rsid w:val="00E43949"/>
    <w:rsid w:val="00E43B12"/>
    <w:rsid w:val="00E43D69"/>
    <w:rsid w:val="00E43F8D"/>
    <w:rsid w:val="00E4409B"/>
    <w:rsid w:val="00E447B2"/>
    <w:rsid w:val="00E44FEA"/>
    <w:rsid w:val="00E457DA"/>
    <w:rsid w:val="00E4586C"/>
    <w:rsid w:val="00E45DC1"/>
    <w:rsid w:val="00E45F2B"/>
    <w:rsid w:val="00E46161"/>
    <w:rsid w:val="00E46301"/>
    <w:rsid w:val="00E4634B"/>
    <w:rsid w:val="00E46396"/>
    <w:rsid w:val="00E46602"/>
    <w:rsid w:val="00E46803"/>
    <w:rsid w:val="00E46B90"/>
    <w:rsid w:val="00E46CA8"/>
    <w:rsid w:val="00E473B1"/>
    <w:rsid w:val="00E47645"/>
    <w:rsid w:val="00E476CB"/>
    <w:rsid w:val="00E47705"/>
    <w:rsid w:val="00E47DEA"/>
    <w:rsid w:val="00E47F5C"/>
    <w:rsid w:val="00E500E3"/>
    <w:rsid w:val="00E502AD"/>
    <w:rsid w:val="00E5055B"/>
    <w:rsid w:val="00E50A2B"/>
    <w:rsid w:val="00E517FC"/>
    <w:rsid w:val="00E51A7F"/>
    <w:rsid w:val="00E51DB2"/>
    <w:rsid w:val="00E52288"/>
    <w:rsid w:val="00E5240A"/>
    <w:rsid w:val="00E52439"/>
    <w:rsid w:val="00E52A3A"/>
    <w:rsid w:val="00E52C18"/>
    <w:rsid w:val="00E5339D"/>
    <w:rsid w:val="00E53953"/>
    <w:rsid w:val="00E53B2C"/>
    <w:rsid w:val="00E53F88"/>
    <w:rsid w:val="00E54F72"/>
    <w:rsid w:val="00E54FD7"/>
    <w:rsid w:val="00E55106"/>
    <w:rsid w:val="00E5510F"/>
    <w:rsid w:val="00E555A2"/>
    <w:rsid w:val="00E556C3"/>
    <w:rsid w:val="00E5593D"/>
    <w:rsid w:val="00E55BE3"/>
    <w:rsid w:val="00E55E4D"/>
    <w:rsid w:val="00E55EB3"/>
    <w:rsid w:val="00E55F7F"/>
    <w:rsid w:val="00E560A8"/>
    <w:rsid w:val="00E56195"/>
    <w:rsid w:val="00E56438"/>
    <w:rsid w:val="00E56739"/>
    <w:rsid w:val="00E5729F"/>
    <w:rsid w:val="00E572BD"/>
    <w:rsid w:val="00E57C3C"/>
    <w:rsid w:val="00E602AA"/>
    <w:rsid w:val="00E607CB"/>
    <w:rsid w:val="00E60AB3"/>
    <w:rsid w:val="00E60B07"/>
    <w:rsid w:val="00E612F3"/>
    <w:rsid w:val="00E61484"/>
    <w:rsid w:val="00E614D7"/>
    <w:rsid w:val="00E619D2"/>
    <w:rsid w:val="00E61B55"/>
    <w:rsid w:val="00E61C7F"/>
    <w:rsid w:val="00E61CF4"/>
    <w:rsid w:val="00E620F6"/>
    <w:rsid w:val="00E621CD"/>
    <w:rsid w:val="00E62A21"/>
    <w:rsid w:val="00E62CD1"/>
    <w:rsid w:val="00E6356F"/>
    <w:rsid w:val="00E6357B"/>
    <w:rsid w:val="00E638F3"/>
    <w:rsid w:val="00E63AEE"/>
    <w:rsid w:val="00E63C76"/>
    <w:rsid w:val="00E63D40"/>
    <w:rsid w:val="00E63F4E"/>
    <w:rsid w:val="00E640C9"/>
    <w:rsid w:val="00E643C2"/>
    <w:rsid w:val="00E64615"/>
    <w:rsid w:val="00E64C4D"/>
    <w:rsid w:val="00E64D81"/>
    <w:rsid w:val="00E64ECA"/>
    <w:rsid w:val="00E64ECE"/>
    <w:rsid w:val="00E65297"/>
    <w:rsid w:val="00E652CA"/>
    <w:rsid w:val="00E65891"/>
    <w:rsid w:val="00E659DC"/>
    <w:rsid w:val="00E65C94"/>
    <w:rsid w:val="00E65CDC"/>
    <w:rsid w:val="00E663C3"/>
    <w:rsid w:val="00E664FF"/>
    <w:rsid w:val="00E668E5"/>
    <w:rsid w:val="00E6691E"/>
    <w:rsid w:val="00E66D66"/>
    <w:rsid w:val="00E66DD3"/>
    <w:rsid w:val="00E674AB"/>
    <w:rsid w:val="00E67783"/>
    <w:rsid w:val="00E67A41"/>
    <w:rsid w:val="00E706F5"/>
    <w:rsid w:val="00E70FF2"/>
    <w:rsid w:val="00E71217"/>
    <w:rsid w:val="00E714BA"/>
    <w:rsid w:val="00E7157D"/>
    <w:rsid w:val="00E7184F"/>
    <w:rsid w:val="00E71AC7"/>
    <w:rsid w:val="00E71BC1"/>
    <w:rsid w:val="00E71DCB"/>
    <w:rsid w:val="00E722F4"/>
    <w:rsid w:val="00E72592"/>
    <w:rsid w:val="00E726A1"/>
    <w:rsid w:val="00E727C3"/>
    <w:rsid w:val="00E7286D"/>
    <w:rsid w:val="00E72B1D"/>
    <w:rsid w:val="00E72C91"/>
    <w:rsid w:val="00E72DAA"/>
    <w:rsid w:val="00E730D1"/>
    <w:rsid w:val="00E732D4"/>
    <w:rsid w:val="00E732FB"/>
    <w:rsid w:val="00E735B9"/>
    <w:rsid w:val="00E7390A"/>
    <w:rsid w:val="00E73E3D"/>
    <w:rsid w:val="00E74A74"/>
    <w:rsid w:val="00E74DC0"/>
    <w:rsid w:val="00E759BA"/>
    <w:rsid w:val="00E75C90"/>
    <w:rsid w:val="00E760AE"/>
    <w:rsid w:val="00E762C0"/>
    <w:rsid w:val="00E76D34"/>
    <w:rsid w:val="00E77024"/>
    <w:rsid w:val="00E773BF"/>
    <w:rsid w:val="00E77407"/>
    <w:rsid w:val="00E776AF"/>
    <w:rsid w:val="00E777FF"/>
    <w:rsid w:val="00E7786D"/>
    <w:rsid w:val="00E77924"/>
    <w:rsid w:val="00E77929"/>
    <w:rsid w:val="00E81446"/>
    <w:rsid w:val="00E829DA"/>
    <w:rsid w:val="00E82A33"/>
    <w:rsid w:val="00E82AC9"/>
    <w:rsid w:val="00E82B36"/>
    <w:rsid w:val="00E83644"/>
    <w:rsid w:val="00E83741"/>
    <w:rsid w:val="00E83FE8"/>
    <w:rsid w:val="00E84DFE"/>
    <w:rsid w:val="00E84F41"/>
    <w:rsid w:val="00E85498"/>
    <w:rsid w:val="00E854AD"/>
    <w:rsid w:val="00E8569B"/>
    <w:rsid w:val="00E85BC3"/>
    <w:rsid w:val="00E85F18"/>
    <w:rsid w:val="00E86077"/>
    <w:rsid w:val="00E86938"/>
    <w:rsid w:val="00E86A12"/>
    <w:rsid w:val="00E86B1E"/>
    <w:rsid w:val="00E86BD1"/>
    <w:rsid w:val="00E90267"/>
    <w:rsid w:val="00E902DD"/>
    <w:rsid w:val="00E907C0"/>
    <w:rsid w:val="00E913C0"/>
    <w:rsid w:val="00E9141F"/>
    <w:rsid w:val="00E916B3"/>
    <w:rsid w:val="00E919F2"/>
    <w:rsid w:val="00E91D78"/>
    <w:rsid w:val="00E92065"/>
    <w:rsid w:val="00E92558"/>
    <w:rsid w:val="00E9281B"/>
    <w:rsid w:val="00E92C1E"/>
    <w:rsid w:val="00E93052"/>
    <w:rsid w:val="00E93118"/>
    <w:rsid w:val="00E93317"/>
    <w:rsid w:val="00E93898"/>
    <w:rsid w:val="00E9408A"/>
    <w:rsid w:val="00E9418B"/>
    <w:rsid w:val="00E941E9"/>
    <w:rsid w:val="00E941FE"/>
    <w:rsid w:val="00E9428D"/>
    <w:rsid w:val="00E9446E"/>
    <w:rsid w:val="00E94488"/>
    <w:rsid w:val="00E9452D"/>
    <w:rsid w:val="00E948E0"/>
    <w:rsid w:val="00E94D23"/>
    <w:rsid w:val="00E951B9"/>
    <w:rsid w:val="00E95A5B"/>
    <w:rsid w:val="00E95A8C"/>
    <w:rsid w:val="00E95B10"/>
    <w:rsid w:val="00E95E26"/>
    <w:rsid w:val="00E960A9"/>
    <w:rsid w:val="00E9651F"/>
    <w:rsid w:val="00E96647"/>
    <w:rsid w:val="00E96D72"/>
    <w:rsid w:val="00E96E23"/>
    <w:rsid w:val="00EA00C3"/>
    <w:rsid w:val="00EA0263"/>
    <w:rsid w:val="00EA08E8"/>
    <w:rsid w:val="00EA0D2E"/>
    <w:rsid w:val="00EA13A8"/>
    <w:rsid w:val="00EA15C8"/>
    <w:rsid w:val="00EA1658"/>
    <w:rsid w:val="00EA1BD6"/>
    <w:rsid w:val="00EA1C40"/>
    <w:rsid w:val="00EA1E7B"/>
    <w:rsid w:val="00EA1F1A"/>
    <w:rsid w:val="00EA207A"/>
    <w:rsid w:val="00EA2227"/>
    <w:rsid w:val="00EA25C7"/>
    <w:rsid w:val="00EA2AD0"/>
    <w:rsid w:val="00EA2DFE"/>
    <w:rsid w:val="00EA2E13"/>
    <w:rsid w:val="00EA2E16"/>
    <w:rsid w:val="00EA30A1"/>
    <w:rsid w:val="00EA3164"/>
    <w:rsid w:val="00EA4045"/>
    <w:rsid w:val="00EA5128"/>
    <w:rsid w:val="00EA53D9"/>
    <w:rsid w:val="00EA5748"/>
    <w:rsid w:val="00EA59CA"/>
    <w:rsid w:val="00EA5CA0"/>
    <w:rsid w:val="00EA5DFC"/>
    <w:rsid w:val="00EA5FF6"/>
    <w:rsid w:val="00EA6604"/>
    <w:rsid w:val="00EA70DE"/>
    <w:rsid w:val="00EA75EC"/>
    <w:rsid w:val="00EA7AB4"/>
    <w:rsid w:val="00EA7FD4"/>
    <w:rsid w:val="00EB01A1"/>
    <w:rsid w:val="00EB01B0"/>
    <w:rsid w:val="00EB027A"/>
    <w:rsid w:val="00EB0443"/>
    <w:rsid w:val="00EB05D8"/>
    <w:rsid w:val="00EB08B3"/>
    <w:rsid w:val="00EB0B6E"/>
    <w:rsid w:val="00EB0C68"/>
    <w:rsid w:val="00EB0D39"/>
    <w:rsid w:val="00EB0DE8"/>
    <w:rsid w:val="00EB1282"/>
    <w:rsid w:val="00EB1480"/>
    <w:rsid w:val="00EB18F2"/>
    <w:rsid w:val="00EB1A5C"/>
    <w:rsid w:val="00EB1ED4"/>
    <w:rsid w:val="00EB22D1"/>
    <w:rsid w:val="00EB23A7"/>
    <w:rsid w:val="00EB285F"/>
    <w:rsid w:val="00EB2A9D"/>
    <w:rsid w:val="00EB2BC9"/>
    <w:rsid w:val="00EB2C45"/>
    <w:rsid w:val="00EB2D9C"/>
    <w:rsid w:val="00EB2F22"/>
    <w:rsid w:val="00EB33C8"/>
    <w:rsid w:val="00EB33CE"/>
    <w:rsid w:val="00EB39F6"/>
    <w:rsid w:val="00EB3E2B"/>
    <w:rsid w:val="00EB4C62"/>
    <w:rsid w:val="00EB4D1C"/>
    <w:rsid w:val="00EB4DF9"/>
    <w:rsid w:val="00EB5142"/>
    <w:rsid w:val="00EB5172"/>
    <w:rsid w:val="00EB54F7"/>
    <w:rsid w:val="00EB55A3"/>
    <w:rsid w:val="00EB5C8E"/>
    <w:rsid w:val="00EB5EC0"/>
    <w:rsid w:val="00EB6046"/>
    <w:rsid w:val="00EB67F7"/>
    <w:rsid w:val="00EB6AF3"/>
    <w:rsid w:val="00EB6B3B"/>
    <w:rsid w:val="00EB6B63"/>
    <w:rsid w:val="00EB6BAE"/>
    <w:rsid w:val="00EB6CDE"/>
    <w:rsid w:val="00EB6D49"/>
    <w:rsid w:val="00EB6E9F"/>
    <w:rsid w:val="00EB7080"/>
    <w:rsid w:val="00EB71C0"/>
    <w:rsid w:val="00EB71D2"/>
    <w:rsid w:val="00EB723A"/>
    <w:rsid w:val="00EB734A"/>
    <w:rsid w:val="00EC0424"/>
    <w:rsid w:val="00EC0B3A"/>
    <w:rsid w:val="00EC0B43"/>
    <w:rsid w:val="00EC0EC3"/>
    <w:rsid w:val="00EC0FED"/>
    <w:rsid w:val="00EC1328"/>
    <w:rsid w:val="00EC1683"/>
    <w:rsid w:val="00EC1694"/>
    <w:rsid w:val="00EC17B7"/>
    <w:rsid w:val="00EC203E"/>
    <w:rsid w:val="00EC298F"/>
    <w:rsid w:val="00EC2F79"/>
    <w:rsid w:val="00EC3189"/>
    <w:rsid w:val="00EC375B"/>
    <w:rsid w:val="00EC3B8A"/>
    <w:rsid w:val="00EC3B8B"/>
    <w:rsid w:val="00EC3D83"/>
    <w:rsid w:val="00EC3DF8"/>
    <w:rsid w:val="00EC4C4F"/>
    <w:rsid w:val="00EC4FA7"/>
    <w:rsid w:val="00EC56E3"/>
    <w:rsid w:val="00EC5B7B"/>
    <w:rsid w:val="00EC5C9B"/>
    <w:rsid w:val="00EC5CD7"/>
    <w:rsid w:val="00EC5CDC"/>
    <w:rsid w:val="00EC5E5F"/>
    <w:rsid w:val="00EC5FA1"/>
    <w:rsid w:val="00EC6011"/>
    <w:rsid w:val="00EC6020"/>
    <w:rsid w:val="00EC64D6"/>
    <w:rsid w:val="00EC67DB"/>
    <w:rsid w:val="00EC6A27"/>
    <w:rsid w:val="00EC7637"/>
    <w:rsid w:val="00EC7676"/>
    <w:rsid w:val="00EC777F"/>
    <w:rsid w:val="00EC791B"/>
    <w:rsid w:val="00ED029C"/>
    <w:rsid w:val="00ED046C"/>
    <w:rsid w:val="00ED04D4"/>
    <w:rsid w:val="00ED04E0"/>
    <w:rsid w:val="00ED0C57"/>
    <w:rsid w:val="00ED0FDB"/>
    <w:rsid w:val="00ED120A"/>
    <w:rsid w:val="00ED147E"/>
    <w:rsid w:val="00ED156C"/>
    <w:rsid w:val="00ED161B"/>
    <w:rsid w:val="00ED1940"/>
    <w:rsid w:val="00ED19CC"/>
    <w:rsid w:val="00ED2327"/>
    <w:rsid w:val="00ED24E8"/>
    <w:rsid w:val="00ED29AD"/>
    <w:rsid w:val="00ED2A3A"/>
    <w:rsid w:val="00ED2DBD"/>
    <w:rsid w:val="00ED3474"/>
    <w:rsid w:val="00ED36B2"/>
    <w:rsid w:val="00ED3F96"/>
    <w:rsid w:val="00ED3FB4"/>
    <w:rsid w:val="00ED3FC6"/>
    <w:rsid w:val="00ED4526"/>
    <w:rsid w:val="00ED4C1E"/>
    <w:rsid w:val="00ED4C43"/>
    <w:rsid w:val="00ED5083"/>
    <w:rsid w:val="00ED522B"/>
    <w:rsid w:val="00ED5604"/>
    <w:rsid w:val="00ED5823"/>
    <w:rsid w:val="00ED616A"/>
    <w:rsid w:val="00ED6DD5"/>
    <w:rsid w:val="00ED6EA1"/>
    <w:rsid w:val="00ED6F2E"/>
    <w:rsid w:val="00ED71F6"/>
    <w:rsid w:val="00ED7279"/>
    <w:rsid w:val="00ED763C"/>
    <w:rsid w:val="00ED7B94"/>
    <w:rsid w:val="00ED7C41"/>
    <w:rsid w:val="00ED7DB9"/>
    <w:rsid w:val="00EE04B0"/>
    <w:rsid w:val="00EE0964"/>
    <w:rsid w:val="00EE0AD5"/>
    <w:rsid w:val="00EE0B0C"/>
    <w:rsid w:val="00EE0D75"/>
    <w:rsid w:val="00EE0DAF"/>
    <w:rsid w:val="00EE0EF3"/>
    <w:rsid w:val="00EE104A"/>
    <w:rsid w:val="00EE104B"/>
    <w:rsid w:val="00EE145A"/>
    <w:rsid w:val="00EE150C"/>
    <w:rsid w:val="00EE1558"/>
    <w:rsid w:val="00EE15DF"/>
    <w:rsid w:val="00EE18F1"/>
    <w:rsid w:val="00EE1B3B"/>
    <w:rsid w:val="00EE1EB3"/>
    <w:rsid w:val="00EE20BB"/>
    <w:rsid w:val="00EE21C2"/>
    <w:rsid w:val="00EE24D2"/>
    <w:rsid w:val="00EE25C6"/>
    <w:rsid w:val="00EE2A42"/>
    <w:rsid w:val="00EE2BE9"/>
    <w:rsid w:val="00EE3005"/>
    <w:rsid w:val="00EE30D0"/>
    <w:rsid w:val="00EE335E"/>
    <w:rsid w:val="00EE34DF"/>
    <w:rsid w:val="00EE35DA"/>
    <w:rsid w:val="00EE3823"/>
    <w:rsid w:val="00EE3892"/>
    <w:rsid w:val="00EE391E"/>
    <w:rsid w:val="00EE3B1E"/>
    <w:rsid w:val="00EE3DE0"/>
    <w:rsid w:val="00EE3E70"/>
    <w:rsid w:val="00EE408B"/>
    <w:rsid w:val="00EE424D"/>
    <w:rsid w:val="00EE45F2"/>
    <w:rsid w:val="00EE4BA4"/>
    <w:rsid w:val="00EE4ECC"/>
    <w:rsid w:val="00EE4FE1"/>
    <w:rsid w:val="00EE5BDD"/>
    <w:rsid w:val="00EE61C9"/>
    <w:rsid w:val="00EE632A"/>
    <w:rsid w:val="00EE68DE"/>
    <w:rsid w:val="00EE6BB4"/>
    <w:rsid w:val="00EE76ED"/>
    <w:rsid w:val="00EE7789"/>
    <w:rsid w:val="00EE7790"/>
    <w:rsid w:val="00EE77D2"/>
    <w:rsid w:val="00EE7A2F"/>
    <w:rsid w:val="00EE7CBC"/>
    <w:rsid w:val="00EF00F1"/>
    <w:rsid w:val="00EF04C2"/>
    <w:rsid w:val="00EF04FF"/>
    <w:rsid w:val="00EF08BC"/>
    <w:rsid w:val="00EF08E9"/>
    <w:rsid w:val="00EF0907"/>
    <w:rsid w:val="00EF0C5E"/>
    <w:rsid w:val="00EF0F64"/>
    <w:rsid w:val="00EF0FAF"/>
    <w:rsid w:val="00EF101C"/>
    <w:rsid w:val="00EF122E"/>
    <w:rsid w:val="00EF13A3"/>
    <w:rsid w:val="00EF171E"/>
    <w:rsid w:val="00EF1D17"/>
    <w:rsid w:val="00EF1D6E"/>
    <w:rsid w:val="00EF1DA2"/>
    <w:rsid w:val="00EF20CD"/>
    <w:rsid w:val="00EF2137"/>
    <w:rsid w:val="00EF233B"/>
    <w:rsid w:val="00EF23A8"/>
    <w:rsid w:val="00EF2968"/>
    <w:rsid w:val="00EF29CB"/>
    <w:rsid w:val="00EF2CA8"/>
    <w:rsid w:val="00EF2E3D"/>
    <w:rsid w:val="00EF3370"/>
    <w:rsid w:val="00EF337B"/>
    <w:rsid w:val="00EF3A1F"/>
    <w:rsid w:val="00EF3A68"/>
    <w:rsid w:val="00EF3F60"/>
    <w:rsid w:val="00EF40EE"/>
    <w:rsid w:val="00EF428C"/>
    <w:rsid w:val="00EF44E7"/>
    <w:rsid w:val="00EF456A"/>
    <w:rsid w:val="00EF4752"/>
    <w:rsid w:val="00EF4966"/>
    <w:rsid w:val="00EF4C30"/>
    <w:rsid w:val="00EF53FB"/>
    <w:rsid w:val="00EF58DD"/>
    <w:rsid w:val="00EF58FF"/>
    <w:rsid w:val="00EF5966"/>
    <w:rsid w:val="00EF5C42"/>
    <w:rsid w:val="00EF6120"/>
    <w:rsid w:val="00EF626A"/>
    <w:rsid w:val="00EF6733"/>
    <w:rsid w:val="00EF6860"/>
    <w:rsid w:val="00EF6DFE"/>
    <w:rsid w:val="00EF70CB"/>
    <w:rsid w:val="00EF729D"/>
    <w:rsid w:val="00EF741A"/>
    <w:rsid w:val="00EF78FD"/>
    <w:rsid w:val="00EF7B47"/>
    <w:rsid w:val="00EF7B7B"/>
    <w:rsid w:val="00EF7D32"/>
    <w:rsid w:val="00F002E9"/>
    <w:rsid w:val="00F004CC"/>
    <w:rsid w:val="00F00580"/>
    <w:rsid w:val="00F00718"/>
    <w:rsid w:val="00F00937"/>
    <w:rsid w:val="00F009EB"/>
    <w:rsid w:val="00F00B28"/>
    <w:rsid w:val="00F00D8A"/>
    <w:rsid w:val="00F01015"/>
    <w:rsid w:val="00F013C5"/>
    <w:rsid w:val="00F015D1"/>
    <w:rsid w:val="00F01C7A"/>
    <w:rsid w:val="00F01DF0"/>
    <w:rsid w:val="00F01FFF"/>
    <w:rsid w:val="00F0206A"/>
    <w:rsid w:val="00F022DC"/>
    <w:rsid w:val="00F022EC"/>
    <w:rsid w:val="00F02B41"/>
    <w:rsid w:val="00F02D41"/>
    <w:rsid w:val="00F03117"/>
    <w:rsid w:val="00F038D0"/>
    <w:rsid w:val="00F03A7F"/>
    <w:rsid w:val="00F03EBF"/>
    <w:rsid w:val="00F04065"/>
    <w:rsid w:val="00F04344"/>
    <w:rsid w:val="00F04454"/>
    <w:rsid w:val="00F0489F"/>
    <w:rsid w:val="00F04F2C"/>
    <w:rsid w:val="00F055E1"/>
    <w:rsid w:val="00F056F5"/>
    <w:rsid w:val="00F05706"/>
    <w:rsid w:val="00F059FA"/>
    <w:rsid w:val="00F05B71"/>
    <w:rsid w:val="00F0610B"/>
    <w:rsid w:val="00F0644C"/>
    <w:rsid w:val="00F06478"/>
    <w:rsid w:val="00F06AA5"/>
    <w:rsid w:val="00F07764"/>
    <w:rsid w:val="00F07880"/>
    <w:rsid w:val="00F078B4"/>
    <w:rsid w:val="00F07B6A"/>
    <w:rsid w:val="00F1027D"/>
    <w:rsid w:val="00F102F5"/>
    <w:rsid w:val="00F10341"/>
    <w:rsid w:val="00F10F17"/>
    <w:rsid w:val="00F10F8C"/>
    <w:rsid w:val="00F11206"/>
    <w:rsid w:val="00F112EC"/>
    <w:rsid w:val="00F11368"/>
    <w:rsid w:val="00F114FE"/>
    <w:rsid w:val="00F117D4"/>
    <w:rsid w:val="00F12095"/>
    <w:rsid w:val="00F121AE"/>
    <w:rsid w:val="00F126E2"/>
    <w:rsid w:val="00F126EC"/>
    <w:rsid w:val="00F12709"/>
    <w:rsid w:val="00F12817"/>
    <w:rsid w:val="00F12ADF"/>
    <w:rsid w:val="00F12BC5"/>
    <w:rsid w:val="00F12EF6"/>
    <w:rsid w:val="00F12F35"/>
    <w:rsid w:val="00F12FAF"/>
    <w:rsid w:val="00F13D6D"/>
    <w:rsid w:val="00F13F78"/>
    <w:rsid w:val="00F140FB"/>
    <w:rsid w:val="00F1413A"/>
    <w:rsid w:val="00F14167"/>
    <w:rsid w:val="00F14202"/>
    <w:rsid w:val="00F142BE"/>
    <w:rsid w:val="00F1456D"/>
    <w:rsid w:val="00F1459C"/>
    <w:rsid w:val="00F1471B"/>
    <w:rsid w:val="00F14843"/>
    <w:rsid w:val="00F15370"/>
    <w:rsid w:val="00F1572A"/>
    <w:rsid w:val="00F16805"/>
    <w:rsid w:val="00F1682B"/>
    <w:rsid w:val="00F16F2D"/>
    <w:rsid w:val="00F17049"/>
    <w:rsid w:val="00F171E5"/>
    <w:rsid w:val="00F175CD"/>
    <w:rsid w:val="00F177FE"/>
    <w:rsid w:val="00F17D04"/>
    <w:rsid w:val="00F2034F"/>
    <w:rsid w:val="00F2035B"/>
    <w:rsid w:val="00F208DD"/>
    <w:rsid w:val="00F20AB0"/>
    <w:rsid w:val="00F20BC2"/>
    <w:rsid w:val="00F20CFD"/>
    <w:rsid w:val="00F21402"/>
    <w:rsid w:val="00F21536"/>
    <w:rsid w:val="00F21AEA"/>
    <w:rsid w:val="00F21EBF"/>
    <w:rsid w:val="00F2204F"/>
    <w:rsid w:val="00F227B3"/>
    <w:rsid w:val="00F22B88"/>
    <w:rsid w:val="00F22D15"/>
    <w:rsid w:val="00F22D9C"/>
    <w:rsid w:val="00F22EE4"/>
    <w:rsid w:val="00F236C1"/>
    <w:rsid w:val="00F23BD5"/>
    <w:rsid w:val="00F23FC0"/>
    <w:rsid w:val="00F23FD8"/>
    <w:rsid w:val="00F2405D"/>
    <w:rsid w:val="00F24065"/>
    <w:rsid w:val="00F24756"/>
    <w:rsid w:val="00F252A4"/>
    <w:rsid w:val="00F25354"/>
    <w:rsid w:val="00F25821"/>
    <w:rsid w:val="00F25920"/>
    <w:rsid w:val="00F25FFA"/>
    <w:rsid w:val="00F26677"/>
    <w:rsid w:val="00F26810"/>
    <w:rsid w:val="00F27053"/>
    <w:rsid w:val="00F273EB"/>
    <w:rsid w:val="00F275E3"/>
    <w:rsid w:val="00F27A8F"/>
    <w:rsid w:val="00F27D3C"/>
    <w:rsid w:val="00F27D72"/>
    <w:rsid w:val="00F3049D"/>
    <w:rsid w:val="00F308A1"/>
    <w:rsid w:val="00F30BA9"/>
    <w:rsid w:val="00F317F2"/>
    <w:rsid w:val="00F32560"/>
    <w:rsid w:val="00F32AB5"/>
    <w:rsid w:val="00F32E02"/>
    <w:rsid w:val="00F331EB"/>
    <w:rsid w:val="00F33471"/>
    <w:rsid w:val="00F3354F"/>
    <w:rsid w:val="00F3356C"/>
    <w:rsid w:val="00F33591"/>
    <w:rsid w:val="00F335CD"/>
    <w:rsid w:val="00F3398C"/>
    <w:rsid w:val="00F34285"/>
    <w:rsid w:val="00F3433B"/>
    <w:rsid w:val="00F346E2"/>
    <w:rsid w:val="00F35372"/>
    <w:rsid w:val="00F35733"/>
    <w:rsid w:val="00F3648C"/>
    <w:rsid w:val="00F3666B"/>
    <w:rsid w:val="00F36722"/>
    <w:rsid w:val="00F36C5E"/>
    <w:rsid w:val="00F36C79"/>
    <w:rsid w:val="00F37014"/>
    <w:rsid w:val="00F3740D"/>
    <w:rsid w:val="00F3768C"/>
    <w:rsid w:val="00F37815"/>
    <w:rsid w:val="00F37859"/>
    <w:rsid w:val="00F37A68"/>
    <w:rsid w:val="00F4005A"/>
    <w:rsid w:val="00F40446"/>
    <w:rsid w:val="00F4047E"/>
    <w:rsid w:val="00F40BC8"/>
    <w:rsid w:val="00F40C87"/>
    <w:rsid w:val="00F40DD2"/>
    <w:rsid w:val="00F40ED7"/>
    <w:rsid w:val="00F411FA"/>
    <w:rsid w:val="00F413BB"/>
    <w:rsid w:val="00F419E4"/>
    <w:rsid w:val="00F42734"/>
    <w:rsid w:val="00F42CD5"/>
    <w:rsid w:val="00F430A3"/>
    <w:rsid w:val="00F4315B"/>
    <w:rsid w:val="00F431F7"/>
    <w:rsid w:val="00F437CD"/>
    <w:rsid w:val="00F43C43"/>
    <w:rsid w:val="00F43E95"/>
    <w:rsid w:val="00F4423C"/>
    <w:rsid w:val="00F444E8"/>
    <w:rsid w:val="00F446FA"/>
    <w:rsid w:val="00F4492D"/>
    <w:rsid w:val="00F449B1"/>
    <w:rsid w:val="00F44E20"/>
    <w:rsid w:val="00F44E5A"/>
    <w:rsid w:val="00F452A8"/>
    <w:rsid w:val="00F454F5"/>
    <w:rsid w:val="00F455CA"/>
    <w:rsid w:val="00F4571B"/>
    <w:rsid w:val="00F4592C"/>
    <w:rsid w:val="00F45DC9"/>
    <w:rsid w:val="00F45EBC"/>
    <w:rsid w:val="00F45F57"/>
    <w:rsid w:val="00F4626D"/>
    <w:rsid w:val="00F46847"/>
    <w:rsid w:val="00F4684D"/>
    <w:rsid w:val="00F46BFC"/>
    <w:rsid w:val="00F4729B"/>
    <w:rsid w:val="00F4746E"/>
    <w:rsid w:val="00F47491"/>
    <w:rsid w:val="00F477F4"/>
    <w:rsid w:val="00F47CAA"/>
    <w:rsid w:val="00F50264"/>
    <w:rsid w:val="00F50A8B"/>
    <w:rsid w:val="00F5113D"/>
    <w:rsid w:val="00F516FB"/>
    <w:rsid w:val="00F51A24"/>
    <w:rsid w:val="00F5206B"/>
    <w:rsid w:val="00F52777"/>
    <w:rsid w:val="00F5297B"/>
    <w:rsid w:val="00F53042"/>
    <w:rsid w:val="00F530DA"/>
    <w:rsid w:val="00F531EB"/>
    <w:rsid w:val="00F533FF"/>
    <w:rsid w:val="00F537A0"/>
    <w:rsid w:val="00F5382C"/>
    <w:rsid w:val="00F53BA7"/>
    <w:rsid w:val="00F53C27"/>
    <w:rsid w:val="00F53D8D"/>
    <w:rsid w:val="00F541E9"/>
    <w:rsid w:val="00F549A3"/>
    <w:rsid w:val="00F54EA3"/>
    <w:rsid w:val="00F55000"/>
    <w:rsid w:val="00F55067"/>
    <w:rsid w:val="00F55209"/>
    <w:rsid w:val="00F5586E"/>
    <w:rsid w:val="00F5591D"/>
    <w:rsid w:val="00F559B4"/>
    <w:rsid w:val="00F55A34"/>
    <w:rsid w:val="00F56AC2"/>
    <w:rsid w:val="00F56DD0"/>
    <w:rsid w:val="00F57141"/>
    <w:rsid w:val="00F5740F"/>
    <w:rsid w:val="00F57737"/>
    <w:rsid w:val="00F579E9"/>
    <w:rsid w:val="00F604B2"/>
    <w:rsid w:val="00F60A50"/>
    <w:rsid w:val="00F60CA0"/>
    <w:rsid w:val="00F61341"/>
    <w:rsid w:val="00F616B7"/>
    <w:rsid w:val="00F619B7"/>
    <w:rsid w:val="00F620ED"/>
    <w:rsid w:val="00F62260"/>
    <w:rsid w:val="00F624B9"/>
    <w:rsid w:val="00F6289E"/>
    <w:rsid w:val="00F62E3A"/>
    <w:rsid w:val="00F62EC6"/>
    <w:rsid w:val="00F6335E"/>
    <w:rsid w:val="00F633FF"/>
    <w:rsid w:val="00F638B9"/>
    <w:rsid w:val="00F641E1"/>
    <w:rsid w:val="00F64BC9"/>
    <w:rsid w:val="00F653F0"/>
    <w:rsid w:val="00F66153"/>
    <w:rsid w:val="00F661AD"/>
    <w:rsid w:val="00F66209"/>
    <w:rsid w:val="00F66371"/>
    <w:rsid w:val="00F66446"/>
    <w:rsid w:val="00F6648C"/>
    <w:rsid w:val="00F6666B"/>
    <w:rsid w:val="00F674CA"/>
    <w:rsid w:val="00F67A1F"/>
    <w:rsid w:val="00F70443"/>
    <w:rsid w:val="00F71040"/>
    <w:rsid w:val="00F716B6"/>
    <w:rsid w:val="00F719A7"/>
    <w:rsid w:val="00F72727"/>
    <w:rsid w:val="00F72AA2"/>
    <w:rsid w:val="00F72BE1"/>
    <w:rsid w:val="00F72E01"/>
    <w:rsid w:val="00F73017"/>
    <w:rsid w:val="00F732B5"/>
    <w:rsid w:val="00F73764"/>
    <w:rsid w:val="00F75287"/>
    <w:rsid w:val="00F753EC"/>
    <w:rsid w:val="00F75B8A"/>
    <w:rsid w:val="00F75BD3"/>
    <w:rsid w:val="00F75C5A"/>
    <w:rsid w:val="00F75CB9"/>
    <w:rsid w:val="00F75EB5"/>
    <w:rsid w:val="00F75FED"/>
    <w:rsid w:val="00F762FD"/>
    <w:rsid w:val="00F7634E"/>
    <w:rsid w:val="00F764C8"/>
    <w:rsid w:val="00F7678C"/>
    <w:rsid w:val="00F76ADE"/>
    <w:rsid w:val="00F772DC"/>
    <w:rsid w:val="00F77607"/>
    <w:rsid w:val="00F77774"/>
    <w:rsid w:val="00F77913"/>
    <w:rsid w:val="00F77A8B"/>
    <w:rsid w:val="00F80381"/>
    <w:rsid w:val="00F8038A"/>
    <w:rsid w:val="00F803DB"/>
    <w:rsid w:val="00F8041C"/>
    <w:rsid w:val="00F80B1C"/>
    <w:rsid w:val="00F80F2E"/>
    <w:rsid w:val="00F811DF"/>
    <w:rsid w:val="00F81273"/>
    <w:rsid w:val="00F812F5"/>
    <w:rsid w:val="00F81773"/>
    <w:rsid w:val="00F81B2C"/>
    <w:rsid w:val="00F81BDD"/>
    <w:rsid w:val="00F81C57"/>
    <w:rsid w:val="00F81C8B"/>
    <w:rsid w:val="00F81D2B"/>
    <w:rsid w:val="00F82623"/>
    <w:rsid w:val="00F82A6D"/>
    <w:rsid w:val="00F82AA5"/>
    <w:rsid w:val="00F834EC"/>
    <w:rsid w:val="00F83563"/>
    <w:rsid w:val="00F83A4F"/>
    <w:rsid w:val="00F83AFE"/>
    <w:rsid w:val="00F83F0D"/>
    <w:rsid w:val="00F84054"/>
    <w:rsid w:val="00F8406B"/>
    <w:rsid w:val="00F841D5"/>
    <w:rsid w:val="00F84203"/>
    <w:rsid w:val="00F842F9"/>
    <w:rsid w:val="00F84618"/>
    <w:rsid w:val="00F846F8"/>
    <w:rsid w:val="00F847CD"/>
    <w:rsid w:val="00F84856"/>
    <w:rsid w:val="00F84CB1"/>
    <w:rsid w:val="00F84D0F"/>
    <w:rsid w:val="00F854E9"/>
    <w:rsid w:val="00F855E2"/>
    <w:rsid w:val="00F85C44"/>
    <w:rsid w:val="00F85C9E"/>
    <w:rsid w:val="00F85FF7"/>
    <w:rsid w:val="00F86848"/>
    <w:rsid w:val="00F86C86"/>
    <w:rsid w:val="00F86D49"/>
    <w:rsid w:val="00F8704D"/>
    <w:rsid w:val="00F875AA"/>
    <w:rsid w:val="00F8762F"/>
    <w:rsid w:val="00F8789D"/>
    <w:rsid w:val="00F90053"/>
    <w:rsid w:val="00F9019C"/>
    <w:rsid w:val="00F90291"/>
    <w:rsid w:val="00F90A94"/>
    <w:rsid w:val="00F90D6F"/>
    <w:rsid w:val="00F91228"/>
    <w:rsid w:val="00F91617"/>
    <w:rsid w:val="00F91702"/>
    <w:rsid w:val="00F917D4"/>
    <w:rsid w:val="00F91B27"/>
    <w:rsid w:val="00F92146"/>
    <w:rsid w:val="00F9217B"/>
    <w:rsid w:val="00F921B0"/>
    <w:rsid w:val="00F92798"/>
    <w:rsid w:val="00F92998"/>
    <w:rsid w:val="00F930BE"/>
    <w:rsid w:val="00F9315E"/>
    <w:rsid w:val="00F931BA"/>
    <w:rsid w:val="00F93858"/>
    <w:rsid w:val="00F9394B"/>
    <w:rsid w:val="00F93D43"/>
    <w:rsid w:val="00F940DE"/>
    <w:rsid w:val="00F94277"/>
    <w:rsid w:val="00F94650"/>
    <w:rsid w:val="00F94AC6"/>
    <w:rsid w:val="00F953D7"/>
    <w:rsid w:val="00F95C59"/>
    <w:rsid w:val="00F9612A"/>
    <w:rsid w:val="00F96406"/>
    <w:rsid w:val="00F96AC6"/>
    <w:rsid w:val="00F96ADE"/>
    <w:rsid w:val="00F96B55"/>
    <w:rsid w:val="00F96DEC"/>
    <w:rsid w:val="00F96E21"/>
    <w:rsid w:val="00F974BC"/>
    <w:rsid w:val="00F97761"/>
    <w:rsid w:val="00F97C4A"/>
    <w:rsid w:val="00FA0521"/>
    <w:rsid w:val="00FA0714"/>
    <w:rsid w:val="00FA075F"/>
    <w:rsid w:val="00FA07D0"/>
    <w:rsid w:val="00FA08DC"/>
    <w:rsid w:val="00FA0ACE"/>
    <w:rsid w:val="00FA0BFE"/>
    <w:rsid w:val="00FA0C0E"/>
    <w:rsid w:val="00FA0F21"/>
    <w:rsid w:val="00FA12F2"/>
    <w:rsid w:val="00FA14BD"/>
    <w:rsid w:val="00FA154F"/>
    <w:rsid w:val="00FA156B"/>
    <w:rsid w:val="00FA1956"/>
    <w:rsid w:val="00FA19A6"/>
    <w:rsid w:val="00FA1D05"/>
    <w:rsid w:val="00FA2AB0"/>
    <w:rsid w:val="00FA2ABE"/>
    <w:rsid w:val="00FA2C03"/>
    <w:rsid w:val="00FA2D7E"/>
    <w:rsid w:val="00FA2E50"/>
    <w:rsid w:val="00FA317F"/>
    <w:rsid w:val="00FA336C"/>
    <w:rsid w:val="00FA3372"/>
    <w:rsid w:val="00FA36B4"/>
    <w:rsid w:val="00FA38E3"/>
    <w:rsid w:val="00FA3B5C"/>
    <w:rsid w:val="00FA44CC"/>
    <w:rsid w:val="00FA4A0F"/>
    <w:rsid w:val="00FA4B87"/>
    <w:rsid w:val="00FA618E"/>
    <w:rsid w:val="00FA656C"/>
    <w:rsid w:val="00FA67D5"/>
    <w:rsid w:val="00FA6842"/>
    <w:rsid w:val="00FA6C55"/>
    <w:rsid w:val="00FA7187"/>
    <w:rsid w:val="00FA71D3"/>
    <w:rsid w:val="00FA7702"/>
    <w:rsid w:val="00FB05A0"/>
    <w:rsid w:val="00FB07EC"/>
    <w:rsid w:val="00FB082C"/>
    <w:rsid w:val="00FB0B28"/>
    <w:rsid w:val="00FB0DED"/>
    <w:rsid w:val="00FB10AB"/>
    <w:rsid w:val="00FB16CD"/>
    <w:rsid w:val="00FB1D2F"/>
    <w:rsid w:val="00FB2159"/>
    <w:rsid w:val="00FB2399"/>
    <w:rsid w:val="00FB2647"/>
    <w:rsid w:val="00FB26F4"/>
    <w:rsid w:val="00FB2D63"/>
    <w:rsid w:val="00FB31A9"/>
    <w:rsid w:val="00FB33A5"/>
    <w:rsid w:val="00FB33AB"/>
    <w:rsid w:val="00FB3542"/>
    <w:rsid w:val="00FB35D4"/>
    <w:rsid w:val="00FB37A6"/>
    <w:rsid w:val="00FB3AE4"/>
    <w:rsid w:val="00FB3B72"/>
    <w:rsid w:val="00FB3B9D"/>
    <w:rsid w:val="00FB3F0E"/>
    <w:rsid w:val="00FB4E0D"/>
    <w:rsid w:val="00FB659C"/>
    <w:rsid w:val="00FB6F23"/>
    <w:rsid w:val="00FB7381"/>
    <w:rsid w:val="00FB743C"/>
    <w:rsid w:val="00FB75DF"/>
    <w:rsid w:val="00FB76C8"/>
    <w:rsid w:val="00FB7A7C"/>
    <w:rsid w:val="00FB7C61"/>
    <w:rsid w:val="00FB7EC7"/>
    <w:rsid w:val="00FC057B"/>
    <w:rsid w:val="00FC0764"/>
    <w:rsid w:val="00FC0787"/>
    <w:rsid w:val="00FC083B"/>
    <w:rsid w:val="00FC09CC"/>
    <w:rsid w:val="00FC0A04"/>
    <w:rsid w:val="00FC0C16"/>
    <w:rsid w:val="00FC0DD7"/>
    <w:rsid w:val="00FC0F12"/>
    <w:rsid w:val="00FC1161"/>
    <w:rsid w:val="00FC13E1"/>
    <w:rsid w:val="00FC1717"/>
    <w:rsid w:val="00FC188F"/>
    <w:rsid w:val="00FC1C82"/>
    <w:rsid w:val="00FC1D17"/>
    <w:rsid w:val="00FC1D76"/>
    <w:rsid w:val="00FC2106"/>
    <w:rsid w:val="00FC2582"/>
    <w:rsid w:val="00FC29C7"/>
    <w:rsid w:val="00FC2B19"/>
    <w:rsid w:val="00FC2C24"/>
    <w:rsid w:val="00FC3251"/>
    <w:rsid w:val="00FC3673"/>
    <w:rsid w:val="00FC3D6D"/>
    <w:rsid w:val="00FC427F"/>
    <w:rsid w:val="00FC42AD"/>
    <w:rsid w:val="00FC42C4"/>
    <w:rsid w:val="00FC4334"/>
    <w:rsid w:val="00FC4348"/>
    <w:rsid w:val="00FC4C73"/>
    <w:rsid w:val="00FC4CA3"/>
    <w:rsid w:val="00FC4D34"/>
    <w:rsid w:val="00FC4ECA"/>
    <w:rsid w:val="00FC5536"/>
    <w:rsid w:val="00FC5AF2"/>
    <w:rsid w:val="00FC5EF8"/>
    <w:rsid w:val="00FC5F7C"/>
    <w:rsid w:val="00FC6107"/>
    <w:rsid w:val="00FC68E7"/>
    <w:rsid w:val="00FC7860"/>
    <w:rsid w:val="00FC78AD"/>
    <w:rsid w:val="00FC7EB6"/>
    <w:rsid w:val="00FD0229"/>
    <w:rsid w:val="00FD078A"/>
    <w:rsid w:val="00FD07D4"/>
    <w:rsid w:val="00FD1C37"/>
    <w:rsid w:val="00FD1CD7"/>
    <w:rsid w:val="00FD2719"/>
    <w:rsid w:val="00FD2976"/>
    <w:rsid w:val="00FD2E46"/>
    <w:rsid w:val="00FD340B"/>
    <w:rsid w:val="00FD342C"/>
    <w:rsid w:val="00FD3465"/>
    <w:rsid w:val="00FD3638"/>
    <w:rsid w:val="00FD3645"/>
    <w:rsid w:val="00FD379F"/>
    <w:rsid w:val="00FD3BAA"/>
    <w:rsid w:val="00FD461A"/>
    <w:rsid w:val="00FD4841"/>
    <w:rsid w:val="00FD487D"/>
    <w:rsid w:val="00FD4E29"/>
    <w:rsid w:val="00FD4F75"/>
    <w:rsid w:val="00FD4FA8"/>
    <w:rsid w:val="00FD532C"/>
    <w:rsid w:val="00FD54A6"/>
    <w:rsid w:val="00FD54B5"/>
    <w:rsid w:val="00FD598B"/>
    <w:rsid w:val="00FD601B"/>
    <w:rsid w:val="00FD64D9"/>
    <w:rsid w:val="00FD67F5"/>
    <w:rsid w:val="00FD6894"/>
    <w:rsid w:val="00FD72DB"/>
    <w:rsid w:val="00FD77ED"/>
    <w:rsid w:val="00FD78A2"/>
    <w:rsid w:val="00FD7B82"/>
    <w:rsid w:val="00FD7ECE"/>
    <w:rsid w:val="00FE062E"/>
    <w:rsid w:val="00FE0880"/>
    <w:rsid w:val="00FE0B74"/>
    <w:rsid w:val="00FE0B9B"/>
    <w:rsid w:val="00FE0D79"/>
    <w:rsid w:val="00FE1521"/>
    <w:rsid w:val="00FE153A"/>
    <w:rsid w:val="00FE1692"/>
    <w:rsid w:val="00FE18BA"/>
    <w:rsid w:val="00FE2578"/>
    <w:rsid w:val="00FE25A8"/>
    <w:rsid w:val="00FE2914"/>
    <w:rsid w:val="00FE2B7D"/>
    <w:rsid w:val="00FE2E56"/>
    <w:rsid w:val="00FE2E8F"/>
    <w:rsid w:val="00FE2F3F"/>
    <w:rsid w:val="00FE3846"/>
    <w:rsid w:val="00FE3F38"/>
    <w:rsid w:val="00FE4113"/>
    <w:rsid w:val="00FE4234"/>
    <w:rsid w:val="00FE435E"/>
    <w:rsid w:val="00FE452F"/>
    <w:rsid w:val="00FE4541"/>
    <w:rsid w:val="00FE45F8"/>
    <w:rsid w:val="00FE4931"/>
    <w:rsid w:val="00FE4976"/>
    <w:rsid w:val="00FE51E3"/>
    <w:rsid w:val="00FE5592"/>
    <w:rsid w:val="00FE58B0"/>
    <w:rsid w:val="00FE5BF6"/>
    <w:rsid w:val="00FE6588"/>
    <w:rsid w:val="00FE696B"/>
    <w:rsid w:val="00FE6E7E"/>
    <w:rsid w:val="00FE732A"/>
    <w:rsid w:val="00FE7380"/>
    <w:rsid w:val="00FE7802"/>
    <w:rsid w:val="00FE7954"/>
    <w:rsid w:val="00FE7E08"/>
    <w:rsid w:val="00FF0610"/>
    <w:rsid w:val="00FF09E9"/>
    <w:rsid w:val="00FF0D74"/>
    <w:rsid w:val="00FF0F9D"/>
    <w:rsid w:val="00FF10CA"/>
    <w:rsid w:val="00FF1456"/>
    <w:rsid w:val="00FF1589"/>
    <w:rsid w:val="00FF17F9"/>
    <w:rsid w:val="00FF1849"/>
    <w:rsid w:val="00FF18CC"/>
    <w:rsid w:val="00FF1C7A"/>
    <w:rsid w:val="00FF2091"/>
    <w:rsid w:val="00FF2262"/>
    <w:rsid w:val="00FF234A"/>
    <w:rsid w:val="00FF28BB"/>
    <w:rsid w:val="00FF2A14"/>
    <w:rsid w:val="00FF30D3"/>
    <w:rsid w:val="00FF35CF"/>
    <w:rsid w:val="00FF3B8B"/>
    <w:rsid w:val="00FF3D1F"/>
    <w:rsid w:val="00FF3D40"/>
    <w:rsid w:val="00FF40BE"/>
    <w:rsid w:val="00FF443F"/>
    <w:rsid w:val="00FF4470"/>
    <w:rsid w:val="00FF46A8"/>
    <w:rsid w:val="00FF4839"/>
    <w:rsid w:val="00FF50B7"/>
    <w:rsid w:val="00FF54F3"/>
    <w:rsid w:val="00FF5B46"/>
    <w:rsid w:val="00FF5DE0"/>
    <w:rsid w:val="00FF62BE"/>
    <w:rsid w:val="00FF6551"/>
    <w:rsid w:val="00FF65F4"/>
    <w:rsid w:val="00FF694C"/>
    <w:rsid w:val="00FF6A2C"/>
    <w:rsid w:val="00FF6DED"/>
    <w:rsid w:val="00FF70C1"/>
    <w:rsid w:val="00FF7262"/>
    <w:rsid w:val="00FF72AF"/>
    <w:rsid w:val="00FF74A4"/>
    <w:rsid w:val="00FF74BA"/>
    <w:rsid w:val="00FF7767"/>
    <w:rsid w:val="00FF7F78"/>
    <w:rsid w:val="07135AAE"/>
    <w:rsid w:val="074E4371"/>
    <w:rsid w:val="087F28FA"/>
    <w:rsid w:val="0D91550E"/>
    <w:rsid w:val="120D58E4"/>
    <w:rsid w:val="13685022"/>
    <w:rsid w:val="17340B29"/>
    <w:rsid w:val="2BE209EC"/>
    <w:rsid w:val="2F3B0F9B"/>
    <w:rsid w:val="34FD39B9"/>
    <w:rsid w:val="38140DD3"/>
    <w:rsid w:val="3D9C7FA2"/>
    <w:rsid w:val="443F7A85"/>
    <w:rsid w:val="4D4C309F"/>
    <w:rsid w:val="4EE605E3"/>
    <w:rsid w:val="5CBD24AD"/>
    <w:rsid w:val="5CD66444"/>
    <w:rsid w:val="63583486"/>
    <w:rsid w:val="65092886"/>
    <w:rsid w:val="678328EB"/>
    <w:rsid w:val="6B795329"/>
    <w:rsid w:val="7014065F"/>
    <w:rsid w:val="70FF587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nhideWhenUsed="0" w:uiPriority="0" w:semiHidden="0" w:name="Normal Indent"/>
    <w:lsdException w:unhideWhenUsed="0" w:uiPriority="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name="table of figures"/>
    <w:lsdException w:unhideWhenUsed="0" w:uiPriority="0" w:semiHidden="0" w:name="envelope address"/>
    <w:lsdException w:unhideWhenUsed="0" w:uiPriority="0" w:semiHidden="0" w:name="envelope return"/>
    <w:lsdException w:unhideWhenUsed="0" w:uiPriority="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99" w:semiHidden="0" w:name="FollowedHyperlink"/>
    <w:lsdException w:qFormat="1" w:unhideWhenUsed="0" w:uiPriority="22"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59"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1"/>
    <w:basedOn w:val="1"/>
    <w:next w:val="1"/>
    <w:link w:val="43"/>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44"/>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45"/>
    <w:qFormat/>
    <w:uiPriority w:val="0"/>
    <w:pPr>
      <w:keepNext/>
      <w:keepLines/>
      <w:spacing w:before="260" w:after="260" w:line="416" w:lineRule="auto"/>
      <w:outlineLvl w:val="2"/>
    </w:pPr>
    <w:rPr>
      <w:b/>
      <w:bCs/>
      <w:sz w:val="32"/>
      <w:szCs w:val="32"/>
    </w:rPr>
  </w:style>
  <w:style w:type="paragraph" w:styleId="5">
    <w:name w:val="heading 4"/>
    <w:basedOn w:val="1"/>
    <w:next w:val="1"/>
    <w:link w:val="46"/>
    <w:unhideWhenUsed/>
    <w:qFormat/>
    <w:uiPriority w:val="0"/>
    <w:pPr>
      <w:keepNext/>
      <w:keepLines/>
      <w:spacing w:before="120" w:after="120" w:line="360" w:lineRule="auto"/>
      <w:outlineLvl w:val="3"/>
    </w:pPr>
    <w:rPr>
      <w:rFonts w:ascii="Cambria" w:hAnsi="Cambria"/>
      <w:b/>
      <w:bCs/>
      <w:sz w:val="24"/>
      <w:szCs w:val="28"/>
    </w:rPr>
  </w:style>
  <w:style w:type="paragraph" w:styleId="6">
    <w:name w:val="heading 5"/>
    <w:basedOn w:val="1"/>
    <w:next w:val="1"/>
    <w:link w:val="47"/>
    <w:unhideWhenUsed/>
    <w:qFormat/>
    <w:uiPriority w:val="0"/>
    <w:pPr>
      <w:keepNext/>
      <w:keepLines/>
      <w:spacing w:before="280" w:after="290" w:line="376" w:lineRule="auto"/>
      <w:outlineLvl w:val="4"/>
    </w:pPr>
    <w:rPr>
      <w:b/>
      <w:bCs/>
      <w:sz w:val="28"/>
      <w:szCs w:val="28"/>
    </w:rPr>
  </w:style>
  <w:style w:type="character" w:default="1" w:styleId="37">
    <w:name w:val="Default Paragraph Font"/>
    <w:semiHidden/>
    <w:uiPriority w:val="0"/>
  </w:style>
  <w:style w:type="table" w:default="1" w:styleId="34">
    <w:name w:val="Normal Table"/>
    <w:semiHidden/>
    <w:uiPriority w:val="0"/>
    <w:tblPr>
      <w:tblStyle w:val="34"/>
      <w:tblCellMar>
        <w:top w:w="0" w:type="dxa"/>
        <w:left w:w="108" w:type="dxa"/>
        <w:bottom w:w="0" w:type="dxa"/>
        <w:right w:w="108" w:type="dxa"/>
      </w:tblCellMar>
    </w:tblPr>
  </w:style>
  <w:style w:type="paragraph" w:styleId="7">
    <w:name w:val="toc 7"/>
    <w:basedOn w:val="1"/>
    <w:next w:val="1"/>
    <w:uiPriority w:val="39"/>
    <w:pPr>
      <w:ind w:left="1260"/>
      <w:jc w:val="left"/>
    </w:pPr>
    <w:rPr>
      <w:rFonts w:ascii="Calibri" w:hAnsi="Calibri"/>
      <w:sz w:val="18"/>
      <w:szCs w:val="18"/>
    </w:rPr>
  </w:style>
  <w:style w:type="paragraph" w:styleId="8">
    <w:name w:val="Normal Indent"/>
    <w:basedOn w:val="1"/>
    <w:uiPriority w:val="0"/>
    <w:pPr>
      <w:spacing w:line="324" w:lineRule="auto"/>
      <w:ind w:firstLine="420"/>
    </w:pPr>
    <w:rPr>
      <w:sz w:val="24"/>
    </w:rPr>
  </w:style>
  <w:style w:type="paragraph" w:styleId="9">
    <w:name w:val="caption"/>
    <w:basedOn w:val="1"/>
    <w:next w:val="1"/>
    <w:link w:val="48"/>
    <w:qFormat/>
    <w:uiPriority w:val="0"/>
    <w:rPr>
      <w:rFonts w:ascii="Arial" w:hAnsi="Arial" w:eastAsia="黑体"/>
      <w:sz w:val="20"/>
      <w:szCs w:val="20"/>
    </w:rPr>
  </w:style>
  <w:style w:type="paragraph" w:styleId="10">
    <w:name w:val="Document Map"/>
    <w:basedOn w:val="1"/>
    <w:semiHidden/>
    <w:uiPriority w:val="0"/>
    <w:pPr>
      <w:shd w:val="clear" w:color="auto" w:fill="000080"/>
    </w:pPr>
  </w:style>
  <w:style w:type="paragraph" w:styleId="11">
    <w:name w:val="Body Text"/>
    <w:basedOn w:val="1"/>
    <w:link w:val="49"/>
    <w:uiPriority w:val="0"/>
    <w:pPr>
      <w:spacing w:after="120"/>
    </w:pPr>
  </w:style>
  <w:style w:type="paragraph" w:styleId="12">
    <w:name w:val="Body Text Indent"/>
    <w:basedOn w:val="1"/>
    <w:link w:val="50"/>
    <w:uiPriority w:val="0"/>
    <w:pPr>
      <w:spacing w:line="300" w:lineRule="auto"/>
      <w:ind w:firstLine="420"/>
    </w:pPr>
    <w:rPr>
      <w:rFonts w:ascii="幼圆" w:hAnsi="宋体" w:eastAsia="幼圆"/>
      <w:sz w:val="24"/>
    </w:rPr>
  </w:style>
  <w:style w:type="paragraph" w:styleId="13">
    <w:name w:val="toc 5"/>
    <w:basedOn w:val="1"/>
    <w:next w:val="1"/>
    <w:uiPriority w:val="39"/>
    <w:pPr>
      <w:ind w:left="840"/>
      <w:jc w:val="left"/>
    </w:pPr>
    <w:rPr>
      <w:rFonts w:ascii="Calibri" w:hAnsi="Calibri"/>
      <w:sz w:val="18"/>
      <w:szCs w:val="18"/>
    </w:rPr>
  </w:style>
  <w:style w:type="paragraph" w:styleId="14">
    <w:name w:val="toc 3"/>
    <w:basedOn w:val="1"/>
    <w:next w:val="1"/>
    <w:uiPriority w:val="39"/>
    <w:pPr>
      <w:tabs>
        <w:tab w:val="right" w:leader="dot" w:pos="9639"/>
      </w:tabs>
      <w:spacing w:line="360" w:lineRule="exact"/>
      <w:ind w:firstLine="400" w:firstLineChars="400"/>
      <w:jc w:val="left"/>
    </w:pPr>
    <w:rPr>
      <w:rFonts w:ascii="Calibri" w:hAnsi="Calibri" w:eastAsia="楷体"/>
      <w:iCs/>
      <w:sz w:val="24"/>
      <w:szCs w:val="20"/>
    </w:rPr>
  </w:style>
  <w:style w:type="paragraph" w:styleId="15">
    <w:name w:val="Plain Text"/>
    <w:basedOn w:val="1"/>
    <w:link w:val="51"/>
    <w:uiPriority w:val="0"/>
    <w:rPr>
      <w:rFonts w:ascii="宋体" w:hAnsi="Courier New" w:cs="Courier New"/>
      <w:szCs w:val="21"/>
    </w:rPr>
  </w:style>
  <w:style w:type="paragraph" w:styleId="16">
    <w:name w:val="toc 8"/>
    <w:basedOn w:val="1"/>
    <w:next w:val="1"/>
    <w:uiPriority w:val="39"/>
    <w:pPr>
      <w:ind w:left="1470"/>
      <w:jc w:val="left"/>
    </w:pPr>
    <w:rPr>
      <w:rFonts w:ascii="Calibri" w:hAnsi="Calibri"/>
      <w:sz w:val="18"/>
      <w:szCs w:val="18"/>
    </w:rPr>
  </w:style>
  <w:style w:type="paragraph" w:styleId="17">
    <w:name w:val="Date"/>
    <w:basedOn w:val="1"/>
    <w:next w:val="1"/>
    <w:uiPriority w:val="0"/>
    <w:pPr>
      <w:ind w:left="100" w:leftChars="2500"/>
    </w:pPr>
  </w:style>
  <w:style w:type="paragraph" w:styleId="18">
    <w:name w:val="Body Text Indent 2"/>
    <w:basedOn w:val="1"/>
    <w:link w:val="52"/>
    <w:uiPriority w:val="0"/>
    <w:pPr>
      <w:spacing w:after="120" w:line="480" w:lineRule="auto"/>
      <w:ind w:left="420" w:leftChars="200"/>
    </w:pPr>
  </w:style>
  <w:style w:type="paragraph" w:styleId="19">
    <w:name w:val="Balloon Text"/>
    <w:basedOn w:val="1"/>
    <w:link w:val="53"/>
    <w:uiPriority w:val="0"/>
    <w:rPr>
      <w:sz w:val="18"/>
      <w:szCs w:val="18"/>
    </w:rPr>
  </w:style>
  <w:style w:type="paragraph" w:styleId="20">
    <w:name w:val="footer"/>
    <w:basedOn w:val="1"/>
    <w:link w:val="54"/>
    <w:uiPriority w:val="0"/>
    <w:pPr>
      <w:tabs>
        <w:tab w:val="center" w:pos="4153"/>
        <w:tab w:val="right" w:pos="8306"/>
      </w:tabs>
      <w:snapToGrid w:val="0"/>
      <w:jc w:val="left"/>
    </w:pPr>
    <w:rPr>
      <w:sz w:val="18"/>
      <w:szCs w:val="18"/>
    </w:rPr>
  </w:style>
  <w:style w:type="paragraph" w:styleId="21">
    <w:name w:val="header"/>
    <w:basedOn w:val="1"/>
    <w:link w:val="55"/>
    <w:uiPriority w:val="0"/>
    <w:pPr>
      <w:pBdr>
        <w:bottom w:val="single" w:color="auto" w:sz="6" w:space="1"/>
      </w:pBdr>
      <w:tabs>
        <w:tab w:val="center" w:pos="4153"/>
        <w:tab w:val="right" w:pos="8306"/>
      </w:tabs>
      <w:snapToGrid w:val="0"/>
      <w:jc w:val="center"/>
    </w:pPr>
    <w:rPr>
      <w:sz w:val="18"/>
      <w:szCs w:val="18"/>
    </w:rPr>
  </w:style>
  <w:style w:type="paragraph" w:styleId="22">
    <w:name w:val="toc 1"/>
    <w:basedOn w:val="1"/>
    <w:next w:val="1"/>
    <w:uiPriority w:val="39"/>
    <w:pPr>
      <w:tabs>
        <w:tab w:val="right" w:leader="dot" w:pos="9639"/>
      </w:tabs>
      <w:jc w:val="left"/>
    </w:pPr>
    <w:rPr>
      <w:rFonts w:ascii="Calibri" w:hAnsi="Calibri" w:eastAsia="幼圆"/>
      <w:b/>
      <w:bCs/>
      <w:caps/>
      <w:sz w:val="30"/>
      <w:szCs w:val="20"/>
    </w:rPr>
  </w:style>
  <w:style w:type="paragraph" w:styleId="23">
    <w:name w:val="toc 4"/>
    <w:basedOn w:val="1"/>
    <w:next w:val="1"/>
    <w:uiPriority w:val="39"/>
    <w:pPr>
      <w:ind w:left="630"/>
      <w:jc w:val="left"/>
    </w:pPr>
    <w:rPr>
      <w:rFonts w:ascii="Calibri" w:hAnsi="Calibri"/>
      <w:sz w:val="18"/>
      <w:szCs w:val="18"/>
    </w:rPr>
  </w:style>
  <w:style w:type="paragraph" w:styleId="24">
    <w:name w:val="footnote text"/>
    <w:basedOn w:val="1"/>
    <w:semiHidden/>
    <w:uiPriority w:val="0"/>
    <w:pPr>
      <w:snapToGrid w:val="0"/>
      <w:jc w:val="left"/>
    </w:pPr>
    <w:rPr>
      <w:rFonts w:ascii="仿宋体" w:eastAsia="仿宋体"/>
      <w:szCs w:val="20"/>
    </w:rPr>
  </w:style>
  <w:style w:type="paragraph" w:styleId="25">
    <w:name w:val="toc 6"/>
    <w:basedOn w:val="1"/>
    <w:next w:val="1"/>
    <w:uiPriority w:val="39"/>
    <w:pPr>
      <w:ind w:left="1050"/>
      <w:jc w:val="left"/>
    </w:pPr>
    <w:rPr>
      <w:rFonts w:ascii="Calibri" w:hAnsi="Calibri"/>
      <w:sz w:val="18"/>
      <w:szCs w:val="18"/>
    </w:rPr>
  </w:style>
  <w:style w:type="paragraph" w:styleId="26">
    <w:name w:val="Body Text Indent 3"/>
    <w:basedOn w:val="1"/>
    <w:uiPriority w:val="0"/>
    <w:pPr>
      <w:spacing w:after="120"/>
      <w:ind w:left="420" w:leftChars="200"/>
    </w:pPr>
    <w:rPr>
      <w:sz w:val="16"/>
      <w:szCs w:val="16"/>
    </w:rPr>
  </w:style>
  <w:style w:type="paragraph" w:styleId="27">
    <w:name w:val="table of figures"/>
    <w:basedOn w:val="1"/>
    <w:next w:val="1"/>
    <w:semiHidden/>
    <w:uiPriority w:val="0"/>
    <w:pPr>
      <w:ind w:leftChars="200" w:hanging="200" w:hangingChars="200"/>
    </w:pPr>
  </w:style>
  <w:style w:type="paragraph" w:styleId="28">
    <w:name w:val="toc 2"/>
    <w:basedOn w:val="1"/>
    <w:next w:val="1"/>
    <w:uiPriority w:val="39"/>
    <w:pPr>
      <w:tabs>
        <w:tab w:val="right" w:leader="dot" w:pos="9639"/>
      </w:tabs>
      <w:spacing w:line="440" w:lineRule="exact"/>
      <w:ind w:firstLine="200" w:firstLineChars="200"/>
      <w:jc w:val="left"/>
    </w:pPr>
    <w:rPr>
      <w:rFonts w:ascii="Calibri" w:hAnsi="Calibri" w:eastAsia="华文中宋"/>
      <w:smallCaps/>
      <w:sz w:val="28"/>
      <w:szCs w:val="20"/>
    </w:rPr>
  </w:style>
  <w:style w:type="paragraph" w:styleId="29">
    <w:name w:val="toc 9"/>
    <w:basedOn w:val="1"/>
    <w:next w:val="1"/>
    <w:uiPriority w:val="39"/>
    <w:pPr>
      <w:ind w:left="1680"/>
      <w:jc w:val="left"/>
    </w:pPr>
    <w:rPr>
      <w:rFonts w:ascii="Calibri" w:hAnsi="Calibri"/>
      <w:sz w:val="18"/>
      <w:szCs w:val="18"/>
    </w:rPr>
  </w:style>
  <w:style w:type="paragraph" w:styleId="30">
    <w:name w:val="Body Text 2"/>
    <w:basedOn w:val="1"/>
    <w:uiPriority w:val="0"/>
    <w:pPr>
      <w:spacing w:after="120" w:line="480" w:lineRule="auto"/>
    </w:pPr>
  </w:style>
  <w:style w:type="paragraph" w:styleId="31">
    <w:name w:val="Normal (Web)"/>
    <w:basedOn w:val="1"/>
    <w:uiPriority w:val="99"/>
    <w:rPr>
      <w:sz w:val="24"/>
    </w:rPr>
  </w:style>
  <w:style w:type="paragraph" w:styleId="32">
    <w:name w:val="Title"/>
    <w:basedOn w:val="1"/>
    <w:link w:val="56"/>
    <w:qFormat/>
    <w:uiPriority w:val="0"/>
    <w:pPr>
      <w:spacing w:before="240" w:after="60"/>
      <w:jc w:val="center"/>
      <w:outlineLvl w:val="0"/>
    </w:pPr>
    <w:rPr>
      <w:rFonts w:ascii="Arial" w:hAnsi="Arial" w:cs="Arial"/>
      <w:b/>
      <w:bCs/>
      <w:sz w:val="32"/>
      <w:szCs w:val="32"/>
    </w:rPr>
  </w:style>
  <w:style w:type="paragraph" w:styleId="33">
    <w:name w:val="Body Text First Indent 2"/>
    <w:basedOn w:val="12"/>
    <w:link w:val="57"/>
    <w:uiPriority w:val="0"/>
    <w:pPr>
      <w:spacing w:after="120" w:line="240" w:lineRule="auto"/>
      <w:ind w:left="420" w:leftChars="200" w:firstLineChars="200"/>
    </w:pPr>
    <w:rPr>
      <w:rFonts w:ascii="Times New Roman" w:hAnsi="Times New Roman" w:eastAsia="宋体"/>
      <w:sz w:val="21"/>
    </w:rPr>
  </w:style>
  <w:style w:type="table" w:styleId="35">
    <w:name w:val="Table Grid"/>
    <w:basedOn w:val="34"/>
    <w:uiPriority w:val="59"/>
    <w:pPr>
      <w:widowControl w:val="0"/>
      <w:jc w:val="both"/>
    </w:pPr>
    <w:tblPr>
      <w:tblStyle w:val="3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6">
    <w:name w:val="Table Theme"/>
    <w:basedOn w:val="34"/>
    <w:uiPriority w:val="0"/>
    <w:pPr>
      <w:widowControl w:val="0"/>
      <w:jc w:val="both"/>
    </w:pPr>
    <w:tblPr>
      <w:tblStyle w:val="3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qFormat/>
    <w:uiPriority w:val="22"/>
    <w:rPr>
      <w:b/>
      <w:bCs/>
    </w:rPr>
  </w:style>
  <w:style w:type="character" w:styleId="39">
    <w:name w:val="page number"/>
    <w:basedOn w:val="37"/>
    <w:uiPriority w:val="0"/>
  </w:style>
  <w:style w:type="character" w:styleId="40">
    <w:name w:val="FollowedHyperlink"/>
    <w:basedOn w:val="37"/>
    <w:uiPriority w:val="99"/>
    <w:rPr>
      <w:color w:val="800080"/>
      <w:u w:val="single"/>
    </w:rPr>
  </w:style>
  <w:style w:type="character" w:styleId="41">
    <w:name w:val="Hyperlink"/>
    <w:basedOn w:val="37"/>
    <w:uiPriority w:val="99"/>
    <w:rPr>
      <w:color w:val="0000FF"/>
      <w:u w:val="single"/>
    </w:rPr>
  </w:style>
  <w:style w:type="character" w:styleId="42">
    <w:name w:val="footnote reference"/>
    <w:basedOn w:val="37"/>
    <w:semiHidden/>
    <w:uiPriority w:val="0"/>
    <w:rPr>
      <w:vertAlign w:val="superscript"/>
    </w:rPr>
  </w:style>
  <w:style w:type="character" w:customStyle="1" w:styleId="43">
    <w:name w:val="标题 1 Char"/>
    <w:basedOn w:val="37"/>
    <w:link w:val="2"/>
    <w:uiPriority w:val="0"/>
    <w:rPr>
      <w:b/>
      <w:bCs/>
      <w:kern w:val="44"/>
      <w:sz w:val="44"/>
      <w:szCs w:val="44"/>
    </w:rPr>
  </w:style>
  <w:style w:type="character" w:customStyle="1" w:styleId="44">
    <w:name w:val="标题 2 Char"/>
    <w:aliases w:val="标题 2 Char Char Char Char Char Char Char"/>
    <w:basedOn w:val="37"/>
    <w:link w:val="3"/>
    <w:uiPriority w:val="0"/>
    <w:rPr>
      <w:rFonts w:ascii="Arial" w:hAnsi="Arial" w:eastAsia="黑体"/>
      <w:b/>
      <w:bCs/>
      <w:kern w:val="2"/>
      <w:sz w:val="32"/>
      <w:szCs w:val="32"/>
    </w:rPr>
  </w:style>
  <w:style w:type="character" w:customStyle="1" w:styleId="45">
    <w:name w:val="标题 3 Char"/>
    <w:aliases w:val="h3 Char,H3 Char,sect1.2.3 Char Char,sect1.2.3 Char Char Char Char,sect1.2.3 Char1"/>
    <w:basedOn w:val="37"/>
    <w:link w:val="4"/>
    <w:uiPriority w:val="0"/>
    <w:rPr>
      <w:b/>
      <w:bCs/>
      <w:kern w:val="2"/>
      <w:sz w:val="32"/>
      <w:szCs w:val="32"/>
    </w:rPr>
  </w:style>
  <w:style w:type="character" w:customStyle="1" w:styleId="46">
    <w:name w:val="标题 4 Char"/>
    <w:basedOn w:val="37"/>
    <w:link w:val="5"/>
    <w:uiPriority w:val="0"/>
    <w:rPr>
      <w:rFonts w:ascii="Cambria" w:hAnsi="Cambria"/>
      <w:b/>
      <w:bCs/>
      <w:kern w:val="2"/>
      <w:sz w:val="24"/>
      <w:szCs w:val="28"/>
    </w:rPr>
  </w:style>
  <w:style w:type="character" w:customStyle="1" w:styleId="47">
    <w:name w:val="标题 5 Char"/>
    <w:basedOn w:val="37"/>
    <w:link w:val="6"/>
    <w:semiHidden/>
    <w:uiPriority w:val="0"/>
    <w:rPr>
      <w:b/>
      <w:bCs/>
      <w:kern w:val="2"/>
      <w:sz w:val="28"/>
      <w:szCs w:val="28"/>
    </w:rPr>
  </w:style>
  <w:style w:type="character" w:customStyle="1" w:styleId="48">
    <w:name w:val="题注 Char1"/>
    <w:link w:val="9"/>
    <w:uiPriority w:val="0"/>
    <w:rPr>
      <w:rFonts w:ascii="Arial" w:hAnsi="Arial" w:eastAsia="黑体" w:cs="Arial"/>
      <w:kern w:val="2"/>
    </w:rPr>
  </w:style>
  <w:style w:type="character" w:customStyle="1" w:styleId="49">
    <w:name w:val="正文文本 Char"/>
    <w:basedOn w:val="37"/>
    <w:link w:val="11"/>
    <w:uiPriority w:val="0"/>
    <w:rPr>
      <w:kern w:val="2"/>
      <w:sz w:val="21"/>
      <w:szCs w:val="24"/>
    </w:rPr>
  </w:style>
  <w:style w:type="character" w:customStyle="1" w:styleId="50">
    <w:name w:val="正文文本缩进 Char"/>
    <w:basedOn w:val="37"/>
    <w:link w:val="12"/>
    <w:uiPriority w:val="0"/>
    <w:rPr>
      <w:rFonts w:ascii="幼圆" w:hAnsi="宋体" w:eastAsia="幼圆"/>
      <w:kern w:val="2"/>
      <w:sz w:val="24"/>
      <w:szCs w:val="24"/>
    </w:rPr>
  </w:style>
  <w:style w:type="character" w:customStyle="1" w:styleId="51">
    <w:name w:val="纯文本 Char"/>
    <w:basedOn w:val="37"/>
    <w:link w:val="15"/>
    <w:uiPriority w:val="0"/>
    <w:rPr>
      <w:rFonts w:ascii="宋体" w:hAnsi="Courier New" w:cs="Courier New"/>
      <w:kern w:val="2"/>
      <w:sz w:val="21"/>
      <w:szCs w:val="21"/>
    </w:rPr>
  </w:style>
  <w:style w:type="character" w:customStyle="1" w:styleId="52">
    <w:name w:val="正文文本缩进 2 Char"/>
    <w:basedOn w:val="37"/>
    <w:link w:val="18"/>
    <w:uiPriority w:val="0"/>
    <w:rPr>
      <w:kern w:val="2"/>
      <w:sz w:val="21"/>
      <w:szCs w:val="24"/>
    </w:rPr>
  </w:style>
  <w:style w:type="character" w:customStyle="1" w:styleId="53">
    <w:name w:val="批注框文本 Char"/>
    <w:basedOn w:val="37"/>
    <w:link w:val="19"/>
    <w:uiPriority w:val="0"/>
    <w:rPr>
      <w:kern w:val="2"/>
      <w:sz w:val="18"/>
      <w:szCs w:val="18"/>
    </w:rPr>
  </w:style>
  <w:style w:type="character" w:customStyle="1" w:styleId="54">
    <w:name w:val="页脚 Char"/>
    <w:basedOn w:val="37"/>
    <w:link w:val="20"/>
    <w:uiPriority w:val="0"/>
    <w:rPr>
      <w:kern w:val="2"/>
      <w:sz w:val="18"/>
      <w:szCs w:val="18"/>
    </w:rPr>
  </w:style>
  <w:style w:type="character" w:customStyle="1" w:styleId="55">
    <w:name w:val="页眉 Char"/>
    <w:basedOn w:val="37"/>
    <w:link w:val="21"/>
    <w:uiPriority w:val="0"/>
    <w:rPr>
      <w:kern w:val="2"/>
      <w:sz w:val="18"/>
      <w:szCs w:val="18"/>
    </w:rPr>
  </w:style>
  <w:style w:type="character" w:customStyle="1" w:styleId="56">
    <w:name w:val="标题 Char"/>
    <w:basedOn w:val="37"/>
    <w:link w:val="32"/>
    <w:uiPriority w:val="0"/>
    <w:rPr>
      <w:rFonts w:ascii="Arial" w:hAnsi="Arial" w:cs="Arial"/>
      <w:b/>
      <w:bCs/>
      <w:kern w:val="2"/>
      <w:sz w:val="32"/>
      <w:szCs w:val="32"/>
    </w:rPr>
  </w:style>
  <w:style w:type="character" w:customStyle="1" w:styleId="57">
    <w:name w:val="正文首行缩进 2 Char"/>
    <w:basedOn w:val="50"/>
    <w:link w:val="33"/>
    <w:uiPriority w:val="0"/>
    <w:rPr>
      <w:sz w:val="21"/>
    </w:rPr>
  </w:style>
  <w:style w:type="paragraph" w:customStyle="1" w:styleId="58">
    <w:name w:val="表名"/>
    <w:basedOn w:val="1"/>
    <w:uiPriority w:val="0"/>
    <w:pPr>
      <w:spacing w:before="156" w:beforeLines="50" w:line="360" w:lineRule="auto"/>
      <w:jc w:val="center"/>
    </w:pPr>
    <w:rPr>
      <w:rFonts w:eastAsia="黑体"/>
      <w:kern w:val="0"/>
      <w:sz w:val="24"/>
    </w:rPr>
  </w:style>
  <w:style w:type="character" w:customStyle="1" w:styleId="59">
    <w:name w:val="style141"/>
    <w:basedOn w:val="37"/>
    <w:uiPriority w:val="0"/>
    <w:rPr>
      <w:sz w:val="18"/>
      <w:szCs w:val="18"/>
    </w:rPr>
  </w:style>
  <w:style w:type="paragraph" w:customStyle="1" w:styleId="60">
    <w:name w:val="表头文字2"/>
    <w:basedOn w:val="1"/>
    <w:uiPriority w:val="0"/>
    <w:pPr>
      <w:spacing w:before="20" w:after="20" w:line="220" w:lineRule="exact"/>
      <w:jc w:val="center"/>
    </w:pPr>
    <w:rPr>
      <w:rFonts w:ascii="黑体" w:eastAsia="黑体"/>
      <w:b/>
      <w:bCs/>
      <w:sz w:val="18"/>
      <w:szCs w:val="20"/>
    </w:rPr>
  </w:style>
  <w:style w:type="paragraph" w:customStyle="1" w:styleId="61">
    <w:name w:val="表头文字"/>
    <w:basedOn w:val="1"/>
    <w:next w:val="11"/>
    <w:link w:val="62"/>
    <w:uiPriority w:val="0"/>
    <w:pPr>
      <w:spacing w:before="40" w:after="40" w:line="220" w:lineRule="exact"/>
      <w:jc w:val="center"/>
    </w:pPr>
    <w:rPr>
      <w:rFonts w:ascii="黑体" w:eastAsia="黑体"/>
      <w:b/>
      <w:bCs/>
      <w:szCs w:val="20"/>
    </w:rPr>
  </w:style>
  <w:style w:type="character" w:customStyle="1" w:styleId="62">
    <w:name w:val="表头文字 Char"/>
    <w:basedOn w:val="37"/>
    <w:link w:val="61"/>
    <w:uiPriority w:val="0"/>
    <w:rPr>
      <w:rFonts w:ascii="黑体" w:eastAsia="黑体"/>
      <w:b/>
      <w:bCs/>
      <w:kern w:val="2"/>
      <w:sz w:val="21"/>
      <w:lang w:val="en-US" w:eastAsia="zh-CN" w:bidi="ar-SA"/>
    </w:rPr>
  </w:style>
  <w:style w:type="paragraph" w:customStyle="1" w:styleId="63">
    <w:name w:val="表格中文字2"/>
    <w:basedOn w:val="1"/>
    <w:uiPriority w:val="0"/>
    <w:pPr>
      <w:spacing w:line="300" w:lineRule="auto"/>
      <w:jc w:val="center"/>
    </w:pPr>
    <w:rPr>
      <w:rFonts w:ascii="幼圆" w:eastAsia="幼圆"/>
      <w:b/>
      <w:kern w:val="0"/>
    </w:rPr>
  </w:style>
  <w:style w:type="paragraph" w:customStyle="1" w:styleId="64">
    <w:name w:val="表格中文字"/>
    <w:basedOn w:val="30"/>
    <w:uiPriority w:val="0"/>
    <w:pPr>
      <w:spacing w:before="60" w:after="156" w:afterLines="50" w:line="260" w:lineRule="exact"/>
      <w:jc w:val="center"/>
    </w:pPr>
    <w:rPr>
      <w:rFonts w:ascii="幼圆" w:hAnsi="Lucida Sans Unicode" w:eastAsia="幼圆"/>
      <w:sz w:val="24"/>
      <w:szCs w:val="20"/>
      <w:lang/>
    </w:rPr>
  </w:style>
  <w:style w:type="paragraph" w:customStyle="1" w:styleId="65">
    <w:name w:val="专栏"/>
    <w:basedOn w:val="1"/>
    <w:uiPriority w:val="0"/>
    <w:pPr>
      <w:jc w:val="left"/>
    </w:pPr>
    <w:rPr>
      <w:rFonts w:ascii="楷体_GB2312" w:eastAsia="楷体_GB2312"/>
      <w:b/>
      <w:u w:val="single"/>
    </w:rPr>
  </w:style>
  <w:style w:type="paragraph" w:customStyle="1" w:styleId="66">
    <w:name w:val="xl28"/>
    <w:basedOn w:val="1"/>
    <w:uiPriority w:val="0"/>
    <w:pPr>
      <w:widowControl/>
      <w:spacing w:before="100" w:beforeAutospacing="1" w:after="100" w:afterAutospacing="1"/>
      <w:jc w:val="center"/>
    </w:pPr>
    <w:rPr>
      <w:rFonts w:ascii="宋体" w:hAnsi="宋体"/>
      <w:kern w:val="0"/>
      <w:szCs w:val="21"/>
    </w:rPr>
  </w:style>
  <w:style w:type="paragraph" w:customStyle="1" w:styleId="67">
    <w:name w:val=" Char Char Char Char Char Char Char"/>
    <w:basedOn w:val="1"/>
    <w:uiPriority w:val="0"/>
    <w:pPr>
      <w:spacing w:line="360" w:lineRule="auto"/>
      <w:ind w:firstLine="200" w:firstLineChars="200"/>
    </w:pPr>
    <w:rPr>
      <w:rFonts w:ascii="宋体" w:hAnsi="宋体" w:cs="宋体"/>
      <w:sz w:val="24"/>
    </w:rPr>
  </w:style>
  <w:style w:type="paragraph" w:customStyle="1" w:styleId="68">
    <w:name w:val=" Char Char Char Char Char Char Char Char Char Char Char Char Char"/>
    <w:basedOn w:val="1"/>
    <w:uiPriority w:val="0"/>
    <w:pPr>
      <w:spacing w:line="360" w:lineRule="auto"/>
      <w:ind w:firstLine="200" w:firstLineChars="200"/>
    </w:pPr>
    <w:rPr>
      <w:rFonts w:ascii="宋体" w:hAnsi="宋体" w:cs="宋体"/>
      <w:sz w:val="24"/>
    </w:rPr>
  </w:style>
  <w:style w:type="character" w:customStyle="1" w:styleId="69">
    <w:name w:val="t_tag"/>
    <w:basedOn w:val="37"/>
    <w:uiPriority w:val="0"/>
  </w:style>
  <w:style w:type="paragraph" w:customStyle="1" w:styleId="70">
    <w:name w:val="样式17"/>
    <w:basedOn w:val="1"/>
    <w:link w:val="71"/>
    <w:uiPriority w:val="0"/>
    <w:pPr>
      <w:spacing w:before="93" w:beforeLines="30" w:after="93" w:afterLines="30" w:line="324" w:lineRule="auto"/>
      <w:ind w:firstLine="360" w:firstLineChars="150"/>
    </w:pPr>
    <w:rPr>
      <w:sz w:val="24"/>
      <w:lang/>
    </w:rPr>
  </w:style>
  <w:style w:type="character" w:customStyle="1" w:styleId="71">
    <w:name w:val="样式17 Char"/>
    <w:basedOn w:val="37"/>
    <w:link w:val="70"/>
    <w:uiPriority w:val="0"/>
    <w:rPr>
      <w:kern w:val="2"/>
      <w:sz w:val="24"/>
      <w:szCs w:val="24"/>
      <w:lang/>
    </w:rPr>
  </w:style>
  <w:style w:type="paragraph" w:styleId="72">
    <w:name w:val="List Paragraph"/>
    <w:basedOn w:val="1"/>
    <w:qFormat/>
    <w:uiPriority w:val="34"/>
    <w:pPr>
      <w:ind w:firstLine="420" w:firstLineChars="200"/>
    </w:pPr>
  </w:style>
  <w:style w:type="paragraph" w:customStyle="1" w:styleId="73">
    <w:name w:val="样式 样式 标题 3 + 段前: 0.5 行 段后: 0.5 行 + 段前: 0.5 行 段后: 0.5 行"/>
    <w:basedOn w:val="1"/>
    <w:uiPriority w:val="0"/>
    <w:pPr>
      <w:keepNext/>
      <w:keepLines/>
      <w:spacing w:before="100" w:beforeLines="100" w:after="50" w:afterLines="50" w:line="360" w:lineRule="auto"/>
      <w:outlineLvl w:val="2"/>
    </w:pPr>
    <w:rPr>
      <w:rFonts w:cs="宋体"/>
      <w:b/>
      <w:bCs/>
      <w:sz w:val="24"/>
      <w:szCs w:val="20"/>
    </w:rPr>
  </w:style>
  <w:style w:type="character" w:customStyle="1" w:styleId="74">
    <w:name w:val="标题 2 Char1"/>
    <w:aliases w:val="标题 2 Char Char Char Char Char Char Char1"/>
    <w:basedOn w:val="37"/>
    <w:uiPriority w:val="0"/>
    <w:rPr>
      <w:rFonts w:ascii="Arial" w:hAnsi="Arial" w:eastAsia="黑体"/>
      <w:b/>
      <w:bCs/>
      <w:kern w:val="2"/>
      <w:sz w:val="32"/>
      <w:szCs w:val="32"/>
      <w:lang w:val="en-US" w:eastAsia="zh-CN" w:bidi="ar-SA"/>
    </w:rPr>
  </w:style>
  <w:style w:type="paragraph" w:customStyle="1" w:styleId="75">
    <w:name w:val="1"/>
    <w:basedOn w:val="1"/>
    <w:uiPriority w:val="0"/>
    <w:pPr>
      <w:widowControl/>
      <w:pBdr>
        <w:top w:val="single" w:color="666666" w:sz="8" w:space="0"/>
        <w:left w:val="single" w:color="666666" w:sz="8" w:space="0"/>
        <w:bottom w:val="single" w:color="666666" w:sz="8" w:space="0"/>
        <w:right w:val="single" w:color="666666" w:sz="8" w:space="0"/>
      </w:pBdr>
      <w:spacing w:before="100" w:beforeAutospacing="1" w:after="100" w:afterAutospacing="1"/>
      <w:jc w:val="left"/>
    </w:pPr>
    <w:rPr>
      <w:rFonts w:ascii="宋体" w:hAnsi="宋体"/>
      <w:color w:val="000000"/>
      <w:kern w:val="0"/>
      <w:sz w:val="24"/>
    </w:rPr>
  </w:style>
  <w:style w:type="paragraph" w:customStyle="1" w:styleId="76">
    <w:name w:val="2705"/>
    <w:basedOn w:val="1"/>
    <w:uiPriority w:val="0"/>
    <w:pPr>
      <w:widowControl/>
      <w:spacing w:before="100" w:beforeAutospacing="1" w:after="100" w:afterAutospacing="1"/>
      <w:jc w:val="left"/>
    </w:pPr>
    <w:rPr>
      <w:rFonts w:ascii="宋体" w:hAnsi="宋体"/>
      <w:color w:val="000000"/>
      <w:kern w:val="0"/>
      <w:sz w:val="24"/>
    </w:rPr>
  </w:style>
  <w:style w:type="paragraph" w:customStyle="1" w:styleId="77">
    <w:name w:val="a"/>
    <w:basedOn w:val="1"/>
    <w:uiPriority w:val="0"/>
    <w:pPr>
      <w:widowControl/>
      <w:spacing w:before="100" w:beforeAutospacing="1" w:after="100" w:afterAutospacing="1"/>
      <w:jc w:val="left"/>
    </w:pPr>
    <w:rPr>
      <w:rFonts w:ascii="宋体" w:hAnsi="宋体"/>
      <w:color w:val="000000"/>
      <w:kern w:val="0"/>
      <w:sz w:val="24"/>
    </w:rPr>
  </w:style>
  <w:style w:type="paragraph" w:customStyle="1" w:styleId="78">
    <w:name w:val="513201"/>
    <w:basedOn w:val="1"/>
    <w:uiPriority w:val="0"/>
    <w:pPr>
      <w:widowControl/>
      <w:spacing w:before="100" w:beforeAutospacing="1" w:after="100" w:afterAutospacing="1"/>
      <w:jc w:val="left"/>
    </w:pPr>
    <w:rPr>
      <w:rFonts w:ascii="宋体" w:hAnsi="宋体"/>
      <w:color w:val="000000"/>
      <w:kern w:val="0"/>
      <w:sz w:val="24"/>
    </w:rPr>
  </w:style>
  <w:style w:type="paragraph" w:customStyle="1" w:styleId="79">
    <w:name w:val="27051"/>
    <w:basedOn w:val="1"/>
    <w:uiPriority w:val="0"/>
    <w:pPr>
      <w:widowControl/>
      <w:spacing w:before="100" w:beforeAutospacing="1" w:after="100" w:afterAutospacing="1"/>
      <w:jc w:val="left"/>
    </w:pPr>
    <w:rPr>
      <w:rFonts w:ascii="宋体" w:hAnsi="宋体"/>
      <w:color w:val="000000"/>
      <w:kern w:val="0"/>
      <w:sz w:val="24"/>
    </w:rPr>
  </w:style>
  <w:style w:type="paragraph" w:customStyle="1" w:styleId="80">
    <w:name w:val="a0"/>
    <w:basedOn w:val="1"/>
    <w:uiPriority w:val="0"/>
    <w:pPr>
      <w:widowControl/>
      <w:spacing w:before="100" w:beforeAutospacing="1" w:after="100" w:afterAutospacing="1"/>
      <w:jc w:val="left"/>
    </w:pPr>
    <w:rPr>
      <w:rFonts w:ascii="宋体" w:hAnsi="宋体"/>
      <w:color w:val="000000"/>
      <w:kern w:val="0"/>
      <w:sz w:val="24"/>
    </w:rPr>
  </w:style>
  <w:style w:type="paragraph" w:customStyle="1" w:styleId="81">
    <w:name w:val="a1"/>
    <w:basedOn w:val="1"/>
    <w:uiPriority w:val="0"/>
    <w:pPr>
      <w:widowControl/>
      <w:spacing w:before="100" w:beforeAutospacing="1" w:after="100" w:afterAutospacing="1"/>
      <w:jc w:val="left"/>
    </w:pPr>
    <w:rPr>
      <w:rFonts w:ascii="宋体" w:hAnsi="宋体"/>
      <w:color w:val="000000"/>
      <w:kern w:val="0"/>
      <w:sz w:val="24"/>
    </w:rPr>
  </w:style>
  <w:style w:type="paragraph" w:customStyle="1" w:styleId="82">
    <w:name w:val="2"/>
    <w:basedOn w:val="1"/>
    <w:uiPriority w:val="0"/>
    <w:pPr>
      <w:widowControl/>
      <w:spacing w:before="100" w:beforeAutospacing="1" w:after="100" w:afterAutospacing="1"/>
      <w:jc w:val="left"/>
    </w:pPr>
    <w:rPr>
      <w:rFonts w:ascii="宋体" w:hAnsi="宋体"/>
      <w:color w:val="000000"/>
      <w:kern w:val="0"/>
      <w:sz w:val="24"/>
    </w:rPr>
  </w:style>
  <w:style w:type="paragraph" w:customStyle="1" w:styleId="83">
    <w:name w:val="a2"/>
    <w:basedOn w:val="1"/>
    <w:uiPriority w:val="0"/>
    <w:pPr>
      <w:widowControl/>
      <w:spacing w:before="100" w:beforeAutospacing="1" w:after="100" w:afterAutospacing="1"/>
      <w:jc w:val="left"/>
    </w:pPr>
    <w:rPr>
      <w:rFonts w:ascii="宋体" w:hAnsi="宋体"/>
      <w:color w:val="000000"/>
      <w:kern w:val="0"/>
      <w:sz w:val="24"/>
    </w:rPr>
  </w:style>
  <w:style w:type="paragraph" w:customStyle="1" w:styleId="84">
    <w:name w:val="378705"/>
    <w:basedOn w:val="1"/>
    <w:uiPriority w:val="0"/>
    <w:pPr>
      <w:widowControl/>
      <w:spacing w:before="100" w:beforeAutospacing="1" w:after="100" w:afterAutospacing="1"/>
      <w:jc w:val="left"/>
    </w:pPr>
    <w:rPr>
      <w:rFonts w:ascii="宋体" w:hAnsi="宋体"/>
      <w:color w:val="000000"/>
      <w:kern w:val="0"/>
      <w:sz w:val="24"/>
    </w:rPr>
  </w:style>
  <w:style w:type="paragraph" w:customStyle="1" w:styleId="85">
    <w:name w:val="378"/>
    <w:basedOn w:val="1"/>
    <w:uiPriority w:val="0"/>
    <w:pPr>
      <w:widowControl/>
      <w:spacing w:before="100" w:beforeAutospacing="1" w:after="100" w:afterAutospacing="1"/>
      <w:jc w:val="left"/>
    </w:pPr>
    <w:rPr>
      <w:rFonts w:ascii="宋体" w:hAnsi="宋体"/>
      <w:color w:val="000000"/>
      <w:kern w:val="0"/>
      <w:sz w:val="24"/>
    </w:rPr>
  </w:style>
  <w:style w:type="paragraph" w:customStyle="1" w:styleId="86">
    <w:name w:val="3050505"/>
    <w:basedOn w:val="1"/>
    <w:uiPriority w:val="0"/>
    <w:pPr>
      <w:widowControl/>
      <w:spacing w:before="100" w:beforeAutospacing="1" w:after="100" w:afterAutospacing="1"/>
      <w:jc w:val="left"/>
    </w:pPr>
    <w:rPr>
      <w:rFonts w:ascii="宋体" w:hAnsi="宋体"/>
      <w:color w:val="000000"/>
      <w:kern w:val="0"/>
      <w:sz w:val="24"/>
    </w:rPr>
  </w:style>
  <w:style w:type="paragraph" w:customStyle="1" w:styleId="87">
    <w:name w:val="30505"/>
    <w:basedOn w:val="1"/>
    <w:uiPriority w:val="0"/>
    <w:pPr>
      <w:widowControl/>
      <w:spacing w:before="100" w:beforeAutospacing="1" w:after="100" w:afterAutospacing="1"/>
      <w:jc w:val="left"/>
    </w:pPr>
    <w:rPr>
      <w:rFonts w:ascii="宋体" w:hAnsi="宋体"/>
      <w:color w:val="000000"/>
      <w:kern w:val="0"/>
      <w:sz w:val="24"/>
    </w:rPr>
  </w:style>
  <w:style w:type="paragraph" w:customStyle="1" w:styleId="88">
    <w:name w:val="3arial7862"/>
    <w:basedOn w:val="1"/>
    <w:uiPriority w:val="0"/>
    <w:pPr>
      <w:widowControl/>
      <w:spacing w:before="100" w:beforeAutospacing="1" w:after="100" w:afterAutospacing="1"/>
      <w:jc w:val="left"/>
    </w:pPr>
    <w:rPr>
      <w:rFonts w:ascii="宋体" w:hAnsi="宋体"/>
      <w:color w:val="000000"/>
      <w:kern w:val="0"/>
      <w:sz w:val="24"/>
    </w:rPr>
  </w:style>
  <w:style w:type="paragraph" w:customStyle="1" w:styleId="89">
    <w:name w:val="305"/>
    <w:basedOn w:val="1"/>
    <w:uiPriority w:val="0"/>
    <w:pPr>
      <w:widowControl/>
      <w:spacing w:before="100" w:beforeAutospacing="1" w:after="100" w:afterAutospacing="1"/>
      <w:jc w:val="left"/>
    </w:pPr>
    <w:rPr>
      <w:rFonts w:ascii="宋体" w:hAnsi="宋体"/>
      <w:color w:val="000000"/>
      <w:kern w:val="0"/>
      <w:sz w:val="24"/>
    </w:rPr>
  </w:style>
  <w:style w:type="paragraph" w:customStyle="1" w:styleId="90">
    <w:name w:val="05"/>
    <w:basedOn w:val="1"/>
    <w:uiPriority w:val="0"/>
    <w:pPr>
      <w:widowControl/>
      <w:spacing w:before="100" w:beforeAutospacing="1" w:after="100" w:afterAutospacing="1"/>
      <w:jc w:val="left"/>
    </w:pPr>
    <w:rPr>
      <w:rFonts w:ascii="宋体" w:hAnsi="宋体"/>
      <w:color w:val="000000"/>
      <w:kern w:val="0"/>
      <w:sz w:val="24"/>
    </w:rPr>
  </w:style>
  <w:style w:type="paragraph" w:customStyle="1" w:styleId="91">
    <w:name w:val="3051"/>
    <w:basedOn w:val="1"/>
    <w:uiPriority w:val="0"/>
    <w:pPr>
      <w:widowControl/>
      <w:spacing w:before="100" w:beforeAutospacing="1" w:after="100" w:afterAutospacing="1"/>
      <w:jc w:val="left"/>
    </w:pPr>
    <w:rPr>
      <w:rFonts w:ascii="宋体" w:hAnsi="宋体"/>
      <w:color w:val="000000"/>
      <w:kern w:val="0"/>
      <w:sz w:val="24"/>
    </w:rPr>
  </w:style>
  <w:style w:type="paragraph" w:customStyle="1" w:styleId="92">
    <w:name w:val="00114"/>
    <w:basedOn w:val="1"/>
    <w:uiPriority w:val="0"/>
    <w:pPr>
      <w:widowControl/>
      <w:spacing w:before="100" w:beforeAutospacing="1" w:after="100" w:afterAutospacing="1"/>
      <w:jc w:val="left"/>
    </w:pPr>
    <w:rPr>
      <w:rFonts w:ascii="宋体" w:hAnsi="宋体"/>
      <w:color w:val="000000"/>
      <w:kern w:val="0"/>
      <w:sz w:val="24"/>
    </w:rPr>
  </w:style>
  <w:style w:type="paragraph" w:customStyle="1" w:styleId="93">
    <w:name w:val="305705"/>
    <w:basedOn w:val="1"/>
    <w:uiPriority w:val="0"/>
    <w:pPr>
      <w:widowControl/>
      <w:spacing w:before="100" w:beforeAutospacing="1" w:after="100" w:afterAutospacing="1"/>
      <w:jc w:val="left"/>
    </w:pPr>
    <w:rPr>
      <w:rFonts w:ascii="宋体" w:hAnsi="宋体"/>
      <w:color w:val="000000"/>
      <w:kern w:val="0"/>
      <w:sz w:val="24"/>
    </w:rPr>
  </w:style>
  <w:style w:type="paragraph" w:customStyle="1" w:styleId="94">
    <w:name w:val="5"/>
    <w:basedOn w:val="1"/>
    <w:uiPriority w:val="0"/>
    <w:pPr>
      <w:widowControl/>
      <w:spacing w:before="100" w:beforeAutospacing="1" w:after="100" w:afterAutospacing="1"/>
      <w:jc w:val="left"/>
    </w:pPr>
    <w:rPr>
      <w:rFonts w:ascii="宋体" w:hAnsi="宋体"/>
      <w:color w:val="000000"/>
      <w:kern w:val="0"/>
      <w:sz w:val="24"/>
    </w:rPr>
  </w:style>
  <w:style w:type="paragraph" w:customStyle="1" w:styleId="95">
    <w:name w:val="3052"/>
    <w:basedOn w:val="1"/>
    <w:uiPriority w:val="0"/>
    <w:pPr>
      <w:widowControl/>
      <w:spacing w:before="100" w:beforeAutospacing="1" w:after="100" w:afterAutospacing="1"/>
      <w:jc w:val="left"/>
    </w:pPr>
    <w:rPr>
      <w:rFonts w:ascii="宋体" w:hAnsi="宋体"/>
      <w:color w:val="000000"/>
      <w:kern w:val="0"/>
      <w:sz w:val="24"/>
    </w:rPr>
  </w:style>
  <w:style w:type="paragraph" w:customStyle="1" w:styleId="96">
    <w:name w:val="06314"/>
    <w:basedOn w:val="1"/>
    <w:uiPriority w:val="0"/>
    <w:pPr>
      <w:widowControl/>
      <w:spacing w:before="100" w:beforeAutospacing="1" w:after="100" w:afterAutospacing="1"/>
      <w:jc w:val="left"/>
    </w:pPr>
    <w:rPr>
      <w:rFonts w:ascii="宋体" w:hAnsi="宋体"/>
      <w:color w:val="000000"/>
      <w:kern w:val="0"/>
      <w:sz w:val="24"/>
    </w:rPr>
  </w:style>
  <w:style w:type="paragraph" w:customStyle="1" w:styleId="97">
    <w:name w:val="arial001145130"/>
    <w:basedOn w:val="1"/>
    <w:uiPriority w:val="0"/>
    <w:pPr>
      <w:widowControl/>
      <w:spacing w:before="100" w:beforeAutospacing="1" w:after="100" w:afterAutospacing="1"/>
      <w:jc w:val="left"/>
    </w:pPr>
    <w:rPr>
      <w:rFonts w:ascii="宋体" w:hAnsi="宋体"/>
      <w:color w:val="000000"/>
      <w:kern w:val="0"/>
      <w:sz w:val="24"/>
    </w:rPr>
  </w:style>
  <w:style w:type="paragraph" w:customStyle="1" w:styleId="98">
    <w:name w:val="arial00114513"/>
    <w:basedOn w:val="1"/>
    <w:uiPriority w:val="0"/>
    <w:pPr>
      <w:widowControl/>
      <w:spacing w:before="100" w:beforeAutospacing="1" w:after="100" w:afterAutospacing="1"/>
      <w:jc w:val="left"/>
    </w:pPr>
    <w:rPr>
      <w:rFonts w:ascii="宋体" w:hAnsi="宋体"/>
      <w:color w:val="000000"/>
      <w:kern w:val="0"/>
      <w:sz w:val="24"/>
    </w:rPr>
  </w:style>
  <w:style w:type="paragraph" w:customStyle="1" w:styleId="99">
    <w:name w:val="arial00114"/>
    <w:basedOn w:val="1"/>
    <w:uiPriority w:val="0"/>
    <w:pPr>
      <w:widowControl/>
      <w:spacing w:before="100" w:beforeAutospacing="1" w:after="100" w:afterAutospacing="1"/>
      <w:jc w:val="left"/>
    </w:pPr>
    <w:rPr>
      <w:rFonts w:ascii="宋体" w:hAnsi="宋体"/>
      <w:color w:val="000000"/>
      <w:kern w:val="0"/>
      <w:sz w:val="24"/>
    </w:rPr>
  </w:style>
  <w:style w:type="paragraph" w:customStyle="1" w:styleId="100">
    <w:name w:val="3arial78705"/>
    <w:basedOn w:val="1"/>
    <w:uiPriority w:val="0"/>
    <w:pPr>
      <w:widowControl/>
      <w:spacing w:before="100" w:beforeAutospacing="1" w:after="100" w:afterAutospacing="1"/>
      <w:jc w:val="left"/>
    </w:pPr>
    <w:rPr>
      <w:rFonts w:ascii="宋体" w:hAnsi="宋体"/>
      <w:color w:val="000000"/>
      <w:kern w:val="0"/>
      <w:sz w:val="24"/>
    </w:rPr>
  </w:style>
  <w:style w:type="paragraph" w:customStyle="1" w:styleId="101">
    <w:name w:val="3arial7878"/>
    <w:basedOn w:val="1"/>
    <w:uiPriority w:val="0"/>
    <w:pPr>
      <w:widowControl/>
      <w:spacing w:before="100" w:beforeAutospacing="1" w:after="100" w:afterAutospacing="1"/>
      <w:jc w:val="left"/>
    </w:pPr>
    <w:rPr>
      <w:rFonts w:ascii="宋体" w:hAnsi="宋体"/>
      <w:color w:val="000000"/>
      <w:kern w:val="0"/>
      <w:sz w:val="24"/>
    </w:rPr>
  </w:style>
  <w:style w:type="paragraph" w:customStyle="1" w:styleId="102">
    <w:name w:val="3000505"/>
    <w:basedOn w:val="1"/>
    <w:uiPriority w:val="0"/>
    <w:pPr>
      <w:widowControl/>
      <w:spacing w:before="100" w:beforeAutospacing="1" w:after="100" w:afterAutospacing="1"/>
      <w:jc w:val="left"/>
    </w:pPr>
    <w:rPr>
      <w:rFonts w:ascii="宋体" w:hAnsi="宋体"/>
      <w:color w:val="000000"/>
      <w:kern w:val="0"/>
      <w:sz w:val="24"/>
    </w:rPr>
  </w:style>
  <w:style w:type="paragraph" w:customStyle="1" w:styleId="103">
    <w:name w:val="2705108"/>
    <w:basedOn w:val="1"/>
    <w:uiPriority w:val="0"/>
    <w:pPr>
      <w:widowControl/>
      <w:spacing w:before="100" w:beforeAutospacing="1" w:after="100" w:afterAutospacing="1"/>
      <w:jc w:val="left"/>
    </w:pPr>
    <w:rPr>
      <w:rFonts w:ascii="宋体" w:hAnsi="宋体"/>
      <w:color w:val="000000"/>
      <w:kern w:val="0"/>
      <w:sz w:val="24"/>
    </w:rPr>
  </w:style>
  <w:style w:type="paragraph" w:customStyle="1" w:styleId="104">
    <w:name w:val="30005105"/>
    <w:basedOn w:val="1"/>
    <w:uiPriority w:val="0"/>
    <w:pPr>
      <w:widowControl/>
      <w:spacing w:before="100" w:beforeAutospacing="1" w:after="100" w:afterAutospacing="1"/>
      <w:jc w:val="left"/>
    </w:pPr>
    <w:rPr>
      <w:rFonts w:ascii="宋体" w:hAnsi="宋体"/>
      <w:color w:val="000000"/>
      <w:kern w:val="0"/>
      <w:sz w:val="24"/>
    </w:rPr>
  </w:style>
  <w:style w:type="paragraph" w:customStyle="1" w:styleId="105">
    <w:name w:val="20612612"/>
    <w:basedOn w:val="1"/>
    <w:uiPriority w:val="0"/>
    <w:pPr>
      <w:widowControl/>
      <w:spacing w:before="100" w:beforeAutospacing="1" w:after="100" w:afterAutospacing="1"/>
      <w:jc w:val="left"/>
    </w:pPr>
    <w:rPr>
      <w:rFonts w:ascii="宋体" w:hAnsi="宋体"/>
      <w:color w:val="000000"/>
      <w:kern w:val="0"/>
      <w:sz w:val="24"/>
    </w:rPr>
  </w:style>
  <w:style w:type="paragraph" w:customStyle="1" w:styleId="106">
    <w:name w:val="表格"/>
    <w:basedOn w:val="1"/>
    <w:uiPriority w:val="0"/>
    <w:pPr>
      <w:widowControl/>
      <w:adjustRightInd w:val="0"/>
      <w:snapToGrid w:val="0"/>
      <w:jc w:val="center"/>
    </w:pPr>
    <w:rPr>
      <w:kern w:val="0"/>
      <w:szCs w:val="21"/>
    </w:rPr>
  </w:style>
  <w:style w:type="paragraph" w:customStyle="1" w:styleId="107">
    <w:name w:val="表格文字"/>
    <w:basedOn w:val="1"/>
    <w:uiPriority w:val="0"/>
    <w:pPr>
      <w:spacing w:line="460" w:lineRule="exact"/>
      <w:ind w:firstLine="8" w:firstLineChars="4"/>
      <w:jc w:val="center"/>
    </w:pPr>
    <w:rPr>
      <w:rFonts w:ascii="Arial" w:hAnsi="Arial" w:eastAsia="楷体_GB2312" w:cs="Arial"/>
      <w:kern w:val="0"/>
      <w:szCs w:val="20"/>
    </w:rPr>
  </w:style>
  <w:style w:type="paragraph" w:customStyle="1" w:styleId="108">
    <w:name w:val="类别2"/>
    <w:basedOn w:val="1"/>
    <w:uiPriority w:val="0"/>
    <w:pPr>
      <w:spacing w:after="120" w:line="360" w:lineRule="auto"/>
      <w:ind w:right="480"/>
      <w:jc w:val="center"/>
    </w:pPr>
    <w:rPr>
      <w:rFonts w:ascii="宋体" w:hAnsi="宋体" w:cs="Arial"/>
      <w:bCs/>
      <w:kern w:val="0"/>
      <w:sz w:val="24"/>
      <w:szCs w:val="20"/>
    </w:rPr>
  </w:style>
  <w:style w:type="paragraph" w:customStyle="1" w:styleId="109">
    <w:name w:val="条文正文"/>
    <w:basedOn w:val="1"/>
    <w:uiPriority w:val="0"/>
    <w:pPr>
      <w:tabs>
        <w:tab w:val="left" w:pos="1182"/>
        <w:tab w:val="left" w:pos="8528"/>
      </w:tabs>
      <w:spacing w:line="360" w:lineRule="auto"/>
    </w:pPr>
    <w:rPr>
      <w:rFonts w:ascii="宋体" w:hAnsi="宋体"/>
      <w:b/>
      <w:kern w:val="0"/>
      <w:sz w:val="24"/>
      <w:szCs w:val="20"/>
    </w:rPr>
  </w:style>
  <w:style w:type="paragraph" w:customStyle="1" w:styleId="110">
    <w:name w:val="表格注释"/>
    <w:basedOn w:val="1"/>
    <w:uiPriority w:val="0"/>
    <w:pPr>
      <w:adjustRightInd w:val="0"/>
      <w:snapToGrid w:val="0"/>
      <w:spacing w:line="320" w:lineRule="exact"/>
    </w:pPr>
    <w:rPr>
      <w:rFonts w:ascii="楷体_GB2312" w:hAnsi="Arial" w:eastAsia="楷体_GB2312"/>
      <w:sz w:val="18"/>
      <w:szCs w:val="20"/>
    </w:rPr>
  </w:style>
  <w:style w:type="character" w:customStyle="1" w:styleId="111">
    <w:name w:val="index"/>
    <w:basedOn w:val="37"/>
    <w:uiPriority w:val="0"/>
  </w:style>
  <w:style w:type="paragraph" w:customStyle="1" w:styleId="112">
    <w:name w:val=" Char Char Char Char Char Char Char Char Char Char"/>
    <w:basedOn w:val="1"/>
    <w:uiPriority w:val="0"/>
    <w:pPr>
      <w:spacing w:line="360" w:lineRule="auto"/>
      <w:ind w:firstLine="200" w:firstLineChars="200"/>
    </w:pPr>
    <w:rPr>
      <w:rFonts w:ascii="宋体" w:hAnsi="宋体" w:cs="宋体"/>
      <w:sz w:val="24"/>
    </w:rPr>
  </w:style>
  <w:style w:type="paragraph" w:customStyle="1" w:styleId="113">
    <w:name w:val="样式1"/>
    <w:basedOn w:val="1"/>
    <w:next w:val="11"/>
    <w:uiPriority w:val="0"/>
    <w:pPr>
      <w:pBdr>
        <w:bottom w:val="single" w:color="auto" w:sz="6" w:space="1"/>
      </w:pBdr>
      <w:tabs>
        <w:tab w:val="center" w:pos="4153"/>
        <w:tab w:val="right" w:pos="8306"/>
      </w:tabs>
      <w:snapToGrid w:val="0"/>
    </w:pPr>
    <w:rPr>
      <w:szCs w:val="21"/>
    </w:rPr>
  </w:style>
  <w:style w:type="paragraph" w:customStyle="1" w:styleId="114">
    <w:name w:val="font5"/>
    <w:basedOn w:val="1"/>
    <w:uiPriority w:val="0"/>
    <w:pPr>
      <w:widowControl/>
      <w:spacing w:before="100" w:beforeAutospacing="1" w:after="100" w:afterAutospacing="1"/>
      <w:jc w:val="left"/>
    </w:pPr>
    <w:rPr>
      <w:rFonts w:ascii="宋体" w:hAnsi="宋体" w:cs="宋体"/>
      <w:kern w:val="0"/>
      <w:sz w:val="18"/>
      <w:szCs w:val="18"/>
    </w:rPr>
  </w:style>
  <w:style w:type="paragraph" w:customStyle="1" w:styleId="115">
    <w:name w:val="font6"/>
    <w:basedOn w:val="1"/>
    <w:uiPriority w:val="0"/>
    <w:pPr>
      <w:widowControl/>
      <w:spacing w:before="100" w:beforeAutospacing="1" w:after="100" w:afterAutospacing="1"/>
      <w:jc w:val="left"/>
    </w:pPr>
    <w:rPr>
      <w:rFonts w:ascii="宋体" w:hAnsi="宋体" w:cs="宋体"/>
      <w:kern w:val="0"/>
      <w:szCs w:val="21"/>
    </w:rPr>
  </w:style>
  <w:style w:type="paragraph" w:customStyle="1" w:styleId="116">
    <w:name w:val="font7"/>
    <w:basedOn w:val="1"/>
    <w:uiPriority w:val="0"/>
    <w:pPr>
      <w:widowControl/>
      <w:spacing w:before="100" w:beforeAutospacing="1" w:after="100" w:afterAutospacing="1"/>
      <w:jc w:val="left"/>
    </w:pPr>
    <w:rPr>
      <w:rFonts w:ascii="宋体" w:hAnsi="宋体" w:cs="宋体"/>
      <w:kern w:val="0"/>
      <w:szCs w:val="21"/>
    </w:rPr>
  </w:style>
  <w:style w:type="paragraph" w:customStyle="1" w:styleId="117">
    <w:name w:val="font8"/>
    <w:basedOn w:val="1"/>
    <w:uiPriority w:val="0"/>
    <w:pPr>
      <w:widowControl/>
      <w:spacing w:before="100" w:beforeAutospacing="1" w:after="100" w:afterAutospacing="1"/>
      <w:jc w:val="left"/>
    </w:pPr>
    <w:rPr>
      <w:rFonts w:ascii="宋体" w:hAnsi="宋体" w:cs="宋体"/>
      <w:kern w:val="0"/>
      <w:szCs w:val="21"/>
    </w:rPr>
  </w:style>
  <w:style w:type="paragraph" w:customStyle="1" w:styleId="118">
    <w:name w:val="font9"/>
    <w:basedOn w:val="1"/>
    <w:uiPriority w:val="0"/>
    <w:pPr>
      <w:widowControl/>
      <w:spacing w:before="100" w:beforeAutospacing="1" w:after="100" w:afterAutospacing="1"/>
      <w:jc w:val="left"/>
    </w:pPr>
    <w:rPr>
      <w:rFonts w:ascii="宋体" w:hAnsi="宋体" w:cs="宋体"/>
      <w:kern w:val="0"/>
      <w:szCs w:val="21"/>
    </w:rPr>
  </w:style>
  <w:style w:type="paragraph" w:customStyle="1" w:styleId="119">
    <w:name w:val="font10"/>
    <w:basedOn w:val="1"/>
    <w:uiPriority w:val="0"/>
    <w:pPr>
      <w:widowControl/>
      <w:spacing w:before="100" w:beforeAutospacing="1" w:after="100" w:afterAutospacing="1"/>
      <w:jc w:val="left"/>
    </w:pPr>
    <w:rPr>
      <w:rFonts w:ascii="宋体" w:hAnsi="宋体" w:cs="宋体"/>
      <w:kern w:val="0"/>
      <w:sz w:val="18"/>
      <w:szCs w:val="18"/>
    </w:rPr>
  </w:style>
  <w:style w:type="paragraph" w:customStyle="1" w:styleId="120">
    <w:name w:val="xl6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121">
    <w:name w:val="xl66"/>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新宋体" w:hAnsi="新宋体" w:eastAsia="新宋体" w:cs="宋体"/>
      <w:color w:val="FF0000"/>
      <w:kern w:val="0"/>
      <w:szCs w:val="21"/>
    </w:rPr>
  </w:style>
  <w:style w:type="paragraph" w:customStyle="1" w:styleId="122">
    <w:name w:val="xl6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 w:val="24"/>
    </w:rPr>
  </w:style>
  <w:style w:type="paragraph" w:customStyle="1" w:styleId="123">
    <w:name w:val="xl68"/>
    <w:basedOn w:val="1"/>
    <w:uiPriority w:val="0"/>
    <w:pPr>
      <w:widowControl/>
      <w:pBdr>
        <w:top w:val="single" w:color="auto" w:sz="4" w:space="0"/>
        <w:left w:val="single" w:color="auto" w:sz="4" w:space="0"/>
        <w:bottom w:val="single" w:color="auto" w:sz="4" w:space="0"/>
        <w:right w:val="single" w:color="auto" w:sz="4" w:space="0"/>
      </w:pBdr>
      <w:shd w:val="clear" w:color="000000" w:fill="C0C0C0"/>
      <w:spacing w:before="100" w:beforeAutospacing="1" w:after="100" w:afterAutospacing="1"/>
      <w:jc w:val="center"/>
    </w:pPr>
    <w:rPr>
      <w:rFonts w:ascii="宋体" w:hAnsi="宋体" w:cs="宋体"/>
      <w:kern w:val="0"/>
      <w:szCs w:val="21"/>
    </w:rPr>
  </w:style>
  <w:style w:type="paragraph" w:customStyle="1" w:styleId="124">
    <w:name w:val="xl6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Cs w:val="21"/>
    </w:rPr>
  </w:style>
  <w:style w:type="paragraph" w:customStyle="1" w:styleId="125">
    <w:name w:val="xl7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126">
    <w:name w:val="xl7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27">
    <w:name w:val="xl72"/>
    <w:basedOn w:val="1"/>
    <w:uiPriority w:val="0"/>
    <w:pPr>
      <w:widowControl/>
      <w:spacing w:before="100" w:beforeAutospacing="1" w:after="100" w:afterAutospacing="1"/>
      <w:jc w:val="left"/>
    </w:pPr>
    <w:rPr>
      <w:rFonts w:ascii="宋体" w:hAnsi="宋体" w:cs="宋体"/>
      <w:kern w:val="0"/>
      <w:sz w:val="24"/>
    </w:rPr>
  </w:style>
  <w:style w:type="paragraph" w:customStyle="1" w:styleId="128">
    <w:name w:val="xl73"/>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29">
    <w:name w:val="xl7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30">
    <w:name w:val="xl7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31">
    <w:name w:val="xl7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132">
    <w:name w:val="xl77"/>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新宋体" w:hAnsi="新宋体" w:eastAsia="新宋体" w:cs="宋体"/>
      <w:kern w:val="0"/>
      <w:szCs w:val="21"/>
    </w:rPr>
  </w:style>
  <w:style w:type="paragraph" w:customStyle="1" w:styleId="133">
    <w:name w:val="xl78"/>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新宋体" w:hAnsi="新宋体" w:eastAsia="新宋体" w:cs="宋体"/>
      <w:kern w:val="0"/>
      <w:szCs w:val="21"/>
    </w:rPr>
  </w:style>
  <w:style w:type="paragraph" w:customStyle="1" w:styleId="134">
    <w:name w:val="xl7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Cs w:val="21"/>
    </w:rPr>
  </w:style>
  <w:style w:type="paragraph" w:customStyle="1" w:styleId="135">
    <w:name w:val="xl80"/>
    <w:basedOn w:val="1"/>
    <w:uiPriority w:val="0"/>
    <w:pPr>
      <w:widowControl/>
      <w:pBdr>
        <w:left w:val="single" w:color="auto" w:sz="4" w:space="0"/>
        <w:right w:val="single" w:color="auto" w:sz="4" w:space="0"/>
      </w:pBdr>
      <w:spacing w:before="100" w:beforeAutospacing="1" w:after="100" w:afterAutospacing="1"/>
      <w:jc w:val="left"/>
    </w:pPr>
    <w:rPr>
      <w:rFonts w:ascii="宋体" w:hAnsi="宋体" w:cs="宋体"/>
      <w:kern w:val="0"/>
      <w:szCs w:val="21"/>
    </w:rPr>
  </w:style>
  <w:style w:type="paragraph" w:customStyle="1" w:styleId="136">
    <w:name w:val="xl81"/>
    <w:basedOn w:val="1"/>
    <w:uiPriority w:val="0"/>
    <w:pPr>
      <w:widowControl/>
      <w:spacing w:before="100" w:beforeAutospacing="1" w:after="100" w:afterAutospacing="1"/>
      <w:jc w:val="center"/>
    </w:pPr>
    <w:rPr>
      <w:rFonts w:ascii="宋体" w:hAnsi="宋体" w:cs="宋体"/>
      <w:kern w:val="0"/>
      <w:sz w:val="24"/>
    </w:rPr>
  </w:style>
  <w:style w:type="paragraph" w:customStyle="1" w:styleId="137">
    <w:name w:val="xl82"/>
    <w:basedOn w:val="1"/>
    <w:uiPriority w:val="0"/>
    <w:pPr>
      <w:widowControl/>
      <w:pBdr>
        <w:top w:val="single" w:color="auto" w:sz="4" w:space="0"/>
        <w:left w:val="single" w:color="auto" w:sz="4" w:space="0"/>
        <w:right w:val="single" w:color="auto" w:sz="4" w:space="0"/>
      </w:pBdr>
      <w:shd w:val="clear" w:color="000000" w:fill="C0C0C0"/>
      <w:spacing w:before="100" w:beforeAutospacing="1" w:after="100" w:afterAutospacing="1"/>
      <w:jc w:val="center"/>
    </w:pPr>
    <w:rPr>
      <w:rFonts w:ascii="宋体" w:hAnsi="宋体" w:cs="宋体"/>
      <w:kern w:val="0"/>
      <w:szCs w:val="21"/>
    </w:rPr>
  </w:style>
  <w:style w:type="paragraph" w:customStyle="1" w:styleId="138">
    <w:name w:val="xl83"/>
    <w:basedOn w:val="1"/>
    <w:uiPriority w:val="0"/>
    <w:pPr>
      <w:widowControl/>
      <w:pBdr>
        <w:left w:val="single" w:color="auto" w:sz="4" w:space="0"/>
        <w:right w:val="single" w:color="auto" w:sz="4" w:space="0"/>
      </w:pBdr>
      <w:shd w:val="clear" w:color="000000" w:fill="C0C0C0"/>
      <w:spacing w:before="100" w:beforeAutospacing="1" w:after="100" w:afterAutospacing="1"/>
      <w:jc w:val="center"/>
    </w:pPr>
    <w:rPr>
      <w:rFonts w:ascii="宋体" w:hAnsi="宋体" w:cs="宋体"/>
      <w:kern w:val="0"/>
      <w:szCs w:val="21"/>
    </w:rPr>
  </w:style>
  <w:style w:type="paragraph" w:customStyle="1" w:styleId="139">
    <w:name w:val="xl84"/>
    <w:basedOn w:val="1"/>
    <w:uiPriority w:val="0"/>
    <w:pPr>
      <w:widowControl/>
      <w:pBdr>
        <w:left w:val="single" w:color="auto" w:sz="4" w:space="0"/>
        <w:bottom w:val="single" w:color="auto" w:sz="4" w:space="0"/>
        <w:right w:val="single" w:color="auto" w:sz="4" w:space="0"/>
      </w:pBdr>
      <w:shd w:val="clear" w:color="000000" w:fill="C0C0C0"/>
      <w:spacing w:before="100" w:beforeAutospacing="1" w:after="100" w:afterAutospacing="1"/>
      <w:jc w:val="center"/>
    </w:pPr>
    <w:rPr>
      <w:rFonts w:ascii="宋体" w:hAnsi="宋体" w:cs="宋体"/>
      <w:kern w:val="0"/>
      <w:szCs w:val="21"/>
    </w:rPr>
  </w:style>
  <w:style w:type="paragraph" w:customStyle="1" w:styleId="140">
    <w:name w:val="xl85"/>
    <w:basedOn w:val="1"/>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41">
    <w:name w:val="xl86"/>
    <w:basedOn w:val="1"/>
    <w:uiPriority w:val="0"/>
    <w:pPr>
      <w:widowControl/>
      <w:pBdr>
        <w:top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42">
    <w:name w:val="xl87"/>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43">
    <w:name w:val="xl88"/>
    <w:basedOn w:val="1"/>
    <w:uiPriority w:val="0"/>
    <w:pPr>
      <w:widowControl/>
      <w:pBdr>
        <w:top w:val="single" w:color="auto" w:sz="4" w:space="0"/>
        <w:left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44">
    <w:name w:val="xl89"/>
    <w:basedOn w:val="1"/>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45">
    <w:name w:val="xl90"/>
    <w:basedOn w:val="1"/>
    <w:uiPriority w:val="0"/>
    <w:pPr>
      <w:widowControl/>
      <w:pBdr>
        <w:top w:val="single" w:color="auto" w:sz="4" w:space="0"/>
        <w:lef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46">
    <w:name w:val="xl91"/>
    <w:basedOn w:val="1"/>
    <w:uiPriority w:val="0"/>
    <w:pPr>
      <w:widowControl/>
      <w:pBdr>
        <w:top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47">
    <w:name w:val="xl92"/>
    <w:basedOn w:val="1"/>
    <w:uiPriority w:val="0"/>
    <w:pPr>
      <w:widowControl/>
      <w:pBdr>
        <w:left w:val="single" w:color="auto" w:sz="4" w:space="0"/>
        <w:bottom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48">
    <w:name w:val="xl93"/>
    <w:basedOn w:val="1"/>
    <w:uiPriority w:val="0"/>
    <w:pPr>
      <w:widowControl/>
      <w:pBdr>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49">
    <w:name w:val="xl94"/>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50">
    <w:name w:val="xl95"/>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51">
    <w:name w:val="xl35"/>
    <w:basedOn w:val="1"/>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52">
    <w:name w:val="样式 样式 正文缩进 + 首行缩进:  2 字符 + 首行缩进:  2 字符"/>
    <w:basedOn w:val="1"/>
    <w:link w:val="153"/>
    <w:uiPriority w:val="0"/>
    <w:pPr>
      <w:widowControl/>
      <w:spacing w:before="100" w:beforeAutospacing="1" w:after="100" w:afterAutospacing="1" w:line="360" w:lineRule="auto"/>
      <w:ind w:firstLine="480" w:firstLineChars="200"/>
    </w:pPr>
    <w:rPr>
      <w:rFonts w:ascii="宋体" w:hAnsi="宋体" w:cs="宋体"/>
      <w:sz w:val="24"/>
    </w:rPr>
  </w:style>
  <w:style w:type="character" w:customStyle="1" w:styleId="153">
    <w:name w:val="样式 样式 正文缩进 + 首行缩进:  2 字符 + 首行缩进:  2 字符 Char"/>
    <w:basedOn w:val="37"/>
    <w:link w:val="152"/>
    <w:uiPriority w:val="0"/>
    <w:rPr>
      <w:rFonts w:ascii="宋体" w:hAnsi="宋体" w:cs="宋体"/>
      <w:kern w:val="2"/>
      <w:sz w:val="24"/>
      <w:szCs w:val="24"/>
    </w:rPr>
  </w:style>
  <w:style w:type="paragraph" w:customStyle="1" w:styleId="154">
    <w:name w:val="font11"/>
    <w:basedOn w:val="1"/>
    <w:uiPriority w:val="0"/>
    <w:pPr>
      <w:widowControl/>
      <w:spacing w:before="100" w:beforeAutospacing="1" w:after="100" w:afterAutospacing="1"/>
      <w:jc w:val="left"/>
    </w:pPr>
    <w:rPr>
      <w:rFonts w:ascii="宋体" w:hAnsi="宋体" w:cs="宋体"/>
      <w:kern w:val="0"/>
      <w:szCs w:val="21"/>
    </w:rPr>
  </w:style>
  <w:style w:type="paragraph" w:customStyle="1" w:styleId="155">
    <w:name w:val="font12"/>
    <w:basedOn w:val="1"/>
    <w:uiPriority w:val="0"/>
    <w:pPr>
      <w:widowControl/>
      <w:spacing w:before="100" w:beforeAutospacing="1" w:after="100" w:afterAutospacing="1"/>
      <w:jc w:val="left"/>
    </w:pPr>
    <w:rPr>
      <w:rFonts w:ascii="宋体" w:hAnsi="宋体" w:cs="宋体"/>
      <w:kern w:val="0"/>
      <w:szCs w:val="21"/>
    </w:rPr>
  </w:style>
  <w:style w:type="paragraph" w:customStyle="1" w:styleId="156">
    <w:name w:val="xl96"/>
    <w:basedOn w:val="1"/>
    <w:uiPriority w:val="0"/>
    <w:pPr>
      <w:widowControl/>
      <w:pBdr>
        <w:top w:val="single" w:color="auto" w:sz="4" w:space="0"/>
        <w:left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57">
    <w:name w:val="xl97"/>
    <w:basedOn w:val="1"/>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58">
    <w:name w:val="xl98"/>
    <w:basedOn w:val="1"/>
    <w:uiPriority w:val="0"/>
    <w:pPr>
      <w:widowControl/>
      <w:pBdr>
        <w:top w:val="single" w:color="auto" w:sz="4" w:space="0"/>
        <w:lef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59">
    <w:name w:val="xl99"/>
    <w:basedOn w:val="1"/>
    <w:uiPriority w:val="0"/>
    <w:pPr>
      <w:widowControl/>
      <w:pBdr>
        <w:top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60">
    <w:name w:val="xl100"/>
    <w:basedOn w:val="1"/>
    <w:uiPriority w:val="0"/>
    <w:pPr>
      <w:widowControl/>
      <w:pBdr>
        <w:left w:val="single" w:color="auto" w:sz="4" w:space="0"/>
        <w:bottom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61">
    <w:name w:val="xl101"/>
    <w:basedOn w:val="1"/>
    <w:uiPriority w:val="0"/>
    <w:pPr>
      <w:widowControl/>
      <w:pBdr>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Cs w:val="21"/>
    </w:rPr>
  </w:style>
  <w:style w:type="paragraph" w:customStyle="1" w:styleId="162">
    <w:name w:val="xl102"/>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63">
    <w:name w:val="xl103"/>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64">
    <w:name w:val=" Char"/>
    <w:basedOn w:val="1"/>
    <w:uiPriority w:val="0"/>
  </w:style>
  <w:style w:type="paragraph" w:customStyle="1" w:styleId="165">
    <w:name w:val="样式 样式 样式 正文1 + (西文) 宋体 首行缩进:  2 字符 + 首行缩进:  2 字符 + 首行缩进:  2 字符 ...1"/>
    <w:basedOn w:val="1"/>
    <w:uiPriority w:val="0"/>
    <w:pPr>
      <w:spacing w:before="62" w:beforeLines="20" w:after="62" w:afterLines="20" w:line="400" w:lineRule="exact"/>
      <w:ind w:firstLine="431" w:firstLineChars="200"/>
    </w:pPr>
    <w:rPr>
      <w:rFonts w:ascii="宋体" w:hAnsi="华文细黑" w:cs="宋体"/>
      <w:w w:val="90"/>
      <w:sz w:val="22"/>
      <w:szCs w:val="22"/>
    </w:rPr>
  </w:style>
  <w:style w:type="paragraph" w:customStyle="1" w:styleId="166">
    <w:name w:val=" Char Char Char Char"/>
    <w:basedOn w:val="1"/>
    <w:uiPriority w:val="0"/>
    <w:pPr>
      <w:spacing w:line="360" w:lineRule="auto"/>
      <w:ind w:firstLine="200" w:firstLineChars="200"/>
    </w:pPr>
    <w:rPr>
      <w:rFonts w:ascii="宋体" w:hAnsi="宋体" w:cs="宋体"/>
      <w:sz w:val="24"/>
    </w:rPr>
  </w:style>
  <w:style w:type="paragraph" w:customStyle="1" w:styleId="167">
    <w:name w:val="表内文"/>
    <w:basedOn w:val="1"/>
    <w:uiPriority w:val="0"/>
    <w:pPr>
      <w:spacing w:before="31" w:beforeLines="10" w:after="31" w:afterLines="10" w:line="240" w:lineRule="atLeast"/>
      <w:ind w:firstLine="200" w:firstLineChars="200"/>
      <w:jc w:val="center"/>
    </w:pPr>
    <w:rPr>
      <w:rFonts w:ascii="华文细黑" w:eastAsia="华文细黑"/>
      <w:spacing w:val="1"/>
      <w:kern w:val="0"/>
      <w:sz w:val="22"/>
      <w:szCs w:val="16"/>
    </w:rPr>
  </w:style>
  <w:style w:type="paragraph" w:customStyle="1" w:styleId="168">
    <w:name w:val="表头"/>
    <w:basedOn w:val="1"/>
    <w:uiPriority w:val="0"/>
    <w:pPr>
      <w:spacing w:after="156" w:afterLines="50" w:line="240" w:lineRule="atLeast"/>
      <w:ind w:firstLine="497" w:firstLineChars="225"/>
      <w:jc w:val="center"/>
    </w:pPr>
    <w:rPr>
      <w:b/>
      <w:bCs/>
      <w:sz w:val="22"/>
    </w:rPr>
  </w:style>
  <w:style w:type="paragraph" w:customStyle="1" w:styleId="169">
    <w:name w:val="font13"/>
    <w:basedOn w:val="1"/>
    <w:uiPriority w:val="0"/>
    <w:pPr>
      <w:widowControl/>
      <w:spacing w:before="100" w:beforeAutospacing="1" w:after="100" w:afterAutospacing="1"/>
      <w:jc w:val="left"/>
    </w:pPr>
    <w:rPr>
      <w:b/>
      <w:bCs/>
      <w:kern w:val="0"/>
      <w:szCs w:val="21"/>
    </w:rPr>
  </w:style>
  <w:style w:type="paragraph" w:customStyle="1" w:styleId="170">
    <w:name w:val="xl104"/>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Cs w:val="21"/>
    </w:rPr>
  </w:style>
  <w:style w:type="paragraph" w:customStyle="1" w:styleId="171">
    <w:name w:val="xl105"/>
    <w:basedOn w:val="1"/>
    <w:uiPriority w:val="0"/>
    <w:pPr>
      <w:widowControl/>
      <w:pBdr>
        <w:left w:val="single" w:color="auto" w:sz="4" w:space="0"/>
        <w:right w:val="single" w:color="auto" w:sz="4" w:space="0"/>
      </w:pBdr>
      <w:spacing w:before="100" w:beforeAutospacing="1" w:after="100" w:afterAutospacing="1"/>
      <w:jc w:val="center"/>
    </w:pPr>
    <w:rPr>
      <w:rFonts w:ascii="宋体" w:hAnsi="宋体" w:cs="宋体"/>
      <w:b/>
      <w:bCs/>
      <w:kern w:val="0"/>
      <w:szCs w:val="21"/>
    </w:rPr>
  </w:style>
  <w:style w:type="paragraph" w:customStyle="1" w:styleId="172">
    <w:name w:val="xl106"/>
    <w:basedOn w:val="1"/>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173">
    <w:name w:val="font1"/>
    <w:basedOn w:val="1"/>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174">
    <w:name w:val="xl107"/>
    <w:basedOn w:val="1"/>
    <w:uiPriority w:val="0"/>
    <w:pPr>
      <w:widowControl/>
      <w:pBdr>
        <w:left w:val="single" w:color="auto" w:sz="4" w:space="0"/>
        <w:bottom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75">
    <w:name w:val="xl108"/>
    <w:basedOn w:val="1"/>
    <w:uiPriority w:val="0"/>
    <w:pPr>
      <w:widowControl/>
      <w:pBdr>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76">
    <w:name w:val="xl10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77">
    <w:name w:val="xl11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8">
    <w:name w:val="xl11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9">
    <w:name w:val="xl11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80">
    <w:name w:val="xl11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81">
    <w:name w:val="xl11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182">
    <w:name w:val="xl11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83">
    <w:name w:val="xl11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84">
    <w:name w:val="xl11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185">
    <w:name w:val="xl11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186">
    <w:name w:val="xl11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87">
    <w:name w:val="xl12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88">
    <w:name w:val="xl12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89">
    <w:name w:val="xl122"/>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0">
    <w:name w:val="xl12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1">
    <w:name w:val="xl124"/>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2">
    <w:name w:val="xl12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3">
    <w:name w:val="xl12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194">
    <w:name w:val="xl127"/>
    <w:basedOn w:val="1"/>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0"/>
      <w:szCs w:val="20"/>
    </w:rPr>
  </w:style>
  <w:style w:type="paragraph" w:customStyle="1" w:styleId="195">
    <w:name w:val="xl12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196">
    <w:name w:val="xl129"/>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7">
    <w:name w:val="xl130"/>
    <w:basedOn w:val="1"/>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8">
    <w:name w:val="xl131"/>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99">
    <w:name w:val="font14"/>
    <w:basedOn w:val="1"/>
    <w:uiPriority w:val="0"/>
    <w:pPr>
      <w:widowControl/>
      <w:spacing w:before="100" w:beforeAutospacing="1" w:after="100" w:afterAutospacing="1"/>
      <w:jc w:val="left"/>
    </w:pPr>
    <w:rPr>
      <w:rFonts w:ascii="宋体" w:hAnsi="宋体" w:cs="宋体"/>
      <w:kern w:val="0"/>
      <w:szCs w:val="21"/>
    </w:rPr>
  </w:style>
  <w:style w:type="paragraph" w:customStyle="1" w:styleId="200">
    <w:name w:val="font15"/>
    <w:basedOn w:val="1"/>
    <w:uiPriority w:val="0"/>
    <w:pPr>
      <w:widowControl/>
      <w:spacing w:before="100" w:beforeAutospacing="1" w:after="100" w:afterAutospacing="1"/>
      <w:jc w:val="left"/>
    </w:pPr>
    <w:rPr>
      <w:rFonts w:ascii="宋体" w:hAnsi="宋体" w:cs="宋体"/>
      <w:kern w:val="0"/>
      <w:szCs w:val="21"/>
    </w:rPr>
  </w:style>
  <w:style w:type="paragraph" w:customStyle="1" w:styleId="201">
    <w:name w:val="xl132"/>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02">
    <w:name w:val="xl155"/>
    <w:basedOn w:val="1"/>
    <w:uiPriority w:val="0"/>
    <w:pPr>
      <w:widowControl/>
      <w:spacing w:before="100" w:beforeAutospacing="1" w:after="100" w:afterAutospacing="1"/>
      <w:jc w:val="center"/>
    </w:pPr>
    <w:rPr>
      <w:rFonts w:ascii="宋体" w:hAnsi="宋体" w:cs="宋体"/>
      <w:kern w:val="0"/>
      <w:sz w:val="24"/>
    </w:rPr>
  </w:style>
  <w:style w:type="paragraph" w:customStyle="1" w:styleId="203">
    <w:name w:val="xl156"/>
    <w:basedOn w:val="1"/>
    <w:uiPriority w:val="0"/>
    <w:pPr>
      <w:widowControl/>
      <w:spacing w:before="100" w:beforeAutospacing="1" w:after="100" w:afterAutospacing="1"/>
      <w:jc w:val="center"/>
    </w:pPr>
    <w:rPr>
      <w:rFonts w:ascii="宋体" w:hAnsi="宋体" w:cs="宋体"/>
      <w:kern w:val="0"/>
      <w:sz w:val="24"/>
    </w:rPr>
  </w:style>
  <w:style w:type="paragraph" w:customStyle="1" w:styleId="204">
    <w:name w:val="xl157"/>
    <w:basedOn w:val="1"/>
    <w:uiPriority w:val="0"/>
    <w:pPr>
      <w:widowControl/>
      <w:spacing w:before="100" w:beforeAutospacing="1" w:after="100" w:afterAutospacing="1"/>
      <w:jc w:val="center"/>
    </w:pPr>
    <w:rPr>
      <w:rFonts w:ascii="宋体" w:hAnsi="宋体" w:cs="宋体"/>
      <w:color w:val="FF0000"/>
      <w:kern w:val="0"/>
      <w:sz w:val="24"/>
    </w:rPr>
  </w:style>
  <w:style w:type="paragraph" w:customStyle="1" w:styleId="205">
    <w:name w:val="xl158"/>
    <w:basedOn w:val="1"/>
    <w:uiPriority w:val="0"/>
    <w:pPr>
      <w:widowControl/>
      <w:spacing w:before="100" w:beforeAutospacing="1" w:after="100" w:afterAutospacing="1"/>
      <w:jc w:val="center"/>
    </w:pPr>
    <w:rPr>
      <w:rFonts w:ascii="宋体" w:hAnsi="宋体" w:cs="宋体"/>
      <w:kern w:val="0"/>
      <w:sz w:val="24"/>
    </w:rPr>
  </w:style>
  <w:style w:type="paragraph" w:customStyle="1" w:styleId="206">
    <w:name w:val="xl159"/>
    <w:basedOn w:val="1"/>
    <w:uiPriority w:val="0"/>
    <w:pPr>
      <w:widowControl/>
      <w:spacing w:before="100" w:beforeAutospacing="1" w:after="100" w:afterAutospacing="1"/>
      <w:jc w:val="center"/>
    </w:pPr>
    <w:rPr>
      <w:rFonts w:ascii="宋体" w:hAnsi="宋体" w:cs="宋体"/>
      <w:color w:val="00B050"/>
      <w:kern w:val="0"/>
      <w:szCs w:val="21"/>
    </w:rPr>
  </w:style>
  <w:style w:type="paragraph" w:customStyle="1" w:styleId="207">
    <w:name w:val="xl16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08">
    <w:name w:val="xl16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09">
    <w:name w:val="xl16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10">
    <w:name w:val="xl16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11">
    <w:name w:val="xl16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12">
    <w:name w:val="xl16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13">
    <w:name w:val="xl16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14">
    <w:name w:val="xl16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15">
    <w:name w:val="xl16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16">
    <w:name w:val="xl16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17">
    <w:name w:val="xl170"/>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18">
    <w:name w:val="xl17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19">
    <w:name w:val="xl172"/>
    <w:basedOn w:val="1"/>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0">
    <w:name w:val="xl17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1">
    <w:name w:val="xl17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2">
    <w:name w:val="xl175"/>
    <w:basedOn w:val="1"/>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 w:val="20"/>
      <w:szCs w:val="20"/>
    </w:rPr>
  </w:style>
  <w:style w:type="paragraph" w:customStyle="1" w:styleId="223">
    <w:name w:val="xl17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24">
    <w:name w:val="xl17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5">
    <w:name w:val="xl178"/>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6">
    <w:name w:val="xl179"/>
    <w:basedOn w:val="1"/>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7">
    <w:name w:val="xl18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FF0000"/>
      <w:kern w:val="0"/>
      <w:sz w:val="20"/>
      <w:szCs w:val="20"/>
    </w:rPr>
  </w:style>
  <w:style w:type="paragraph" w:customStyle="1" w:styleId="228">
    <w:name w:val="xl18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29">
    <w:name w:val="xl182"/>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30">
    <w:name w:val="xl183"/>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231">
    <w:name w:val="xl18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232">
    <w:name w:val="xl18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Cs w:val="21"/>
    </w:rPr>
  </w:style>
  <w:style w:type="paragraph" w:customStyle="1" w:styleId="233">
    <w:name w:val="xl18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4"/>
    </w:rPr>
  </w:style>
  <w:style w:type="paragraph" w:customStyle="1" w:styleId="234">
    <w:name w:val="xl18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4"/>
    </w:rPr>
  </w:style>
  <w:style w:type="paragraph" w:customStyle="1" w:styleId="235">
    <w:name w:val="xl18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236">
    <w:name w:val="xl189"/>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FF0000"/>
      <w:kern w:val="0"/>
      <w:szCs w:val="21"/>
    </w:rPr>
  </w:style>
  <w:style w:type="paragraph" w:customStyle="1" w:styleId="237">
    <w:name w:val="xl190"/>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4"/>
    </w:rPr>
  </w:style>
  <w:style w:type="paragraph" w:customStyle="1" w:styleId="238">
    <w:name w:val="xl19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239">
    <w:name w:val="xl19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240">
    <w:name w:val="xl19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241">
    <w:name w:val="xl19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Cs w:val="21"/>
    </w:rPr>
  </w:style>
  <w:style w:type="paragraph" w:customStyle="1" w:styleId="242">
    <w:name w:val="xl195"/>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43">
    <w:name w:val="xl196"/>
    <w:basedOn w:val="1"/>
    <w:uiPriority w:val="0"/>
    <w:pPr>
      <w:widowControl/>
      <w:pBdr>
        <w:left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44">
    <w:name w:val="xl197"/>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45">
    <w:name w:val="xl198"/>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46">
    <w:name w:val="p0"/>
    <w:basedOn w:val="1"/>
    <w:uiPriority w:val="0"/>
    <w:pPr>
      <w:widowControl/>
      <w:spacing w:before="100" w:beforeAutospacing="1" w:after="100" w:afterAutospacing="1"/>
      <w:jc w:val="left"/>
    </w:pPr>
    <w:rPr>
      <w:rFonts w:ascii="宋体" w:hAnsi="宋体" w:cs="宋体"/>
      <w:kern w:val="0"/>
      <w:sz w:val="24"/>
    </w:rPr>
  </w:style>
  <w:style w:type="character" w:customStyle="1" w:styleId="247">
    <w:name w:val="headline-content2"/>
    <w:basedOn w:val="37"/>
    <w:uiPriority w:val="0"/>
  </w:style>
  <w:style w:type="paragraph" w:styleId="248">
    <w:name w:val="No Spacing"/>
    <w:link w:val="249"/>
    <w:qFormat/>
    <w:uiPriority w:val="0"/>
    <w:pPr>
      <w:widowControl w:val="0"/>
      <w:jc w:val="both"/>
    </w:pPr>
    <w:rPr>
      <w:kern w:val="2"/>
      <w:sz w:val="21"/>
      <w:szCs w:val="24"/>
      <w:lang w:bidi="ar-SA"/>
    </w:rPr>
  </w:style>
  <w:style w:type="character" w:customStyle="1" w:styleId="249">
    <w:name w:val="无间隔 Char"/>
    <w:link w:val="248"/>
    <w:uiPriority w:val="0"/>
    <w:rPr>
      <w:kern w:val="2"/>
      <w:sz w:val="21"/>
      <w:szCs w:val="24"/>
      <w:lang w:bidi="ar-SA"/>
    </w:rPr>
  </w:style>
  <w:style w:type="paragraph" w:customStyle="1" w:styleId="250">
    <w:name w:val="样式 行距: 单倍行距 首行缩进:  0 字符"/>
    <w:basedOn w:val="1"/>
    <w:uiPriority w:val="0"/>
    <w:rPr>
      <w:rFonts w:ascii="Calibri" w:hAnsi="Calibri" w:cs="宋体"/>
      <w:szCs w:val="20"/>
    </w:rPr>
  </w:style>
  <w:style w:type="paragraph" w:customStyle="1" w:styleId="251">
    <w:name w:val="所选正文 Char"/>
    <w:basedOn w:val="1"/>
    <w:link w:val="252"/>
    <w:uiPriority w:val="0"/>
    <w:pPr>
      <w:spacing w:before="50" w:beforeLines="50" w:line="324" w:lineRule="auto"/>
      <w:ind w:firstLine="200" w:firstLineChars="200"/>
    </w:pPr>
    <w:rPr>
      <w:sz w:val="24"/>
    </w:rPr>
  </w:style>
  <w:style w:type="character" w:customStyle="1" w:styleId="252">
    <w:name w:val="所选正文 Char Char"/>
    <w:link w:val="251"/>
    <w:uiPriority w:val="0"/>
    <w:rPr>
      <w:rFonts w:cs="宋体"/>
      <w:kern w:val="2"/>
      <w:sz w:val="24"/>
      <w:szCs w:val="24"/>
    </w:rPr>
  </w:style>
  <w:style w:type="paragraph" w:customStyle="1" w:styleId="253">
    <w:name w:val="标题3级"/>
    <w:basedOn w:val="4"/>
    <w:uiPriority w:val="0"/>
    <w:pPr>
      <w:spacing w:after="120" w:line="415" w:lineRule="auto"/>
    </w:pPr>
    <w:rPr>
      <w:sz w:val="30"/>
    </w:rPr>
  </w:style>
  <w:style w:type="paragraph" w:customStyle="1" w:styleId="254">
    <w:name w:val="样式 标题 4 + 非加粗1"/>
    <w:basedOn w:val="5"/>
    <w:link w:val="255"/>
    <w:uiPriority w:val="0"/>
    <w:pPr>
      <w:widowControl/>
      <w:spacing w:line="377" w:lineRule="auto"/>
      <w:jc w:val="left"/>
    </w:pPr>
    <w:rPr>
      <w:rFonts w:ascii="Arial" w:hAnsi="Arial" w:eastAsia="黑体"/>
      <w:b w:val="0"/>
      <w:bCs w:val="0"/>
      <w:kern w:val="0"/>
      <w:sz w:val="28"/>
      <w:lang w:eastAsia="en-US"/>
    </w:rPr>
  </w:style>
  <w:style w:type="character" w:customStyle="1" w:styleId="255">
    <w:name w:val="样式 标题 4 + 非加粗1 Char"/>
    <w:link w:val="254"/>
    <w:uiPriority w:val="0"/>
    <w:rPr>
      <w:rFonts w:ascii="Arial" w:hAnsi="Arial" w:eastAsia="黑体"/>
      <w:sz w:val="28"/>
      <w:szCs w:val="28"/>
      <w:lang w:eastAsia="en-US"/>
    </w:rPr>
  </w:style>
  <w:style w:type="paragraph" w:customStyle="1" w:styleId="256">
    <w:name w:val="表内容"/>
    <w:basedOn w:val="1"/>
    <w:uiPriority w:val="0"/>
    <w:pPr>
      <w:jc w:val="center"/>
    </w:pPr>
    <w:rPr>
      <w:color w:val="000000"/>
      <w:kern w:val="0"/>
      <w:sz w:val="24"/>
    </w:rPr>
  </w:style>
  <w:style w:type="paragraph" w:customStyle="1" w:styleId="257">
    <w:name w:val="图名"/>
    <w:next w:val="26"/>
    <w:uiPriority w:val="0"/>
    <w:pPr>
      <w:widowControl w:val="0"/>
      <w:tabs>
        <w:tab w:val="left" w:pos="3960"/>
      </w:tabs>
      <w:autoSpaceDE w:val="0"/>
      <w:autoSpaceDN w:val="0"/>
      <w:adjustRightInd w:val="0"/>
      <w:jc w:val="center"/>
    </w:pPr>
    <w:rPr>
      <w:rFonts w:ascii="黑体" w:hAnsi="Arial Narrow" w:eastAsia="黑体"/>
      <w:color w:val="000000"/>
      <w:kern w:val="2"/>
      <w:sz w:val="21"/>
      <w:szCs w:val="21"/>
      <w:lang w:val="en-US" w:eastAsia="zh-CN" w:bidi="ar-SA"/>
    </w:rPr>
  </w:style>
  <w:style w:type="paragraph" w:customStyle="1" w:styleId="258">
    <w:name w:val="pic-info"/>
    <w:basedOn w:val="1"/>
    <w:uiPriority w:val="0"/>
    <w:pPr>
      <w:widowControl/>
      <w:spacing w:before="100" w:beforeAutospacing="1" w:after="100" w:afterAutospacing="1"/>
      <w:jc w:val="left"/>
    </w:pPr>
    <w:rPr>
      <w:rFonts w:ascii="宋体" w:hAnsi="宋体" w:cs="宋体"/>
      <w:kern w:val="0"/>
      <w:sz w:val="24"/>
    </w:rPr>
  </w:style>
  <w:style w:type="character" w:customStyle="1" w:styleId="259">
    <w:name w:val="apple-converted-space"/>
    <w:basedOn w:val="37"/>
    <w:uiPriority w:val="0"/>
  </w:style>
  <w:style w:type="paragraph" w:customStyle="1" w:styleId="260">
    <w:name w:val="reader-word-layer"/>
    <w:basedOn w:val="1"/>
    <w:uiPriority w:val="0"/>
    <w:pPr>
      <w:widowControl/>
      <w:spacing w:before="100" w:beforeAutospacing="1" w:after="100" w:afterAutospacing="1"/>
      <w:jc w:val="left"/>
    </w:pPr>
    <w:rPr>
      <w:rFonts w:ascii="宋体" w:hAnsi="宋体" w:cs="宋体"/>
      <w:kern w:val="0"/>
      <w:sz w:val="24"/>
    </w:rPr>
  </w:style>
  <w:style w:type="table" w:customStyle="1" w:styleId="261">
    <w:name w:val="Table Normal"/>
    <w:unhideWhenUsed/>
    <w:qFormat/>
    <w:uiPriority w:val="0"/>
    <w:tblPr>
      <w:tblStyle w:val="34"/>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theme" Target="theme/theme1.xml"/><Relationship Id="rId16" Type="http://schemas.openxmlformats.org/officeDocument/2006/relationships/footer" Target="footer9.xml"/><Relationship Id="rId15" Type="http://schemas.openxmlformats.org/officeDocument/2006/relationships/header" Target="header5.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68</Pages>
  <Words>1337</Words>
  <Characters>1418</Characters>
  <Lines>357</Lines>
  <Paragraphs>100</Paragraphs>
  <TotalTime>10</TotalTime>
  <ScaleCrop>false</ScaleCrop>
  <LinksUpToDate>false</LinksUpToDate>
  <CharactersWithSpaces>1560</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2018-07-17T02:55:00Z</dcterms:created>
  <dc:creator>ZETA-D2-6</dc:creator>
  <cp:lastModifiedBy>荘荘荘</cp:lastModifiedBy>
  <cp:lastPrinted>2025-12-28T03:23:27Z</cp:lastPrinted>
  <dcterms:modified xsi:type="dcterms:W3CDTF">2026-03-13T01:52:57Z</dcterms:modified>
  <dc:title>第1章 规划概述</dc:title>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r8>-1869148595</vt:r8>
  </property>
  <property fmtid="{D5CDD505-2E9C-101B-9397-08002B2CF9AE}" pid="3" name="KSOTemplateDocerSaveRecord">
    <vt:lpwstr>eyJoZGlkIjoiMDlkM2Q2OTc4MTUzNzY5NTc0YWRjZDI4ZjRkNzUwNDMiLCJ1c2VySWQiOiIyMTcyMzI3MTMifQ==</vt:lpwstr>
  </property>
  <property fmtid="{D5CDD505-2E9C-101B-9397-08002B2CF9AE}" pid="4" name="KSOProductBuildVer">
    <vt:lpwstr>2052-12.1.0.24657</vt:lpwstr>
  </property>
  <property fmtid="{D5CDD505-2E9C-101B-9397-08002B2CF9AE}" pid="5" name="ICV">
    <vt:lpwstr>A84787F124604D0F987A3DDDE9A365CC_13</vt:lpwstr>
  </property>
</Properties>
</file>