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747B6">
      <w:pPr>
        <w:spacing w:after="0"/>
        <w:ind w:firstLine="0" w:firstLineChars="0"/>
        <w:jc w:val="center"/>
        <w:outlineLvl w:val="0"/>
        <w:rPr>
          <w:rFonts w:ascii="小标宋" w:hAnsi="小标宋" w:eastAsia="小标宋" w:cs="小标宋"/>
          <w:sz w:val="44"/>
          <w:szCs w:val="32"/>
        </w:rPr>
      </w:pPr>
      <w:bookmarkStart w:id="0" w:name="OLE_LINK3"/>
    </w:p>
    <w:p w14:paraId="5EB99E01">
      <w:pPr>
        <w:spacing w:after="0"/>
        <w:ind w:firstLine="0" w:firstLineChars="0"/>
        <w:jc w:val="center"/>
        <w:outlineLvl w:val="0"/>
        <w:rPr>
          <w:rFonts w:ascii="方正小标宋简体" w:hAnsi="方正小标宋简体" w:eastAsia="方正小标宋简体" w:cs="方正小标宋简体"/>
          <w:sz w:val="44"/>
          <w:szCs w:val="32"/>
        </w:rPr>
      </w:pPr>
      <w:bookmarkStart w:id="4" w:name="_GoBack"/>
      <w:r>
        <w:rPr>
          <w:rFonts w:hint="eastAsia" w:ascii="方正小标宋简体" w:hAnsi="方正小标宋简体" w:eastAsia="方正小标宋简体" w:cs="方正小标宋简体"/>
          <w:sz w:val="44"/>
          <w:szCs w:val="32"/>
        </w:rPr>
        <w:t>关于加强汕尾市区滨海风貌规划建设管理工作的通知</w:t>
      </w:r>
    </w:p>
    <w:bookmarkEnd w:id="4"/>
    <w:p w14:paraId="539A6216">
      <w:pPr>
        <w:spacing w:after="0"/>
        <w:ind w:firstLine="0" w:firstLineChars="0"/>
        <w:jc w:val="center"/>
        <w:outlineLvl w:val="0"/>
        <w:rPr>
          <w:rFonts w:ascii="小标宋" w:hAnsi="小标宋" w:eastAsia="小标宋" w:cs="小标宋"/>
          <w:sz w:val="44"/>
          <w:szCs w:val="32"/>
        </w:rPr>
      </w:pPr>
    </w:p>
    <w:bookmarkEnd w:id="0"/>
    <w:p w14:paraId="0432251A">
      <w:pPr>
        <w:spacing w:after="0"/>
        <w:ind w:firstLine="0" w:firstLineChars="0"/>
        <w:rPr>
          <w:rFonts w:ascii="仿宋_GB2312" w:hAnsi="仿宋" w:cs="仿宋"/>
          <w:szCs w:val="32"/>
        </w:rPr>
      </w:pPr>
      <w:r>
        <w:rPr>
          <w:rFonts w:hint="eastAsia" w:ascii="仿宋_GB2312" w:hAnsi="仿宋" w:cs="仿宋"/>
          <w:szCs w:val="32"/>
        </w:rPr>
        <w:t>各县（市、区）人民政府，市人民政府各部门：</w:t>
      </w:r>
    </w:p>
    <w:p w14:paraId="7D91DE0F">
      <w:pPr>
        <w:spacing w:after="0"/>
        <w:ind w:firstLine="640"/>
      </w:pPr>
      <w:r>
        <w:rPr>
          <w:rFonts w:hint="eastAsia"/>
        </w:rPr>
        <w:t>为全面提升城市形象，打造精品滨海旅游城市，推动滨海地区城市形象提质与空间品质跃升，依据《住房城乡建设部 国家发展改革委关于进一步加强城市与建筑风貌管理的通知》、《广东省城市与建筑风貌管控技术导则（试行）》、《汕尾市城市管理条例》和《</w:t>
      </w:r>
      <w:bookmarkStart w:id="1" w:name="OLE_LINK7"/>
      <w:r>
        <w:rPr>
          <w:rFonts w:hint="eastAsia"/>
        </w:rPr>
        <w:t>汕尾市规划委员会章程</w:t>
      </w:r>
      <w:bookmarkEnd w:id="1"/>
      <w:r>
        <w:rPr>
          <w:rFonts w:hint="eastAsia"/>
        </w:rPr>
        <w:t>》等有关要求，在借鉴其他城市规划和风貌管理经验的基础上，结合汕尾市区实际，综合划定滨海风貌重点管控区（以下简称管控区），围绕“规划编制、项目设计、提级审查、公众参与、监督管理”等重要环节，构建汕尾市区滨海风貌管控体系并严格落实各项管控措施，现就管理工作通知如下：</w:t>
      </w:r>
    </w:p>
    <w:p w14:paraId="4792ADDC">
      <w:pPr>
        <w:spacing w:after="0"/>
        <w:ind w:firstLine="640"/>
        <w:outlineLvl w:val="0"/>
        <w:rPr>
          <w:rFonts w:ascii="黑体" w:hAnsi="黑体" w:eastAsia="黑体" w:cs="黑体"/>
        </w:rPr>
      </w:pPr>
      <w:r>
        <w:rPr>
          <w:rFonts w:ascii="黑体" w:hAnsi="黑体" w:eastAsia="黑体" w:cs="黑体"/>
        </w:rPr>
        <w:t>一、</w:t>
      </w:r>
      <w:r>
        <w:rPr>
          <w:rFonts w:hint="eastAsia" w:ascii="黑体" w:hAnsi="黑体" w:eastAsia="黑体" w:cs="黑体"/>
        </w:rPr>
        <w:t>适用情形</w:t>
      </w:r>
    </w:p>
    <w:p w14:paraId="4378E3A3">
      <w:pPr>
        <w:spacing w:after="0"/>
        <w:ind w:firstLine="640"/>
      </w:pPr>
      <w:r>
        <w:rPr>
          <w:rFonts w:hint="eastAsia"/>
        </w:rPr>
        <w:t>本通知适用于汕尾市市区管控区范围内新建、改建、扩建项目涉及滨海风貌的规划设计、建设、保护以及相关管理活动。</w:t>
      </w:r>
    </w:p>
    <w:p w14:paraId="24817BE8">
      <w:pPr>
        <w:spacing w:after="0"/>
        <w:ind w:firstLine="640"/>
      </w:pPr>
      <w:r>
        <w:rPr>
          <w:rFonts w:hint="eastAsia"/>
        </w:rPr>
        <w:t>本通知所称滨海风貌是指滨海地区建构筑物及其周边环境在形态、结构、材质、色彩等方面的视觉特征和审美意向，是特定时间与地段关于海洋特色和地域文化整体形象风格的重要体现。</w:t>
      </w:r>
    </w:p>
    <w:p w14:paraId="3FCC6921">
      <w:pPr>
        <w:spacing w:after="0"/>
        <w:ind w:firstLine="640"/>
        <w:outlineLvl w:val="0"/>
        <w:rPr>
          <w:rFonts w:ascii="黑体" w:hAnsi="黑体" w:eastAsia="黑体" w:cs="黑体"/>
        </w:rPr>
      </w:pPr>
      <w:r>
        <w:rPr>
          <w:rFonts w:hint="eastAsia" w:ascii="黑体" w:hAnsi="黑体" w:eastAsia="黑体" w:cs="黑体"/>
        </w:rPr>
        <w:t>二</w:t>
      </w:r>
      <w:r>
        <w:rPr>
          <w:rFonts w:ascii="黑体" w:hAnsi="黑体" w:eastAsia="黑体" w:cs="黑体"/>
        </w:rPr>
        <w:t>、</w:t>
      </w:r>
      <w:r>
        <w:rPr>
          <w:rFonts w:hint="eastAsia" w:ascii="黑体" w:hAnsi="黑体" w:eastAsia="黑体" w:cs="黑体"/>
        </w:rPr>
        <w:t>管控范围</w:t>
      </w:r>
    </w:p>
    <w:p w14:paraId="4C294F11">
      <w:pPr>
        <w:spacing w:after="0"/>
        <w:ind w:firstLine="640"/>
      </w:pPr>
      <w:r>
        <w:rPr>
          <w:rFonts w:hint="eastAsia"/>
        </w:rPr>
        <w:t>为明确汕尾市区滨海风貌管控范畴与管控重点，实现对滨海地区空间形态与建筑风貌的精准引导，聚焦“重点岸段、重点平台、重点通道”等要素，将下列区域纳入管控区范围：</w:t>
      </w:r>
    </w:p>
    <w:p w14:paraId="4F07874C">
      <w:pPr>
        <w:spacing w:after="0"/>
        <w:ind w:firstLine="640"/>
        <w:rPr>
          <w:rFonts w:ascii="楷体_GB2312" w:hAnsi="楷体_GB2312" w:eastAsia="楷体_GB2312" w:cs="楷体_GB2312"/>
        </w:rPr>
      </w:pPr>
      <w:r>
        <w:rPr>
          <w:rFonts w:hint="eastAsia" w:ascii="楷体_GB2312" w:hAnsi="楷体_GB2312" w:eastAsia="楷体_GB2312" w:cs="楷体_GB2312"/>
        </w:rPr>
        <w:t>（一）重点岸段管控分区</w:t>
      </w:r>
    </w:p>
    <w:p w14:paraId="0AB03B43">
      <w:pPr>
        <w:spacing w:after="0"/>
        <w:ind w:firstLine="640"/>
      </w:pPr>
      <w:r>
        <w:rPr>
          <w:rFonts w:hint="eastAsia"/>
        </w:rPr>
        <w:t>充分衔接并严格落实海岸带和海洋空间规划、海岸建筑退缩线划定、海岸线分段分类精细化管控要求、海岸线保护与利用等海岸带相关专项管控要求。具体包括：</w:t>
      </w:r>
    </w:p>
    <w:p w14:paraId="203584FA">
      <w:pPr>
        <w:spacing w:after="0"/>
        <w:ind w:firstLine="640"/>
      </w:pPr>
      <w:r>
        <w:rPr>
          <w:rFonts w:hint="eastAsia"/>
        </w:rPr>
        <w:t>1.海岸线保护类型中的优化利用岸线向陆一侧100米范围内、限制开发岸线向陆一侧50米范围内；</w:t>
      </w:r>
    </w:p>
    <w:p w14:paraId="00F87138">
      <w:pPr>
        <w:spacing w:after="0"/>
        <w:ind w:firstLine="640"/>
      </w:pPr>
      <w:r>
        <w:rPr>
          <w:rFonts w:hint="eastAsia"/>
        </w:rPr>
        <w:t>2.汕尾市海岸建筑退缩线（初步方案）范围内，建设应以绿地与开敞空间为主，原则上禁止或限制开展分类建设活动。</w:t>
      </w:r>
    </w:p>
    <w:p w14:paraId="468E73D0">
      <w:pPr>
        <w:spacing w:after="0"/>
        <w:ind w:firstLine="640"/>
        <w:rPr>
          <w:rFonts w:ascii="楷体_GB2312" w:hAnsi="楷体_GB2312" w:eastAsia="楷体_GB2312" w:cs="楷体_GB2312"/>
        </w:rPr>
      </w:pPr>
      <w:r>
        <w:rPr>
          <w:rFonts w:hint="eastAsia" w:ascii="楷体_GB2312" w:hAnsi="楷体_GB2312" w:eastAsia="楷体_GB2312" w:cs="楷体_GB2312"/>
        </w:rPr>
        <w:t>（二）重点平台管控分区</w:t>
      </w:r>
    </w:p>
    <w:p w14:paraId="00CD6746">
      <w:pPr>
        <w:spacing w:after="0"/>
        <w:ind w:firstLine="640"/>
      </w:pPr>
      <w:r>
        <w:rPr>
          <w:rFonts w:hint="eastAsia"/>
        </w:rPr>
        <w:t>结合国土空间总体规划与滨海开发建设需求，识别重点片区与重点平台，强化滨海空间的景观辨识度。具体包括：</w:t>
      </w:r>
    </w:p>
    <w:p w14:paraId="0A805792">
      <w:pPr>
        <w:spacing w:after="0"/>
        <w:ind w:firstLine="640"/>
      </w:pPr>
      <w:r>
        <w:rPr>
          <w:rFonts w:hint="eastAsia"/>
        </w:rPr>
        <w:t>1.以滨海都市风貌为主的环品清湖区域；</w:t>
      </w:r>
    </w:p>
    <w:p w14:paraId="2D0CFE6A">
      <w:pPr>
        <w:spacing w:after="0"/>
        <w:ind w:firstLine="640"/>
      </w:pPr>
      <w:r>
        <w:rPr>
          <w:rFonts w:hint="eastAsia"/>
        </w:rPr>
        <w:t>2.发展滨海旅游为主的金町湾旅游景区、遮浪旅游景区、长沙湾片区、小岛片区等区域；</w:t>
      </w:r>
    </w:p>
    <w:p w14:paraId="4099CAC7">
      <w:pPr>
        <w:spacing w:after="0"/>
        <w:ind w:firstLine="640"/>
      </w:pPr>
      <w:r>
        <w:rPr>
          <w:rFonts w:hint="eastAsia"/>
        </w:rPr>
        <w:t>3.以发展临海产业为主的红海湾绿色制造产业园片区、汕尾新港片区、马宫渔港片区、捷胜渔港片区、遮浪渔港片区、施公寮岛片区等区域；</w:t>
      </w:r>
    </w:p>
    <w:p w14:paraId="67264515">
      <w:pPr>
        <w:spacing w:after="0"/>
        <w:ind w:firstLine="640"/>
      </w:pPr>
      <w:r>
        <w:rPr>
          <w:rFonts w:hint="eastAsia"/>
        </w:rPr>
        <w:t>4.近岸集聚分布且建设需求较大的新村村、长沙村、田寮村等滨海村庄小镇。</w:t>
      </w:r>
    </w:p>
    <w:p w14:paraId="1F323BAE">
      <w:pPr>
        <w:spacing w:after="0"/>
        <w:ind w:firstLine="640"/>
        <w:rPr>
          <w:rFonts w:ascii="楷体_GB2312" w:hAnsi="楷体_GB2312" w:eastAsia="楷体_GB2312" w:cs="楷体_GB2312"/>
        </w:rPr>
      </w:pPr>
      <w:r>
        <w:rPr>
          <w:rFonts w:hint="eastAsia" w:ascii="楷体_GB2312" w:hAnsi="楷体_GB2312" w:eastAsia="楷体_GB2312" w:cs="楷体_GB2312"/>
        </w:rPr>
        <w:t>（三）重点通道管控分区</w:t>
      </w:r>
    </w:p>
    <w:p w14:paraId="46093EEA">
      <w:pPr>
        <w:spacing w:after="0"/>
        <w:ind w:firstLine="640"/>
      </w:pPr>
      <w:r>
        <w:rPr>
          <w:rFonts w:hint="eastAsia"/>
        </w:rPr>
        <w:t>综合汕尾市区山海资源本底与综合交通路网，强化海岸线第一层界面与景观视廊的引导，将平行于海岸线的第一条主干道向海一面建筑群体，以及垂直于海岸线的主干道两侧街区，整体纳入管控分区。具体包括：</w:t>
      </w:r>
    </w:p>
    <w:p w14:paraId="4FA2AFAD">
      <w:pPr>
        <w:spacing w:after="0"/>
        <w:ind w:firstLine="640"/>
      </w:pPr>
      <w:r>
        <w:rPr>
          <w:rFonts w:hint="eastAsia"/>
        </w:rPr>
        <w:t>1.城区香江大道、东城大道与品清湖岸线围合区域、红海湾大道与遮浪海岸线围合区域等区域；</w:t>
      </w:r>
    </w:p>
    <w:p w14:paraId="263A6625">
      <w:pPr>
        <w:spacing w:after="0"/>
        <w:ind w:firstLine="640"/>
      </w:pPr>
      <w:r>
        <w:rPr>
          <w:rFonts w:hint="eastAsia"/>
        </w:rPr>
        <w:t>2.垂直于海岸线的主要道路两侧100-300米范围，包括城区工业大道、成业路、迎宾大道，红海湾观潮路、水产路等道路两侧区域。</w:t>
      </w:r>
    </w:p>
    <w:p w14:paraId="136AED7D">
      <w:pPr>
        <w:spacing w:after="0"/>
        <w:ind w:firstLine="640"/>
        <w:outlineLvl w:val="0"/>
        <w:rPr>
          <w:rFonts w:ascii="黑体" w:hAnsi="黑体" w:eastAsia="黑体" w:cs="黑体"/>
        </w:rPr>
      </w:pPr>
      <w:r>
        <w:rPr>
          <w:rFonts w:hint="eastAsia" w:ascii="黑体" w:hAnsi="黑体" w:eastAsia="黑体" w:cs="黑体"/>
        </w:rPr>
        <w:t>三</w:t>
      </w:r>
      <w:r>
        <w:rPr>
          <w:rFonts w:ascii="黑体" w:hAnsi="黑体" w:eastAsia="黑体" w:cs="黑体"/>
        </w:rPr>
        <w:t>、</w:t>
      </w:r>
      <w:r>
        <w:rPr>
          <w:rFonts w:hint="eastAsia" w:ascii="黑体" w:hAnsi="黑体" w:eastAsia="黑体" w:cs="黑体"/>
        </w:rPr>
        <w:t>管理要求</w:t>
      </w:r>
    </w:p>
    <w:p w14:paraId="2160DA96">
      <w:pPr>
        <w:pStyle w:val="3"/>
        <w:spacing w:after="0"/>
        <w:ind w:firstLine="640"/>
      </w:pPr>
      <w:r>
        <w:rPr>
          <w:rFonts w:hint="eastAsia"/>
        </w:rPr>
        <w:t>（一）加强中心城区总体城市设计管控传导</w:t>
      </w:r>
    </w:p>
    <w:p w14:paraId="20D7CFCA">
      <w:pPr>
        <w:spacing w:after="0"/>
        <w:ind w:firstLine="640"/>
      </w:pPr>
      <w:bookmarkStart w:id="2" w:name="OLE_LINK2"/>
      <w:r>
        <w:rPr>
          <w:rFonts w:hint="eastAsia"/>
        </w:rPr>
        <w:t>1.自然资源部门统筹组织总建筑师团队全面开展中心城区管控区城市设计整合优化工作，结合海洋空间与海岸带开发利用保护、产业布局及城市景观塑造等要求，系统梳理沿海地区已编城市设计、专项规划、详细规划等内容，整合形成汕尾市滨海风貌重点管控区城市设计优化方案。</w:t>
      </w:r>
    </w:p>
    <w:p w14:paraId="12E81300">
      <w:pPr>
        <w:spacing w:after="0"/>
        <w:ind w:firstLine="640"/>
      </w:pPr>
      <w:r>
        <w:rPr>
          <w:rFonts w:hint="eastAsia"/>
        </w:rPr>
        <w:t>2.管控区在单独编制片区城市设计或与控制性详细规划同步编制时，应明确公共空间、建筑形态、建筑界面、环境景观、历史保护等城市设计相关管控内容，以条文和图则的形式纳入控制性详细规划的基本内容，明确强制性与引导性要求。</w:t>
      </w:r>
    </w:p>
    <w:p w14:paraId="4F04FEE0">
      <w:pPr>
        <w:spacing w:after="0"/>
        <w:ind w:firstLine="640"/>
      </w:pPr>
      <w:r>
        <w:rPr>
          <w:rFonts w:hint="eastAsia"/>
        </w:rPr>
        <w:t>3.已编控制性详细规划但未明确城市设计要求的，修编时可补充城市设计相关管控内容。管控区以外的一般地区可参考管控区执行。对已编控制性详细规划但未实施建设的区域，在不调整控规管控内容前提下，可补充编制滨海风貌城市设计，提交市自然资源部门审议，纳入规划设计条件。</w:t>
      </w:r>
    </w:p>
    <w:bookmarkEnd w:id="2"/>
    <w:p w14:paraId="20FC0421">
      <w:pPr>
        <w:spacing w:after="0"/>
        <w:ind w:firstLine="640"/>
      </w:pPr>
      <w:r>
        <w:t>4</w:t>
      </w:r>
      <w:r>
        <w:rPr>
          <w:rFonts w:hint="eastAsia"/>
        </w:rPr>
        <w:t>.自然资源主管部门针对管控区项目制定地块规划条件或办理建设项目选址意见时，将城市设计及有关建筑风貌管控内容纳入规划条件，或在选址意见的项目有关规划设计要点中一并明确。</w:t>
      </w:r>
    </w:p>
    <w:p w14:paraId="2CB26EB5">
      <w:pPr>
        <w:pStyle w:val="3"/>
        <w:spacing w:after="0"/>
        <w:ind w:firstLine="640"/>
      </w:pPr>
      <w:r>
        <w:rPr>
          <w:rFonts w:hint="eastAsia"/>
        </w:rPr>
        <w:t>（二）提升项目规划设计水平</w:t>
      </w:r>
    </w:p>
    <w:p w14:paraId="1A2038B1">
      <w:pPr>
        <w:spacing w:after="0"/>
        <w:ind w:firstLine="640"/>
      </w:pPr>
      <w:r>
        <w:rPr>
          <w:rFonts w:hint="eastAsia"/>
        </w:rPr>
        <w:t>1.加强实施《汕尾市区空间结构与景观风貌管控规划设计指引》相关要求，以汕尾市国土空间总体规划与空间本底为基础，结合各管控区空间结构风貌特征，通过对街区模式、街道界面、建筑群高度、建筑群屋顶、建筑群色彩等要素进行深度管控，强化对管控区建设项目滨海风貌设计的指导约束，切实改善城市环境、提升滨海风貌品质。</w:t>
      </w:r>
    </w:p>
    <w:p w14:paraId="7BB61569">
      <w:pPr>
        <w:spacing w:after="0"/>
        <w:ind w:firstLine="640"/>
      </w:pPr>
      <w:r>
        <w:rPr>
          <w:rFonts w:hint="eastAsia"/>
        </w:rPr>
        <w:t>2.住房和城乡建设主管部门可结合实际差异化制定村民住宅通用图集与地方乡村空间设计指南，补充乡村空间设计相关内容，促进形成具有汕尾滨海特色的乡村空间。相关管控要求刚性纳入重点管控区地块规划设计条件，作为土地出让、规划许可、方案审查及竣工验收的必要条件，实现管控内容向地块层面的精准传导与落实。</w:t>
      </w:r>
    </w:p>
    <w:p w14:paraId="6B33F254">
      <w:pPr>
        <w:pStyle w:val="3"/>
        <w:spacing w:after="0"/>
        <w:ind w:firstLine="640"/>
      </w:pPr>
      <w:r>
        <w:rPr>
          <w:rFonts w:hint="eastAsia"/>
        </w:rPr>
        <w:t>（三）健全方案审议与许可审查提级管理</w:t>
      </w:r>
    </w:p>
    <w:p w14:paraId="0DFC4C05">
      <w:pPr>
        <w:spacing w:after="0"/>
        <w:ind w:firstLine="640"/>
      </w:pPr>
      <w:r>
        <w:rPr>
          <w:rFonts w:hint="eastAsia"/>
        </w:rPr>
        <w:t>1.方案审议提级管理，严控方案设计质量。自然资源、住房和城乡建设等相关主管部门应严格执行市规委会章程审议流程，并对管控区内新增的以及其他影响城市景观界面的重点项目方案审议实施提级管理。</w:t>
      </w:r>
    </w:p>
    <w:p w14:paraId="16908DDA">
      <w:pPr>
        <w:spacing w:after="0"/>
        <w:ind w:firstLine="640"/>
      </w:pPr>
      <w:r>
        <w:rPr>
          <w:rFonts w:hint="eastAsia"/>
        </w:rPr>
        <w:t>（1）在严格执行规委会既有审查制度的基础上，管控区范围内的建设项目（包含广告牌、雕塑、小型市政公用设施等建构筑物），以及涉及海岸建筑退缩线、生态保护红线、海岛核心生态区等敏感区域的开发建设项目，改变滨海第一界面空间形态或公共通道的项目，在开展项目选址、规划、设计等工作阶段的方案均需报市规委会审议。</w:t>
      </w:r>
    </w:p>
    <w:p w14:paraId="6A4D655E">
      <w:pPr>
        <w:spacing w:after="0"/>
        <w:ind w:firstLine="640"/>
      </w:pPr>
      <w:r>
        <w:rPr>
          <w:rFonts w:hint="eastAsia"/>
        </w:rPr>
        <w:t>（2）管控区内的建设项目相关设计方案未经市规委会审议通过，自然资源主管部门暂缓办理建设工程规划许可证。</w:t>
      </w:r>
    </w:p>
    <w:p w14:paraId="558C318A">
      <w:pPr>
        <w:spacing w:after="0"/>
        <w:ind w:firstLine="640"/>
      </w:pPr>
      <w:r>
        <w:rPr>
          <w:rFonts w:hint="eastAsia"/>
        </w:rPr>
        <w:t>（3）在市规委会审议范围和管控区范围之外，其他特定类型项目对滨海风貌具有一定影响的建设项目，同样须提请市规委会审议，包括但不限于影响城市景观界面的建筑外立面设计方案，滨海公共空间、公园、步道等景观公建项目设计方案，超出政策规定工程高度的建设项目，涉及山海视廊、天际线轮廓、城市景观地标、观景点、夜景照明等核心风貌要素的调整方案等。</w:t>
      </w:r>
    </w:p>
    <w:p w14:paraId="273D0925">
      <w:pPr>
        <w:spacing w:after="0"/>
        <w:ind w:firstLine="640"/>
      </w:pPr>
      <w:r>
        <w:rPr>
          <w:rFonts w:hint="eastAsia"/>
        </w:rPr>
        <w:t>2.许可核发提级管理，强化建设项目刚性管控。自然资源、住房和城乡建设主管部门应按职能不断完善建设用地规划许可、建设工程规划许可、乡村建设规划许可、建筑工程施工许可的技术审查和专项管理制度。</w:t>
      </w:r>
    </w:p>
    <w:p w14:paraId="3F490CCC">
      <w:pPr>
        <w:spacing w:after="0"/>
        <w:ind w:firstLine="640"/>
      </w:pPr>
      <w:r>
        <w:rPr>
          <w:rFonts w:hint="eastAsia"/>
        </w:rPr>
        <w:t>（1）管控区内农民建房、乡村产业及乡村公共等村庄建设项目的乡村建设规划许可证，由区自然资源主管部门核发或者委托镇人民政府核发，提级至市自然资源局审批、核发。</w:t>
      </w:r>
    </w:p>
    <w:p w14:paraId="6A931CC3">
      <w:pPr>
        <w:spacing w:after="0"/>
        <w:ind w:firstLine="640"/>
      </w:pPr>
      <w:r>
        <w:rPr>
          <w:rFonts w:hint="eastAsia"/>
        </w:rPr>
        <w:t>（2）自然资源主管部门在核发管控区内建设用地规划许可、建设工程规划许可时，应考虑国土空间规划、规划条件、相关技术标准和规范关于滨海风貌具体管控要求。经依法审查并取得建设工程规划许可的工程规划设计方案，凡涉及建筑风貌、立面造型或景观设计等要素的设计变更，须重新提交审查并依法开展变更程序。擅自变更工程规划设计方案、未按照批准内容施工的，应移交规划执法部门处理，严禁未经处理直接开展许可变更、图纸变更等程序。</w:t>
      </w:r>
    </w:p>
    <w:p w14:paraId="3FAECF9C">
      <w:pPr>
        <w:spacing w:after="0"/>
        <w:ind w:firstLine="640"/>
      </w:pPr>
      <w:r>
        <w:rPr>
          <w:rFonts w:hint="eastAsia"/>
        </w:rPr>
        <w:t>（3）管控区内建设项目（含建筑面积10万平方米以下）的建筑工程施工许可证，由区住房和城乡建设主管部门审批、核发，提级至市住房和城乡建设局审批、核发，对未落实风貌管控要求的明确整改要求，并在项目竣工验收后报市住建局备案。在项目建设工程设计方案审查中，住房和城乡建设主管部门应组织相关职能部门对项目建设工程设计方案开展滨海风貌协调性审查，并形成审查意见。各相关职能部门在项目竣工验收时应当将城市设计、城市景观风貌专项规划、城市景观风貌管理导则及各专项技术导则和技术标准的内容和控制要求落实情况作为重要的审查内容。</w:t>
      </w:r>
    </w:p>
    <w:p w14:paraId="677BB72D">
      <w:pPr>
        <w:pStyle w:val="3"/>
        <w:spacing w:after="0"/>
        <w:ind w:firstLine="640"/>
      </w:pPr>
      <w:r>
        <w:rPr>
          <w:rFonts w:hint="eastAsia"/>
        </w:rPr>
        <w:t>（四）完善专家咨询和公众参与机制</w:t>
      </w:r>
    </w:p>
    <w:p w14:paraId="5FB38B90">
      <w:pPr>
        <w:spacing w:after="0"/>
        <w:ind w:firstLine="640"/>
      </w:pPr>
      <w:r>
        <w:rPr>
          <w:rFonts w:hint="eastAsia"/>
        </w:rPr>
        <w:t>1.管控区范围内建设项目在方案审批阶段，自然资源、住房和城乡建设等相关主管部门应充分调动汕尾市总规划师、总建筑师团队以及规划设计联盟多重审查制度，统筹组织行业专家开展专家咨询会，对建设项目的滨海风貌相关设计方案进行审查。</w:t>
      </w:r>
    </w:p>
    <w:p w14:paraId="747EA2CF">
      <w:pPr>
        <w:spacing w:after="0"/>
        <w:ind w:firstLine="640"/>
      </w:pPr>
      <w:r>
        <w:rPr>
          <w:rFonts w:hint="eastAsia"/>
        </w:rPr>
        <w:t>2.对于社会关注度高的建设项目，其滨海风貌相关设计方案在方案审批前可主动征询公众意见，接受舆论监督，并对相关修改意见予以落实。</w:t>
      </w:r>
    </w:p>
    <w:p w14:paraId="2DEF9E89">
      <w:pPr>
        <w:pStyle w:val="3"/>
        <w:spacing w:after="0"/>
        <w:ind w:firstLine="640"/>
      </w:pPr>
      <w:bookmarkStart w:id="3" w:name="_Hlk223193840"/>
      <w:r>
        <w:rPr>
          <w:rFonts w:hint="eastAsia"/>
        </w:rPr>
        <w:t>（五）加强项目规划设计实施监管</w:t>
      </w:r>
    </w:p>
    <w:p w14:paraId="29F7E475">
      <w:pPr>
        <w:spacing w:after="0"/>
        <w:ind w:firstLine="640"/>
      </w:pPr>
      <w:r>
        <w:rPr>
          <w:rFonts w:hint="eastAsia"/>
        </w:rPr>
        <w:t>1.以执法监管与技术赋能为支撑，保障全流程落地。成立市级综合执法部门，强化对管控区的执法监督，推进县（市、区）综合执法机构建设，明确执法主体责任，完成队伍组建与人员配备。落实属地管控职责，加强管控区范围内街区、节点层面的管控与监督，建立“清单式对接+动态监测”执法机制，形成规划、建设、管理闭环，促进整体风貌品质提升，坚决杜绝重点区域违规建设行为。</w:t>
      </w:r>
    </w:p>
    <w:bookmarkEnd w:id="3"/>
    <w:p w14:paraId="0142954D">
      <w:pPr>
        <w:spacing w:after="0"/>
        <w:ind w:firstLine="640"/>
      </w:pPr>
      <w:r>
        <w:rPr>
          <w:rFonts w:hint="eastAsia"/>
        </w:rPr>
        <w:t>2.发展改革、自然资源、住房和城乡建设、交通运输、生态环境、应急管理、文化广电旅游体育、消防救援、水务、气象、城市管理和综合执法等相关主管部门应严格履行法律法规赋予的监管责任，实时跟踪审批办理情况和项目推进最新情况，加大设计、实施、验收全过程监督力度，杜绝出现监管空白。</w:t>
      </w:r>
    </w:p>
    <w:p w14:paraId="715F9086">
      <w:pPr>
        <w:spacing w:after="0"/>
        <w:ind w:firstLine="640"/>
      </w:pPr>
      <w:r>
        <w:rPr>
          <w:rFonts w:hint="eastAsia"/>
        </w:rPr>
        <w:t>3.自然资源、住房和城乡建设、城市管理和综合执法等相关主管部门应及时对滨海风貌相关规划的实施情况进行跟踪评估，并根据评估情况，动态完善实施管理措施，并对规划成果进行动态维护。</w:t>
      </w:r>
    </w:p>
    <w:p w14:paraId="6CF6D038">
      <w:pPr>
        <w:spacing w:after="0"/>
        <w:ind w:firstLine="640"/>
        <w:outlineLvl w:val="0"/>
        <w:rPr>
          <w:rFonts w:ascii="黑体" w:hAnsi="黑体" w:eastAsia="黑体" w:cs="黑体"/>
        </w:rPr>
      </w:pPr>
      <w:r>
        <w:rPr>
          <w:rFonts w:hint="eastAsia" w:ascii="黑体" w:hAnsi="黑体" w:eastAsia="黑体" w:cs="黑体"/>
        </w:rPr>
        <w:t>四</w:t>
      </w:r>
      <w:r>
        <w:rPr>
          <w:rFonts w:ascii="黑体" w:hAnsi="黑体" w:eastAsia="黑体" w:cs="黑体"/>
        </w:rPr>
        <w:t>、</w:t>
      </w:r>
      <w:r>
        <w:rPr>
          <w:rFonts w:hint="eastAsia" w:ascii="黑体" w:hAnsi="黑体" w:eastAsia="黑体" w:cs="黑体"/>
        </w:rPr>
        <w:t>保障措施</w:t>
      </w:r>
    </w:p>
    <w:p w14:paraId="68806A50">
      <w:pPr>
        <w:spacing w:after="0"/>
        <w:ind w:firstLine="640"/>
      </w:pPr>
      <w:r>
        <w:rPr>
          <w:rFonts w:hint="eastAsia"/>
        </w:rPr>
        <w:t>1.健全组织领导，完善工作组织的统一管理机制。各相关主管部门要高度重视汕尾市区滨海风貌规划建设管理工作，强化组织保障，健全人员组织模式，统筹协调风貌管控重大问题。</w:t>
      </w:r>
    </w:p>
    <w:p w14:paraId="4ACCBCD3">
      <w:pPr>
        <w:spacing w:after="0"/>
        <w:ind w:firstLine="640"/>
      </w:pPr>
      <w:r>
        <w:rPr>
          <w:rFonts w:hint="eastAsia"/>
        </w:rPr>
        <w:t>2.建立协同实施的工作机制。由自然资源部门牵头，与住房和城乡建设、农业农村、城市管理和综合执法、财政等相关主管部门各司其职协同管理，深化实施汕尾市规委会、总规划师、总建筑师与规划设计联盟多重审查制度，动态完善管理措施和规划成果。</w:t>
      </w:r>
    </w:p>
    <w:p w14:paraId="6F22D8E0">
      <w:pPr>
        <w:spacing w:after="0"/>
        <w:ind w:firstLine="640" w:firstLineChars="0"/>
      </w:pPr>
      <w:r>
        <w:rPr>
          <w:rFonts w:hint="eastAsia"/>
        </w:rPr>
        <w:t>3.广泛宣传引导。采取多种形式宣传普及滨海风貌相关知识，提高全社会的文化自信和建筑审美；引导建设单位增强文化素养，设计建造符合汕尾滨海风貌文化传承、功能优先、融合环境等要求的项目，及时有效对接相关政策制度，加强宣传解读，共同提高建设实施水平。</w:t>
      </w:r>
    </w:p>
    <w:p w14:paraId="4C121AB7">
      <w:pPr>
        <w:spacing w:after="0"/>
        <w:ind w:firstLine="640" w:firstLineChars="0"/>
        <w:rPr>
          <w:rFonts w:ascii="Times New Roman" w:hAnsi="Times New Roman" w:cs="Times New Roman"/>
          <w:szCs w:val="32"/>
        </w:rPr>
      </w:pPr>
      <w:r>
        <w:rPr>
          <w:rFonts w:hint="eastAsia" w:ascii="Times New Roman" w:hAnsi="Times New Roman" w:cs="Times New Roman"/>
          <w:szCs w:val="32"/>
        </w:rPr>
        <w:t>本通知自印发之日起施行，</w:t>
      </w:r>
      <w:r>
        <w:rPr>
          <w:rFonts w:hint="eastAsia"/>
        </w:rPr>
        <w:t>有效期三年。</w:t>
      </w:r>
    </w:p>
    <w:p w14:paraId="0CCDCCDF">
      <w:pPr>
        <w:widowControl/>
        <w:spacing w:after="0"/>
        <w:ind w:firstLine="0" w:firstLineChars="0"/>
        <w:jc w:val="left"/>
      </w:pPr>
      <w:r>
        <w:rPr>
          <w:rFonts w:hint="eastAsia"/>
        </w:rPr>
        <w:br w:type="page"/>
      </w:r>
    </w:p>
    <w:p w14:paraId="61B2F0BC">
      <w:pPr>
        <w:spacing w:after="0"/>
        <w:ind w:firstLine="640"/>
        <w:outlineLvl w:val="0"/>
        <w:rPr>
          <w:rFonts w:ascii="黑体" w:hAnsi="黑体" w:eastAsia="黑体" w:cs="黑体"/>
        </w:rPr>
      </w:pPr>
      <w:r>
        <w:rPr>
          <w:rFonts w:hint="eastAsia" w:ascii="黑体" w:hAnsi="黑体" w:eastAsia="黑体" w:cs="黑体"/>
        </w:rPr>
        <w:t>附图</w:t>
      </w:r>
    </w:p>
    <w:p w14:paraId="6C59993C">
      <w:pPr>
        <w:spacing w:after="0"/>
        <w:ind w:firstLine="0" w:firstLineChars="0"/>
      </w:pPr>
    </w:p>
    <w:p w14:paraId="5E65294A">
      <w:pPr>
        <w:spacing w:after="0"/>
        <w:ind w:firstLine="0" w:firstLineChars="0"/>
        <w:jc w:val="center"/>
      </w:pPr>
    </w:p>
    <w:p w14:paraId="7CF7AFB2">
      <w:pPr>
        <w:spacing w:after="0"/>
        <w:ind w:firstLine="0" w:firstLineChars="0"/>
        <w:jc w:val="center"/>
      </w:pPr>
    </w:p>
    <w:p w14:paraId="0740D5A9">
      <w:pPr>
        <w:spacing w:after="0"/>
        <w:ind w:firstLine="0" w:firstLineChars="0"/>
        <w:jc w:val="center"/>
      </w:pPr>
    </w:p>
    <w:p w14:paraId="1FF69E0F">
      <w:pPr>
        <w:spacing w:after="0"/>
        <w:ind w:firstLine="0" w:firstLineChars="0"/>
        <w:jc w:val="center"/>
      </w:pPr>
    </w:p>
    <w:p w14:paraId="3BBEC471">
      <w:pPr>
        <w:spacing w:after="0"/>
        <w:ind w:firstLine="0" w:firstLineChars="0"/>
        <w:jc w:val="center"/>
      </w:pPr>
    </w:p>
    <w:p w14:paraId="02B2BD0A">
      <w:pPr>
        <w:spacing w:after="0"/>
        <w:ind w:firstLine="0" w:firstLineChars="0"/>
        <w:jc w:val="center"/>
      </w:pPr>
    </w:p>
    <w:p w14:paraId="26AF67E0">
      <w:pPr>
        <w:spacing w:after="0"/>
        <w:ind w:firstLine="0" w:firstLineChars="0"/>
        <w:jc w:val="center"/>
      </w:pPr>
    </w:p>
    <w:p w14:paraId="332ACA3B">
      <w:pPr>
        <w:spacing w:after="0"/>
        <w:ind w:firstLine="0" w:firstLineChars="0"/>
        <w:jc w:val="center"/>
      </w:pPr>
    </w:p>
    <w:p w14:paraId="107F95F2">
      <w:pPr>
        <w:spacing w:after="0"/>
        <w:ind w:firstLine="0" w:firstLineChars="0"/>
        <w:jc w:val="center"/>
      </w:pPr>
    </w:p>
    <w:p w14:paraId="22745CBB">
      <w:pPr>
        <w:spacing w:after="0"/>
        <w:ind w:firstLine="0" w:firstLineChars="0"/>
        <w:jc w:val="center"/>
        <w:rPr>
          <w:rFonts w:ascii="黑体" w:hAnsi="黑体" w:eastAsia="黑体" w:cs="黑体"/>
        </w:rPr>
      </w:pPr>
      <w:r>
        <w:drawing>
          <wp:anchor distT="0" distB="0" distL="0" distR="0" simplePos="0" relativeHeight="251659264" behindDoc="0" locked="0" layoutInCell="1" allowOverlap="1">
            <wp:simplePos x="0" y="0"/>
            <wp:positionH relativeFrom="column">
              <wp:posOffset>206375</wp:posOffset>
            </wp:positionH>
            <wp:positionV relativeFrom="paragraph">
              <wp:posOffset>-3152140</wp:posOffset>
            </wp:positionV>
            <wp:extent cx="4860925" cy="3436620"/>
            <wp:effectExtent l="0" t="0" r="0"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4860925" cy="3436620"/>
                    </a:xfrm>
                    <a:prstGeom prst="rect">
                      <a:avLst/>
                    </a:prstGeom>
                  </pic:spPr>
                </pic:pic>
              </a:graphicData>
            </a:graphic>
          </wp:anchor>
        </w:drawing>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1323"/>
    </w:sdtPr>
    <w:sdtContent>
      <w:p w14:paraId="285CC84E">
        <w:pPr>
          <w:pStyle w:val="7"/>
          <w:ind w:firstLine="360"/>
          <w:jc w:val="center"/>
        </w:pPr>
        <w:r>
          <w:fldChar w:fldCharType="begin"/>
        </w:r>
        <w:r>
          <w:instrText xml:space="preserve">PAGE   \* MERGEFORMAT</w:instrText>
        </w:r>
        <w:r>
          <w:fldChar w:fldCharType="separate"/>
        </w:r>
        <w:r>
          <w:rPr>
            <w:lang w:val="zh-CN"/>
          </w:rPr>
          <w:t>1</w:t>
        </w:r>
        <w:r>
          <w:fldChar w:fldCharType="end"/>
        </w:r>
      </w:p>
    </w:sdtContent>
  </w:sdt>
  <w:p w14:paraId="28F92EC5">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9529">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A139">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A2A3E">
    <w:pPr>
      <w:tabs>
        <w:tab w:val="center" w:pos="4153"/>
        <w:tab w:val="right" w:pos="8306"/>
      </w:tabs>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0766E">
    <w:pPr>
      <w:tabs>
        <w:tab w:val="center" w:pos="4153"/>
        <w:tab w:val="right" w:pos="8306"/>
      </w:tabs>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E0F1">
    <w:pPr>
      <w:tabs>
        <w:tab w:val="center" w:pos="4153"/>
        <w:tab w:val="right" w:pos="8306"/>
      </w:tabs>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0ZjFkZGE3YTQ0YjI1NjA3MDM3NWMzMzBjMmQ1NTQifQ=="/>
  </w:docVars>
  <w:rsids>
    <w:rsidRoot w:val="00F96834"/>
    <w:rsid w:val="00004656"/>
    <w:rsid w:val="0001272B"/>
    <w:rsid w:val="00021FA9"/>
    <w:rsid w:val="00035145"/>
    <w:rsid w:val="00041720"/>
    <w:rsid w:val="00063272"/>
    <w:rsid w:val="00074682"/>
    <w:rsid w:val="0008065E"/>
    <w:rsid w:val="00086022"/>
    <w:rsid w:val="000A17AF"/>
    <w:rsid w:val="000F06B8"/>
    <w:rsid w:val="00103098"/>
    <w:rsid w:val="0011266D"/>
    <w:rsid w:val="00131CF2"/>
    <w:rsid w:val="00163A65"/>
    <w:rsid w:val="00173567"/>
    <w:rsid w:val="00176D63"/>
    <w:rsid w:val="00190357"/>
    <w:rsid w:val="001947B8"/>
    <w:rsid w:val="001976F8"/>
    <w:rsid w:val="001A3721"/>
    <w:rsid w:val="001F007D"/>
    <w:rsid w:val="001F32F1"/>
    <w:rsid w:val="002013D5"/>
    <w:rsid w:val="00233163"/>
    <w:rsid w:val="00245F10"/>
    <w:rsid w:val="0025362C"/>
    <w:rsid w:val="00260396"/>
    <w:rsid w:val="00270972"/>
    <w:rsid w:val="002876B8"/>
    <w:rsid w:val="002A0BDC"/>
    <w:rsid w:val="002A2138"/>
    <w:rsid w:val="002B60EB"/>
    <w:rsid w:val="002D4032"/>
    <w:rsid w:val="002E15E3"/>
    <w:rsid w:val="002F50DE"/>
    <w:rsid w:val="00300E9C"/>
    <w:rsid w:val="00302E0B"/>
    <w:rsid w:val="00311A02"/>
    <w:rsid w:val="00343281"/>
    <w:rsid w:val="00347C90"/>
    <w:rsid w:val="00352BC4"/>
    <w:rsid w:val="00364EFA"/>
    <w:rsid w:val="003A20F0"/>
    <w:rsid w:val="003A4A7F"/>
    <w:rsid w:val="003A60C0"/>
    <w:rsid w:val="003C7C35"/>
    <w:rsid w:val="003D2A7C"/>
    <w:rsid w:val="003F2BE9"/>
    <w:rsid w:val="003F7678"/>
    <w:rsid w:val="00410793"/>
    <w:rsid w:val="00411AAB"/>
    <w:rsid w:val="00427C93"/>
    <w:rsid w:val="00435EA5"/>
    <w:rsid w:val="0045572B"/>
    <w:rsid w:val="00455AF7"/>
    <w:rsid w:val="00456A2B"/>
    <w:rsid w:val="00461A0E"/>
    <w:rsid w:val="004651E0"/>
    <w:rsid w:val="004744F9"/>
    <w:rsid w:val="004766A8"/>
    <w:rsid w:val="00485932"/>
    <w:rsid w:val="0049554B"/>
    <w:rsid w:val="00496F15"/>
    <w:rsid w:val="00497CC0"/>
    <w:rsid w:val="004A0CC3"/>
    <w:rsid w:val="004A2233"/>
    <w:rsid w:val="004A4386"/>
    <w:rsid w:val="004A7750"/>
    <w:rsid w:val="004B2BCA"/>
    <w:rsid w:val="004D641E"/>
    <w:rsid w:val="00524A98"/>
    <w:rsid w:val="00530F33"/>
    <w:rsid w:val="005409BF"/>
    <w:rsid w:val="005425BD"/>
    <w:rsid w:val="0055545E"/>
    <w:rsid w:val="00571672"/>
    <w:rsid w:val="00580556"/>
    <w:rsid w:val="00580749"/>
    <w:rsid w:val="00596676"/>
    <w:rsid w:val="005A3EF3"/>
    <w:rsid w:val="005A4DBE"/>
    <w:rsid w:val="005A5909"/>
    <w:rsid w:val="00602C51"/>
    <w:rsid w:val="006032C5"/>
    <w:rsid w:val="00614CF9"/>
    <w:rsid w:val="0062005E"/>
    <w:rsid w:val="00644A62"/>
    <w:rsid w:val="006754B2"/>
    <w:rsid w:val="00675E98"/>
    <w:rsid w:val="0068771A"/>
    <w:rsid w:val="00692876"/>
    <w:rsid w:val="006C76F9"/>
    <w:rsid w:val="006E2081"/>
    <w:rsid w:val="006F5D1E"/>
    <w:rsid w:val="007042AA"/>
    <w:rsid w:val="0072390D"/>
    <w:rsid w:val="00747FC6"/>
    <w:rsid w:val="00752674"/>
    <w:rsid w:val="00754875"/>
    <w:rsid w:val="007604DF"/>
    <w:rsid w:val="00763C1E"/>
    <w:rsid w:val="00770E80"/>
    <w:rsid w:val="00773D5C"/>
    <w:rsid w:val="00783DC5"/>
    <w:rsid w:val="007A21E5"/>
    <w:rsid w:val="007A258D"/>
    <w:rsid w:val="007B2696"/>
    <w:rsid w:val="007B3F7B"/>
    <w:rsid w:val="007B7215"/>
    <w:rsid w:val="007B7B25"/>
    <w:rsid w:val="007C3B42"/>
    <w:rsid w:val="007D2831"/>
    <w:rsid w:val="007D48D3"/>
    <w:rsid w:val="007D51CB"/>
    <w:rsid w:val="007E41D7"/>
    <w:rsid w:val="00840FBB"/>
    <w:rsid w:val="0086245F"/>
    <w:rsid w:val="00866E07"/>
    <w:rsid w:val="00876DCE"/>
    <w:rsid w:val="008A0FDB"/>
    <w:rsid w:val="008A2A9F"/>
    <w:rsid w:val="008B3649"/>
    <w:rsid w:val="008B5FAB"/>
    <w:rsid w:val="008C0879"/>
    <w:rsid w:val="008C3F9C"/>
    <w:rsid w:val="008C4FAD"/>
    <w:rsid w:val="008C73EC"/>
    <w:rsid w:val="008F4D2E"/>
    <w:rsid w:val="008F5DEB"/>
    <w:rsid w:val="00900D8D"/>
    <w:rsid w:val="00914BF4"/>
    <w:rsid w:val="00922838"/>
    <w:rsid w:val="0093007F"/>
    <w:rsid w:val="00930F5F"/>
    <w:rsid w:val="00963EB3"/>
    <w:rsid w:val="009830B2"/>
    <w:rsid w:val="009A1F80"/>
    <w:rsid w:val="009A25D8"/>
    <w:rsid w:val="009A4836"/>
    <w:rsid w:val="009A648C"/>
    <w:rsid w:val="009C76EC"/>
    <w:rsid w:val="009C7CBE"/>
    <w:rsid w:val="009E6D94"/>
    <w:rsid w:val="009F35CC"/>
    <w:rsid w:val="009F3E03"/>
    <w:rsid w:val="009F641A"/>
    <w:rsid w:val="00A025B6"/>
    <w:rsid w:val="00A26206"/>
    <w:rsid w:val="00A26CD1"/>
    <w:rsid w:val="00A34BAA"/>
    <w:rsid w:val="00A61767"/>
    <w:rsid w:val="00A62C12"/>
    <w:rsid w:val="00A67149"/>
    <w:rsid w:val="00A74F86"/>
    <w:rsid w:val="00A84B5C"/>
    <w:rsid w:val="00A97991"/>
    <w:rsid w:val="00AB15D7"/>
    <w:rsid w:val="00AB65F8"/>
    <w:rsid w:val="00AC5A37"/>
    <w:rsid w:val="00AC789A"/>
    <w:rsid w:val="00AD36A0"/>
    <w:rsid w:val="00AE0EE9"/>
    <w:rsid w:val="00AE1F55"/>
    <w:rsid w:val="00AE7624"/>
    <w:rsid w:val="00B10ECF"/>
    <w:rsid w:val="00B245FE"/>
    <w:rsid w:val="00B56E79"/>
    <w:rsid w:val="00B90454"/>
    <w:rsid w:val="00B928CF"/>
    <w:rsid w:val="00B96395"/>
    <w:rsid w:val="00BB36BC"/>
    <w:rsid w:val="00BF3477"/>
    <w:rsid w:val="00C01754"/>
    <w:rsid w:val="00C0391B"/>
    <w:rsid w:val="00C03E4D"/>
    <w:rsid w:val="00C073F7"/>
    <w:rsid w:val="00C138D3"/>
    <w:rsid w:val="00C158F7"/>
    <w:rsid w:val="00C31711"/>
    <w:rsid w:val="00C4371D"/>
    <w:rsid w:val="00C7448D"/>
    <w:rsid w:val="00C8030A"/>
    <w:rsid w:val="00C95B8D"/>
    <w:rsid w:val="00CD7134"/>
    <w:rsid w:val="00CE4508"/>
    <w:rsid w:val="00CE7A5D"/>
    <w:rsid w:val="00CF4521"/>
    <w:rsid w:val="00CF7929"/>
    <w:rsid w:val="00D02EE0"/>
    <w:rsid w:val="00D156CC"/>
    <w:rsid w:val="00D22AFC"/>
    <w:rsid w:val="00D322B7"/>
    <w:rsid w:val="00D3548D"/>
    <w:rsid w:val="00D437EE"/>
    <w:rsid w:val="00D5428D"/>
    <w:rsid w:val="00D559BC"/>
    <w:rsid w:val="00D852E3"/>
    <w:rsid w:val="00DC5838"/>
    <w:rsid w:val="00E064F8"/>
    <w:rsid w:val="00E61D2A"/>
    <w:rsid w:val="00E62922"/>
    <w:rsid w:val="00E720A5"/>
    <w:rsid w:val="00E722B5"/>
    <w:rsid w:val="00E771D4"/>
    <w:rsid w:val="00E80444"/>
    <w:rsid w:val="00EC0FB2"/>
    <w:rsid w:val="00ED29F5"/>
    <w:rsid w:val="00ED604A"/>
    <w:rsid w:val="00EF0E98"/>
    <w:rsid w:val="00EF7931"/>
    <w:rsid w:val="00F0011B"/>
    <w:rsid w:val="00F233F4"/>
    <w:rsid w:val="00F31699"/>
    <w:rsid w:val="00F37639"/>
    <w:rsid w:val="00F37BD0"/>
    <w:rsid w:val="00F53B43"/>
    <w:rsid w:val="00F649E3"/>
    <w:rsid w:val="00F7582B"/>
    <w:rsid w:val="00F95EE4"/>
    <w:rsid w:val="00F96834"/>
    <w:rsid w:val="00FA0473"/>
    <w:rsid w:val="00FA08E0"/>
    <w:rsid w:val="00FA18F2"/>
    <w:rsid w:val="00FA5B1F"/>
    <w:rsid w:val="00FA6B4D"/>
    <w:rsid w:val="00FC4587"/>
    <w:rsid w:val="00FC4592"/>
    <w:rsid w:val="00FC7629"/>
    <w:rsid w:val="00FE78A8"/>
    <w:rsid w:val="01183958"/>
    <w:rsid w:val="01646CD2"/>
    <w:rsid w:val="039724F8"/>
    <w:rsid w:val="03A06A1D"/>
    <w:rsid w:val="03EE3CD2"/>
    <w:rsid w:val="0572399D"/>
    <w:rsid w:val="06610DA0"/>
    <w:rsid w:val="084416E6"/>
    <w:rsid w:val="0B6533AF"/>
    <w:rsid w:val="0B8A6AEE"/>
    <w:rsid w:val="102C1BBF"/>
    <w:rsid w:val="10853CB3"/>
    <w:rsid w:val="11770F00"/>
    <w:rsid w:val="145A1E54"/>
    <w:rsid w:val="15CA6C03"/>
    <w:rsid w:val="16CC41D7"/>
    <w:rsid w:val="17604131"/>
    <w:rsid w:val="17E70379"/>
    <w:rsid w:val="18297F34"/>
    <w:rsid w:val="1A183764"/>
    <w:rsid w:val="1D0C77E9"/>
    <w:rsid w:val="1D1B5506"/>
    <w:rsid w:val="1F4151DA"/>
    <w:rsid w:val="212F308A"/>
    <w:rsid w:val="227D254E"/>
    <w:rsid w:val="236106B5"/>
    <w:rsid w:val="2779588D"/>
    <w:rsid w:val="279B1897"/>
    <w:rsid w:val="29E06595"/>
    <w:rsid w:val="2B6B4C7A"/>
    <w:rsid w:val="2CAA56B2"/>
    <w:rsid w:val="2CDD1B90"/>
    <w:rsid w:val="2D4A4D04"/>
    <w:rsid w:val="2E7D6434"/>
    <w:rsid w:val="2E8B71E0"/>
    <w:rsid w:val="2F912EC4"/>
    <w:rsid w:val="304F76FF"/>
    <w:rsid w:val="32AA07AD"/>
    <w:rsid w:val="3355422C"/>
    <w:rsid w:val="35C729C0"/>
    <w:rsid w:val="36B07DAB"/>
    <w:rsid w:val="382A3887"/>
    <w:rsid w:val="3AA92303"/>
    <w:rsid w:val="3CCE5870"/>
    <w:rsid w:val="3E4A6B42"/>
    <w:rsid w:val="403C61CE"/>
    <w:rsid w:val="41310BF4"/>
    <w:rsid w:val="419B3078"/>
    <w:rsid w:val="41BB7BEE"/>
    <w:rsid w:val="42856DA9"/>
    <w:rsid w:val="43213C10"/>
    <w:rsid w:val="43B561AD"/>
    <w:rsid w:val="449B10AA"/>
    <w:rsid w:val="4516592B"/>
    <w:rsid w:val="45EA5508"/>
    <w:rsid w:val="49A55CA3"/>
    <w:rsid w:val="4A122463"/>
    <w:rsid w:val="4A7A7157"/>
    <w:rsid w:val="4C9866FE"/>
    <w:rsid w:val="4D9F42ED"/>
    <w:rsid w:val="50542497"/>
    <w:rsid w:val="59417872"/>
    <w:rsid w:val="59721975"/>
    <w:rsid w:val="59A130C0"/>
    <w:rsid w:val="5AC56A84"/>
    <w:rsid w:val="5AE27955"/>
    <w:rsid w:val="5BE82183"/>
    <w:rsid w:val="5CCD313E"/>
    <w:rsid w:val="5E4A5E25"/>
    <w:rsid w:val="5EBC0A77"/>
    <w:rsid w:val="5EC40E91"/>
    <w:rsid w:val="61811947"/>
    <w:rsid w:val="64353B9B"/>
    <w:rsid w:val="6ADD0896"/>
    <w:rsid w:val="6BE4024B"/>
    <w:rsid w:val="6C982AC8"/>
    <w:rsid w:val="6E4942E2"/>
    <w:rsid w:val="6E591468"/>
    <w:rsid w:val="6E930FFA"/>
    <w:rsid w:val="6EF04C7F"/>
    <w:rsid w:val="6F1E4B70"/>
    <w:rsid w:val="6FBD0BCF"/>
    <w:rsid w:val="70AF6CDB"/>
    <w:rsid w:val="72114B20"/>
    <w:rsid w:val="73294FC6"/>
    <w:rsid w:val="754F753E"/>
    <w:rsid w:val="77C849F6"/>
    <w:rsid w:val="79BF0186"/>
    <w:rsid w:val="7EDF4700"/>
    <w:rsid w:val="F78D1C64"/>
    <w:rsid w:val="FAFDE838"/>
    <w:rsid w:val="FF950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560" w:lineRule="exact"/>
      <w:ind w:firstLine="72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4"/>
    <w:qFormat/>
    <w:uiPriority w:val="9"/>
    <w:pPr>
      <w:keepNext/>
      <w:keepLines/>
      <w:outlineLvl w:val="0"/>
    </w:pPr>
    <w:rPr>
      <w:rFonts w:eastAsia="黑体"/>
      <w:bCs/>
      <w:kern w:val="44"/>
      <w:szCs w:val="44"/>
    </w:rPr>
  </w:style>
  <w:style w:type="paragraph" w:styleId="3">
    <w:name w:val="heading 2"/>
    <w:basedOn w:val="1"/>
    <w:next w:val="1"/>
    <w:link w:val="15"/>
    <w:autoRedefine/>
    <w:unhideWhenUsed/>
    <w:qFormat/>
    <w:uiPriority w:val="9"/>
    <w:pPr>
      <w:keepNext/>
      <w:keepLines/>
      <w:adjustRightInd w:val="0"/>
      <w:outlineLvl w:val="1"/>
    </w:pPr>
    <w:rPr>
      <w:rFonts w:eastAsia="楷体_GB2312" w:asciiTheme="majorHAnsi" w:hAnsiTheme="majorHAnsi" w:cstheme="majorBidi"/>
      <w:bCs/>
      <w:szCs w:val="32"/>
    </w:rPr>
  </w:style>
  <w:style w:type="paragraph" w:styleId="4">
    <w:name w:val="heading 3"/>
    <w:basedOn w:val="1"/>
    <w:next w:val="1"/>
    <w:autoRedefine/>
    <w:unhideWhenUsed/>
    <w:qFormat/>
    <w:uiPriority w:val="9"/>
    <w:pPr>
      <w:keepNext/>
      <w:keepLines/>
      <w:outlineLvl w:val="2"/>
    </w:pPr>
    <w:rPr>
      <w:b/>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7"/>
    <w:semiHidden/>
    <w:unhideWhenUsed/>
    <w:qFormat/>
    <w:uiPriority w:val="99"/>
    <w:pPr>
      <w:jc w:val="left"/>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2"/>
    <w:autoRedefine/>
    <w:unhideWhenUsed/>
    <w:qFormat/>
    <w:uiPriority w:val="99"/>
    <w:pPr>
      <w:tabs>
        <w:tab w:val="center" w:pos="4153"/>
        <w:tab w:val="right" w:pos="8306"/>
      </w:tabs>
      <w:snapToGrid w:val="0"/>
      <w:jc w:val="left"/>
    </w:pPr>
    <w:rPr>
      <w:sz w:val="18"/>
      <w:szCs w:val="18"/>
    </w:rPr>
  </w:style>
  <w:style w:type="paragraph" w:styleId="8">
    <w:name w:val="annotation subject"/>
    <w:basedOn w:val="5"/>
    <w:next w:val="5"/>
    <w:link w:val="18"/>
    <w:autoRedefine/>
    <w:semiHidden/>
    <w:unhideWhenUsed/>
    <w:qFormat/>
    <w:uiPriority w:val="99"/>
    <w:rPr>
      <w:b/>
      <w:bCs/>
    </w:rPr>
  </w:style>
  <w:style w:type="character" w:styleId="11">
    <w:name w:val="annotation reference"/>
    <w:basedOn w:val="10"/>
    <w:autoRedefine/>
    <w:semiHidden/>
    <w:unhideWhenUsed/>
    <w:qFormat/>
    <w:uiPriority w:val="99"/>
    <w:rPr>
      <w:sz w:val="21"/>
      <w:szCs w:val="21"/>
    </w:rPr>
  </w:style>
  <w:style w:type="character" w:customStyle="1" w:styleId="12">
    <w:name w:val="页脚 字符"/>
    <w:basedOn w:val="10"/>
    <w:link w:val="7"/>
    <w:autoRedefine/>
    <w:qFormat/>
    <w:uiPriority w:val="99"/>
    <w:rPr>
      <w:sz w:val="18"/>
      <w:szCs w:val="18"/>
    </w:rPr>
  </w:style>
  <w:style w:type="paragraph" w:styleId="13">
    <w:name w:val="List Paragraph"/>
    <w:basedOn w:val="1"/>
    <w:autoRedefine/>
    <w:qFormat/>
    <w:uiPriority w:val="34"/>
    <w:pPr>
      <w:ind w:firstLine="420"/>
    </w:pPr>
  </w:style>
  <w:style w:type="character" w:customStyle="1" w:styleId="14">
    <w:name w:val="标题 1 字符"/>
    <w:basedOn w:val="10"/>
    <w:link w:val="2"/>
    <w:autoRedefine/>
    <w:qFormat/>
    <w:uiPriority w:val="9"/>
    <w:rPr>
      <w:rFonts w:eastAsia="黑体" w:asciiTheme="minorHAnsi" w:hAnsiTheme="minorHAnsi"/>
      <w:bCs/>
      <w:kern w:val="44"/>
      <w:sz w:val="32"/>
      <w:szCs w:val="44"/>
    </w:rPr>
  </w:style>
  <w:style w:type="character" w:customStyle="1" w:styleId="15">
    <w:name w:val="标题 2 字符"/>
    <w:basedOn w:val="10"/>
    <w:link w:val="3"/>
    <w:autoRedefine/>
    <w:qFormat/>
    <w:uiPriority w:val="9"/>
    <w:rPr>
      <w:rFonts w:eastAsia="楷体_GB2312" w:asciiTheme="majorHAnsi" w:hAnsiTheme="majorHAnsi" w:cstheme="majorBidi"/>
      <w:bCs/>
      <w:kern w:val="2"/>
      <w:sz w:val="32"/>
      <w:szCs w:val="32"/>
    </w:rPr>
  </w:style>
  <w:style w:type="character" w:customStyle="1" w:styleId="16">
    <w:name w:val="批注框文本 字符"/>
    <w:basedOn w:val="10"/>
    <w:link w:val="6"/>
    <w:semiHidden/>
    <w:qFormat/>
    <w:uiPriority w:val="99"/>
    <w:rPr>
      <w:rFonts w:asciiTheme="minorHAnsi" w:hAnsiTheme="minorHAnsi" w:eastAsiaTheme="minorEastAsia" w:cstheme="minorBidi"/>
      <w:kern w:val="2"/>
      <w:sz w:val="18"/>
      <w:szCs w:val="18"/>
    </w:rPr>
  </w:style>
  <w:style w:type="character" w:customStyle="1" w:styleId="17">
    <w:name w:val="批注文字 字符"/>
    <w:basedOn w:val="10"/>
    <w:link w:val="5"/>
    <w:autoRedefine/>
    <w:semiHidden/>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8"/>
    <w:autoRedefine/>
    <w:semiHidden/>
    <w:qFormat/>
    <w:uiPriority w:val="99"/>
    <w:rPr>
      <w:rFonts w:asciiTheme="minorHAnsi" w:hAnsiTheme="minorHAnsi" w:eastAsiaTheme="minorEastAsia" w:cstheme="minorBidi"/>
      <w:b/>
      <w:bCs/>
      <w:kern w:val="2"/>
      <w:sz w:val="21"/>
      <w:szCs w:val="22"/>
    </w:rPr>
  </w:style>
  <w:style w:type="paragraph" w:customStyle="1" w:styleId="19">
    <w:name w:val="修订1"/>
    <w:autoRedefine/>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20">
    <w:name w:val="修订2"/>
    <w:autoRedefine/>
    <w:hidden/>
    <w:semiHidden/>
    <w:qFormat/>
    <w:uiPriority w:val="99"/>
    <w:pPr>
      <w:spacing w:after="160" w:line="278" w:lineRule="auto"/>
    </w:pPr>
    <w:rPr>
      <w:rFonts w:eastAsia="仿宋"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Far123</Company>
  <Pages>10</Pages>
  <Words>450</Words>
  <Characters>450</Characters>
  <Lines>29</Lines>
  <Paragraphs>8</Paragraphs>
  <TotalTime>49</TotalTime>
  <ScaleCrop>false</ScaleCrop>
  <LinksUpToDate>false</LinksUpToDate>
  <CharactersWithSpaces>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2026-03-08T13:55:00Z</dcterms:created>
  <dc:creator>陈川</dc:creator>
  <cp:lastModifiedBy>lby</cp:lastModifiedBy>
  <cp:lastPrinted>2026-03-04T08:47:00Z</cp:lastPrinted>
  <dcterms:modified xsi:type="dcterms:W3CDTF">2026-03-09T06:52:14Z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eyJoZGlkIjoiMGNhZWJiMDk1ZDgyZTA5NzQwOTNjMDQ3ZGRhNjQ2NTEiLCJ1c2VySWQiOiI2NDE0OTQ1MDkifQ==</vt:lpwstr>
  </property>
  <property fmtid="{D5CDD505-2E9C-101B-9397-08002B2CF9AE}" pid="4" name="ICV">
    <vt:lpwstr>37010B1B8F7747079717D65DE030456E_13</vt:lpwstr>
  </property>
</Properties>
</file>