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38583">
      <w:pPr>
        <w:adjustRightInd w:val="0"/>
        <w:snapToGrid w:val="0"/>
        <w:spacing w:line="384" w:lineRule="auto"/>
        <w:jc w:val="left"/>
        <w:rPr>
          <w:rFonts w:hint="eastAsia" w:ascii="黑体" w:hAnsi="黑体" w:eastAsia="黑体"/>
          <w:sz w:val="32"/>
          <w:szCs w:val="32"/>
        </w:rPr>
      </w:pPr>
    </w:p>
    <w:p w14:paraId="163E9A23">
      <w:pPr>
        <w:adjustRightInd w:val="0"/>
        <w:snapToGrid w:val="0"/>
        <w:jc w:val="center"/>
        <w:rPr>
          <w:rFonts w:hint="eastAsia" w:ascii="方正小标宋简体" w:hAnsi="方正小标宋简体" w:eastAsia="方正小标宋简体"/>
          <w:sz w:val="38"/>
          <w:szCs w:val="38"/>
        </w:rPr>
      </w:pPr>
      <w:r>
        <w:rPr>
          <w:rFonts w:hint="eastAsia" w:ascii="方正小标宋_GBK" w:hAnsi="方正小标宋_GBK" w:eastAsia="方正小标宋_GBK" w:cs="方正小标宋_GBK"/>
          <w:sz w:val="38"/>
          <w:szCs w:val="38"/>
        </w:rPr>
        <w:t>消耗臭氧层物质进出口管理办法</w:t>
      </w:r>
    </w:p>
    <w:p w14:paraId="56540DDA">
      <w:pPr>
        <w:adjustRightInd w:val="0"/>
        <w:snapToGrid w:val="0"/>
        <w:spacing w:line="384" w:lineRule="auto"/>
        <w:jc w:val="left"/>
        <w:rPr>
          <w:rFonts w:hint="eastAsia" w:ascii="黑体" w:hAnsi="黑体" w:eastAsia="黑体"/>
          <w:sz w:val="32"/>
          <w:szCs w:val="32"/>
        </w:rPr>
      </w:pPr>
    </w:p>
    <w:p w14:paraId="2A2B1D57">
      <w:pPr>
        <w:adjustRightInd w:val="0"/>
        <w:snapToGrid w:val="0"/>
        <w:spacing w:line="348" w:lineRule="auto"/>
        <w:ind w:firstLine="600" w:firstLineChars="200"/>
        <w:rPr>
          <w:rFonts w:ascii="仿宋_GB2312" w:eastAsia="仿宋_GB2312"/>
          <w:sz w:val="30"/>
          <w:szCs w:val="30"/>
        </w:rPr>
      </w:pPr>
      <w:r>
        <w:rPr>
          <w:rFonts w:hint="eastAsia" w:ascii="黑体" w:hAnsi="黑体" w:eastAsia="黑体" w:cs="黑体"/>
          <w:sz w:val="30"/>
          <w:szCs w:val="30"/>
        </w:rPr>
        <w:t xml:space="preserve">第一条  </w:t>
      </w:r>
      <w:r>
        <w:rPr>
          <w:rFonts w:hint="eastAsia" w:ascii="仿宋_GB2312" w:eastAsia="仿宋_GB2312"/>
          <w:sz w:val="30"/>
          <w:szCs w:val="30"/>
        </w:rPr>
        <w:t>为履行《关于消耗臭氧层物质的蒙特利尔议定书》及其修正案，加强对我国消耗臭氧层物质进出口管理，根据《消耗臭氧层物质管理条例》，制定本办法。</w:t>
      </w:r>
    </w:p>
    <w:p w14:paraId="6BA7183E">
      <w:pPr>
        <w:adjustRightInd w:val="0"/>
        <w:snapToGrid w:val="0"/>
        <w:spacing w:line="348" w:lineRule="auto"/>
        <w:ind w:firstLine="600" w:firstLineChars="200"/>
        <w:rPr>
          <w:rFonts w:ascii="仿宋_GB2312" w:eastAsia="仿宋_GB2312"/>
          <w:sz w:val="30"/>
          <w:szCs w:val="30"/>
        </w:rPr>
      </w:pPr>
      <w:r>
        <w:rPr>
          <w:rFonts w:hint="eastAsia" w:ascii="黑体" w:hAnsi="黑体" w:eastAsia="黑体" w:cs="黑体"/>
          <w:sz w:val="30"/>
          <w:szCs w:val="30"/>
        </w:rPr>
        <w:t>第二条</w:t>
      </w:r>
      <w:r>
        <w:rPr>
          <w:rFonts w:hint="eastAsia" w:ascii="仿宋_GB2312" w:eastAsia="仿宋_GB2312"/>
          <w:sz w:val="30"/>
          <w:szCs w:val="30"/>
        </w:rPr>
        <w:t xml:space="preserve">  本办法适用于进出口列入《中国进出口受控消耗臭氧层物质名录》的消耗臭氧层物质的活动。</w:t>
      </w:r>
    </w:p>
    <w:p w14:paraId="0298DB93">
      <w:pPr>
        <w:adjustRightInd w:val="0"/>
        <w:snapToGrid w:val="0"/>
        <w:spacing w:line="348" w:lineRule="auto"/>
        <w:ind w:firstLine="600" w:firstLineChars="200"/>
        <w:rPr>
          <w:rFonts w:ascii="仿宋_GB2312" w:eastAsia="仿宋_GB2312"/>
          <w:sz w:val="30"/>
          <w:szCs w:val="30"/>
        </w:rPr>
      </w:pPr>
      <w:r>
        <w:rPr>
          <w:rFonts w:hint="eastAsia" w:ascii="仿宋_GB2312" w:eastAsia="仿宋_GB2312"/>
          <w:sz w:val="30"/>
          <w:szCs w:val="30"/>
        </w:rPr>
        <w:t>《中国进出口受控消耗臭氧层物质名录》由国务院生态环境主管部门会同国务院商务主管部门、海关总署制定、调整和公布。</w:t>
      </w:r>
    </w:p>
    <w:p w14:paraId="6169C48F">
      <w:pPr>
        <w:adjustRightInd w:val="0"/>
        <w:snapToGrid w:val="0"/>
        <w:spacing w:line="348" w:lineRule="auto"/>
        <w:ind w:firstLine="600" w:firstLineChars="200"/>
        <w:rPr>
          <w:rFonts w:ascii="仿宋_GB2312" w:eastAsia="仿宋_GB2312"/>
          <w:sz w:val="30"/>
          <w:szCs w:val="30"/>
        </w:rPr>
      </w:pPr>
      <w:r>
        <w:rPr>
          <w:rFonts w:hint="eastAsia" w:ascii="黑体" w:hAnsi="黑体" w:eastAsia="黑体" w:cs="黑体"/>
          <w:sz w:val="30"/>
          <w:szCs w:val="30"/>
        </w:rPr>
        <w:t>第三条</w:t>
      </w:r>
      <w:r>
        <w:rPr>
          <w:rFonts w:hint="eastAsia" w:ascii="仿宋_GB2312" w:eastAsia="仿宋_GB2312"/>
          <w:sz w:val="30"/>
          <w:szCs w:val="30"/>
        </w:rPr>
        <w:t xml:space="preserve">  国家对列入《中国进出口受控消耗臭氧层物质名录》的消耗臭氧层物质实行进出口配额许可证管理。</w:t>
      </w:r>
    </w:p>
    <w:p w14:paraId="685D7D5B">
      <w:pPr>
        <w:adjustRightInd w:val="0"/>
        <w:snapToGrid w:val="0"/>
        <w:spacing w:line="348" w:lineRule="auto"/>
        <w:ind w:firstLine="600" w:firstLineChars="200"/>
        <w:rPr>
          <w:rFonts w:hint="eastAsia" w:ascii="仿宋_GB2312" w:eastAsia="仿宋_GB2312"/>
          <w:sz w:val="30"/>
          <w:szCs w:val="30"/>
        </w:rPr>
      </w:pPr>
      <w:r>
        <w:rPr>
          <w:rFonts w:hint="eastAsia" w:ascii="黑体" w:hAnsi="黑体" w:eastAsia="黑体" w:cs="黑体"/>
          <w:sz w:val="30"/>
          <w:szCs w:val="30"/>
        </w:rPr>
        <w:t>第四条</w:t>
      </w:r>
      <w:r>
        <w:rPr>
          <w:rFonts w:hint="eastAsia" w:ascii="仿宋_GB2312" w:eastAsia="仿宋_GB2312"/>
          <w:sz w:val="30"/>
          <w:szCs w:val="30"/>
        </w:rPr>
        <w:t xml:space="preserve">  国务院生态环境主管部门统一负责全国消耗臭氧层物质的监督管理工作。</w:t>
      </w:r>
    </w:p>
    <w:p w14:paraId="6D8D23A9">
      <w:pPr>
        <w:adjustRightInd w:val="0"/>
        <w:snapToGrid w:val="0"/>
        <w:spacing w:line="348" w:lineRule="auto"/>
        <w:ind w:firstLine="600" w:firstLineChars="200"/>
        <w:rPr>
          <w:rFonts w:ascii="仿宋_GB2312" w:eastAsia="仿宋_GB2312"/>
          <w:sz w:val="30"/>
          <w:szCs w:val="30"/>
        </w:rPr>
      </w:pPr>
      <w:r>
        <w:rPr>
          <w:rFonts w:hint="eastAsia" w:ascii="仿宋_GB2312" w:eastAsia="仿宋_GB2312"/>
          <w:sz w:val="30"/>
          <w:szCs w:val="30"/>
        </w:rPr>
        <w:t>国务院生态环境主管部门、国务院商务主管部门和海关总署联合设立国家消耗臭氧层物质进出口管理机构。</w:t>
      </w:r>
    </w:p>
    <w:p w14:paraId="5AC8209C">
      <w:pPr>
        <w:adjustRightInd w:val="0"/>
        <w:snapToGrid w:val="0"/>
        <w:spacing w:line="348" w:lineRule="auto"/>
        <w:ind w:firstLine="600" w:firstLineChars="200"/>
        <w:rPr>
          <w:rFonts w:ascii="仿宋_GB2312" w:eastAsia="仿宋_GB2312"/>
          <w:sz w:val="30"/>
          <w:szCs w:val="30"/>
        </w:rPr>
      </w:pPr>
      <w:r>
        <w:rPr>
          <w:rFonts w:hint="eastAsia" w:ascii="黑体" w:hAnsi="黑体" w:eastAsia="黑体" w:cs="黑体"/>
          <w:sz w:val="30"/>
          <w:szCs w:val="30"/>
        </w:rPr>
        <w:t>第五条</w:t>
      </w:r>
      <w:r>
        <w:rPr>
          <w:rFonts w:hint="eastAsia" w:ascii="仿宋_GB2312" w:eastAsia="仿宋_GB2312"/>
          <w:sz w:val="30"/>
          <w:szCs w:val="30"/>
        </w:rPr>
        <w:t xml:space="preserve">  国务院生态环境主管部门根据消耗臭氧层物质淘汰进展情况，商国务院商务主管部门确定国家消耗臭氧层物质年度进出口配额总量，并在每年</w:t>
      </w:r>
      <w:r>
        <w:rPr>
          <w:rFonts w:ascii="仿宋_GB2312" w:eastAsia="仿宋_GB2312"/>
          <w:sz w:val="30"/>
          <w:szCs w:val="30"/>
        </w:rPr>
        <w:t>12月20日前公布下一年度进出口配额总量。</w:t>
      </w:r>
    </w:p>
    <w:p w14:paraId="177BAC71">
      <w:pPr>
        <w:adjustRightInd w:val="0"/>
        <w:snapToGrid w:val="0"/>
        <w:spacing w:line="348" w:lineRule="auto"/>
        <w:ind w:firstLine="600" w:firstLineChars="200"/>
        <w:rPr>
          <w:rFonts w:hint="eastAsia" w:ascii="仿宋_GB2312" w:eastAsia="仿宋_GB2312"/>
          <w:sz w:val="30"/>
          <w:szCs w:val="30"/>
        </w:rPr>
      </w:pPr>
      <w:r>
        <w:rPr>
          <w:rFonts w:hint="eastAsia" w:ascii="黑体" w:hAnsi="黑体" w:eastAsia="黑体" w:cs="黑体"/>
          <w:sz w:val="30"/>
          <w:szCs w:val="30"/>
        </w:rPr>
        <w:t>第六条</w:t>
      </w:r>
      <w:r>
        <w:rPr>
          <w:rFonts w:hint="eastAsia" w:ascii="仿宋_GB2312" w:eastAsia="仿宋_GB2312"/>
          <w:sz w:val="30"/>
          <w:szCs w:val="30"/>
        </w:rPr>
        <w:t xml:space="preserve">  进出口消耗臭氧层物质的单位（以下简称进出口单位），应当向国家消耗臭氧层物质进出口管理机构申请消耗臭氧层物质进出口配额（以下简称进出口配额），领取消耗臭氧层物质进出口审批单（以下简称进出口审批单）。</w:t>
      </w:r>
    </w:p>
    <w:p w14:paraId="65CD8799">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第七条</w:t>
      </w:r>
      <w:r>
        <w:rPr>
          <w:rFonts w:hint="eastAsia" w:ascii="仿宋_GB2312" w:eastAsia="仿宋_GB2312"/>
          <w:sz w:val="30"/>
          <w:szCs w:val="30"/>
        </w:rPr>
        <w:t xml:space="preserve">  进出口单位应当在每年</w:t>
      </w:r>
      <w:r>
        <w:rPr>
          <w:rFonts w:ascii="仿宋_GB2312" w:eastAsia="仿宋_GB2312"/>
          <w:sz w:val="30"/>
          <w:szCs w:val="30"/>
        </w:rPr>
        <w:t>10月31日前向国家消耗臭氧层物质进出口管理机构申请下一年度进出口配额。</w:t>
      </w:r>
    </w:p>
    <w:p w14:paraId="78B660C5">
      <w:pPr>
        <w:adjustRightInd w:val="0"/>
        <w:snapToGrid w:val="0"/>
        <w:spacing w:line="370" w:lineRule="auto"/>
        <w:ind w:firstLine="600" w:firstLineChars="200"/>
        <w:rPr>
          <w:rFonts w:ascii="仿宋_GB2312" w:eastAsia="仿宋_GB2312"/>
          <w:sz w:val="30"/>
          <w:szCs w:val="30"/>
        </w:rPr>
      </w:pPr>
      <w:r>
        <w:rPr>
          <w:rFonts w:hint="eastAsia" w:ascii="仿宋_GB2312" w:eastAsia="仿宋_GB2312"/>
          <w:sz w:val="30"/>
          <w:szCs w:val="30"/>
        </w:rPr>
        <w:t>进出口单位申请进出口配额的，应当提交下列材料：</w:t>
      </w:r>
    </w:p>
    <w:p w14:paraId="43A81E17">
      <w:pPr>
        <w:numPr>
          <w:ilvl w:val="0"/>
          <w:numId w:val="1"/>
        </w:numPr>
        <w:adjustRightInd w:val="0"/>
        <w:snapToGrid w:val="0"/>
        <w:spacing w:line="370" w:lineRule="auto"/>
        <w:ind w:firstLine="600" w:firstLineChars="200"/>
        <w:rPr>
          <w:rFonts w:ascii="仿宋_GB2312" w:eastAsia="仿宋_GB2312"/>
          <w:sz w:val="30"/>
          <w:szCs w:val="30"/>
        </w:rPr>
      </w:pPr>
      <w:r>
        <w:rPr>
          <w:rFonts w:hint="eastAsia" w:ascii="仿宋_GB2312" w:eastAsia="仿宋_GB2312"/>
          <w:sz w:val="30"/>
          <w:szCs w:val="30"/>
        </w:rPr>
        <w:t>进出口配额申请书；</w:t>
      </w:r>
    </w:p>
    <w:p w14:paraId="2776456B">
      <w:pPr>
        <w:numPr>
          <w:ilvl w:val="0"/>
          <w:numId w:val="1"/>
        </w:numPr>
        <w:adjustRightInd w:val="0"/>
        <w:snapToGrid w:val="0"/>
        <w:spacing w:line="370" w:lineRule="auto"/>
        <w:ind w:firstLine="600" w:firstLineChars="200"/>
        <w:rPr>
          <w:rFonts w:ascii="仿宋_GB2312" w:eastAsia="仿宋_GB2312"/>
          <w:sz w:val="30"/>
          <w:szCs w:val="30"/>
        </w:rPr>
      </w:pPr>
      <w:r>
        <w:rPr>
          <w:rFonts w:hint="eastAsia" w:ascii="仿宋_GB2312" w:eastAsia="仿宋_GB2312"/>
          <w:sz w:val="30"/>
          <w:szCs w:val="30"/>
        </w:rPr>
        <w:t>年度消耗臭氧层物质进出口计划表；</w:t>
      </w:r>
    </w:p>
    <w:p w14:paraId="16C1CB8C">
      <w:pPr>
        <w:numPr>
          <w:ilvl w:val="0"/>
          <w:numId w:val="1"/>
        </w:numPr>
        <w:adjustRightInd w:val="0"/>
        <w:snapToGrid w:val="0"/>
        <w:spacing w:line="370" w:lineRule="auto"/>
        <w:ind w:firstLine="600" w:firstLineChars="200"/>
        <w:rPr>
          <w:rFonts w:ascii="仿宋_GB2312" w:eastAsia="仿宋_GB2312"/>
          <w:sz w:val="30"/>
          <w:szCs w:val="30"/>
        </w:rPr>
      </w:pPr>
      <w:r>
        <w:rPr>
          <w:rFonts w:hint="eastAsia" w:ascii="仿宋_GB2312" w:eastAsia="仿宋_GB2312"/>
          <w:sz w:val="30"/>
          <w:szCs w:val="30"/>
        </w:rPr>
        <w:t>初次申请进出口配额的进出口单位，还应当提交营业执照。</w:t>
      </w:r>
    </w:p>
    <w:p w14:paraId="36D0B701">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未按时提交上述材料的，国家消耗臭氧层物质进出口管理机构不予受理进出口配额申请。</w:t>
      </w:r>
    </w:p>
    <w:p w14:paraId="5F3CAE89">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第八条</w:t>
      </w:r>
      <w:r>
        <w:rPr>
          <w:rFonts w:hint="eastAsia" w:ascii="仿宋_GB2312" w:eastAsia="仿宋_GB2312"/>
          <w:sz w:val="30"/>
          <w:szCs w:val="30"/>
        </w:rPr>
        <w:t xml:space="preserve">  国家消耗臭氧层物质进出口管理机构在核定进出口单位的年度进出口配额申请时，应当综合考虑下列因素：</w:t>
      </w:r>
    </w:p>
    <w:p w14:paraId="7CB2FD57">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（一）遵守法律法规情况；</w:t>
      </w:r>
    </w:p>
    <w:p w14:paraId="487B92C0">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（二）上一年度消耗臭氧层物质进出口计划及进出口配额完成情况；</w:t>
      </w:r>
    </w:p>
    <w:p w14:paraId="3C32CB01">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（三）其他影响消耗臭氧层物质进出口的因素。</w:t>
      </w:r>
    </w:p>
    <w:p w14:paraId="36232171">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第九条</w:t>
      </w:r>
      <w:r>
        <w:rPr>
          <w:rFonts w:hint="eastAsia" w:ascii="仿宋_GB2312" w:eastAsia="仿宋_GB2312"/>
          <w:sz w:val="30"/>
          <w:szCs w:val="30"/>
        </w:rPr>
        <w:t xml:space="preserve">  国家消耗臭氧层物质进出口管理机构应当在每年</w:t>
      </w:r>
      <w:r>
        <w:rPr>
          <w:rFonts w:ascii="仿宋_GB2312" w:eastAsia="仿宋_GB2312"/>
          <w:sz w:val="30"/>
          <w:szCs w:val="30"/>
        </w:rPr>
        <w:t>12月20日前对进出口配额做出发放与否的决定，并予以公告。</w:t>
      </w:r>
    </w:p>
    <w:p w14:paraId="318BACCC">
      <w:pPr>
        <w:adjustRightInd w:val="0"/>
        <w:snapToGrid w:val="0"/>
        <w:spacing w:line="370" w:lineRule="auto"/>
        <w:ind w:firstLine="600" w:firstLineChars="200"/>
        <w:rPr>
          <w:rFonts w:ascii="仿宋_GB2312" w:eastAsia="仿宋_GB2312"/>
          <w:sz w:val="30"/>
          <w:szCs w:val="30"/>
          <w:highlight w:val="yellow"/>
        </w:rPr>
      </w:pPr>
      <w:r>
        <w:rPr>
          <w:rFonts w:hint="eastAsia" w:ascii="黑体" w:hAnsi="黑体" w:eastAsia="黑体" w:cs="黑体"/>
          <w:sz w:val="30"/>
          <w:szCs w:val="30"/>
        </w:rPr>
        <w:t>第十条</w:t>
      </w:r>
      <w:r>
        <w:rPr>
          <w:rFonts w:hint="eastAsia" w:ascii="仿宋_GB2312" w:eastAsia="仿宋_GB2312"/>
          <w:sz w:val="30"/>
          <w:szCs w:val="30"/>
        </w:rPr>
        <w:t xml:space="preserve">  在年度进出口配额指标内，进出口单位需要进出口消耗臭氧层物质的，应当向国家消耗臭氧层物质进出口管理机构申请领取进出口审批单。</w:t>
      </w:r>
    </w:p>
    <w:p w14:paraId="408CD3F8">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有下列情形之一，进出口单位可以直接向国家消耗臭氧层物质进出口管理机构申请领取进出口审批单：</w:t>
      </w:r>
    </w:p>
    <w:p w14:paraId="774C1D2D">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（一）消耗臭氧层物质作为原料用途使用的；</w:t>
      </w:r>
    </w:p>
    <w:p w14:paraId="40E3FBB1">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（二）实验室为了实验分析少量使用消耗臭氧层物质的；</w:t>
      </w:r>
    </w:p>
    <w:p w14:paraId="169D94F0">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（三）海关为了防止有害生物传入传出使用消耗臭氧层物质实施检疫的；</w:t>
      </w:r>
    </w:p>
    <w:p w14:paraId="129410B4">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（四）消耗臭氧层物质来源为回收的；</w:t>
      </w:r>
    </w:p>
    <w:p w14:paraId="09F39EE3">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（五）国务院生态环境主管部门规定的可以直接申请领取进出口审批单的其他情形。</w:t>
      </w:r>
    </w:p>
    <w:p w14:paraId="07B89F28">
      <w:pPr>
        <w:adjustRightInd w:val="0"/>
        <w:snapToGrid w:val="0"/>
        <w:spacing w:line="370" w:lineRule="auto"/>
        <w:ind w:firstLine="584" w:firstLineChars="200"/>
        <w:rPr>
          <w:rFonts w:ascii="仿宋_GB2312" w:eastAsia="仿宋_GB2312"/>
          <w:spacing w:val="-4"/>
          <w:sz w:val="30"/>
          <w:szCs w:val="30"/>
        </w:rPr>
      </w:pPr>
      <w:r>
        <w:rPr>
          <w:rFonts w:hint="eastAsia" w:ascii="黑体" w:hAnsi="黑体" w:eastAsia="黑体" w:cs="黑体"/>
          <w:spacing w:val="-4"/>
          <w:sz w:val="30"/>
          <w:szCs w:val="30"/>
        </w:rPr>
        <w:t xml:space="preserve">第十一条  </w:t>
      </w:r>
      <w:r>
        <w:rPr>
          <w:rFonts w:hint="eastAsia" w:ascii="仿宋_GB2312" w:eastAsia="仿宋_GB2312"/>
          <w:spacing w:val="-4"/>
          <w:sz w:val="30"/>
          <w:szCs w:val="30"/>
        </w:rPr>
        <w:t>进出口单位申请领取进出口审批单应当提交下列材料：</w:t>
      </w:r>
    </w:p>
    <w:p w14:paraId="00C7BEEA">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（一）消耗臭氧层物质进出口申请书；</w:t>
      </w:r>
    </w:p>
    <w:p w14:paraId="154967C3">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（二）对外贸易合同或者订单等相关材料，以及消耗臭氧层物质生产单位的供货证明；</w:t>
      </w:r>
    </w:p>
    <w:p w14:paraId="44D7CB81">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（三）特殊用途的消耗臭氧层物质的出口，出口单位应当提交进口国政府部门出具的进口许可证或者其他官方批准文件等材料；</w:t>
      </w:r>
    </w:p>
    <w:p w14:paraId="66609D7D">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（四）初次申请领取进出口审批单的，还应当提交营业执照；</w:t>
      </w:r>
    </w:p>
    <w:p w14:paraId="7036FA4E">
      <w:pPr>
        <w:adjustRightInd w:val="0"/>
        <w:snapToGrid w:val="0"/>
        <w:spacing w:line="370" w:lineRule="auto"/>
        <w:ind w:firstLine="600" w:firstLineChars="200"/>
        <w:rPr>
          <w:rFonts w:hint="eastAsia" w:ascii="仿宋_GB2312" w:eastAsia="仿宋_GB2312"/>
          <w:sz w:val="30"/>
          <w:szCs w:val="30"/>
        </w:rPr>
      </w:pPr>
      <w:r>
        <w:rPr>
          <w:rFonts w:hint="eastAsia" w:ascii="仿宋_GB2312" w:eastAsia="仿宋_GB2312"/>
          <w:sz w:val="30"/>
          <w:szCs w:val="30"/>
        </w:rPr>
        <w:t>（五）国家消耗臭氧层物质进出口管理机构认为需要提供的其他材料。</w:t>
      </w:r>
    </w:p>
    <w:p w14:paraId="49A82335">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第十二条</w:t>
      </w:r>
      <w:r>
        <w:rPr>
          <w:rFonts w:hint="eastAsia" w:ascii="仿宋_GB2312" w:eastAsia="仿宋_GB2312"/>
          <w:sz w:val="30"/>
          <w:szCs w:val="30"/>
        </w:rPr>
        <w:t xml:space="preserve">  国家消耗臭氧层物质进出口管理机构应当自受理申请之日起二十个工作日内完成审查，作出是否批准的决定。予以批准的，向申请单位核发进出口审批单，并对获准核发进出口审批单的进出口单位名单进行公告；未予批准的，应当书面通知申请单位并说明理由。</w:t>
      </w:r>
    </w:p>
    <w:p w14:paraId="4A42ABB7">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 xml:space="preserve">第十三条  </w:t>
      </w:r>
      <w:r>
        <w:rPr>
          <w:rFonts w:hint="eastAsia" w:ascii="仿宋_GB2312" w:eastAsia="仿宋_GB2312"/>
          <w:sz w:val="30"/>
          <w:szCs w:val="30"/>
        </w:rPr>
        <w:t>进出口审批单有效期最长为九十日，不得超期或者跨年度使用。</w:t>
      </w:r>
    </w:p>
    <w:p w14:paraId="2EC335CA">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第十四条</w:t>
      </w:r>
      <w:r>
        <w:rPr>
          <w:rFonts w:hint="eastAsia" w:ascii="仿宋_GB2312" w:eastAsia="仿宋_GB2312"/>
          <w:sz w:val="30"/>
          <w:szCs w:val="30"/>
        </w:rPr>
        <w:t xml:space="preserve">  进出口单位应当凭进出口审批单，向国务院商务主管部门或者受国务院商务主管部门委托的地方商务主管部门申请领取消耗臭氧层物质进出口许可证（以下简称进出口许可证）。</w:t>
      </w:r>
    </w:p>
    <w:p w14:paraId="72E5D0D1">
      <w:pPr>
        <w:adjustRightInd w:val="0"/>
        <w:snapToGrid w:val="0"/>
        <w:spacing w:line="370" w:lineRule="auto"/>
        <w:ind w:firstLine="600" w:firstLineChars="200"/>
        <w:rPr>
          <w:rFonts w:ascii="仿宋_GB2312" w:eastAsia="仿宋_GB2312"/>
          <w:sz w:val="30"/>
          <w:szCs w:val="30"/>
        </w:rPr>
      </w:pPr>
      <w:r>
        <w:rPr>
          <w:rFonts w:hint="eastAsia" w:ascii="仿宋_GB2312" w:eastAsia="仿宋_GB2312"/>
          <w:sz w:val="30"/>
          <w:szCs w:val="30"/>
        </w:rPr>
        <w:t>进出口许可证实行一批一证制。每份进出口许可证只能报关使用一次，当年有效，不得跨年度使用。</w:t>
      </w:r>
    </w:p>
    <w:p w14:paraId="5EAEF663">
      <w:pPr>
        <w:adjustRightInd w:val="0"/>
        <w:snapToGrid w:val="0"/>
        <w:spacing w:line="370" w:lineRule="auto"/>
        <w:ind w:firstLine="600" w:firstLineChars="200"/>
        <w:rPr>
          <w:rFonts w:ascii="仿宋_GB2312" w:eastAsia="仿宋_GB2312"/>
          <w:sz w:val="30"/>
          <w:szCs w:val="30"/>
        </w:rPr>
      </w:pPr>
      <w:r>
        <w:rPr>
          <w:rFonts w:hint="eastAsia" w:ascii="仿宋_GB2312" w:eastAsia="仿宋_GB2312"/>
          <w:sz w:val="30"/>
          <w:szCs w:val="30"/>
        </w:rPr>
        <w:t>进出口许可证的申领和管理按照国务院商务主管部门有关规定执行。</w:t>
      </w:r>
    </w:p>
    <w:p w14:paraId="7DAB00F6">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第十五条</w:t>
      </w:r>
      <w:r>
        <w:rPr>
          <w:rFonts w:hint="eastAsia" w:ascii="仿宋_GB2312" w:eastAsia="仿宋_GB2312"/>
          <w:sz w:val="30"/>
          <w:szCs w:val="30"/>
        </w:rPr>
        <w:t xml:space="preserve">  进出口单位凭商务主管部门核发的进出口许可证向海关办理通关手续。</w:t>
      </w:r>
    </w:p>
    <w:p w14:paraId="61BF7895">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第十六条</w:t>
      </w:r>
      <w:r>
        <w:rPr>
          <w:rFonts w:hint="eastAsia" w:ascii="仿宋_GB2312" w:eastAsia="仿宋_GB2312"/>
          <w:sz w:val="30"/>
          <w:szCs w:val="30"/>
        </w:rPr>
        <w:t xml:space="preserve">  消耗臭氧层物质在中华人民共和国境内的海关特殊监管区域、保税监管场所与境外之间进出的，进出口单位应当依照本办法的规定申请领取进出口审批单、进出口许可证。</w:t>
      </w:r>
    </w:p>
    <w:p w14:paraId="67D9CD37">
      <w:pPr>
        <w:adjustRightInd w:val="0"/>
        <w:snapToGrid w:val="0"/>
        <w:spacing w:line="370" w:lineRule="auto"/>
        <w:ind w:firstLine="600" w:firstLineChars="200"/>
        <w:rPr>
          <w:rFonts w:ascii="仿宋_GB2312" w:eastAsia="仿宋_GB2312"/>
          <w:sz w:val="30"/>
          <w:szCs w:val="30"/>
        </w:rPr>
      </w:pPr>
      <w:r>
        <w:rPr>
          <w:rFonts w:hint="eastAsia" w:ascii="仿宋_GB2312" w:eastAsia="仿宋_GB2312"/>
          <w:sz w:val="30"/>
          <w:szCs w:val="30"/>
        </w:rPr>
        <w:t>消耗臭氧层物质在中华人民共和国境内的海关特殊监管区域、保税监管场所与境内其他区域之间进出的，或者在上述海关特殊监管区域、保税监管场所之间进出的，不需要申请领取进出口审批单、进出口许可证。</w:t>
      </w:r>
    </w:p>
    <w:p w14:paraId="689D5D24">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第十七条</w:t>
      </w:r>
      <w:r>
        <w:rPr>
          <w:rFonts w:hint="eastAsia" w:ascii="仿宋_GB2312" w:eastAsia="仿宋_GB2312"/>
          <w:sz w:val="30"/>
          <w:szCs w:val="30"/>
        </w:rPr>
        <w:t xml:space="preserve">  进出口单位应当按照进出口许可证载明的内容从事消耗臭氧层物质的进出口活动。发生与进出口许可证载明的内容不符的情形的，进出口单位应当重新申请领取进出口许可证。</w:t>
      </w:r>
    </w:p>
    <w:p w14:paraId="102CDE77">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第十八条</w:t>
      </w:r>
      <w:r>
        <w:rPr>
          <w:rFonts w:hint="eastAsia" w:ascii="仿宋_GB2312" w:eastAsia="仿宋_GB2312"/>
          <w:sz w:val="30"/>
          <w:szCs w:val="30"/>
        </w:rPr>
        <w:t xml:space="preserve">  国务院生态环境主管部门建立消耗臭氧层物质进出口数据信息管理系统，收集、汇总消耗臭氧层物质的进出口数据信息。</w:t>
      </w:r>
    </w:p>
    <w:p w14:paraId="6FAE10C7">
      <w:pPr>
        <w:adjustRightInd w:val="0"/>
        <w:snapToGrid w:val="0"/>
        <w:spacing w:line="370" w:lineRule="auto"/>
        <w:ind w:firstLine="600" w:firstLineChars="200"/>
        <w:rPr>
          <w:rFonts w:ascii="仿宋_GB2312" w:eastAsia="仿宋_GB2312"/>
          <w:sz w:val="30"/>
          <w:szCs w:val="30"/>
        </w:rPr>
      </w:pPr>
      <w:r>
        <w:rPr>
          <w:rFonts w:hint="eastAsia" w:ascii="仿宋_GB2312" w:eastAsia="仿宋_GB2312"/>
          <w:sz w:val="30"/>
          <w:szCs w:val="30"/>
        </w:rPr>
        <w:t>国务院生态环境主管部门、国务院商务主管部门、海关总署应当建立信息共享机制，及时通报消耗臭氧层物质进出口、进出口单位信息和违法情况等信息。</w:t>
      </w:r>
    </w:p>
    <w:p w14:paraId="410EF01C">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第十九条</w:t>
      </w:r>
      <w:r>
        <w:rPr>
          <w:rFonts w:hint="eastAsia" w:ascii="仿宋_GB2312" w:eastAsia="仿宋_GB2312"/>
          <w:sz w:val="30"/>
          <w:szCs w:val="30"/>
        </w:rPr>
        <w:t xml:space="preserve">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p w14:paraId="35BD6BDF">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 xml:space="preserve">第二十条  </w:t>
      </w:r>
      <w:r>
        <w:rPr>
          <w:rFonts w:hint="eastAsia" w:ascii="仿宋_GB2312" w:eastAsia="仿宋_GB2312"/>
          <w:sz w:val="30"/>
          <w:szCs w:val="30"/>
        </w:rPr>
        <w:t>进出口单位当年不能足额使用的进出口配额，应当于当年10月31日前报告并交还国家消耗臭氧层物质进出口管理机构。国家消耗臭氧层物质进出口管理机构可以根据实际情况对年度进出口配额进行调整分配。</w:t>
      </w:r>
    </w:p>
    <w:p w14:paraId="1F0CAA0A">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第二十一条</w:t>
      </w:r>
      <w:r>
        <w:rPr>
          <w:rFonts w:hint="eastAsia" w:ascii="仿宋_GB2312" w:eastAsia="仿宋_GB2312"/>
          <w:sz w:val="30"/>
          <w:szCs w:val="30"/>
        </w:rPr>
        <w:t xml:space="preserve">  本办法规定的进出口配额申请书、年度消耗臭氧层物质进出口计划表、消耗臭氧层物质进出口申请书、进出口审批单等文件格式，由国务院生态环境主管部门统一制定并公布。</w:t>
      </w:r>
    </w:p>
    <w:p w14:paraId="49CAFDC5">
      <w:pPr>
        <w:adjustRightInd w:val="0"/>
        <w:snapToGrid w:val="0"/>
        <w:spacing w:line="370" w:lineRule="auto"/>
        <w:ind w:firstLine="600" w:firstLineChars="200"/>
        <w:rPr>
          <w:rFonts w:ascii="仿宋_GB2312" w:eastAsia="仿宋_GB2312"/>
          <w:sz w:val="30"/>
          <w:szCs w:val="30"/>
        </w:rPr>
      </w:pPr>
      <w:r>
        <w:rPr>
          <w:rFonts w:hint="eastAsia" w:ascii="黑体" w:hAnsi="黑体" w:eastAsia="黑体" w:cs="黑体"/>
          <w:sz w:val="30"/>
          <w:szCs w:val="30"/>
        </w:rPr>
        <w:t>第二十二条</w:t>
      </w:r>
      <w:r>
        <w:rPr>
          <w:rFonts w:hint="eastAsia" w:ascii="仿宋_GB2312" w:eastAsia="仿宋_GB2312"/>
          <w:sz w:val="30"/>
          <w:szCs w:val="30"/>
        </w:rPr>
        <w:t xml:space="preserve">  本办法由国务院生态环境主管部门、国务院商务主管部门、海关总署依职责分工解释。</w:t>
      </w:r>
    </w:p>
    <w:p w14:paraId="634902C1">
      <w:pPr>
        <w:adjustRightInd w:val="0"/>
        <w:snapToGrid w:val="0"/>
        <w:spacing w:line="370" w:lineRule="auto"/>
        <w:ind w:firstLine="600" w:firstLineChars="200"/>
        <w:rPr>
          <w:rFonts w:hint="eastAsia" w:ascii="仿宋_GB2312" w:eastAsia="仿宋_GB2312"/>
          <w:sz w:val="32"/>
          <w:szCs w:val="32"/>
        </w:rPr>
      </w:pPr>
      <w:r>
        <w:rPr>
          <w:rFonts w:hint="eastAsia" w:ascii="黑体" w:hAnsi="黑体" w:eastAsia="黑体" w:cs="黑体"/>
          <w:sz w:val="30"/>
          <w:szCs w:val="30"/>
        </w:rPr>
        <w:t>第二十三条</w:t>
      </w:r>
      <w:r>
        <w:rPr>
          <w:rFonts w:hint="eastAsia" w:ascii="仿宋_GB2312" w:eastAsia="仿宋_GB2312"/>
          <w:sz w:val="30"/>
          <w:szCs w:val="30"/>
        </w:rPr>
        <w:t xml:space="preserve">  本办法自2025年5</w:t>
      </w:r>
      <w:r>
        <w:rPr>
          <w:rFonts w:ascii="仿宋_GB2312" w:eastAsia="仿宋_GB2312"/>
          <w:sz w:val="30"/>
          <w:szCs w:val="30"/>
        </w:rPr>
        <w:t>月</w:t>
      </w:r>
      <w:r>
        <w:rPr>
          <w:rFonts w:hint="eastAsia" w:ascii="仿宋_GB2312" w:eastAsia="仿宋_GB2312"/>
          <w:sz w:val="30"/>
          <w:szCs w:val="30"/>
        </w:rPr>
        <w:t>1</w:t>
      </w:r>
      <w:r>
        <w:rPr>
          <w:rFonts w:ascii="仿宋_GB2312" w:eastAsia="仿宋_GB2312"/>
          <w:sz w:val="30"/>
          <w:szCs w:val="30"/>
        </w:rPr>
        <w:t>日起施行。</w:t>
      </w:r>
      <w:r>
        <w:rPr>
          <w:rFonts w:hint="eastAsia" w:ascii="仿宋_GB2312" w:eastAsia="仿宋_GB2312"/>
          <w:sz w:val="30"/>
          <w:szCs w:val="30"/>
        </w:rPr>
        <w:t>《消耗臭氧层物质进出口管理办法》（环境保护部、商务部、海关总署令第26号）同时废止。</w:t>
      </w:r>
    </w:p>
    <w:p w14:paraId="5690C0F2">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9C55">
    <w:pPr>
      <w:pStyle w:val="2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08EB6">
                          <w:pPr>
                            <w:pStyle w:val="1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D808EB6">
                    <w:pPr>
                      <w:pStyle w:val="1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7DD1806">
    <w:pPr>
      <w:pStyle w:val="20"/>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生态环境部发布     </w:t>
    </w:r>
  </w:p>
  <w:p w14:paraId="1244EEA5">
    <w:pPr>
      <w:pStyle w:val="20"/>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2806C">
    <w:pPr>
      <w:pStyle w:val="20"/>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D1F1144">
    <w:pPr>
      <w:pStyle w:val="2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生态环境部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84D59"/>
    <w:multiLevelType w:val="singleLevel"/>
    <w:tmpl w:val="F2B84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ZGM1NjBhNjQwYWNlOTlkZWNjNjkxMDAxMDc1Y2EifQ=="/>
  </w:docVars>
  <w:rsids>
    <w:rsidRoot w:val="00172A27"/>
    <w:rsid w:val="000622CA"/>
    <w:rsid w:val="000A64B2"/>
    <w:rsid w:val="00100443"/>
    <w:rsid w:val="00112583"/>
    <w:rsid w:val="001604CF"/>
    <w:rsid w:val="00172A27"/>
    <w:rsid w:val="00350964"/>
    <w:rsid w:val="00353375"/>
    <w:rsid w:val="00365AB7"/>
    <w:rsid w:val="0036706A"/>
    <w:rsid w:val="003964C0"/>
    <w:rsid w:val="0039798A"/>
    <w:rsid w:val="003C5C26"/>
    <w:rsid w:val="003F2306"/>
    <w:rsid w:val="00410DA3"/>
    <w:rsid w:val="004703B7"/>
    <w:rsid w:val="00550F50"/>
    <w:rsid w:val="006F6644"/>
    <w:rsid w:val="007C63F6"/>
    <w:rsid w:val="00815BDF"/>
    <w:rsid w:val="008E3A00"/>
    <w:rsid w:val="008E3C6A"/>
    <w:rsid w:val="00A85451"/>
    <w:rsid w:val="00B05A9B"/>
    <w:rsid w:val="00B77335"/>
    <w:rsid w:val="00C6351B"/>
    <w:rsid w:val="00D640BE"/>
    <w:rsid w:val="00D96D47"/>
    <w:rsid w:val="00E31355"/>
    <w:rsid w:val="00EF006C"/>
    <w:rsid w:val="00F3130C"/>
    <w:rsid w:val="00FB31E2"/>
    <w:rsid w:val="019E71BD"/>
    <w:rsid w:val="045467F6"/>
    <w:rsid w:val="04B679C3"/>
    <w:rsid w:val="080F63D8"/>
    <w:rsid w:val="09341458"/>
    <w:rsid w:val="0B0912D7"/>
    <w:rsid w:val="0B5E691B"/>
    <w:rsid w:val="13032A01"/>
    <w:rsid w:val="152D2DCA"/>
    <w:rsid w:val="19EF4A15"/>
    <w:rsid w:val="1DEC284C"/>
    <w:rsid w:val="1E6523AC"/>
    <w:rsid w:val="22440422"/>
    <w:rsid w:val="31A15F24"/>
    <w:rsid w:val="32A67F5A"/>
    <w:rsid w:val="34D75A17"/>
    <w:rsid w:val="395347B5"/>
    <w:rsid w:val="39A232A0"/>
    <w:rsid w:val="39E745AA"/>
    <w:rsid w:val="3B5A6BBB"/>
    <w:rsid w:val="3EDA13A6"/>
    <w:rsid w:val="41D15DD9"/>
    <w:rsid w:val="42F058B7"/>
    <w:rsid w:val="436109F6"/>
    <w:rsid w:val="441A38D4"/>
    <w:rsid w:val="4BC77339"/>
    <w:rsid w:val="4C9236C5"/>
    <w:rsid w:val="4F674799"/>
    <w:rsid w:val="505C172E"/>
    <w:rsid w:val="52F46F0B"/>
    <w:rsid w:val="53D8014D"/>
    <w:rsid w:val="55E064E0"/>
    <w:rsid w:val="572C6D10"/>
    <w:rsid w:val="5C2E5CBE"/>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35"/>
    <w:qFormat/>
    <w:uiPriority w:val="0"/>
    <w:pPr>
      <w:keepNext/>
      <w:keepLines/>
      <w:suppressAutoHyphen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45"/>
    <w:qFormat/>
    <w:uiPriority w:val="0"/>
    <w:pPr>
      <w:keepNext/>
      <w:tabs>
        <w:tab w:val="left" w:pos="432"/>
        <w:tab w:val="left" w:pos="576"/>
      </w:tabs>
      <w:autoSpaceDE w:val="0"/>
      <w:autoSpaceDN w:val="0"/>
      <w:adjustRightInd w:val="0"/>
      <w:spacing w:beforeLines="50" w:line="300" w:lineRule="auto"/>
      <w:ind w:left="1152" w:hanging="576"/>
      <w:outlineLvl w:val="1"/>
    </w:pPr>
    <w:rPr>
      <w:rFonts w:ascii="Cambria" w:hAnsi="Cambria" w:eastAsia="宋体" w:cs="Times New Roman"/>
      <w:b/>
      <w:bCs/>
      <w:kern w:val="0"/>
      <w:sz w:val="32"/>
      <w:szCs w:val="32"/>
    </w:rPr>
  </w:style>
  <w:style w:type="paragraph" w:styleId="4">
    <w:name w:val="heading 3"/>
    <w:basedOn w:val="1"/>
    <w:next w:val="1"/>
    <w:link w:val="46"/>
    <w:qFormat/>
    <w:uiPriority w:val="0"/>
    <w:pPr>
      <w:keepNext/>
      <w:keepLines/>
      <w:tabs>
        <w:tab w:val="left" w:pos="432"/>
        <w:tab w:val="left" w:pos="720"/>
      </w:tabs>
      <w:spacing w:before="260" w:after="260" w:line="413" w:lineRule="auto"/>
      <w:ind w:left="720" w:hanging="720"/>
      <w:outlineLvl w:val="2"/>
    </w:pPr>
    <w:rPr>
      <w:rFonts w:ascii="Calibri" w:hAnsi="Calibri" w:eastAsia="宋体" w:cs="Times New Roman"/>
      <w:b/>
      <w:bCs/>
      <w:kern w:val="0"/>
      <w:sz w:val="32"/>
      <w:szCs w:val="32"/>
    </w:rPr>
  </w:style>
  <w:style w:type="paragraph" w:styleId="5">
    <w:name w:val="heading 4"/>
    <w:basedOn w:val="1"/>
    <w:next w:val="1"/>
    <w:link w:val="47"/>
    <w:qFormat/>
    <w:uiPriority w:val="0"/>
    <w:pPr>
      <w:keepNext/>
      <w:keepLines/>
      <w:tabs>
        <w:tab w:val="left" w:pos="432"/>
        <w:tab w:val="left" w:pos="864"/>
      </w:tabs>
      <w:spacing w:before="280" w:after="290" w:line="372" w:lineRule="auto"/>
      <w:ind w:left="864" w:hanging="864"/>
      <w:outlineLvl w:val="3"/>
    </w:pPr>
    <w:rPr>
      <w:rFonts w:ascii="Cambria" w:hAnsi="Cambria" w:eastAsia="宋体" w:cs="Times New Roman"/>
      <w:b/>
      <w:bCs/>
      <w:kern w:val="0"/>
      <w:sz w:val="28"/>
      <w:szCs w:val="28"/>
    </w:rPr>
  </w:style>
  <w:style w:type="paragraph" w:styleId="6">
    <w:name w:val="heading 5"/>
    <w:basedOn w:val="1"/>
    <w:next w:val="1"/>
    <w:link w:val="48"/>
    <w:qFormat/>
    <w:uiPriority w:val="0"/>
    <w:pPr>
      <w:keepNext/>
      <w:keepLines/>
      <w:tabs>
        <w:tab w:val="left" w:pos="432"/>
        <w:tab w:val="left" w:pos="1008"/>
      </w:tabs>
      <w:spacing w:before="280" w:after="290" w:line="372" w:lineRule="auto"/>
      <w:ind w:left="1008" w:hanging="1008"/>
      <w:outlineLvl w:val="4"/>
    </w:pPr>
    <w:rPr>
      <w:rFonts w:ascii="Calibri" w:hAnsi="Calibri" w:eastAsia="宋体" w:cs="Times New Roman"/>
      <w:b/>
      <w:bCs/>
      <w:kern w:val="0"/>
      <w:sz w:val="28"/>
      <w:szCs w:val="28"/>
    </w:rPr>
  </w:style>
  <w:style w:type="paragraph" w:styleId="7">
    <w:name w:val="heading 6"/>
    <w:basedOn w:val="1"/>
    <w:next w:val="1"/>
    <w:link w:val="49"/>
    <w:qFormat/>
    <w:uiPriority w:val="0"/>
    <w:pPr>
      <w:keepNext/>
      <w:keepLines/>
      <w:tabs>
        <w:tab w:val="left" w:pos="432"/>
        <w:tab w:val="left" w:pos="1152"/>
      </w:tabs>
      <w:spacing w:before="240" w:after="64" w:line="317" w:lineRule="auto"/>
      <w:ind w:left="1152" w:hanging="1152"/>
      <w:outlineLvl w:val="5"/>
    </w:pPr>
    <w:rPr>
      <w:rFonts w:ascii="Cambria" w:hAnsi="Cambria" w:eastAsia="宋体" w:cs="Times New Roman"/>
      <w:b/>
      <w:bCs/>
      <w:kern w:val="0"/>
      <w:sz w:val="24"/>
    </w:rPr>
  </w:style>
  <w:style w:type="paragraph" w:styleId="8">
    <w:name w:val="heading 7"/>
    <w:basedOn w:val="1"/>
    <w:next w:val="1"/>
    <w:link w:val="50"/>
    <w:qFormat/>
    <w:uiPriority w:val="0"/>
    <w:pPr>
      <w:keepNext/>
      <w:keepLines/>
      <w:tabs>
        <w:tab w:val="left" w:pos="432"/>
        <w:tab w:val="left" w:pos="1296"/>
      </w:tabs>
      <w:spacing w:before="240" w:after="64" w:line="317" w:lineRule="auto"/>
      <w:ind w:left="1296" w:hanging="1296"/>
      <w:outlineLvl w:val="6"/>
    </w:pPr>
    <w:rPr>
      <w:rFonts w:ascii="Calibri" w:hAnsi="Calibri" w:eastAsia="宋体" w:cs="Times New Roman"/>
      <w:b/>
      <w:bCs/>
      <w:kern w:val="0"/>
      <w:sz w:val="24"/>
    </w:rPr>
  </w:style>
  <w:style w:type="paragraph" w:styleId="9">
    <w:name w:val="heading 8"/>
    <w:basedOn w:val="1"/>
    <w:next w:val="1"/>
    <w:link w:val="51"/>
    <w:qFormat/>
    <w:uiPriority w:val="0"/>
    <w:pPr>
      <w:keepNext/>
      <w:keepLines/>
      <w:tabs>
        <w:tab w:val="left" w:pos="432"/>
        <w:tab w:val="left" w:pos="1440"/>
      </w:tabs>
      <w:spacing w:before="240" w:after="64" w:line="317" w:lineRule="auto"/>
      <w:ind w:left="1440" w:hanging="1440"/>
      <w:outlineLvl w:val="7"/>
    </w:pPr>
    <w:rPr>
      <w:rFonts w:ascii="Cambria" w:hAnsi="Cambria" w:eastAsia="宋体" w:cs="Times New Roman"/>
      <w:kern w:val="0"/>
      <w:sz w:val="24"/>
    </w:rPr>
  </w:style>
  <w:style w:type="paragraph" w:styleId="10">
    <w:name w:val="heading 9"/>
    <w:basedOn w:val="1"/>
    <w:next w:val="1"/>
    <w:link w:val="52"/>
    <w:qFormat/>
    <w:uiPriority w:val="0"/>
    <w:pPr>
      <w:keepNext/>
      <w:keepLines/>
      <w:tabs>
        <w:tab w:val="left" w:pos="432"/>
        <w:tab w:val="left" w:pos="1584"/>
      </w:tabs>
      <w:spacing w:before="240" w:after="64" w:line="317" w:lineRule="auto"/>
      <w:ind w:left="1584" w:hanging="1584"/>
      <w:outlineLvl w:val="8"/>
    </w:pPr>
    <w:rPr>
      <w:rFonts w:ascii="Cambria" w:hAnsi="Cambria" w:eastAsia="宋体" w:cs="Times New Roman"/>
      <w:kern w:val="0"/>
      <w:sz w:val="20"/>
      <w:szCs w:val="21"/>
    </w:rPr>
  </w:style>
  <w:style w:type="character" w:default="1" w:styleId="28">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53"/>
    <w:qFormat/>
    <w:uiPriority w:val="0"/>
    <w:rPr>
      <w:rFonts w:ascii="宋体" w:hAnsi="Calibri" w:eastAsia="宋体" w:cs="Times New Roman"/>
      <w:kern w:val="0"/>
      <w:sz w:val="18"/>
      <w:szCs w:val="20"/>
    </w:rPr>
  </w:style>
  <w:style w:type="paragraph" w:styleId="12">
    <w:name w:val="annotation text"/>
    <w:basedOn w:val="1"/>
    <w:link w:val="62"/>
    <w:qFormat/>
    <w:uiPriority w:val="0"/>
    <w:pPr>
      <w:jc w:val="left"/>
    </w:pPr>
  </w:style>
  <w:style w:type="paragraph" w:styleId="13">
    <w:name w:val="Body Text 3"/>
    <w:basedOn w:val="1"/>
    <w:link w:val="54"/>
    <w:qFormat/>
    <w:uiPriority w:val="0"/>
    <w:pPr>
      <w:autoSpaceDE w:val="0"/>
      <w:autoSpaceDN w:val="0"/>
      <w:adjustRightInd w:val="0"/>
      <w:jc w:val="left"/>
    </w:pPr>
    <w:rPr>
      <w:rFonts w:ascii="Calibri" w:hAnsi="Calibri" w:eastAsia="宋体" w:cs="Times New Roman"/>
      <w:kern w:val="0"/>
      <w:sz w:val="16"/>
      <w:szCs w:val="20"/>
    </w:rPr>
  </w:style>
  <w:style w:type="paragraph" w:styleId="14">
    <w:name w:val="Body Text"/>
    <w:basedOn w:val="1"/>
    <w:link w:val="38"/>
    <w:qFormat/>
    <w:uiPriority w:val="0"/>
    <w:pPr>
      <w:spacing w:after="120"/>
    </w:pPr>
    <w:rPr>
      <w:rFonts w:ascii="等线" w:hAnsi="等线" w:eastAsia="等线" w:cs="Times New Roman"/>
      <w:szCs w:val="22"/>
    </w:rPr>
  </w:style>
  <w:style w:type="paragraph" w:styleId="15">
    <w:name w:val="Body Text Indent"/>
    <w:basedOn w:val="1"/>
    <w:link w:val="55"/>
    <w:qFormat/>
    <w:uiPriority w:val="0"/>
    <w:pPr>
      <w:spacing w:after="120"/>
      <w:ind w:left="420" w:leftChars="200"/>
    </w:pPr>
    <w:rPr>
      <w:rFonts w:ascii="Calibri" w:hAnsi="Calibri" w:eastAsia="宋体" w:cs="Times New Roman"/>
      <w:kern w:val="0"/>
      <w:sz w:val="24"/>
      <w:szCs w:val="20"/>
    </w:rPr>
  </w:style>
  <w:style w:type="paragraph" w:styleId="16">
    <w:name w:val="Plain Text"/>
    <w:basedOn w:val="1"/>
    <w:link w:val="56"/>
    <w:qFormat/>
    <w:uiPriority w:val="0"/>
    <w:pPr>
      <w:widowControl/>
      <w:spacing w:before="100" w:beforeAutospacing="1" w:after="100" w:afterAutospacing="1"/>
      <w:jc w:val="left"/>
    </w:pPr>
    <w:rPr>
      <w:rFonts w:ascii="宋体" w:hAnsi="Courier New" w:eastAsia="宋体" w:cs="Times New Roman"/>
      <w:kern w:val="0"/>
      <w:szCs w:val="20"/>
    </w:rPr>
  </w:style>
  <w:style w:type="paragraph" w:styleId="17">
    <w:name w:val="Date"/>
    <w:basedOn w:val="1"/>
    <w:next w:val="1"/>
    <w:link w:val="57"/>
    <w:qFormat/>
    <w:uiPriority w:val="0"/>
    <w:pPr>
      <w:ind w:left="100" w:leftChars="2500"/>
    </w:pPr>
    <w:rPr>
      <w:rFonts w:ascii="Calibri" w:hAnsi="Calibri" w:eastAsia="宋体" w:cs="Times New Roman"/>
      <w:kern w:val="0"/>
      <w:sz w:val="24"/>
      <w:szCs w:val="20"/>
    </w:rPr>
  </w:style>
  <w:style w:type="paragraph" w:styleId="18">
    <w:name w:val="Balloon Text"/>
    <w:basedOn w:val="1"/>
    <w:link w:val="37"/>
    <w:qFormat/>
    <w:uiPriority w:val="0"/>
    <w:rPr>
      <w:sz w:val="18"/>
      <w:szCs w:val="18"/>
    </w:rPr>
  </w:style>
  <w:style w:type="paragraph" w:styleId="19">
    <w:name w:val="footer"/>
    <w:basedOn w:val="1"/>
    <w:link w:val="67"/>
    <w:qFormat/>
    <w:uiPriority w:val="0"/>
    <w:pPr>
      <w:tabs>
        <w:tab w:val="center" w:pos="4153"/>
        <w:tab w:val="right" w:pos="8306"/>
      </w:tabs>
      <w:snapToGrid w:val="0"/>
      <w:jc w:val="left"/>
    </w:pPr>
    <w:rPr>
      <w:sz w:val="18"/>
    </w:rPr>
  </w:style>
  <w:style w:type="paragraph" w:styleId="20">
    <w:name w:val="header"/>
    <w:basedOn w:val="1"/>
    <w:link w:val="6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spacing w:before="120" w:after="120"/>
      <w:jc w:val="left"/>
    </w:pPr>
    <w:rPr>
      <w:rFonts w:ascii="Calibri" w:hAnsi="Calibri" w:eastAsia="宋体" w:cs="Times New Roman"/>
      <w:b/>
      <w:bCs/>
      <w:caps/>
      <w:sz w:val="20"/>
      <w:szCs w:val="20"/>
    </w:rPr>
  </w:style>
  <w:style w:type="paragraph" w:styleId="22">
    <w:name w:val="footnote text"/>
    <w:basedOn w:val="1"/>
    <w:link w:val="58"/>
    <w:qFormat/>
    <w:uiPriority w:val="0"/>
    <w:pPr>
      <w:snapToGrid w:val="0"/>
      <w:jc w:val="left"/>
    </w:pPr>
    <w:rPr>
      <w:rFonts w:ascii="Calibri" w:hAnsi="Calibri" w:eastAsia="宋体" w:cs="Times New Roman"/>
      <w:kern w:val="0"/>
      <w:sz w:val="18"/>
      <w:szCs w:val="20"/>
    </w:rPr>
  </w:style>
  <w:style w:type="paragraph" w:styleId="23">
    <w:name w:val="Body Text Indent 3"/>
    <w:basedOn w:val="1"/>
    <w:link w:val="59"/>
    <w:qFormat/>
    <w:uiPriority w:val="0"/>
    <w:pPr>
      <w:spacing w:before="156" w:line="300" w:lineRule="auto"/>
      <w:ind w:firstLine="480" w:firstLineChars="200"/>
    </w:pPr>
    <w:rPr>
      <w:rFonts w:ascii="Calibri" w:hAnsi="Calibri" w:eastAsia="宋体" w:cs="Times New Roman"/>
      <w:kern w:val="0"/>
      <w:sz w:val="16"/>
      <w:szCs w:val="20"/>
    </w:rPr>
  </w:style>
  <w:style w:type="paragraph" w:styleId="24">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eastAsia="宋体" w:cs="Times New Roman"/>
      <w:kern w:val="0"/>
      <w:sz w:val="24"/>
      <w:szCs w:val="20"/>
    </w:rPr>
  </w:style>
  <w:style w:type="paragraph" w:styleId="25">
    <w:name w:val="Title"/>
    <w:basedOn w:val="1"/>
    <w:link w:val="61"/>
    <w:qFormat/>
    <w:uiPriority w:val="0"/>
    <w:pPr>
      <w:spacing w:before="240" w:after="60"/>
      <w:jc w:val="center"/>
      <w:outlineLvl w:val="0"/>
    </w:pPr>
    <w:rPr>
      <w:rFonts w:ascii="Arial" w:hAnsi="Arial" w:eastAsia="宋体" w:cs="Times New Roman"/>
      <w:b/>
      <w:kern w:val="0"/>
      <w:sz w:val="32"/>
      <w:szCs w:val="20"/>
    </w:rPr>
  </w:style>
  <w:style w:type="paragraph" w:styleId="26">
    <w:name w:val="annotation subject"/>
    <w:basedOn w:val="12"/>
    <w:next w:val="12"/>
    <w:link w:val="63"/>
    <w:qFormat/>
    <w:uiPriority w:val="0"/>
    <w:rPr>
      <w:rFonts w:ascii="Calibri" w:hAnsi="Calibri" w:eastAsia="宋体" w:cs="Times New Roman"/>
      <w:b/>
      <w:kern w:val="0"/>
      <w:sz w:val="24"/>
      <w:szCs w:val="20"/>
    </w:r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styleId="32">
    <w:name w:val="annotation reference"/>
    <w:qFormat/>
    <w:uiPriority w:val="0"/>
    <w:rPr>
      <w:sz w:val="21"/>
      <w:szCs w:val="21"/>
    </w:rPr>
  </w:style>
  <w:style w:type="paragraph" w:customStyle="1" w:styleId="33">
    <w:name w:val="列出段落1"/>
    <w:basedOn w:val="1"/>
    <w:qFormat/>
    <w:uiPriority w:val="0"/>
    <w:pPr>
      <w:ind w:firstLine="420" w:firstLineChars="200"/>
    </w:pPr>
  </w:style>
  <w:style w:type="paragraph" w:customStyle="1" w:styleId="34">
    <w:name w:val="msolistparagraph"/>
    <w:basedOn w:val="1"/>
    <w:qFormat/>
    <w:uiPriority w:val="0"/>
    <w:pPr>
      <w:suppressAutoHyphens/>
      <w:ind w:firstLine="420" w:firstLineChars="200"/>
    </w:pPr>
    <w:rPr>
      <w:rFonts w:ascii="Times New Roman" w:hAnsi="Times New Roman" w:eastAsia="宋体" w:cs="Times New Roman"/>
      <w:szCs w:val="21"/>
    </w:rPr>
  </w:style>
  <w:style w:type="character" w:customStyle="1" w:styleId="35">
    <w:name w:val="标题 1 Char"/>
    <w:basedOn w:val="28"/>
    <w:link w:val="2"/>
    <w:qFormat/>
    <w:uiPriority w:val="0"/>
    <w:rPr>
      <w:rFonts w:ascii="Calibri" w:hAnsi="Calibri"/>
      <w:b/>
      <w:bCs/>
      <w:kern w:val="44"/>
      <w:sz w:val="44"/>
      <w:szCs w:val="44"/>
    </w:rPr>
  </w:style>
  <w:style w:type="character" w:customStyle="1" w:styleId="36">
    <w:name w:val="15"/>
    <w:qFormat/>
    <w:uiPriority w:val="0"/>
    <w:rPr>
      <w:rFonts w:hint="default" w:ascii="Times New Roman" w:hAnsi="Times New Roman" w:cs="Times New Roman"/>
      <w:i/>
    </w:rPr>
  </w:style>
  <w:style w:type="character" w:customStyle="1" w:styleId="37">
    <w:name w:val="批注框文本 Char"/>
    <w:basedOn w:val="28"/>
    <w:link w:val="18"/>
    <w:qFormat/>
    <w:uiPriority w:val="0"/>
    <w:rPr>
      <w:rFonts w:asciiTheme="minorHAnsi" w:hAnsiTheme="minorHAnsi" w:eastAsiaTheme="minorEastAsia" w:cstheme="minorBidi"/>
      <w:kern w:val="2"/>
      <w:sz w:val="18"/>
      <w:szCs w:val="18"/>
    </w:rPr>
  </w:style>
  <w:style w:type="character" w:customStyle="1" w:styleId="38">
    <w:name w:val="正文文本 Char"/>
    <w:basedOn w:val="28"/>
    <w:link w:val="14"/>
    <w:uiPriority w:val="0"/>
    <w:rPr>
      <w:rFonts w:ascii="等线" w:hAnsi="等线" w:eastAsia="等线"/>
      <w:kern w:val="2"/>
      <w:sz w:val="21"/>
      <w:szCs w:val="22"/>
    </w:rPr>
  </w:style>
  <w:style w:type="paragraph" w:customStyle="1" w:styleId="39">
    <w:name w:val="p0"/>
    <w:basedOn w:val="1"/>
    <w:qFormat/>
    <w:uiPriority w:val="0"/>
    <w:pPr>
      <w:widowControl/>
    </w:pPr>
    <w:rPr>
      <w:rFonts w:ascii="等线" w:hAnsi="等线" w:eastAsia="仿宋_GB2312" w:cs="Times New Roman"/>
      <w:sz w:val="32"/>
      <w:szCs w:val="20"/>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无间隔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42">
    <w:name w:val="pp11"/>
    <w:qFormat/>
    <w:uiPriority w:val="0"/>
  </w:style>
  <w:style w:type="character" w:customStyle="1" w:styleId="43">
    <w:name w:val="正文文本 字符1"/>
    <w:qFormat/>
    <w:uiPriority w:val="0"/>
    <w:rPr>
      <w:rFonts w:ascii="等线" w:hAnsi="等线" w:eastAsia="等线"/>
      <w:kern w:val="2"/>
      <w:sz w:val="21"/>
      <w:szCs w:val="22"/>
      <w:lang w:val="en-US" w:eastAsia="zh-CN" w:bidi="ar-SA"/>
    </w:rPr>
  </w:style>
  <w:style w:type="paragraph" w:customStyle="1" w:styleId="44">
    <w:name w:val="Char"/>
    <w:basedOn w:val="1"/>
    <w:qFormat/>
    <w:uiPriority w:val="0"/>
    <w:rPr>
      <w:rFonts w:ascii="Times New Roman" w:hAnsi="Times New Roman" w:eastAsia="宋体" w:cs="Times New Roman"/>
    </w:rPr>
  </w:style>
  <w:style w:type="character" w:customStyle="1" w:styleId="45">
    <w:name w:val="标题 2 Char"/>
    <w:basedOn w:val="28"/>
    <w:link w:val="3"/>
    <w:qFormat/>
    <w:uiPriority w:val="0"/>
    <w:rPr>
      <w:rFonts w:ascii="Cambria" w:hAnsi="Cambria"/>
      <w:b/>
      <w:bCs/>
      <w:sz w:val="32"/>
      <w:szCs w:val="32"/>
    </w:rPr>
  </w:style>
  <w:style w:type="character" w:customStyle="1" w:styleId="46">
    <w:name w:val="标题 3 Char"/>
    <w:basedOn w:val="28"/>
    <w:link w:val="4"/>
    <w:qFormat/>
    <w:uiPriority w:val="0"/>
    <w:rPr>
      <w:rFonts w:ascii="Calibri" w:hAnsi="Calibri"/>
      <w:b/>
      <w:bCs/>
      <w:sz w:val="32"/>
      <w:szCs w:val="32"/>
    </w:rPr>
  </w:style>
  <w:style w:type="character" w:customStyle="1" w:styleId="47">
    <w:name w:val="标题 4 Char"/>
    <w:basedOn w:val="28"/>
    <w:link w:val="5"/>
    <w:qFormat/>
    <w:uiPriority w:val="0"/>
    <w:rPr>
      <w:rFonts w:ascii="Cambria" w:hAnsi="Cambria"/>
      <w:b/>
      <w:bCs/>
      <w:sz w:val="28"/>
      <w:szCs w:val="28"/>
    </w:rPr>
  </w:style>
  <w:style w:type="character" w:customStyle="1" w:styleId="48">
    <w:name w:val="标题 5 Char"/>
    <w:basedOn w:val="28"/>
    <w:link w:val="6"/>
    <w:qFormat/>
    <w:uiPriority w:val="0"/>
    <w:rPr>
      <w:rFonts w:ascii="Calibri" w:hAnsi="Calibri"/>
      <w:b/>
      <w:bCs/>
      <w:sz w:val="28"/>
      <w:szCs w:val="28"/>
    </w:rPr>
  </w:style>
  <w:style w:type="character" w:customStyle="1" w:styleId="49">
    <w:name w:val="标题 6 Char"/>
    <w:basedOn w:val="28"/>
    <w:link w:val="7"/>
    <w:qFormat/>
    <w:uiPriority w:val="0"/>
    <w:rPr>
      <w:rFonts w:ascii="Cambria" w:hAnsi="Cambria"/>
      <w:b/>
      <w:bCs/>
      <w:sz w:val="24"/>
      <w:szCs w:val="24"/>
    </w:rPr>
  </w:style>
  <w:style w:type="character" w:customStyle="1" w:styleId="50">
    <w:name w:val="标题 7 Char"/>
    <w:basedOn w:val="28"/>
    <w:link w:val="8"/>
    <w:qFormat/>
    <w:uiPriority w:val="0"/>
    <w:rPr>
      <w:rFonts w:ascii="Calibri" w:hAnsi="Calibri"/>
      <w:b/>
      <w:bCs/>
      <w:sz w:val="24"/>
      <w:szCs w:val="24"/>
    </w:rPr>
  </w:style>
  <w:style w:type="character" w:customStyle="1" w:styleId="51">
    <w:name w:val="标题 8 Char"/>
    <w:basedOn w:val="28"/>
    <w:link w:val="9"/>
    <w:qFormat/>
    <w:uiPriority w:val="0"/>
    <w:rPr>
      <w:rFonts w:ascii="Cambria" w:hAnsi="Cambria"/>
      <w:sz w:val="24"/>
      <w:szCs w:val="24"/>
    </w:rPr>
  </w:style>
  <w:style w:type="character" w:customStyle="1" w:styleId="52">
    <w:name w:val="标题 9 Char"/>
    <w:basedOn w:val="28"/>
    <w:link w:val="10"/>
    <w:qFormat/>
    <w:uiPriority w:val="0"/>
    <w:rPr>
      <w:rFonts w:ascii="Cambria" w:hAnsi="Cambria"/>
      <w:szCs w:val="21"/>
    </w:rPr>
  </w:style>
  <w:style w:type="character" w:customStyle="1" w:styleId="53">
    <w:name w:val="文档结构图 Char"/>
    <w:basedOn w:val="28"/>
    <w:link w:val="11"/>
    <w:qFormat/>
    <w:uiPriority w:val="0"/>
    <w:rPr>
      <w:rFonts w:ascii="宋体" w:hAnsi="Calibri"/>
      <w:sz w:val="18"/>
    </w:rPr>
  </w:style>
  <w:style w:type="character" w:customStyle="1" w:styleId="54">
    <w:name w:val="正文文本 3 Char"/>
    <w:basedOn w:val="28"/>
    <w:link w:val="13"/>
    <w:qFormat/>
    <w:uiPriority w:val="0"/>
    <w:rPr>
      <w:rFonts w:ascii="Calibri" w:hAnsi="Calibri"/>
      <w:sz w:val="16"/>
    </w:rPr>
  </w:style>
  <w:style w:type="character" w:customStyle="1" w:styleId="55">
    <w:name w:val="正文文本缩进 Char"/>
    <w:basedOn w:val="28"/>
    <w:link w:val="15"/>
    <w:qFormat/>
    <w:uiPriority w:val="0"/>
    <w:rPr>
      <w:rFonts w:ascii="Calibri" w:hAnsi="Calibri"/>
      <w:sz w:val="24"/>
    </w:rPr>
  </w:style>
  <w:style w:type="character" w:customStyle="1" w:styleId="56">
    <w:name w:val="纯文本 Char"/>
    <w:basedOn w:val="28"/>
    <w:link w:val="16"/>
    <w:qFormat/>
    <w:uiPriority w:val="0"/>
    <w:rPr>
      <w:rFonts w:ascii="宋体" w:hAnsi="Courier New"/>
      <w:sz w:val="21"/>
    </w:rPr>
  </w:style>
  <w:style w:type="character" w:customStyle="1" w:styleId="57">
    <w:name w:val="日期 Char"/>
    <w:basedOn w:val="28"/>
    <w:link w:val="17"/>
    <w:qFormat/>
    <w:uiPriority w:val="0"/>
    <w:rPr>
      <w:rFonts w:ascii="Calibri" w:hAnsi="Calibri"/>
      <w:sz w:val="24"/>
    </w:rPr>
  </w:style>
  <w:style w:type="character" w:customStyle="1" w:styleId="58">
    <w:name w:val="脚注文本 Char"/>
    <w:basedOn w:val="28"/>
    <w:link w:val="22"/>
    <w:qFormat/>
    <w:uiPriority w:val="0"/>
    <w:rPr>
      <w:rFonts w:ascii="Calibri" w:hAnsi="Calibri"/>
      <w:sz w:val="18"/>
    </w:rPr>
  </w:style>
  <w:style w:type="character" w:customStyle="1" w:styleId="59">
    <w:name w:val="正文文本缩进 3 Char"/>
    <w:basedOn w:val="28"/>
    <w:link w:val="23"/>
    <w:qFormat/>
    <w:uiPriority w:val="0"/>
    <w:rPr>
      <w:rFonts w:ascii="Calibri" w:hAnsi="Calibri"/>
      <w:sz w:val="16"/>
    </w:rPr>
  </w:style>
  <w:style w:type="character" w:customStyle="1" w:styleId="60">
    <w:name w:val="HTML 预设格式 Char"/>
    <w:basedOn w:val="28"/>
    <w:link w:val="24"/>
    <w:qFormat/>
    <w:uiPriority w:val="0"/>
    <w:rPr>
      <w:rFonts w:ascii="宋体" w:hAnsi="Calibri"/>
      <w:sz w:val="24"/>
    </w:rPr>
  </w:style>
  <w:style w:type="character" w:customStyle="1" w:styleId="61">
    <w:name w:val="标题 Char"/>
    <w:basedOn w:val="28"/>
    <w:link w:val="25"/>
    <w:qFormat/>
    <w:uiPriority w:val="0"/>
    <w:rPr>
      <w:rFonts w:ascii="Arial" w:hAnsi="Arial"/>
      <w:b/>
      <w:sz w:val="32"/>
    </w:rPr>
  </w:style>
  <w:style w:type="character" w:customStyle="1" w:styleId="62">
    <w:name w:val="批注文字 Char"/>
    <w:basedOn w:val="28"/>
    <w:link w:val="12"/>
    <w:qFormat/>
    <w:uiPriority w:val="0"/>
    <w:rPr>
      <w:rFonts w:asciiTheme="minorHAnsi" w:hAnsiTheme="minorHAnsi" w:eastAsiaTheme="minorEastAsia" w:cstheme="minorBidi"/>
      <w:kern w:val="2"/>
      <w:sz w:val="21"/>
      <w:szCs w:val="24"/>
    </w:rPr>
  </w:style>
  <w:style w:type="character" w:customStyle="1" w:styleId="63">
    <w:name w:val="批注主题 Char"/>
    <w:basedOn w:val="62"/>
    <w:link w:val="26"/>
    <w:qFormat/>
    <w:uiPriority w:val="0"/>
    <w:rPr>
      <w:rFonts w:ascii="Calibri" w:hAnsi="Calibri" w:eastAsiaTheme="minorEastAsia" w:cstheme="minorBidi"/>
      <w:b/>
      <w:kern w:val="2"/>
      <w:sz w:val="24"/>
      <w:szCs w:val="24"/>
    </w:rPr>
  </w:style>
  <w:style w:type="character" w:customStyle="1" w:styleId="64">
    <w:name w:val="页眉 Char"/>
    <w:link w:val="20"/>
    <w:qFormat/>
    <w:locked/>
    <w:uiPriority w:val="0"/>
    <w:rPr>
      <w:rFonts w:asciiTheme="minorHAnsi" w:hAnsiTheme="minorHAnsi" w:eastAsiaTheme="minorEastAsia" w:cstheme="minorBidi"/>
      <w:kern w:val="2"/>
      <w:sz w:val="18"/>
      <w:szCs w:val="24"/>
    </w:rPr>
  </w:style>
  <w:style w:type="character" w:customStyle="1" w:styleId="65">
    <w:name w:val="样式1 Char"/>
    <w:link w:val="66"/>
    <w:qFormat/>
    <w:uiPriority w:val="0"/>
    <w:rPr>
      <w:color w:val="000000"/>
      <w:kern w:val="2"/>
      <w:sz w:val="21"/>
      <w:szCs w:val="21"/>
    </w:rPr>
  </w:style>
  <w:style w:type="paragraph" w:customStyle="1" w:styleId="66">
    <w:name w:val="样式1"/>
    <w:basedOn w:val="1"/>
    <w:link w:val="65"/>
    <w:qFormat/>
    <w:uiPriority w:val="0"/>
    <w:pPr>
      <w:tabs>
        <w:tab w:val="left" w:pos="540"/>
      </w:tabs>
      <w:adjustRightInd w:val="0"/>
      <w:snapToGrid w:val="0"/>
      <w:spacing w:line="288" w:lineRule="auto"/>
      <w:ind w:left="200" w:hanging="200" w:hangingChars="200"/>
    </w:pPr>
    <w:rPr>
      <w:rFonts w:ascii="Times New Roman" w:hAnsi="Times New Roman" w:eastAsia="宋体" w:cs="Times New Roman"/>
      <w:color w:val="000000"/>
      <w:szCs w:val="21"/>
    </w:rPr>
  </w:style>
  <w:style w:type="character" w:customStyle="1" w:styleId="67">
    <w:name w:val="页脚 Char"/>
    <w:link w:val="19"/>
    <w:qFormat/>
    <w:locked/>
    <w:uiPriority w:val="0"/>
    <w:rPr>
      <w:rFonts w:asciiTheme="minorHAnsi" w:hAnsiTheme="minorHAnsi" w:eastAsiaTheme="minorEastAsia" w:cstheme="minorBidi"/>
      <w:kern w:val="2"/>
      <w:sz w:val="18"/>
      <w:szCs w:val="24"/>
    </w:rPr>
  </w:style>
  <w:style w:type="paragraph" w:customStyle="1" w:styleId="68">
    <w:name w:val="修订1"/>
    <w:hidden/>
    <w:unhideWhenUsed/>
    <w:qFormat/>
    <w:uiPriority w:val="99"/>
    <w:rPr>
      <w:rFonts w:ascii="Calibri" w:hAnsi="Calibri" w:eastAsia="宋体" w:cs="Times New Roman"/>
      <w:kern w:val="2"/>
      <w:sz w:val="21"/>
      <w:szCs w:val="22"/>
      <w:lang w:val="en-US" w:eastAsia="zh-CN" w:bidi="ar-SA"/>
    </w:rPr>
  </w:style>
  <w:style w:type="paragraph" w:customStyle="1" w:styleId="69">
    <w:name w:val="修订2"/>
    <w:hidden/>
    <w:unhideWhenUsed/>
    <w:qFormat/>
    <w:uiPriority w:val="99"/>
    <w:rPr>
      <w:rFonts w:ascii="Calibri" w:hAnsi="Calibri" w:eastAsia="宋体" w:cs="Times New Roman"/>
      <w:kern w:val="2"/>
      <w:sz w:val="21"/>
      <w:szCs w:val="22"/>
      <w:lang w:val="en-US" w:eastAsia="zh-CN" w:bidi="ar-SA"/>
    </w:rPr>
  </w:style>
  <w:style w:type="paragraph" w:customStyle="1" w:styleId="70">
    <w:name w:val="修订3"/>
    <w:hidden/>
    <w:unhideWhenUsed/>
    <w:qFormat/>
    <w:uiPriority w:val="99"/>
    <w:rPr>
      <w:rFonts w:ascii="Calibri" w:hAnsi="Calibri" w:eastAsia="宋体" w:cs="Times New Roman"/>
      <w:kern w:val="2"/>
      <w:sz w:val="21"/>
      <w:szCs w:val="22"/>
      <w:lang w:val="en-US" w:eastAsia="zh-CN" w:bidi="ar-SA"/>
    </w:rPr>
  </w:style>
  <w:style w:type="paragraph" w:customStyle="1" w:styleId="71">
    <w:name w:val="修订4"/>
    <w:hidden/>
    <w:unhideWhenUsed/>
    <w:qFormat/>
    <w:uiPriority w:val="99"/>
    <w:rPr>
      <w:rFonts w:ascii="Calibri" w:hAnsi="Calibri" w:eastAsia="宋体" w:cs="Times New Roman"/>
      <w:kern w:val="2"/>
      <w:sz w:val="21"/>
      <w:szCs w:val="22"/>
      <w:lang w:val="en-US" w:eastAsia="zh-CN" w:bidi="ar-SA"/>
    </w:rPr>
  </w:style>
  <w:style w:type="paragraph" w:customStyle="1" w:styleId="72">
    <w:name w:val="修订5"/>
    <w:hidden/>
    <w:semiHidden/>
    <w:qFormat/>
    <w:uiPriority w:val="99"/>
    <w:rPr>
      <w:rFonts w:ascii="Calibri" w:hAnsi="Calibri" w:eastAsia="宋体" w:cs="Times New Roman"/>
      <w:kern w:val="2"/>
      <w:sz w:val="21"/>
      <w:szCs w:val="22"/>
      <w:lang w:val="en-US" w:eastAsia="zh-CN" w:bidi="ar-SA"/>
    </w:rPr>
  </w:style>
  <w:style w:type="paragraph" w:customStyle="1" w:styleId="73">
    <w:name w:val="修订6"/>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859</Words>
  <Characters>959</Characters>
  <Lines>221</Lines>
  <Paragraphs>62</Paragraphs>
  <TotalTime>0</TotalTime>
  <ScaleCrop>false</ScaleCrop>
  <LinksUpToDate>false</LinksUpToDate>
  <CharactersWithSpaces>984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2024-11-29T07:28:00Z</dcterms:created>
  <dc:creator>t</dc:creator>
  <cp:lastModifiedBy>周兵</cp:lastModifiedBy>
  <cp:lastPrinted>2024-11-01T14:38:00Z</cp:lastPrinted>
  <dcterms:modified xsi:type="dcterms:W3CDTF">2025-03-27T06:41:08Z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3E757F76E40A4C8DAB69483A41CD1735_13</vt:lpwstr>
  </property>
  <property fmtid="{D5CDD505-2E9C-101B-9397-08002B2CF9AE}" pid="4" name="KSOTemplateDocerSaveRecord">
    <vt:lpwstr>eyJoZGlkIjoiMGM0ZTgyMDNkYTA2Mjc2M2FiODJhZWZlM2IxYzk3MTYiLCJ1c2VySWQiOiIxMTQ4MDA1ODc1In0=</vt:lpwstr>
  </property>
</Properties>
</file>